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C5" w:rsidRPr="004608CE" w:rsidRDefault="002C6FC5" w:rsidP="002C6FC5">
      <w:pPr>
        <w:pStyle w:val="1"/>
        <w:spacing w:before="0" w:after="0" w:line="360" w:lineRule="auto"/>
        <w:jc w:val="center"/>
        <w:rPr>
          <w:sz w:val="40"/>
        </w:rPr>
      </w:pPr>
      <w:bookmarkStart w:id="0" w:name="_Toc11402"/>
      <w:bookmarkStart w:id="1" w:name="_Toc180140166"/>
      <w:r w:rsidRPr="004608CE">
        <w:rPr>
          <w:sz w:val="40"/>
        </w:rPr>
        <w:t>第三章</w:t>
      </w:r>
      <w:r w:rsidRPr="004608CE">
        <w:rPr>
          <w:sz w:val="40"/>
        </w:rPr>
        <w:t xml:space="preserve">  </w:t>
      </w:r>
      <w:bookmarkEnd w:id="0"/>
      <w:r w:rsidRPr="004608CE">
        <w:rPr>
          <w:rFonts w:hint="eastAsia"/>
          <w:sz w:val="40"/>
        </w:rPr>
        <w:t>用户需求书</w:t>
      </w:r>
      <w:bookmarkEnd w:id="1"/>
    </w:p>
    <w:p w:rsidR="002C6FC5" w:rsidRPr="004608CE" w:rsidRDefault="002C6FC5" w:rsidP="002C6FC5">
      <w:pPr>
        <w:spacing w:line="360" w:lineRule="auto"/>
        <w:ind w:firstLineChars="200" w:firstLine="480"/>
        <w:rPr>
          <w:rFonts w:hAnsi="宋体"/>
          <w:sz w:val="24"/>
        </w:rPr>
      </w:pPr>
      <w:r w:rsidRPr="004608CE">
        <w:rPr>
          <w:rFonts w:hAnsi="宋体" w:hint="eastAsia"/>
          <w:sz w:val="24"/>
        </w:rPr>
        <w:t>一、项目简介</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1.1</w:t>
      </w:r>
      <w:r w:rsidRPr="004608CE">
        <w:rPr>
          <w:rFonts w:hAnsi="宋体" w:hint="eastAsia"/>
          <w:sz w:val="24"/>
        </w:rPr>
        <w:t>项目名称：乐东黎族自治县</w:t>
      </w:r>
      <w:r w:rsidRPr="004608CE">
        <w:rPr>
          <w:rFonts w:hAnsi="宋体" w:hint="eastAsia"/>
          <w:sz w:val="24"/>
        </w:rPr>
        <w:t>2024</w:t>
      </w:r>
      <w:r w:rsidRPr="004608CE">
        <w:rPr>
          <w:rFonts w:hAnsi="宋体" w:hint="eastAsia"/>
          <w:sz w:val="24"/>
        </w:rPr>
        <w:t>年高标准农田水利设施建后管护（第三批）项目。</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1.2</w:t>
      </w:r>
      <w:r w:rsidRPr="004608CE">
        <w:rPr>
          <w:rFonts w:hAnsi="宋体" w:hint="eastAsia"/>
          <w:sz w:val="24"/>
        </w:rPr>
        <w:t>采购编号：</w:t>
      </w:r>
      <w:r w:rsidRPr="004608CE">
        <w:rPr>
          <w:rFonts w:hAnsi="宋体" w:hint="eastAsia"/>
          <w:sz w:val="24"/>
        </w:rPr>
        <w:t>STGC-CG-2024004</w:t>
      </w:r>
      <w:r w:rsidRPr="004608CE">
        <w:rPr>
          <w:rFonts w:hAnsi="宋体" w:hint="eastAsia"/>
          <w:sz w:val="24"/>
        </w:rPr>
        <w:t>。</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1.3</w:t>
      </w:r>
      <w:r w:rsidRPr="004608CE">
        <w:rPr>
          <w:rFonts w:hAnsi="宋体" w:hint="eastAsia"/>
          <w:sz w:val="24"/>
        </w:rPr>
        <w:t>项目预算：人民币叁佰捌拾捌元整（￥</w:t>
      </w:r>
      <w:r w:rsidRPr="004608CE">
        <w:rPr>
          <w:rFonts w:hAnsi="宋体" w:hint="eastAsia"/>
          <w:sz w:val="24"/>
        </w:rPr>
        <w:t>3800000.00</w:t>
      </w:r>
      <w:r w:rsidRPr="004608CE">
        <w:rPr>
          <w:rFonts w:hAnsi="宋体" w:hint="eastAsia"/>
          <w:sz w:val="24"/>
        </w:rPr>
        <w:t>元），本项目分为一个包，供应商报价不得超过采购预算。</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1.4</w:t>
      </w:r>
      <w:r w:rsidRPr="004608CE">
        <w:rPr>
          <w:rFonts w:hAnsi="宋体" w:hint="eastAsia"/>
          <w:sz w:val="24"/>
        </w:rPr>
        <w:t>合同履行期限（服务期）：自合同签订之日起一年内完成。</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1.5</w:t>
      </w:r>
      <w:r w:rsidRPr="004608CE">
        <w:rPr>
          <w:rFonts w:hAnsi="宋体" w:hint="eastAsia"/>
          <w:sz w:val="24"/>
        </w:rPr>
        <w:t>服务地点：采购人指定地点。</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二、项目背景</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近年来，随着高标准农田建设项目的实施，我国农业综合生产能力稳步提升，为深入实施乡村振兴和“藏粮于地、藏粮于技”战略部署，水利部联合农业农村部于</w:t>
      </w:r>
      <w:r w:rsidRPr="004608CE">
        <w:rPr>
          <w:rFonts w:hAnsi="宋体" w:hint="eastAsia"/>
          <w:sz w:val="24"/>
        </w:rPr>
        <w:t>2022</w:t>
      </w:r>
      <w:r w:rsidRPr="004608CE">
        <w:rPr>
          <w:rFonts w:hAnsi="宋体" w:hint="eastAsia"/>
          <w:sz w:val="24"/>
        </w:rPr>
        <w:t>年</w:t>
      </w:r>
      <w:r w:rsidRPr="004608CE">
        <w:rPr>
          <w:rFonts w:hAnsi="宋体" w:hint="eastAsia"/>
          <w:sz w:val="24"/>
        </w:rPr>
        <w:t>3</w:t>
      </w:r>
      <w:r w:rsidRPr="004608CE">
        <w:rPr>
          <w:rFonts w:hAnsi="宋体" w:hint="eastAsia"/>
          <w:sz w:val="24"/>
        </w:rPr>
        <w:t>月</w:t>
      </w:r>
      <w:r w:rsidRPr="004608CE">
        <w:rPr>
          <w:rFonts w:hAnsi="宋体" w:hint="eastAsia"/>
          <w:sz w:val="24"/>
        </w:rPr>
        <w:t>28</w:t>
      </w:r>
      <w:r w:rsidRPr="004608CE">
        <w:rPr>
          <w:rFonts w:hAnsi="宋体" w:hint="eastAsia"/>
          <w:sz w:val="24"/>
        </w:rPr>
        <w:t>日印发《关于加强农田水利设施管护工作的通知》（办农水〔</w:t>
      </w:r>
      <w:r w:rsidRPr="004608CE">
        <w:rPr>
          <w:rFonts w:hAnsi="宋体" w:hint="eastAsia"/>
          <w:sz w:val="24"/>
        </w:rPr>
        <w:t>2022</w:t>
      </w:r>
      <w:r w:rsidRPr="004608CE">
        <w:rPr>
          <w:rFonts w:hAnsi="宋体" w:hint="eastAsia"/>
          <w:sz w:val="24"/>
        </w:rPr>
        <w:t>〕</w:t>
      </w:r>
      <w:r w:rsidRPr="004608CE">
        <w:rPr>
          <w:rFonts w:hAnsi="宋体" w:hint="eastAsia"/>
          <w:sz w:val="24"/>
        </w:rPr>
        <w:t>83</w:t>
      </w:r>
      <w:r w:rsidRPr="004608CE">
        <w:rPr>
          <w:rFonts w:hAnsi="宋体" w:hint="eastAsia"/>
          <w:sz w:val="24"/>
        </w:rPr>
        <w:t>号），通知指出：农田水利设施建管脱节、重建轻管的问题比较突出，良性运行机制尚不完善，需全面提升农田水利服务国家粮食安全、助力乡村振兴的能力和水平；鼓励地方人民政府将小微型农田水利设施纳入农村公共基础设施管护范围，鼓励探索引入社会力量参与工程管护。为持续做好高标准农田工程设施建后管理、维修和养护，确保建成项目长期发挥效益，海南省农业农村厅办公室</w:t>
      </w:r>
      <w:r w:rsidRPr="004608CE">
        <w:rPr>
          <w:rFonts w:hAnsi="宋体" w:hint="eastAsia"/>
          <w:sz w:val="24"/>
        </w:rPr>
        <w:t>2021</w:t>
      </w:r>
      <w:r w:rsidRPr="004608CE">
        <w:rPr>
          <w:rFonts w:hAnsi="宋体" w:hint="eastAsia"/>
          <w:sz w:val="24"/>
        </w:rPr>
        <w:t>年</w:t>
      </w:r>
      <w:r w:rsidRPr="004608CE">
        <w:rPr>
          <w:rFonts w:hAnsi="宋体" w:hint="eastAsia"/>
          <w:sz w:val="24"/>
        </w:rPr>
        <w:t>6</w:t>
      </w:r>
      <w:r w:rsidRPr="004608CE">
        <w:rPr>
          <w:rFonts w:hAnsi="宋体" w:hint="eastAsia"/>
          <w:sz w:val="24"/>
        </w:rPr>
        <w:t>月</w:t>
      </w:r>
      <w:r w:rsidRPr="004608CE">
        <w:rPr>
          <w:rFonts w:hAnsi="宋体" w:hint="eastAsia"/>
          <w:sz w:val="24"/>
        </w:rPr>
        <w:t>8</w:t>
      </w:r>
      <w:r w:rsidRPr="004608CE">
        <w:rPr>
          <w:rFonts w:hAnsi="宋体" w:hint="eastAsia"/>
          <w:sz w:val="24"/>
        </w:rPr>
        <w:t>日印发《关于做好高标准农田工程设施建后管护工作的通知》（琼农办〔</w:t>
      </w:r>
      <w:r w:rsidRPr="004608CE">
        <w:rPr>
          <w:rFonts w:hAnsi="宋体" w:hint="eastAsia"/>
          <w:sz w:val="24"/>
        </w:rPr>
        <w:t>2021</w:t>
      </w:r>
      <w:r w:rsidRPr="004608CE">
        <w:rPr>
          <w:rFonts w:hAnsi="宋体" w:hint="eastAsia"/>
          <w:sz w:val="24"/>
        </w:rPr>
        <w:t>〕</w:t>
      </w:r>
      <w:r w:rsidRPr="004608CE">
        <w:rPr>
          <w:rFonts w:hAnsi="宋体" w:hint="eastAsia"/>
          <w:sz w:val="24"/>
        </w:rPr>
        <w:t>93</w:t>
      </w:r>
      <w:r w:rsidRPr="004608CE">
        <w:rPr>
          <w:rFonts w:hAnsi="宋体" w:hint="eastAsia"/>
          <w:sz w:val="24"/>
        </w:rPr>
        <w:t>号），文件指出：市县人民政府是高标准农田工程设施运营管护的责任主体，市县农业农村局应制定高标准农田工程设施建后管护制度，统筹持续推进工程设施建后管护工作，并负责组织协调、监督指导和检查考核等工作，由新型农业经营主体或通过政府购买服务等方式委托专业机构作为管护主体。</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三、指导思想</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以习近平新时代中国特色社会主义思想为指导，全面贯彻习近平总书记关于高标准农田建设重要指示、批示精神和“三农”工作的重要论述，贯彻落实“藏粮于地、藏粮于技”战略，全面落实国家粮食安全的总体要求，以实施乡村振兴战略为总抓手，坚持建管并重，注重源头预防，健全管护制度，强化监督考核，落实管护效果，实现高标准农田建后管护常态化、长效化、制度化，确保高标准</w:t>
      </w:r>
      <w:r w:rsidRPr="004608CE">
        <w:rPr>
          <w:rFonts w:hAnsi="宋体" w:hint="eastAsia"/>
          <w:sz w:val="24"/>
        </w:rPr>
        <w:lastRenderedPageBreak/>
        <w:t>农田“良田粮用”。</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四、管护原则</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按照“谁受益、谁管护，谁使用、谁管护”以及“现场手段与政府补助相结合”等原则，管护主体要及时组织管护队伍认真完成管护工作任务，保证农田设施正常运行，持续发挥效益；必须服从政府防汛抗旱的统一调度，并接受县农业农村部门以及镇、村各级组织的监督；要严格遵守法律和行政法规有关规定，不得以任何理由擅自收取有关费用，不得擅自将工程及设备变卖，不得破坏水土资源和生态环境。县农业农村局、相关镇政府要发挥监督指导作用，具体负责管护区域内农田基础设施管护实施、管护质量监管和组织验收工作。</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五、工作目标</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建立健全建后管护机制，压实高标准农田建后管护责任，做到高标准农田建后管护有主体、有人员、有资金、有标准、有考核，确保建成的高标准农田工程设施得到定期维护，确保建成的高标准农田长久持续发挥效益。</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六、管护阶段：</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实施管护周期不少于</w:t>
      </w:r>
      <w:r w:rsidRPr="004608CE">
        <w:rPr>
          <w:rFonts w:hAnsi="宋体" w:hint="eastAsia"/>
          <w:sz w:val="24"/>
        </w:rPr>
        <w:t>12</w:t>
      </w:r>
      <w:r w:rsidRPr="004608CE">
        <w:rPr>
          <w:rFonts w:hAnsi="宋体" w:hint="eastAsia"/>
          <w:sz w:val="24"/>
        </w:rPr>
        <w:t>个月。</w:t>
      </w:r>
      <w:r w:rsidRPr="004608CE">
        <w:rPr>
          <w:rFonts w:hAnsi="宋体" w:hint="eastAsia"/>
          <w:sz w:val="24"/>
        </w:rPr>
        <w:t>2024</w:t>
      </w:r>
      <w:r w:rsidRPr="004608CE">
        <w:rPr>
          <w:rFonts w:hAnsi="宋体" w:hint="eastAsia"/>
          <w:sz w:val="24"/>
        </w:rPr>
        <w:t>年</w:t>
      </w:r>
      <w:r w:rsidRPr="004608CE">
        <w:rPr>
          <w:rFonts w:hAnsi="宋体" w:hint="eastAsia"/>
          <w:sz w:val="24"/>
        </w:rPr>
        <w:t>11</w:t>
      </w:r>
      <w:r w:rsidRPr="004608CE">
        <w:rPr>
          <w:rFonts w:hAnsi="宋体" w:hint="eastAsia"/>
          <w:sz w:val="24"/>
        </w:rPr>
        <w:t>月启动管护，</w:t>
      </w:r>
      <w:r w:rsidRPr="004608CE">
        <w:rPr>
          <w:rFonts w:hAnsi="宋体" w:hint="eastAsia"/>
          <w:sz w:val="24"/>
        </w:rPr>
        <w:t>2025</w:t>
      </w:r>
      <w:r w:rsidRPr="004608CE">
        <w:rPr>
          <w:rFonts w:hAnsi="宋体" w:hint="eastAsia"/>
          <w:sz w:val="24"/>
        </w:rPr>
        <w:t>年</w:t>
      </w:r>
      <w:r w:rsidRPr="004608CE">
        <w:rPr>
          <w:rFonts w:hAnsi="宋体" w:hint="eastAsia"/>
          <w:sz w:val="24"/>
        </w:rPr>
        <w:t>10</w:t>
      </w:r>
      <w:r w:rsidRPr="004608CE">
        <w:rPr>
          <w:rFonts w:hAnsi="宋体" w:hint="eastAsia"/>
          <w:sz w:val="24"/>
        </w:rPr>
        <w:t>月完成管护任务。管护分为三个阶段，共</w:t>
      </w:r>
      <w:r w:rsidRPr="004608CE">
        <w:rPr>
          <w:rFonts w:hAnsi="宋体" w:hint="eastAsia"/>
          <w:sz w:val="24"/>
        </w:rPr>
        <w:t>12</w:t>
      </w:r>
      <w:r w:rsidRPr="004608CE">
        <w:rPr>
          <w:rFonts w:hAnsi="宋体" w:hint="eastAsia"/>
          <w:sz w:val="24"/>
        </w:rPr>
        <w:t>个月。第一阶段“前期排查”</w:t>
      </w:r>
      <w:r w:rsidRPr="004608CE">
        <w:rPr>
          <w:rFonts w:hAnsi="宋体" w:hint="eastAsia"/>
          <w:sz w:val="24"/>
        </w:rPr>
        <w:t>2</w:t>
      </w:r>
      <w:r w:rsidRPr="004608CE">
        <w:rPr>
          <w:rFonts w:hAnsi="宋体" w:hint="eastAsia"/>
          <w:sz w:val="24"/>
        </w:rPr>
        <w:t>个月：全面排查管护范围内的灌排工程、田间道路、配套建筑物、标识设施等；第二阶段“强化管护期”</w:t>
      </w:r>
      <w:r w:rsidRPr="004608CE">
        <w:rPr>
          <w:rFonts w:hAnsi="宋体" w:hint="eastAsia"/>
          <w:sz w:val="24"/>
        </w:rPr>
        <w:t>3</w:t>
      </w:r>
      <w:r w:rsidRPr="004608CE">
        <w:rPr>
          <w:rFonts w:hAnsi="宋体" w:hint="eastAsia"/>
          <w:sz w:val="24"/>
        </w:rPr>
        <w:t>个月：针对排查工作存在问题，开展排灌沟渠、田间路（机耕路）、桥（涵）等基础配套设施的清杂、清表、清淤、维修等工作；第三阶段“巩固管护期及常态巡护期”</w:t>
      </w:r>
      <w:r w:rsidRPr="004608CE">
        <w:rPr>
          <w:rFonts w:hAnsi="宋体" w:hint="eastAsia"/>
          <w:sz w:val="24"/>
        </w:rPr>
        <w:t>7</w:t>
      </w:r>
      <w:r w:rsidRPr="004608CE">
        <w:rPr>
          <w:rFonts w:hAnsi="宋体" w:hint="eastAsia"/>
          <w:sz w:val="24"/>
        </w:rPr>
        <w:t>个月：主要对管护范围的高标准农田配套设施开展日常巡查工作，对高标准农田配套设施管护进行查遗补缺、核验管护效果、巩固管护成效等，发现故障及时解决，并使设施保持良好状态。</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七、主要任务及工作措施</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（一）落实管护责任主体。县农业农村局负责高标准农田建后管护的组织协调、监督指导和检查考核等工作，负责落实管护责任单位，建立管护队伍，加强管护资金使用管理，确保管护效果和工作任务完成。</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（二）明确管护范围和内容。结合水稻种植、重要农产品生产情况，选定各镇高标准农田管护范围。本次采购将已建成高标准农田</w:t>
      </w:r>
      <w:r w:rsidRPr="004608CE">
        <w:rPr>
          <w:rFonts w:hAnsi="宋体" w:hint="eastAsia"/>
          <w:sz w:val="24"/>
        </w:rPr>
        <w:t>47500</w:t>
      </w:r>
      <w:r w:rsidRPr="004608CE">
        <w:rPr>
          <w:rFonts w:hAnsi="宋体" w:hint="eastAsia"/>
          <w:sz w:val="24"/>
        </w:rPr>
        <w:t>亩纳入管护范围，其中抱由镇德霞洋、保定洋、道汉洋管护面积</w:t>
      </w:r>
      <w:r w:rsidRPr="004608CE">
        <w:rPr>
          <w:rFonts w:hAnsi="宋体" w:hint="eastAsia"/>
          <w:sz w:val="24"/>
        </w:rPr>
        <w:t>7700</w:t>
      </w:r>
      <w:r w:rsidRPr="004608CE">
        <w:rPr>
          <w:rFonts w:hAnsi="宋体" w:hint="eastAsia"/>
          <w:sz w:val="24"/>
        </w:rPr>
        <w:t>亩；佛罗镇青山洋管护面积</w:t>
      </w:r>
      <w:r w:rsidRPr="004608CE">
        <w:rPr>
          <w:rFonts w:hAnsi="宋体" w:hint="eastAsia"/>
          <w:sz w:val="24"/>
        </w:rPr>
        <w:lastRenderedPageBreak/>
        <w:t>3400</w:t>
      </w:r>
      <w:r w:rsidRPr="004608CE">
        <w:rPr>
          <w:rFonts w:hAnsi="宋体" w:hint="eastAsia"/>
          <w:sz w:val="24"/>
        </w:rPr>
        <w:t>亩；尖峰镇黑眉洋管护面积</w:t>
      </w:r>
      <w:r w:rsidRPr="004608CE">
        <w:rPr>
          <w:rFonts w:hAnsi="宋体" w:hint="eastAsia"/>
          <w:sz w:val="24"/>
        </w:rPr>
        <w:t>4600</w:t>
      </w:r>
      <w:r w:rsidRPr="004608CE">
        <w:rPr>
          <w:rFonts w:hAnsi="宋体" w:hint="eastAsia"/>
          <w:sz w:val="24"/>
        </w:rPr>
        <w:t>亩；利国镇抱荷洋、望新洋、赤楼洋管护面积</w:t>
      </w:r>
      <w:r w:rsidRPr="004608CE">
        <w:rPr>
          <w:rFonts w:hAnsi="宋体" w:hint="eastAsia"/>
          <w:sz w:val="24"/>
        </w:rPr>
        <w:t>15300</w:t>
      </w:r>
      <w:r w:rsidRPr="004608CE">
        <w:rPr>
          <w:rFonts w:hAnsi="宋体" w:hint="eastAsia"/>
          <w:sz w:val="24"/>
        </w:rPr>
        <w:t>亩；九所镇抱旺洋、十罗洋、中灶洋管护面积</w:t>
      </w:r>
      <w:r w:rsidRPr="004608CE">
        <w:rPr>
          <w:rFonts w:hAnsi="宋体" w:hint="eastAsia"/>
          <w:sz w:val="24"/>
        </w:rPr>
        <w:t>9500</w:t>
      </w:r>
      <w:r w:rsidRPr="004608CE">
        <w:rPr>
          <w:rFonts w:hAnsi="宋体" w:hint="eastAsia"/>
          <w:sz w:val="24"/>
        </w:rPr>
        <w:t>亩；大安镇大炮洋</w:t>
      </w:r>
      <w:r w:rsidRPr="004608CE">
        <w:rPr>
          <w:rFonts w:hAnsi="宋体" w:hint="eastAsia"/>
          <w:sz w:val="24"/>
        </w:rPr>
        <w:t>7000</w:t>
      </w:r>
      <w:r w:rsidRPr="004608CE">
        <w:rPr>
          <w:rFonts w:hAnsi="宋体" w:hint="eastAsia"/>
          <w:sz w:val="24"/>
        </w:rPr>
        <w:t>亩。</w:t>
      </w:r>
    </w:p>
    <w:tbl>
      <w:tblPr>
        <w:tblW w:w="8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
        <w:gridCol w:w="1808"/>
        <w:gridCol w:w="2517"/>
        <w:gridCol w:w="1985"/>
        <w:gridCol w:w="1483"/>
      </w:tblGrid>
      <w:tr w:rsidR="002C6FC5" w:rsidRPr="004608CE" w:rsidTr="008601E2">
        <w:trPr>
          <w:trHeight w:val="810"/>
        </w:trPr>
        <w:tc>
          <w:tcPr>
            <w:tcW w:w="920" w:type="dxa"/>
            <w:noWrap/>
            <w:vAlign w:val="center"/>
          </w:tcPr>
          <w:p w:rsidR="002C6FC5" w:rsidRPr="004608CE" w:rsidRDefault="002C6FC5" w:rsidP="008601E2">
            <w:pPr>
              <w:widowControl/>
              <w:jc w:val="center"/>
              <w:rPr>
                <w:rFonts w:hAnsi="宋体"/>
                <w:sz w:val="24"/>
              </w:rPr>
            </w:pPr>
            <w:r w:rsidRPr="004608CE">
              <w:rPr>
                <w:rFonts w:hAnsi="宋体" w:hint="eastAsia"/>
                <w:sz w:val="24"/>
              </w:rPr>
              <w:t>序号</w:t>
            </w:r>
          </w:p>
        </w:tc>
        <w:tc>
          <w:tcPr>
            <w:tcW w:w="1808" w:type="dxa"/>
            <w:vAlign w:val="center"/>
          </w:tcPr>
          <w:p w:rsidR="002C6FC5" w:rsidRPr="004608CE" w:rsidRDefault="002C6FC5" w:rsidP="008601E2">
            <w:pPr>
              <w:widowControl/>
              <w:jc w:val="center"/>
              <w:rPr>
                <w:rFonts w:hAnsi="宋体"/>
                <w:sz w:val="24"/>
              </w:rPr>
            </w:pPr>
            <w:r w:rsidRPr="004608CE">
              <w:rPr>
                <w:rFonts w:hAnsi="宋体" w:hint="eastAsia"/>
                <w:sz w:val="24"/>
              </w:rPr>
              <w:t>项目所属乡镇</w:t>
            </w:r>
          </w:p>
        </w:tc>
        <w:tc>
          <w:tcPr>
            <w:tcW w:w="2517" w:type="dxa"/>
            <w:noWrap/>
            <w:vAlign w:val="center"/>
          </w:tcPr>
          <w:p w:rsidR="002C6FC5" w:rsidRPr="004608CE" w:rsidRDefault="002C6FC5" w:rsidP="008601E2">
            <w:pPr>
              <w:widowControl/>
              <w:jc w:val="center"/>
              <w:rPr>
                <w:rFonts w:hAnsi="宋体"/>
                <w:sz w:val="24"/>
              </w:rPr>
            </w:pPr>
            <w:r w:rsidRPr="004608CE">
              <w:rPr>
                <w:rFonts w:hAnsi="宋体" w:hint="eastAsia"/>
                <w:sz w:val="24"/>
              </w:rPr>
              <w:t>田洋名称</w:t>
            </w:r>
          </w:p>
        </w:tc>
        <w:tc>
          <w:tcPr>
            <w:tcW w:w="1985" w:type="dxa"/>
            <w:noWrap/>
            <w:vAlign w:val="center"/>
          </w:tcPr>
          <w:p w:rsidR="002C6FC5" w:rsidRPr="004608CE" w:rsidRDefault="002C6FC5" w:rsidP="008601E2">
            <w:pPr>
              <w:widowControl/>
              <w:jc w:val="center"/>
              <w:rPr>
                <w:rFonts w:hAnsi="宋体"/>
                <w:sz w:val="24"/>
              </w:rPr>
            </w:pPr>
            <w:r w:rsidRPr="004608CE">
              <w:rPr>
                <w:rFonts w:hAnsi="宋体" w:hint="eastAsia"/>
                <w:sz w:val="24"/>
              </w:rPr>
              <w:t>管护面积（亩）</w:t>
            </w:r>
          </w:p>
        </w:tc>
        <w:tc>
          <w:tcPr>
            <w:tcW w:w="1483" w:type="dxa"/>
            <w:vAlign w:val="center"/>
          </w:tcPr>
          <w:p w:rsidR="002C6FC5" w:rsidRPr="004608CE" w:rsidRDefault="002C6FC5" w:rsidP="008601E2">
            <w:pPr>
              <w:widowControl/>
              <w:jc w:val="center"/>
              <w:rPr>
                <w:rFonts w:hAnsi="宋体"/>
                <w:sz w:val="24"/>
              </w:rPr>
            </w:pPr>
            <w:r w:rsidRPr="004608CE">
              <w:rPr>
                <w:rFonts w:hAnsi="宋体" w:hint="eastAsia"/>
                <w:sz w:val="24"/>
              </w:rPr>
              <w:t>管护标准</w:t>
            </w:r>
          </w:p>
          <w:p w:rsidR="002C6FC5" w:rsidRPr="004608CE" w:rsidRDefault="002C6FC5" w:rsidP="008601E2">
            <w:pPr>
              <w:widowControl/>
              <w:jc w:val="center"/>
              <w:rPr>
                <w:rFonts w:hAnsi="宋体"/>
                <w:sz w:val="24"/>
              </w:rPr>
            </w:pPr>
            <w:r w:rsidRPr="004608CE">
              <w:rPr>
                <w:rFonts w:hAnsi="宋体" w:hint="eastAsia"/>
                <w:sz w:val="24"/>
              </w:rPr>
              <w:t>（元</w:t>
            </w:r>
            <w:r w:rsidRPr="004608CE">
              <w:rPr>
                <w:rFonts w:hAnsi="宋体" w:hint="eastAsia"/>
                <w:sz w:val="24"/>
              </w:rPr>
              <w:t>/</w:t>
            </w:r>
            <w:r w:rsidRPr="004608CE">
              <w:rPr>
                <w:rFonts w:hAnsi="宋体" w:hint="eastAsia"/>
                <w:sz w:val="24"/>
              </w:rPr>
              <w:t>亩）</w:t>
            </w:r>
          </w:p>
        </w:tc>
      </w:tr>
      <w:tr w:rsidR="002C6FC5" w:rsidRPr="004608CE" w:rsidTr="008601E2">
        <w:trPr>
          <w:trHeight w:val="564"/>
        </w:trPr>
        <w:tc>
          <w:tcPr>
            <w:tcW w:w="920" w:type="dxa"/>
            <w:noWrap/>
            <w:vAlign w:val="center"/>
          </w:tcPr>
          <w:p w:rsidR="002C6FC5" w:rsidRPr="004608CE" w:rsidRDefault="002C6FC5" w:rsidP="008601E2">
            <w:pPr>
              <w:widowControl/>
              <w:jc w:val="center"/>
              <w:rPr>
                <w:rFonts w:hAnsi="宋体"/>
                <w:sz w:val="24"/>
              </w:rPr>
            </w:pPr>
            <w:r w:rsidRPr="004608CE">
              <w:rPr>
                <w:rFonts w:hAnsi="宋体" w:hint="eastAsia"/>
                <w:sz w:val="24"/>
              </w:rPr>
              <w:t>1</w:t>
            </w:r>
          </w:p>
        </w:tc>
        <w:tc>
          <w:tcPr>
            <w:tcW w:w="1808" w:type="dxa"/>
            <w:noWrap/>
            <w:vAlign w:val="center"/>
          </w:tcPr>
          <w:p w:rsidR="002C6FC5" w:rsidRPr="004608CE" w:rsidRDefault="002C6FC5" w:rsidP="008601E2">
            <w:pPr>
              <w:widowControl/>
              <w:jc w:val="center"/>
              <w:rPr>
                <w:rFonts w:hAnsi="宋体"/>
                <w:sz w:val="24"/>
              </w:rPr>
            </w:pPr>
            <w:r w:rsidRPr="004608CE">
              <w:rPr>
                <w:rFonts w:hAnsi="宋体" w:hint="eastAsia"/>
                <w:sz w:val="24"/>
              </w:rPr>
              <w:t>抱由镇</w:t>
            </w:r>
          </w:p>
        </w:tc>
        <w:tc>
          <w:tcPr>
            <w:tcW w:w="2517" w:type="dxa"/>
            <w:noWrap/>
            <w:vAlign w:val="center"/>
          </w:tcPr>
          <w:p w:rsidR="002C6FC5" w:rsidRPr="004608CE" w:rsidRDefault="002C6FC5" w:rsidP="008601E2">
            <w:pPr>
              <w:widowControl/>
              <w:jc w:val="center"/>
              <w:rPr>
                <w:rFonts w:hAnsi="宋体"/>
                <w:sz w:val="24"/>
              </w:rPr>
            </w:pPr>
            <w:r w:rsidRPr="004608CE">
              <w:rPr>
                <w:rFonts w:hAnsi="宋体" w:hint="eastAsia"/>
                <w:sz w:val="24"/>
              </w:rPr>
              <w:t>德霞洋、保定洋、道汉洋</w:t>
            </w:r>
          </w:p>
        </w:tc>
        <w:tc>
          <w:tcPr>
            <w:tcW w:w="1985" w:type="dxa"/>
            <w:noWrap/>
            <w:vAlign w:val="center"/>
          </w:tcPr>
          <w:p w:rsidR="002C6FC5" w:rsidRPr="004608CE" w:rsidRDefault="002C6FC5" w:rsidP="008601E2">
            <w:pPr>
              <w:widowControl/>
              <w:jc w:val="center"/>
              <w:rPr>
                <w:rFonts w:hAnsi="宋体"/>
                <w:sz w:val="24"/>
              </w:rPr>
            </w:pPr>
            <w:r w:rsidRPr="004608CE">
              <w:rPr>
                <w:rFonts w:hAnsi="宋体" w:hint="eastAsia"/>
                <w:sz w:val="24"/>
              </w:rPr>
              <w:t>7700</w:t>
            </w:r>
          </w:p>
        </w:tc>
        <w:tc>
          <w:tcPr>
            <w:tcW w:w="1483" w:type="dxa"/>
            <w:noWrap/>
            <w:vAlign w:val="center"/>
          </w:tcPr>
          <w:p w:rsidR="002C6FC5" w:rsidRPr="004608CE" w:rsidRDefault="002C6FC5" w:rsidP="008601E2">
            <w:pPr>
              <w:widowControl/>
              <w:jc w:val="center"/>
              <w:rPr>
                <w:rFonts w:hAnsi="宋体"/>
                <w:sz w:val="24"/>
              </w:rPr>
            </w:pPr>
            <w:r w:rsidRPr="004608CE">
              <w:rPr>
                <w:rFonts w:hAnsi="宋体" w:hint="eastAsia"/>
                <w:sz w:val="24"/>
              </w:rPr>
              <w:t>80</w:t>
            </w:r>
          </w:p>
        </w:tc>
      </w:tr>
      <w:tr w:rsidR="002C6FC5" w:rsidRPr="004608CE" w:rsidTr="008601E2">
        <w:trPr>
          <w:trHeight w:val="564"/>
        </w:trPr>
        <w:tc>
          <w:tcPr>
            <w:tcW w:w="920" w:type="dxa"/>
            <w:noWrap/>
            <w:vAlign w:val="center"/>
          </w:tcPr>
          <w:p w:rsidR="002C6FC5" w:rsidRPr="004608CE" w:rsidRDefault="002C6FC5" w:rsidP="008601E2">
            <w:pPr>
              <w:widowControl/>
              <w:jc w:val="center"/>
              <w:rPr>
                <w:rFonts w:hAnsi="宋体"/>
                <w:sz w:val="24"/>
              </w:rPr>
            </w:pPr>
            <w:r w:rsidRPr="004608CE">
              <w:rPr>
                <w:rFonts w:hAnsi="宋体" w:hint="eastAsia"/>
                <w:sz w:val="24"/>
              </w:rPr>
              <w:t>2</w:t>
            </w:r>
          </w:p>
        </w:tc>
        <w:tc>
          <w:tcPr>
            <w:tcW w:w="1808" w:type="dxa"/>
            <w:vAlign w:val="center"/>
          </w:tcPr>
          <w:p w:rsidR="002C6FC5" w:rsidRPr="004608CE" w:rsidRDefault="002C6FC5" w:rsidP="008601E2">
            <w:pPr>
              <w:widowControl/>
              <w:jc w:val="center"/>
              <w:rPr>
                <w:rFonts w:hAnsi="宋体"/>
                <w:sz w:val="24"/>
              </w:rPr>
            </w:pPr>
            <w:r w:rsidRPr="004608CE">
              <w:rPr>
                <w:rFonts w:hAnsi="宋体" w:hint="eastAsia"/>
                <w:sz w:val="24"/>
              </w:rPr>
              <w:t>佛罗镇</w:t>
            </w:r>
          </w:p>
        </w:tc>
        <w:tc>
          <w:tcPr>
            <w:tcW w:w="2517" w:type="dxa"/>
            <w:noWrap/>
            <w:vAlign w:val="center"/>
          </w:tcPr>
          <w:p w:rsidR="002C6FC5" w:rsidRPr="004608CE" w:rsidRDefault="002C6FC5" w:rsidP="008601E2">
            <w:pPr>
              <w:widowControl/>
              <w:jc w:val="center"/>
              <w:rPr>
                <w:rFonts w:hAnsi="宋体"/>
                <w:sz w:val="24"/>
              </w:rPr>
            </w:pPr>
            <w:r w:rsidRPr="004608CE">
              <w:rPr>
                <w:rFonts w:hAnsi="宋体" w:hint="eastAsia"/>
                <w:sz w:val="24"/>
              </w:rPr>
              <w:t>青山洋</w:t>
            </w:r>
          </w:p>
        </w:tc>
        <w:tc>
          <w:tcPr>
            <w:tcW w:w="1985" w:type="dxa"/>
            <w:noWrap/>
            <w:vAlign w:val="center"/>
          </w:tcPr>
          <w:p w:rsidR="002C6FC5" w:rsidRPr="004608CE" w:rsidRDefault="002C6FC5" w:rsidP="008601E2">
            <w:pPr>
              <w:widowControl/>
              <w:jc w:val="center"/>
              <w:rPr>
                <w:rFonts w:hAnsi="宋体"/>
                <w:sz w:val="24"/>
              </w:rPr>
            </w:pPr>
            <w:r w:rsidRPr="004608CE">
              <w:rPr>
                <w:rFonts w:hAnsi="宋体" w:hint="eastAsia"/>
                <w:sz w:val="24"/>
              </w:rPr>
              <w:t>3400</w:t>
            </w:r>
          </w:p>
        </w:tc>
        <w:tc>
          <w:tcPr>
            <w:tcW w:w="1483" w:type="dxa"/>
            <w:noWrap/>
            <w:vAlign w:val="center"/>
          </w:tcPr>
          <w:p w:rsidR="002C6FC5" w:rsidRPr="004608CE" w:rsidRDefault="002C6FC5" w:rsidP="008601E2">
            <w:pPr>
              <w:widowControl/>
              <w:jc w:val="center"/>
              <w:rPr>
                <w:rFonts w:hAnsi="宋体"/>
                <w:sz w:val="24"/>
              </w:rPr>
            </w:pPr>
            <w:r w:rsidRPr="004608CE">
              <w:rPr>
                <w:rFonts w:hAnsi="宋体" w:hint="eastAsia"/>
                <w:sz w:val="24"/>
              </w:rPr>
              <w:t>80</w:t>
            </w:r>
          </w:p>
        </w:tc>
      </w:tr>
      <w:tr w:rsidR="002C6FC5" w:rsidRPr="004608CE" w:rsidTr="008601E2">
        <w:trPr>
          <w:trHeight w:val="564"/>
        </w:trPr>
        <w:tc>
          <w:tcPr>
            <w:tcW w:w="920" w:type="dxa"/>
            <w:noWrap/>
            <w:vAlign w:val="center"/>
          </w:tcPr>
          <w:p w:rsidR="002C6FC5" w:rsidRPr="004608CE" w:rsidRDefault="002C6FC5" w:rsidP="008601E2">
            <w:pPr>
              <w:widowControl/>
              <w:jc w:val="center"/>
              <w:rPr>
                <w:rFonts w:hAnsi="宋体"/>
                <w:sz w:val="24"/>
              </w:rPr>
            </w:pPr>
            <w:r w:rsidRPr="004608CE">
              <w:rPr>
                <w:rFonts w:hAnsi="宋体" w:hint="eastAsia"/>
                <w:sz w:val="24"/>
              </w:rPr>
              <w:t>3</w:t>
            </w:r>
          </w:p>
        </w:tc>
        <w:tc>
          <w:tcPr>
            <w:tcW w:w="1808" w:type="dxa"/>
            <w:vAlign w:val="center"/>
          </w:tcPr>
          <w:p w:rsidR="002C6FC5" w:rsidRPr="004608CE" w:rsidRDefault="002C6FC5" w:rsidP="008601E2">
            <w:pPr>
              <w:widowControl/>
              <w:jc w:val="center"/>
              <w:rPr>
                <w:rFonts w:hAnsi="宋体"/>
                <w:sz w:val="24"/>
              </w:rPr>
            </w:pPr>
            <w:r w:rsidRPr="004608CE">
              <w:rPr>
                <w:rFonts w:hAnsi="宋体" w:hint="eastAsia"/>
                <w:sz w:val="24"/>
              </w:rPr>
              <w:t>尖峰镇</w:t>
            </w:r>
          </w:p>
        </w:tc>
        <w:tc>
          <w:tcPr>
            <w:tcW w:w="2517" w:type="dxa"/>
            <w:noWrap/>
            <w:vAlign w:val="center"/>
          </w:tcPr>
          <w:p w:rsidR="002C6FC5" w:rsidRPr="004608CE" w:rsidRDefault="002C6FC5" w:rsidP="008601E2">
            <w:pPr>
              <w:widowControl/>
              <w:jc w:val="center"/>
              <w:rPr>
                <w:rFonts w:hAnsi="宋体"/>
                <w:sz w:val="24"/>
              </w:rPr>
            </w:pPr>
            <w:r w:rsidRPr="004608CE">
              <w:rPr>
                <w:rFonts w:hAnsi="宋体" w:hint="eastAsia"/>
                <w:sz w:val="24"/>
              </w:rPr>
              <w:t>黑眉洋</w:t>
            </w:r>
          </w:p>
        </w:tc>
        <w:tc>
          <w:tcPr>
            <w:tcW w:w="1985" w:type="dxa"/>
            <w:noWrap/>
            <w:vAlign w:val="center"/>
          </w:tcPr>
          <w:p w:rsidR="002C6FC5" w:rsidRPr="004608CE" w:rsidRDefault="002C6FC5" w:rsidP="008601E2">
            <w:pPr>
              <w:widowControl/>
              <w:jc w:val="center"/>
              <w:rPr>
                <w:rFonts w:hAnsi="宋体"/>
                <w:sz w:val="24"/>
              </w:rPr>
            </w:pPr>
            <w:r w:rsidRPr="004608CE">
              <w:rPr>
                <w:rFonts w:hAnsi="宋体" w:hint="eastAsia"/>
                <w:sz w:val="24"/>
              </w:rPr>
              <w:t>4600</w:t>
            </w:r>
          </w:p>
        </w:tc>
        <w:tc>
          <w:tcPr>
            <w:tcW w:w="1483" w:type="dxa"/>
            <w:noWrap/>
            <w:vAlign w:val="center"/>
          </w:tcPr>
          <w:p w:rsidR="002C6FC5" w:rsidRPr="004608CE" w:rsidRDefault="002C6FC5" w:rsidP="008601E2">
            <w:pPr>
              <w:widowControl/>
              <w:jc w:val="center"/>
              <w:rPr>
                <w:rFonts w:hAnsi="宋体"/>
                <w:sz w:val="24"/>
              </w:rPr>
            </w:pPr>
            <w:r w:rsidRPr="004608CE">
              <w:rPr>
                <w:rFonts w:hAnsi="宋体" w:hint="eastAsia"/>
                <w:sz w:val="24"/>
              </w:rPr>
              <w:t>80</w:t>
            </w:r>
          </w:p>
        </w:tc>
      </w:tr>
      <w:tr w:rsidR="002C6FC5" w:rsidRPr="004608CE" w:rsidTr="008601E2">
        <w:trPr>
          <w:trHeight w:val="564"/>
        </w:trPr>
        <w:tc>
          <w:tcPr>
            <w:tcW w:w="920" w:type="dxa"/>
            <w:noWrap/>
            <w:vAlign w:val="center"/>
          </w:tcPr>
          <w:p w:rsidR="002C6FC5" w:rsidRPr="004608CE" w:rsidRDefault="002C6FC5" w:rsidP="008601E2">
            <w:pPr>
              <w:widowControl/>
              <w:jc w:val="center"/>
              <w:rPr>
                <w:rFonts w:hAnsi="宋体"/>
                <w:sz w:val="24"/>
              </w:rPr>
            </w:pPr>
            <w:r w:rsidRPr="004608CE">
              <w:rPr>
                <w:rFonts w:hAnsi="宋体" w:hint="eastAsia"/>
                <w:sz w:val="24"/>
              </w:rPr>
              <w:t>4</w:t>
            </w:r>
          </w:p>
        </w:tc>
        <w:tc>
          <w:tcPr>
            <w:tcW w:w="1808" w:type="dxa"/>
            <w:vAlign w:val="center"/>
          </w:tcPr>
          <w:p w:rsidR="002C6FC5" w:rsidRPr="004608CE" w:rsidRDefault="002C6FC5" w:rsidP="008601E2">
            <w:pPr>
              <w:widowControl/>
              <w:jc w:val="center"/>
              <w:rPr>
                <w:rFonts w:hAnsi="宋体"/>
                <w:sz w:val="24"/>
              </w:rPr>
            </w:pPr>
            <w:r w:rsidRPr="004608CE">
              <w:rPr>
                <w:rFonts w:hAnsi="宋体" w:hint="eastAsia"/>
                <w:sz w:val="24"/>
              </w:rPr>
              <w:t>利国镇</w:t>
            </w:r>
          </w:p>
        </w:tc>
        <w:tc>
          <w:tcPr>
            <w:tcW w:w="2517" w:type="dxa"/>
            <w:noWrap/>
            <w:vAlign w:val="center"/>
          </w:tcPr>
          <w:p w:rsidR="002C6FC5" w:rsidRPr="004608CE" w:rsidRDefault="002C6FC5" w:rsidP="008601E2">
            <w:pPr>
              <w:widowControl/>
              <w:jc w:val="center"/>
              <w:rPr>
                <w:rFonts w:hAnsi="宋体"/>
                <w:sz w:val="24"/>
              </w:rPr>
            </w:pPr>
            <w:r w:rsidRPr="004608CE">
              <w:rPr>
                <w:rFonts w:hAnsi="宋体" w:hint="eastAsia"/>
                <w:sz w:val="24"/>
              </w:rPr>
              <w:t>抱荷洋、望新洋、赤楼洋</w:t>
            </w:r>
          </w:p>
        </w:tc>
        <w:tc>
          <w:tcPr>
            <w:tcW w:w="1985" w:type="dxa"/>
            <w:noWrap/>
            <w:vAlign w:val="center"/>
          </w:tcPr>
          <w:p w:rsidR="002C6FC5" w:rsidRPr="004608CE" w:rsidRDefault="002C6FC5" w:rsidP="008601E2">
            <w:pPr>
              <w:widowControl/>
              <w:jc w:val="center"/>
              <w:rPr>
                <w:rFonts w:hAnsi="宋体"/>
                <w:sz w:val="24"/>
              </w:rPr>
            </w:pPr>
            <w:r w:rsidRPr="004608CE">
              <w:rPr>
                <w:rFonts w:hAnsi="宋体" w:hint="eastAsia"/>
                <w:sz w:val="24"/>
              </w:rPr>
              <w:t>15300</w:t>
            </w:r>
          </w:p>
        </w:tc>
        <w:tc>
          <w:tcPr>
            <w:tcW w:w="1483" w:type="dxa"/>
            <w:noWrap/>
            <w:vAlign w:val="center"/>
          </w:tcPr>
          <w:p w:rsidR="002C6FC5" w:rsidRPr="004608CE" w:rsidRDefault="002C6FC5" w:rsidP="008601E2">
            <w:pPr>
              <w:widowControl/>
              <w:jc w:val="center"/>
              <w:rPr>
                <w:rFonts w:hAnsi="宋体"/>
                <w:sz w:val="24"/>
              </w:rPr>
            </w:pPr>
            <w:r w:rsidRPr="004608CE">
              <w:rPr>
                <w:rFonts w:hAnsi="宋体" w:hint="eastAsia"/>
                <w:sz w:val="24"/>
              </w:rPr>
              <w:t>80</w:t>
            </w:r>
          </w:p>
        </w:tc>
      </w:tr>
      <w:tr w:rsidR="002C6FC5" w:rsidRPr="004608CE" w:rsidTr="008601E2">
        <w:trPr>
          <w:trHeight w:val="564"/>
        </w:trPr>
        <w:tc>
          <w:tcPr>
            <w:tcW w:w="920" w:type="dxa"/>
            <w:noWrap/>
            <w:vAlign w:val="center"/>
          </w:tcPr>
          <w:p w:rsidR="002C6FC5" w:rsidRPr="004608CE" w:rsidRDefault="002C6FC5" w:rsidP="008601E2">
            <w:pPr>
              <w:widowControl/>
              <w:jc w:val="center"/>
              <w:rPr>
                <w:rFonts w:hAnsi="宋体"/>
                <w:sz w:val="24"/>
              </w:rPr>
            </w:pPr>
            <w:r w:rsidRPr="004608CE">
              <w:rPr>
                <w:rFonts w:hAnsi="宋体" w:hint="eastAsia"/>
                <w:sz w:val="24"/>
              </w:rPr>
              <w:t>5</w:t>
            </w:r>
          </w:p>
        </w:tc>
        <w:tc>
          <w:tcPr>
            <w:tcW w:w="1808" w:type="dxa"/>
            <w:vAlign w:val="center"/>
          </w:tcPr>
          <w:p w:rsidR="002C6FC5" w:rsidRPr="004608CE" w:rsidRDefault="002C6FC5" w:rsidP="008601E2">
            <w:pPr>
              <w:widowControl/>
              <w:jc w:val="center"/>
              <w:rPr>
                <w:rFonts w:hAnsi="宋体"/>
                <w:sz w:val="24"/>
              </w:rPr>
            </w:pPr>
            <w:r w:rsidRPr="004608CE">
              <w:rPr>
                <w:rFonts w:hAnsi="宋体" w:hint="eastAsia"/>
                <w:sz w:val="24"/>
              </w:rPr>
              <w:t>九所镇</w:t>
            </w:r>
          </w:p>
        </w:tc>
        <w:tc>
          <w:tcPr>
            <w:tcW w:w="2517" w:type="dxa"/>
            <w:noWrap/>
            <w:vAlign w:val="center"/>
          </w:tcPr>
          <w:p w:rsidR="002C6FC5" w:rsidRPr="004608CE" w:rsidRDefault="002C6FC5" w:rsidP="008601E2">
            <w:pPr>
              <w:widowControl/>
              <w:jc w:val="center"/>
              <w:rPr>
                <w:rFonts w:hAnsi="宋体"/>
                <w:sz w:val="24"/>
              </w:rPr>
            </w:pPr>
            <w:r w:rsidRPr="004608CE">
              <w:rPr>
                <w:rFonts w:hAnsi="宋体" w:hint="eastAsia"/>
                <w:sz w:val="24"/>
              </w:rPr>
              <w:t>抱旺洋、十罗洋、中灶洋</w:t>
            </w:r>
          </w:p>
        </w:tc>
        <w:tc>
          <w:tcPr>
            <w:tcW w:w="1985" w:type="dxa"/>
            <w:noWrap/>
            <w:vAlign w:val="center"/>
          </w:tcPr>
          <w:p w:rsidR="002C6FC5" w:rsidRPr="004608CE" w:rsidRDefault="002C6FC5" w:rsidP="008601E2">
            <w:pPr>
              <w:widowControl/>
              <w:jc w:val="center"/>
              <w:rPr>
                <w:rFonts w:hAnsi="宋体"/>
                <w:sz w:val="24"/>
              </w:rPr>
            </w:pPr>
            <w:r w:rsidRPr="004608CE">
              <w:rPr>
                <w:rFonts w:hAnsi="宋体" w:hint="eastAsia"/>
                <w:sz w:val="24"/>
              </w:rPr>
              <w:t>9500</w:t>
            </w:r>
          </w:p>
        </w:tc>
        <w:tc>
          <w:tcPr>
            <w:tcW w:w="1483" w:type="dxa"/>
            <w:noWrap/>
            <w:vAlign w:val="center"/>
          </w:tcPr>
          <w:p w:rsidR="002C6FC5" w:rsidRPr="004608CE" w:rsidRDefault="002C6FC5" w:rsidP="008601E2">
            <w:pPr>
              <w:widowControl/>
              <w:jc w:val="center"/>
              <w:rPr>
                <w:rFonts w:hAnsi="宋体"/>
                <w:sz w:val="24"/>
              </w:rPr>
            </w:pPr>
            <w:r w:rsidRPr="004608CE">
              <w:rPr>
                <w:rFonts w:hAnsi="宋体" w:hint="eastAsia"/>
                <w:sz w:val="24"/>
              </w:rPr>
              <w:t>80</w:t>
            </w:r>
          </w:p>
        </w:tc>
      </w:tr>
      <w:tr w:rsidR="002C6FC5" w:rsidRPr="004608CE" w:rsidTr="008601E2">
        <w:trPr>
          <w:trHeight w:val="564"/>
        </w:trPr>
        <w:tc>
          <w:tcPr>
            <w:tcW w:w="920" w:type="dxa"/>
            <w:noWrap/>
            <w:vAlign w:val="center"/>
          </w:tcPr>
          <w:p w:rsidR="002C6FC5" w:rsidRPr="004608CE" w:rsidRDefault="002C6FC5" w:rsidP="008601E2">
            <w:pPr>
              <w:widowControl/>
              <w:jc w:val="center"/>
              <w:rPr>
                <w:rFonts w:hAnsi="宋体"/>
                <w:sz w:val="24"/>
              </w:rPr>
            </w:pPr>
            <w:r w:rsidRPr="004608CE">
              <w:rPr>
                <w:rFonts w:hAnsi="宋体" w:hint="eastAsia"/>
                <w:sz w:val="24"/>
              </w:rPr>
              <w:t>6</w:t>
            </w:r>
          </w:p>
        </w:tc>
        <w:tc>
          <w:tcPr>
            <w:tcW w:w="1808" w:type="dxa"/>
            <w:vAlign w:val="center"/>
          </w:tcPr>
          <w:p w:rsidR="002C6FC5" w:rsidRPr="004608CE" w:rsidRDefault="002C6FC5" w:rsidP="008601E2">
            <w:pPr>
              <w:widowControl/>
              <w:jc w:val="center"/>
              <w:rPr>
                <w:rFonts w:hAnsi="宋体"/>
                <w:sz w:val="24"/>
              </w:rPr>
            </w:pPr>
            <w:r w:rsidRPr="004608CE">
              <w:rPr>
                <w:rFonts w:hAnsi="宋体" w:hint="eastAsia"/>
                <w:sz w:val="24"/>
              </w:rPr>
              <w:t>大安镇</w:t>
            </w:r>
          </w:p>
        </w:tc>
        <w:tc>
          <w:tcPr>
            <w:tcW w:w="2517" w:type="dxa"/>
            <w:noWrap/>
            <w:vAlign w:val="center"/>
          </w:tcPr>
          <w:p w:rsidR="002C6FC5" w:rsidRPr="004608CE" w:rsidRDefault="002C6FC5" w:rsidP="008601E2">
            <w:pPr>
              <w:widowControl/>
              <w:jc w:val="center"/>
              <w:rPr>
                <w:rFonts w:hAnsi="宋体"/>
                <w:sz w:val="24"/>
              </w:rPr>
            </w:pPr>
            <w:r w:rsidRPr="004608CE">
              <w:rPr>
                <w:rFonts w:hAnsi="宋体" w:hint="eastAsia"/>
                <w:sz w:val="24"/>
              </w:rPr>
              <w:t>大炮洋</w:t>
            </w:r>
          </w:p>
        </w:tc>
        <w:tc>
          <w:tcPr>
            <w:tcW w:w="1985" w:type="dxa"/>
            <w:noWrap/>
            <w:vAlign w:val="center"/>
          </w:tcPr>
          <w:p w:rsidR="002C6FC5" w:rsidRPr="004608CE" w:rsidRDefault="002C6FC5" w:rsidP="008601E2">
            <w:pPr>
              <w:widowControl/>
              <w:jc w:val="center"/>
              <w:rPr>
                <w:rFonts w:hAnsi="宋体"/>
                <w:sz w:val="24"/>
              </w:rPr>
            </w:pPr>
            <w:r w:rsidRPr="004608CE">
              <w:rPr>
                <w:rFonts w:hAnsi="宋体" w:hint="eastAsia"/>
                <w:sz w:val="24"/>
              </w:rPr>
              <w:t>7000</w:t>
            </w:r>
          </w:p>
        </w:tc>
        <w:tc>
          <w:tcPr>
            <w:tcW w:w="1483" w:type="dxa"/>
            <w:noWrap/>
            <w:vAlign w:val="center"/>
          </w:tcPr>
          <w:p w:rsidR="002C6FC5" w:rsidRPr="004608CE" w:rsidRDefault="002C6FC5" w:rsidP="008601E2">
            <w:pPr>
              <w:widowControl/>
              <w:jc w:val="center"/>
              <w:rPr>
                <w:rFonts w:hAnsi="宋体"/>
                <w:sz w:val="24"/>
              </w:rPr>
            </w:pPr>
            <w:r w:rsidRPr="004608CE">
              <w:rPr>
                <w:rFonts w:hAnsi="宋体" w:hint="eastAsia"/>
                <w:sz w:val="24"/>
              </w:rPr>
              <w:t>80</w:t>
            </w:r>
          </w:p>
        </w:tc>
      </w:tr>
    </w:tbl>
    <w:p w:rsidR="002C6FC5" w:rsidRPr="004608CE" w:rsidRDefault="002C6FC5" w:rsidP="002C6FC5">
      <w:pPr>
        <w:spacing w:line="360" w:lineRule="auto"/>
        <w:ind w:firstLineChars="200" w:firstLine="480"/>
        <w:rPr>
          <w:rFonts w:hAnsi="宋体"/>
          <w:sz w:val="24"/>
        </w:rPr>
      </w:pPr>
    </w:p>
    <w:p w:rsidR="002C6FC5" w:rsidRPr="004608CE" w:rsidRDefault="002C6FC5" w:rsidP="002C6FC5">
      <w:pPr>
        <w:spacing w:line="360" w:lineRule="auto"/>
        <w:ind w:firstLineChars="200" w:firstLine="480"/>
        <w:rPr>
          <w:rFonts w:hAnsi="宋体"/>
          <w:sz w:val="24"/>
        </w:rPr>
      </w:pPr>
      <w:r w:rsidRPr="004608CE">
        <w:rPr>
          <w:rFonts w:hAnsi="宋体" w:hint="eastAsia"/>
          <w:sz w:val="24"/>
        </w:rPr>
        <w:t>在管护范围内，重点加强高标准农田项目灌排工程及田间道路、配套建筑物和标识设施等管护。</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（三）管护内容及标准</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1</w:t>
      </w:r>
      <w:r w:rsidRPr="004608CE">
        <w:rPr>
          <w:rFonts w:hAnsi="宋体" w:hint="eastAsia"/>
          <w:sz w:val="24"/>
        </w:rPr>
        <w:t>、灌排工程：田间渠系工程、排水工程、输配水管道工程不堵塞；灌排渠无遮挡、无杂草，流水通畅；灌排渠无损坏、无塌陷滑坡、无侵占，护坡草皮平整；灌排渠底无淤泥、无杂物；小型塘坝、田间蓄水池等小型水源工程正常使用，灌溉能力得到保障。</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2</w:t>
      </w:r>
      <w:r w:rsidRPr="004608CE">
        <w:rPr>
          <w:rFonts w:hAnsi="宋体" w:hint="eastAsia"/>
          <w:sz w:val="24"/>
        </w:rPr>
        <w:t>、田间道路工程：田间道路、机耕路完好，路面平整、路基完好，路面无坑洼、路面平坦；无人畜损毁、无侵占；路边无堆土粪、柴草杂物，无垃圾，通行顺畅。</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3</w:t>
      </w:r>
      <w:r w:rsidRPr="004608CE">
        <w:rPr>
          <w:rFonts w:hAnsi="宋体" w:hint="eastAsia"/>
          <w:sz w:val="24"/>
        </w:rPr>
        <w:t>、配套建筑物和标识设施：各灌排渠道、田间道路等相关配套设施完好，围栏和公示、警示标志完整无损，信息清晰。</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（四）明确管护责任</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t>日常管护工作由专职管护人员承担，主要是做好日常巡查和对工程设施的日常保养维护。每周至少巡查一次，汛期应加大巡查频次，每次巡查应填写记录并存档。</w:t>
      </w:r>
    </w:p>
    <w:p w:rsidR="002C6FC5" w:rsidRPr="004608CE" w:rsidRDefault="002C6FC5" w:rsidP="002C6FC5">
      <w:pPr>
        <w:spacing w:line="360" w:lineRule="auto"/>
        <w:ind w:firstLineChars="200" w:firstLine="480"/>
        <w:rPr>
          <w:rFonts w:hAnsi="宋体"/>
          <w:sz w:val="24"/>
        </w:rPr>
      </w:pPr>
      <w:r w:rsidRPr="004608CE">
        <w:rPr>
          <w:rFonts w:hAnsi="宋体" w:hint="eastAsia"/>
          <w:sz w:val="24"/>
        </w:rPr>
        <w:lastRenderedPageBreak/>
        <w:t>（五）加强监督考核</w:t>
      </w:r>
    </w:p>
    <w:p w:rsidR="002C6FC5" w:rsidRDefault="002C6FC5" w:rsidP="002C6FC5">
      <w:pPr>
        <w:spacing w:line="360" w:lineRule="auto"/>
        <w:ind w:firstLineChars="200" w:firstLine="480"/>
        <w:rPr>
          <w:rFonts w:hAnsi="宋体" w:hint="eastAsia"/>
          <w:sz w:val="24"/>
        </w:rPr>
      </w:pPr>
      <w:r w:rsidRPr="004608CE">
        <w:rPr>
          <w:rFonts w:hAnsi="宋体" w:hint="eastAsia"/>
          <w:sz w:val="24"/>
        </w:rPr>
        <w:t>业务主管部门将</w:t>
      </w:r>
      <w:bookmarkStart w:id="2" w:name="_GoBack"/>
      <w:bookmarkEnd w:id="2"/>
      <w:r w:rsidRPr="004608CE">
        <w:rPr>
          <w:rFonts w:hAnsi="宋体" w:hint="eastAsia"/>
          <w:sz w:val="24"/>
        </w:rPr>
        <w:t>加强对管护工作的日常监管，每月对承担任务的管护实施主体开展监督、检查和考核，针对责任落实情况、队伍及制度建设情况、资金使用情况、工程运行情况等进行检查考核，发现问题及时督促整改，管护工作成效作为下年度安排资金的重要依据。</w:t>
      </w:r>
    </w:p>
    <w:p w:rsidR="00126B82" w:rsidRPr="002C6FC5" w:rsidRDefault="002C6FC5" w:rsidP="002C6FC5">
      <w:pPr>
        <w:spacing w:line="360" w:lineRule="auto"/>
        <w:ind w:firstLineChars="200" w:firstLine="480"/>
        <w:rPr>
          <w:rFonts w:hAnsi="宋体"/>
          <w:sz w:val="24"/>
        </w:rPr>
      </w:pPr>
      <w:r w:rsidRPr="004608CE">
        <w:rPr>
          <w:rFonts w:hAnsi="宋体" w:hint="eastAsia"/>
          <w:sz w:val="24"/>
        </w:rPr>
        <w:t>八、付款方式：见第四章技术服务合同</w:t>
      </w:r>
    </w:p>
    <w:sectPr w:rsidR="00126B82" w:rsidRPr="002C6FC5" w:rsidSect="000B2B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D73" w:rsidRDefault="009E1D73" w:rsidP="00D53A38">
      <w:r>
        <w:separator/>
      </w:r>
    </w:p>
  </w:endnote>
  <w:endnote w:type="continuationSeparator" w:id="0">
    <w:p w:rsidR="009E1D73" w:rsidRDefault="009E1D73" w:rsidP="00D53A38">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D73" w:rsidRDefault="009E1D73" w:rsidP="00D53A38">
      <w:r>
        <w:separator/>
      </w:r>
    </w:p>
  </w:footnote>
  <w:footnote w:type="continuationSeparator" w:id="0">
    <w:p w:rsidR="009E1D73" w:rsidRDefault="009E1D73" w:rsidP="00D53A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Q0ZTM5NTlmZTE4Mzg0NWNiODQ2ZWJmYjUyMDQ2MDUifQ=="/>
  </w:docVars>
  <w:rsids>
    <w:rsidRoot w:val="70DC3F5C"/>
    <w:rsid w:val="000B2BB2"/>
    <w:rsid w:val="00126B82"/>
    <w:rsid w:val="002C6FC5"/>
    <w:rsid w:val="003E7614"/>
    <w:rsid w:val="00571563"/>
    <w:rsid w:val="0074183C"/>
    <w:rsid w:val="008F0CA4"/>
    <w:rsid w:val="009E1D73"/>
    <w:rsid w:val="00CD0146"/>
    <w:rsid w:val="00D53A38"/>
    <w:rsid w:val="14072EE5"/>
    <w:rsid w:val="70DC3F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B2BB2"/>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0B2BB2"/>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0B2BB2"/>
    <w:pPr>
      <w:widowControl/>
      <w:spacing w:after="120"/>
      <w:jc w:val="left"/>
    </w:pPr>
    <w:rPr>
      <w:kern w:val="0"/>
    </w:rPr>
  </w:style>
  <w:style w:type="paragraph" w:styleId="a4">
    <w:name w:val="header"/>
    <w:basedOn w:val="a"/>
    <w:link w:val="Char"/>
    <w:rsid w:val="00D53A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53A38"/>
    <w:rPr>
      <w:rFonts w:ascii="Times New Roman" w:eastAsia="宋体" w:hAnsi="Times New Roman" w:cs="Times New Roman"/>
      <w:kern w:val="2"/>
      <w:sz w:val="18"/>
      <w:szCs w:val="18"/>
    </w:rPr>
  </w:style>
  <w:style w:type="paragraph" w:styleId="a5">
    <w:name w:val="footer"/>
    <w:basedOn w:val="a"/>
    <w:link w:val="Char0"/>
    <w:rsid w:val="00D53A38"/>
    <w:pPr>
      <w:tabs>
        <w:tab w:val="center" w:pos="4153"/>
        <w:tab w:val="right" w:pos="8306"/>
      </w:tabs>
      <w:snapToGrid w:val="0"/>
      <w:jc w:val="left"/>
    </w:pPr>
    <w:rPr>
      <w:sz w:val="18"/>
      <w:szCs w:val="18"/>
    </w:rPr>
  </w:style>
  <w:style w:type="character" w:customStyle="1" w:styleId="Char0">
    <w:name w:val="页脚 Char"/>
    <w:basedOn w:val="a1"/>
    <w:link w:val="a5"/>
    <w:rsid w:val="00D53A38"/>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widowControl/>
      <w:spacing w:after="120"/>
      <w:jc w:val="left"/>
    </w:pPr>
    <w:rPr>
      <w:kern w:val="0"/>
    </w:rPr>
  </w:style>
  <w:style w:type="paragraph" w:styleId="a4">
    <w:name w:val="header"/>
    <w:basedOn w:val="a"/>
    <w:link w:val="Char"/>
    <w:rsid w:val="00D53A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53A38"/>
    <w:rPr>
      <w:rFonts w:ascii="Times New Roman" w:eastAsia="宋体" w:hAnsi="Times New Roman" w:cs="Times New Roman"/>
      <w:kern w:val="2"/>
      <w:sz w:val="18"/>
      <w:szCs w:val="18"/>
    </w:rPr>
  </w:style>
  <w:style w:type="paragraph" w:styleId="a5">
    <w:name w:val="footer"/>
    <w:basedOn w:val="a"/>
    <w:link w:val="Char0"/>
    <w:rsid w:val="00D53A38"/>
    <w:pPr>
      <w:tabs>
        <w:tab w:val="center" w:pos="4153"/>
        <w:tab w:val="right" w:pos="8306"/>
      </w:tabs>
      <w:snapToGrid w:val="0"/>
      <w:jc w:val="left"/>
    </w:pPr>
    <w:rPr>
      <w:sz w:val="18"/>
      <w:szCs w:val="18"/>
    </w:rPr>
  </w:style>
  <w:style w:type="character" w:customStyle="1" w:styleId="Char0">
    <w:name w:val="页脚 Char"/>
    <w:basedOn w:val="a1"/>
    <w:link w:val="a5"/>
    <w:rsid w:val="00D53A3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369</Words>
  <Characters>2105</Characters>
  <Application>Microsoft Office Word</Application>
  <DocSecurity>0</DocSecurity>
  <Lines>17</Lines>
  <Paragraphs>4</Paragraphs>
  <ScaleCrop>false</ScaleCrop>
  <Company>微软中国</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dc:creator>
  <cp:lastModifiedBy>xbany</cp:lastModifiedBy>
  <cp:revision>5</cp:revision>
  <dcterms:created xsi:type="dcterms:W3CDTF">2024-10-09T09:19:00Z</dcterms:created>
  <dcterms:modified xsi:type="dcterms:W3CDTF">2024-10-18T02:49:00Z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D780CE2493314716B1AC1BD80636B955_11</vt:lpwstr>
  </property>
</Properties>
</file>