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20C33">
      <w:pPr>
        <w:widowControl/>
        <w:jc w:val="center"/>
        <w:rPr>
          <w:rFonts w:hAnsi="宋体"/>
          <w:b/>
          <w:bCs/>
          <w:color w:val="auto"/>
          <w:sz w:val="48"/>
          <w:szCs w:val="48"/>
          <w:highlight w:val="none"/>
        </w:rPr>
      </w:pPr>
    </w:p>
    <w:p w14:paraId="24AA896D">
      <w:pPr>
        <w:widowControl/>
        <w:jc w:val="center"/>
        <w:rPr>
          <w:rFonts w:hAnsi="宋体"/>
          <w:b/>
          <w:bCs/>
          <w:color w:val="auto"/>
          <w:sz w:val="48"/>
          <w:szCs w:val="48"/>
          <w:highlight w:val="none"/>
        </w:rPr>
      </w:pPr>
    </w:p>
    <w:p w14:paraId="2DC33D4C">
      <w:pPr>
        <w:pStyle w:val="76"/>
        <w:jc w:val="center"/>
        <w:rPr>
          <w:rFonts w:hint="eastAsia" w:eastAsia="宋体"/>
          <w:color w:val="auto"/>
          <w:sz w:val="48"/>
          <w:szCs w:val="48"/>
          <w:highlight w:val="none"/>
          <w:lang w:eastAsia="zh-CN"/>
        </w:rPr>
      </w:pPr>
      <w:r>
        <w:rPr>
          <w:rFonts w:hint="eastAsia" w:hAnsi="宋体"/>
          <w:b/>
          <w:bCs/>
          <w:color w:val="auto"/>
          <w:sz w:val="48"/>
          <w:szCs w:val="48"/>
          <w:highlight w:val="none"/>
          <w:lang w:eastAsia="zh-CN"/>
        </w:rPr>
        <w:t>GF智能制造创新实践基地（二期）</w:t>
      </w:r>
    </w:p>
    <w:p w14:paraId="2D074DDC">
      <w:pPr>
        <w:pStyle w:val="76"/>
        <w:rPr>
          <w:color w:val="auto"/>
          <w:sz w:val="52"/>
          <w:szCs w:val="52"/>
          <w:highlight w:val="none"/>
        </w:rPr>
      </w:pPr>
    </w:p>
    <w:p w14:paraId="6C29C30B">
      <w:pPr>
        <w:pStyle w:val="76"/>
        <w:rPr>
          <w:color w:val="auto"/>
          <w:sz w:val="52"/>
          <w:szCs w:val="52"/>
          <w:highlight w:val="none"/>
        </w:rPr>
      </w:pPr>
    </w:p>
    <w:p w14:paraId="6C2949FE">
      <w:pPr>
        <w:pStyle w:val="76"/>
        <w:rPr>
          <w:color w:val="auto"/>
          <w:sz w:val="52"/>
          <w:szCs w:val="52"/>
          <w:highlight w:val="none"/>
        </w:rPr>
      </w:pPr>
    </w:p>
    <w:p w14:paraId="312ADEA4">
      <w:pPr>
        <w:pStyle w:val="76"/>
        <w:rPr>
          <w:color w:val="auto"/>
          <w:sz w:val="52"/>
          <w:szCs w:val="52"/>
          <w:highlight w:val="none"/>
        </w:rPr>
      </w:pPr>
    </w:p>
    <w:p w14:paraId="3E3A19D9">
      <w:pPr>
        <w:pStyle w:val="76"/>
        <w:rPr>
          <w:color w:val="auto"/>
          <w:sz w:val="52"/>
          <w:szCs w:val="52"/>
          <w:highlight w:val="none"/>
        </w:rPr>
      </w:pPr>
    </w:p>
    <w:p w14:paraId="12C5DB80">
      <w:pPr>
        <w:pStyle w:val="76"/>
        <w:jc w:val="center"/>
        <w:rPr>
          <w:color w:val="auto"/>
          <w:sz w:val="52"/>
          <w:szCs w:val="52"/>
          <w:highlight w:val="none"/>
        </w:rPr>
      </w:pPr>
      <w:r>
        <w:rPr>
          <w:color w:val="auto"/>
          <w:sz w:val="52"/>
          <w:szCs w:val="52"/>
          <w:highlight w:val="none"/>
        </w:rPr>
        <w:t>竞争性磋商文件</w:t>
      </w:r>
    </w:p>
    <w:p w14:paraId="774A8FF0">
      <w:pPr>
        <w:widowControl/>
        <w:jc w:val="left"/>
        <w:rPr>
          <w:rFonts w:hAnsi="宋体"/>
          <w:bCs/>
          <w:color w:val="auto"/>
          <w:sz w:val="28"/>
          <w:szCs w:val="28"/>
          <w:highlight w:val="none"/>
        </w:rPr>
      </w:pPr>
    </w:p>
    <w:p w14:paraId="263F9639">
      <w:pPr>
        <w:widowControl/>
        <w:jc w:val="left"/>
        <w:rPr>
          <w:rFonts w:hAnsi="宋体"/>
          <w:bCs/>
          <w:color w:val="auto"/>
          <w:sz w:val="28"/>
          <w:szCs w:val="28"/>
          <w:highlight w:val="none"/>
        </w:rPr>
      </w:pPr>
    </w:p>
    <w:p w14:paraId="0466762B">
      <w:pPr>
        <w:widowControl/>
        <w:jc w:val="left"/>
        <w:rPr>
          <w:rFonts w:hAnsi="宋体"/>
          <w:bCs/>
          <w:color w:val="auto"/>
          <w:sz w:val="28"/>
          <w:szCs w:val="28"/>
          <w:highlight w:val="none"/>
        </w:rPr>
      </w:pPr>
    </w:p>
    <w:p w14:paraId="4E975A2A">
      <w:pPr>
        <w:widowControl/>
        <w:jc w:val="left"/>
        <w:rPr>
          <w:rFonts w:hAnsi="宋体"/>
          <w:bCs/>
          <w:color w:val="auto"/>
          <w:sz w:val="28"/>
          <w:szCs w:val="28"/>
          <w:highlight w:val="none"/>
        </w:rPr>
      </w:pPr>
    </w:p>
    <w:p w14:paraId="7F863957">
      <w:pPr>
        <w:pStyle w:val="76"/>
        <w:rPr>
          <w:color w:val="auto"/>
          <w:highlight w:val="none"/>
        </w:rPr>
      </w:pPr>
    </w:p>
    <w:p w14:paraId="6C11CA0F">
      <w:pPr>
        <w:widowControl/>
        <w:jc w:val="left"/>
        <w:rPr>
          <w:rFonts w:hAnsi="宋体"/>
          <w:bCs/>
          <w:color w:val="auto"/>
          <w:sz w:val="28"/>
          <w:szCs w:val="28"/>
          <w:highlight w:val="none"/>
        </w:rPr>
      </w:pPr>
    </w:p>
    <w:p w14:paraId="4F53A5F7">
      <w:pPr>
        <w:widowControl/>
        <w:jc w:val="left"/>
        <w:rPr>
          <w:rFonts w:hint="eastAsia" w:hAnsi="宋体" w:eastAsia="宋体"/>
          <w:bCs/>
          <w:color w:val="auto"/>
          <w:sz w:val="28"/>
          <w:szCs w:val="28"/>
          <w:highlight w:val="none"/>
          <w:lang w:eastAsia="zh-CN"/>
        </w:rPr>
      </w:pPr>
      <w:r>
        <w:rPr>
          <w:rFonts w:hAnsi="宋体"/>
          <w:bCs/>
          <w:color w:val="auto"/>
          <w:sz w:val="28"/>
          <w:szCs w:val="28"/>
          <w:highlight w:val="none"/>
        </w:rPr>
        <w:t>项目编号：</w:t>
      </w:r>
      <w:r>
        <w:rPr>
          <w:rFonts w:hint="eastAsia" w:hAnsi="宋体"/>
          <w:bCs/>
          <w:color w:val="auto"/>
          <w:sz w:val="28"/>
          <w:szCs w:val="28"/>
          <w:highlight w:val="none"/>
          <w:lang w:eastAsia="zh-CN"/>
        </w:rPr>
        <w:t>HNZD-2024-028</w:t>
      </w:r>
    </w:p>
    <w:p w14:paraId="684F7078">
      <w:pPr>
        <w:pStyle w:val="76"/>
        <w:rPr>
          <w:rFonts w:hint="eastAsia" w:eastAsia="宋体"/>
          <w:color w:val="auto"/>
          <w:sz w:val="28"/>
          <w:szCs w:val="28"/>
          <w:highlight w:val="none"/>
          <w:lang w:eastAsia="zh-CN"/>
        </w:rPr>
      </w:pPr>
      <w:r>
        <w:rPr>
          <w:rFonts w:hint="eastAsia"/>
          <w:color w:val="auto"/>
          <w:sz w:val="28"/>
          <w:szCs w:val="28"/>
          <w:highlight w:val="none"/>
        </w:rPr>
        <w:t>采购人：</w:t>
      </w:r>
      <w:r>
        <w:rPr>
          <w:rFonts w:hint="eastAsia"/>
          <w:color w:val="auto"/>
          <w:sz w:val="28"/>
          <w:szCs w:val="28"/>
          <w:highlight w:val="none"/>
          <w:lang w:eastAsia="zh-CN"/>
        </w:rPr>
        <w:t>海南省技师学院</w:t>
      </w:r>
    </w:p>
    <w:p w14:paraId="34E8923A">
      <w:pPr>
        <w:pStyle w:val="76"/>
        <w:rPr>
          <w:rFonts w:hint="eastAsia" w:eastAsia="宋体"/>
          <w:color w:val="auto"/>
          <w:sz w:val="28"/>
          <w:szCs w:val="28"/>
          <w:highlight w:val="none"/>
          <w:lang w:eastAsia="zh-CN"/>
        </w:rPr>
      </w:pPr>
      <w:r>
        <w:rPr>
          <w:rFonts w:hint="eastAsia"/>
          <w:color w:val="auto"/>
          <w:sz w:val="28"/>
          <w:szCs w:val="28"/>
          <w:highlight w:val="none"/>
        </w:rPr>
        <w:t>采购代理：</w:t>
      </w:r>
      <w:r>
        <w:rPr>
          <w:rFonts w:hint="eastAsia"/>
          <w:color w:val="auto"/>
          <w:sz w:val="28"/>
          <w:szCs w:val="28"/>
          <w:highlight w:val="none"/>
          <w:lang w:eastAsia="zh-CN"/>
        </w:rPr>
        <w:t>海南政德项目管理有限公司</w:t>
      </w:r>
    </w:p>
    <w:p w14:paraId="1A28FC2F">
      <w:pPr>
        <w:widowControl/>
        <w:jc w:val="left"/>
        <w:rPr>
          <w:rFonts w:hAnsi="宋体"/>
          <w:b/>
          <w:bCs/>
          <w:color w:val="auto"/>
          <w:sz w:val="52"/>
          <w:szCs w:val="52"/>
          <w:highlight w:val="none"/>
        </w:rPr>
      </w:pPr>
      <w:r>
        <w:rPr>
          <w:rFonts w:hAnsi="宋体"/>
          <w:b/>
          <w:bCs/>
          <w:color w:val="auto"/>
          <w:sz w:val="52"/>
          <w:szCs w:val="52"/>
          <w:highlight w:val="none"/>
        </w:rPr>
        <w:br w:type="page"/>
      </w:r>
    </w:p>
    <w:p w14:paraId="65543124">
      <w:pPr>
        <w:widowControl/>
        <w:spacing w:before="156" w:beforeLines="50" w:after="156" w:afterLines="50"/>
        <w:jc w:val="center"/>
        <w:rPr>
          <w:color w:val="auto"/>
          <w:highlight w:val="none"/>
        </w:rPr>
      </w:pPr>
      <w:r>
        <w:rPr>
          <w:rFonts w:ascii="仿宋" w:hAnsi="仿宋" w:eastAsia="仿宋" w:cs="仿宋"/>
          <w:b/>
          <w:bCs/>
          <w:color w:val="auto"/>
          <w:sz w:val="44"/>
          <w:szCs w:val="44"/>
          <w:highlight w:val="none"/>
        </w:rPr>
        <w:t>政府采购全程电子化评标须知</w:t>
      </w:r>
    </w:p>
    <w:p w14:paraId="5D4D2264">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一、电子投标文件的编制及上传要求 </w:t>
      </w:r>
    </w:p>
    <w:p w14:paraId="3ABF042C">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1、电子投标文件应当使用海南省政府采购电子化交易管理系统下载的“投标文件制作工具”制作投标文件，详情查看系统中的《投标工具使用手册》。 </w:t>
      </w:r>
    </w:p>
    <w:p w14:paraId="7E4829AC">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2、“投标文件制作工具”必须配备含有本单位电子标书工具加密锁才能使用，投标人不得将电子标书工具加密锁转借或使用他人的电子标书工具加密锁编制投标文件。 </w:t>
      </w:r>
    </w:p>
    <w:p w14:paraId="25CCD056">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3、为保证电子投标文件的合法性、安全性和完整性，电子文件转换完成后，应在规定部位加盖含有 CA 数字证书的电子印章，并使用 CA 数字证书进行加密，生成后缀名为wenc 格式的加密投标文件用于正常的投标工作。 </w:t>
      </w:r>
    </w:p>
    <w:p w14:paraId="7440610B">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电子投标文件制作完成后，在投标截止时间之前将加密的电子投标文件上传至海南省政府采购电子化交易管理系统。开标时，以在海南省政府采购电子化交易管理系统上传的文件为准，若电子招标投标系统上传的文件无法读取，则该投标文件应被拒绝。 </w:t>
      </w:r>
    </w:p>
    <w:p w14:paraId="5B82F61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5、开标必须使用加密投标文件的 CA 数字证书在“海南省政府采购电子化交易管理系统”中操作参与。 </w:t>
      </w:r>
    </w:p>
    <w:p w14:paraId="6FB4725F">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二、全程电子化开标方法 </w:t>
      </w:r>
    </w:p>
    <w:p w14:paraId="394AD582">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（一）代理机构开标方法及要求 </w:t>
      </w:r>
    </w:p>
    <w:p w14:paraId="4638587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1、进入开标大厅 </w:t>
      </w:r>
    </w:p>
    <w:p w14:paraId="5753808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代理机构进入开标大厅，显示开标倒计时，开标时间截至前未签到者，视为无效投标。 </w:t>
      </w:r>
    </w:p>
    <w:p w14:paraId="7356715E">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2、签到查看 </w:t>
      </w:r>
    </w:p>
    <w:p w14:paraId="29CAABA7">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到达开标时间，进入开标大厅，根据标的情况选择【开始开标】，还是【执行废标】。 </w:t>
      </w:r>
    </w:p>
    <w:p w14:paraId="75150B5B">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3、发起解密 </w:t>
      </w:r>
    </w:p>
    <w:p w14:paraId="74927B9B">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代理机构【发起解密】，设定解密时长（30-60分钟），显示解密倒计时，</w:t>
      </w:r>
      <w:r>
        <w:rPr>
          <w:rFonts w:hint="eastAsia" w:asciiTheme="minorEastAsia" w:hAnsiTheme="minorEastAsia" w:eastAsiaTheme="minorEastAsia" w:cstheme="minorEastAsia"/>
          <w:b/>
          <w:bCs/>
          <w:color w:val="auto"/>
          <w:sz w:val="24"/>
          <w:szCs w:val="24"/>
          <w:highlight w:val="none"/>
        </w:rPr>
        <w:t xml:space="preserve">规定时间内未解密成功者，视为投标无效。 </w:t>
      </w:r>
    </w:p>
    <w:p w14:paraId="7FFDCAC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4、唱标（发起开标结果确认）解密结束，点击【下一步】进入唱标结果确认页面，点击【发起结果确认】，设定确认时长（30 分钟），显示解密倒计时，到达规定时间，默认确认成功。 </w:t>
      </w:r>
    </w:p>
    <w:p w14:paraId="070EF937">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5、结束开标 </w:t>
      </w:r>
    </w:p>
    <w:p w14:paraId="74FD6CFE">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开标结果确认倒计时结束，点击【结束开标】 </w:t>
      </w:r>
    </w:p>
    <w:p w14:paraId="20AA664F">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（二）投标人开标方法及要求 </w:t>
      </w:r>
    </w:p>
    <w:p w14:paraId="065D79B2">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1、进入开标大厅 </w:t>
      </w:r>
    </w:p>
    <w:p w14:paraId="70D22C7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电子开标前应签到，建议提前30分钟进入开标大厅做准备。检查系统环境及签章工具</w:t>
      </w:r>
      <w:r>
        <w:rPr>
          <w:rFonts w:hint="eastAsia" w:asciiTheme="minorEastAsia" w:hAnsiTheme="minorEastAsia" w:eastAsiaTheme="minorEastAsia" w:cstheme="minorEastAsia"/>
          <w:b/>
          <w:bCs/>
          <w:color w:val="auto"/>
          <w:sz w:val="24"/>
          <w:szCs w:val="24"/>
          <w:highlight w:val="none"/>
        </w:rPr>
        <w:t>（投标人签到需选择 key 签章）</w:t>
      </w:r>
      <w:r>
        <w:rPr>
          <w:rFonts w:hint="eastAsia" w:asciiTheme="minorEastAsia" w:hAnsiTheme="minorEastAsia" w:eastAsiaTheme="minorEastAsia" w:cstheme="minorEastAsia"/>
          <w:color w:val="auto"/>
          <w:sz w:val="24"/>
          <w:szCs w:val="24"/>
          <w:highlight w:val="none"/>
        </w:rPr>
        <w:t xml:space="preserve">情况。同时查看参与投标人数，及废标原因。 </w:t>
      </w:r>
    </w:p>
    <w:p w14:paraId="7ECD52FD">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2、签到 </w:t>
      </w:r>
    </w:p>
    <w:p w14:paraId="2E699E55">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开标（签到）倒计时结束前必须完成签到，要求在签到页面进行电子签章。</w:t>
      </w:r>
      <w:r>
        <w:rPr>
          <w:rFonts w:hint="eastAsia" w:asciiTheme="minorEastAsia" w:hAnsiTheme="minorEastAsia" w:eastAsiaTheme="minorEastAsia" w:cstheme="minorEastAsia"/>
          <w:b/>
          <w:bCs/>
          <w:color w:val="auto"/>
          <w:sz w:val="24"/>
          <w:szCs w:val="24"/>
          <w:highlight w:val="none"/>
        </w:rPr>
        <w:t xml:space="preserve">投标人未签到，作为无效投标处理。 </w:t>
      </w:r>
    </w:p>
    <w:p w14:paraId="3102B4BA">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3、解密 </w:t>
      </w:r>
    </w:p>
    <w:p w14:paraId="55AFE39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点击【解密】，要求投标人在解密页面选择加密时的数字证书进行解密，否则解密不成功。也可通过【系统通知】点击进入解密页面。</w:t>
      </w:r>
      <w:r>
        <w:rPr>
          <w:rFonts w:hint="eastAsia" w:asciiTheme="minorEastAsia" w:hAnsiTheme="minorEastAsia" w:eastAsiaTheme="minorEastAsia" w:cstheme="minorEastAsia"/>
          <w:b/>
          <w:bCs/>
          <w:color w:val="auto"/>
          <w:sz w:val="24"/>
          <w:szCs w:val="24"/>
          <w:highlight w:val="none"/>
        </w:rPr>
        <w:t xml:space="preserve">投标人解密未成功，作为无效投标处理。 </w:t>
      </w:r>
    </w:p>
    <w:p w14:paraId="31E6AC86">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4、开标结果确认 </w:t>
      </w:r>
    </w:p>
    <w:p w14:paraId="3F4FC90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点击【开标结果确认】，要求投标人开标结果页面进行电子签章，确认成功，等待评标。也可通过【系统通知】进入开标结果确认页面。 </w:t>
      </w:r>
    </w:p>
    <w:p w14:paraId="2EBB431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投标人唱标页面显示如下，点击【唱标结果确认】，选择【签章】-【key 签章】。签章结束点击【保存】，唱标结果确认成功，等待评标。也可通过下方【系统通知】进入唱标页面。 </w:t>
      </w:r>
    </w:p>
    <w:p w14:paraId="526AD170">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三、全程电子化开评标注意事项 </w:t>
      </w:r>
    </w:p>
    <w:p w14:paraId="4DC6AB7D">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1、投标人签到需选择 key 签章，海南 CA 数字证书办理所需材料及地址： </w:t>
      </w:r>
    </w:p>
    <w:p w14:paraId="04218C24">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（1）CA 数字证书所需材料： </w:t>
      </w:r>
    </w:p>
    <w:p w14:paraId="4F8B769D">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登录海南省数字证书认证中心网站（网址：http://www.hndca.com/CA/）“服务支持”中的“海南省电子招投标用户办理数字证书业务指南”下载。（可在线办理，也可现场办理） </w:t>
      </w:r>
    </w:p>
    <w:p w14:paraId="3BAB6CF7">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（2）CA 数字证书现场办理地址：海南省海口市美兰区大英山东三路 2 号海南数据谷二号营地 2 层 212 室。 </w:t>
      </w:r>
    </w:p>
    <w:p w14:paraId="1DA5CBFB">
      <w:pPr>
        <w:widowControl/>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（3）办理 CA 锁咨询：0898-66668096（海南省数字证书认证中心）。 </w:t>
      </w:r>
    </w:p>
    <w:p w14:paraId="31E8BB6B">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 xml:space="preserve">开标（签到）倒计时结束前投标人未进行投标（响应）文件签到、解密（成功解密）的作为无效投标处理，投标人自行承担由此造成的后果及损失。 </w:t>
      </w:r>
    </w:p>
    <w:p w14:paraId="6C9607F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3、专家向投标人发起磋商（如有），投标人对问题进行回复。 </w:t>
      </w:r>
    </w:p>
    <w:p w14:paraId="48CBE6F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4、专家向投标人发起报价（如有），投标人对报价进行填写。 </w:t>
      </w:r>
    </w:p>
    <w:p w14:paraId="384B6475">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5、专家向投标人发起说明（如有），投标人对说明事项进行回复。 </w:t>
      </w:r>
    </w:p>
    <w:p w14:paraId="6E0821EC">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6、本项目全程电子化开评标，投标人需自行准备开评标过程中的使用电脑和网络，</w:t>
      </w:r>
      <w:r>
        <w:rPr>
          <w:rFonts w:hint="eastAsia" w:asciiTheme="minorEastAsia" w:hAnsiTheme="minorEastAsia" w:eastAsiaTheme="minorEastAsia" w:cstheme="minorEastAsia"/>
          <w:b/>
          <w:bCs/>
          <w:color w:val="auto"/>
          <w:sz w:val="24"/>
          <w:szCs w:val="24"/>
          <w:highlight w:val="none"/>
        </w:rPr>
        <w:t xml:space="preserve">投标人自行承担由于自身准备不足，由此造成的后果及损失。 </w:t>
      </w:r>
    </w:p>
    <w:p w14:paraId="30B42074">
      <w:pPr>
        <w:pStyle w:val="76"/>
        <w:rPr>
          <w:color w:val="auto"/>
          <w:highlight w:val="none"/>
        </w:rPr>
        <w:sectPr>
          <w:headerReference r:id="rId4" w:type="first"/>
          <w:footerReference r:id="rId6" w:type="first"/>
          <w:headerReference r:id="rId3" w:type="default"/>
          <w:footerReference r:id="rId5" w:type="default"/>
          <w:pgSz w:w="11906" w:h="16838"/>
          <w:pgMar w:top="1418" w:right="1555" w:bottom="1418" w:left="1531" w:header="851" w:footer="992" w:gutter="0"/>
          <w:pgNumType w:start="1"/>
          <w:cols w:space="720" w:num="1"/>
          <w:titlePg/>
          <w:docGrid w:type="lines" w:linePitch="312" w:charSpace="0"/>
        </w:sectPr>
      </w:pPr>
    </w:p>
    <w:sdt>
      <w:sdtPr>
        <w:rPr>
          <w:rFonts w:hAnsi="宋体"/>
          <w:color w:val="auto"/>
          <w:sz w:val="36"/>
          <w:szCs w:val="32"/>
          <w:highlight w:val="none"/>
        </w:rPr>
        <w:id w:val="147453760"/>
        <w:docPartObj>
          <w:docPartGallery w:val="Table of Contents"/>
          <w:docPartUnique/>
        </w:docPartObj>
      </w:sdtPr>
      <w:sdtEndPr>
        <w:rPr>
          <w:rFonts w:hAnsi="宋体"/>
          <w:color w:val="auto"/>
          <w:sz w:val="34"/>
          <w:szCs w:val="28"/>
          <w:highlight w:val="none"/>
        </w:rPr>
      </w:sdtEndPr>
      <w:sdtContent>
        <w:p w14:paraId="1D218A5C">
          <w:pPr>
            <w:widowControl/>
            <w:autoSpaceDE w:val="0"/>
            <w:autoSpaceDN w:val="0"/>
            <w:spacing w:line="360" w:lineRule="auto"/>
            <w:jc w:val="center"/>
            <w:textAlignment w:val="bottom"/>
            <w:rPr>
              <w:rFonts w:ascii="宋体" w:hAnsi="宋体" w:eastAsia="宋体" w:cs="Times New Roman"/>
              <w:color w:val="auto"/>
              <w:sz w:val="34"/>
              <w:szCs w:val="28"/>
              <w:highlight w:val="none"/>
              <w:lang w:val="en-US" w:eastAsia="zh-CN" w:bidi="ar-SA"/>
            </w:rPr>
          </w:pPr>
          <w:r>
            <w:rPr>
              <w:rFonts w:hAnsi="宋体"/>
              <w:b/>
              <w:bCs/>
              <w:color w:val="auto"/>
              <w:sz w:val="48"/>
              <w:szCs w:val="48"/>
              <w:highlight w:val="none"/>
            </w:rPr>
            <w:t>目录</w:t>
          </w:r>
          <w:r>
            <w:rPr>
              <w:rFonts w:hAnsi="宋体"/>
              <w:b/>
              <w:color w:val="auto"/>
              <w:sz w:val="28"/>
              <w:szCs w:val="28"/>
              <w:highlight w:val="none"/>
            </w:rPr>
            <w:fldChar w:fldCharType="begin"/>
          </w:r>
          <w:r>
            <w:rPr>
              <w:rFonts w:hAnsi="宋体"/>
              <w:b/>
              <w:color w:val="auto"/>
              <w:sz w:val="28"/>
              <w:szCs w:val="28"/>
              <w:highlight w:val="none"/>
            </w:rPr>
            <w:instrText xml:space="preserve">TOC \o "1-1" \h \u </w:instrText>
          </w:r>
          <w:r>
            <w:rPr>
              <w:rFonts w:hAnsi="宋体"/>
              <w:b/>
              <w:color w:val="auto"/>
              <w:sz w:val="28"/>
              <w:szCs w:val="28"/>
              <w:highlight w:val="none"/>
            </w:rPr>
            <w:fldChar w:fldCharType="separate"/>
          </w:r>
        </w:p>
        <w:p w14:paraId="0334F948">
          <w:pPr>
            <w:pStyle w:val="39"/>
            <w:tabs>
              <w:tab w:val="right" w:leader="dot" w:pos="8820"/>
            </w:tabs>
            <w:rPr>
              <w:color w:val="auto"/>
              <w:sz w:val="28"/>
              <w:szCs w:val="28"/>
              <w:highlight w:val="none"/>
            </w:rPr>
          </w:pPr>
          <w:r>
            <w:rPr>
              <w:rFonts w:hAnsi="宋体"/>
              <w:color w:val="auto"/>
              <w:sz w:val="28"/>
              <w:szCs w:val="44"/>
              <w:highlight w:val="none"/>
            </w:rPr>
            <w:fldChar w:fldCharType="begin"/>
          </w:r>
          <w:r>
            <w:rPr>
              <w:rFonts w:hAnsi="宋体"/>
              <w:color w:val="auto"/>
              <w:sz w:val="28"/>
              <w:szCs w:val="44"/>
              <w:highlight w:val="none"/>
            </w:rPr>
            <w:instrText xml:space="preserve"> HYPERLINK \l _Toc14304 </w:instrText>
          </w:r>
          <w:r>
            <w:rPr>
              <w:rFonts w:hAnsi="宋体"/>
              <w:color w:val="auto"/>
              <w:sz w:val="28"/>
              <w:szCs w:val="44"/>
              <w:highlight w:val="none"/>
            </w:rPr>
            <w:fldChar w:fldCharType="separate"/>
          </w:r>
          <w:r>
            <w:rPr>
              <w:rFonts w:hint="default" w:ascii="仿宋" w:hAnsi="仿宋" w:eastAsia="仿宋"/>
              <w:color w:val="auto"/>
              <w:sz w:val="28"/>
              <w:szCs w:val="60"/>
              <w:highlight w:val="none"/>
            </w:rPr>
            <w:t xml:space="preserve">第一章 </w:t>
          </w:r>
          <w:r>
            <w:rPr>
              <w:rFonts w:hint="eastAsia" w:ascii="仿宋" w:hAnsi="仿宋" w:eastAsia="仿宋"/>
              <w:color w:val="auto"/>
              <w:sz w:val="28"/>
              <w:szCs w:val="60"/>
              <w:highlight w:val="no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_Toc14304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color w:val="auto"/>
              <w:sz w:val="28"/>
              <w:szCs w:val="44"/>
              <w:highlight w:val="none"/>
            </w:rPr>
            <w:fldChar w:fldCharType="end"/>
          </w:r>
        </w:p>
        <w:p w14:paraId="375158C5">
          <w:pPr>
            <w:pStyle w:val="39"/>
            <w:tabs>
              <w:tab w:val="right" w:leader="dot" w:pos="8820"/>
            </w:tabs>
            <w:rPr>
              <w:color w:val="auto"/>
              <w:sz w:val="28"/>
              <w:szCs w:val="28"/>
              <w:highlight w:val="none"/>
            </w:rPr>
          </w:pPr>
          <w:r>
            <w:rPr>
              <w:rFonts w:hAnsi="宋体"/>
              <w:color w:val="auto"/>
              <w:sz w:val="28"/>
              <w:szCs w:val="44"/>
              <w:highlight w:val="none"/>
            </w:rPr>
            <w:fldChar w:fldCharType="begin"/>
          </w:r>
          <w:r>
            <w:rPr>
              <w:rFonts w:hAnsi="宋体"/>
              <w:color w:val="auto"/>
              <w:sz w:val="28"/>
              <w:szCs w:val="44"/>
              <w:highlight w:val="none"/>
            </w:rPr>
            <w:instrText xml:space="preserve"> HYPERLINK \l _Toc8489 </w:instrText>
          </w:r>
          <w:r>
            <w:rPr>
              <w:rFonts w:hAnsi="宋体"/>
              <w:color w:val="auto"/>
              <w:sz w:val="28"/>
              <w:szCs w:val="44"/>
              <w:highlight w:val="none"/>
            </w:rPr>
            <w:fldChar w:fldCharType="separate"/>
          </w:r>
          <w:r>
            <w:rPr>
              <w:rFonts w:hint="default" w:ascii="仿宋" w:hAnsi="仿宋" w:eastAsia="仿宋"/>
              <w:color w:val="auto"/>
              <w:sz w:val="28"/>
              <w:szCs w:val="60"/>
              <w:highlight w:val="none"/>
            </w:rPr>
            <w:t xml:space="preserve">第二章 </w:t>
          </w:r>
          <w:r>
            <w:rPr>
              <w:rFonts w:hint="eastAsia" w:ascii="仿宋" w:hAnsi="仿宋" w:eastAsia="仿宋"/>
              <w:color w:val="auto"/>
              <w:sz w:val="28"/>
              <w:szCs w:val="60"/>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_Toc8489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Ansi="宋体"/>
              <w:color w:val="auto"/>
              <w:sz w:val="28"/>
              <w:szCs w:val="44"/>
              <w:highlight w:val="none"/>
            </w:rPr>
            <w:fldChar w:fldCharType="end"/>
          </w:r>
        </w:p>
        <w:p w14:paraId="4F997D76">
          <w:pPr>
            <w:pStyle w:val="39"/>
            <w:tabs>
              <w:tab w:val="right" w:leader="dot" w:pos="8820"/>
            </w:tabs>
            <w:rPr>
              <w:color w:val="auto"/>
              <w:sz w:val="28"/>
              <w:szCs w:val="28"/>
              <w:highlight w:val="none"/>
            </w:rPr>
          </w:pPr>
          <w:r>
            <w:rPr>
              <w:rFonts w:hAnsi="宋体"/>
              <w:color w:val="auto"/>
              <w:sz w:val="28"/>
              <w:szCs w:val="44"/>
              <w:highlight w:val="none"/>
            </w:rPr>
            <w:fldChar w:fldCharType="begin"/>
          </w:r>
          <w:r>
            <w:rPr>
              <w:rFonts w:hAnsi="宋体"/>
              <w:color w:val="auto"/>
              <w:sz w:val="28"/>
              <w:szCs w:val="44"/>
              <w:highlight w:val="none"/>
            </w:rPr>
            <w:instrText xml:space="preserve"> HYPERLINK \l _Toc26977 </w:instrText>
          </w:r>
          <w:r>
            <w:rPr>
              <w:rFonts w:hAnsi="宋体"/>
              <w:color w:val="auto"/>
              <w:sz w:val="28"/>
              <w:szCs w:val="44"/>
              <w:highlight w:val="none"/>
            </w:rPr>
            <w:fldChar w:fldCharType="separate"/>
          </w:r>
          <w:r>
            <w:rPr>
              <w:rFonts w:hint="default" w:ascii="仿宋" w:hAnsi="仿宋" w:eastAsia="仿宋"/>
              <w:color w:val="auto"/>
              <w:sz w:val="28"/>
              <w:szCs w:val="60"/>
              <w:highlight w:val="none"/>
            </w:rPr>
            <w:t xml:space="preserve">第三章 </w:t>
          </w:r>
          <w:r>
            <w:rPr>
              <w:rFonts w:hint="eastAsia" w:ascii="仿宋" w:hAnsi="仿宋" w:eastAsia="仿宋"/>
              <w:color w:val="auto"/>
              <w:sz w:val="28"/>
              <w:szCs w:val="60"/>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_Toc26977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hAnsi="宋体"/>
              <w:color w:val="auto"/>
              <w:sz w:val="28"/>
              <w:szCs w:val="44"/>
              <w:highlight w:val="none"/>
            </w:rPr>
            <w:fldChar w:fldCharType="end"/>
          </w:r>
        </w:p>
        <w:p w14:paraId="052CEB2B">
          <w:pPr>
            <w:pStyle w:val="39"/>
            <w:tabs>
              <w:tab w:val="right" w:leader="dot" w:pos="8820"/>
            </w:tabs>
            <w:rPr>
              <w:color w:val="auto"/>
              <w:sz w:val="28"/>
              <w:szCs w:val="28"/>
              <w:highlight w:val="none"/>
            </w:rPr>
          </w:pPr>
          <w:r>
            <w:rPr>
              <w:rFonts w:hAnsi="宋体"/>
              <w:color w:val="auto"/>
              <w:sz w:val="28"/>
              <w:szCs w:val="44"/>
              <w:highlight w:val="none"/>
            </w:rPr>
            <w:fldChar w:fldCharType="begin"/>
          </w:r>
          <w:r>
            <w:rPr>
              <w:rFonts w:hAnsi="宋体"/>
              <w:color w:val="auto"/>
              <w:sz w:val="28"/>
              <w:szCs w:val="44"/>
              <w:highlight w:val="none"/>
            </w:rPr>
            <w:instrText xml:space="preserve"> HYPERLINK \l _Toc3567 </w:instrText>
          </w:r>
          <w:r>
            <w:rPr>
              <w:rFonts w:hAnsi="宋体"/>
              <w:color w:val="auto"/>
              <w:sz w:val="28"/>
              <w:szCs w:val="44"/>
              <w:highlight w:val="none"/>
            </w:rPr>
            <w:fldChar w:fldCharType="separate"/>
          </w:r>
          <w:r>
            <w:rPr>
              <w:rFonts w:hint="default" w:ascii="仿宋" w:hAnsi="仿宋" w:eastAsia="仿宋"/>
              <w:color w:val="auto"/>
              <w:sz w:val="28"/>
              <w:szCs w:val="60"/>
              <w:highlight w:val="none"/>
            </w:rPr>
            <w:t xml:space="preserve">第四章 </w:t>
          </w:r>
          <w:r>
            <w:rPr>
              <w:rFonts w:hint="eastAsia" w:ascii="仿宋" w:hAnsi="仿宋" w:eastAsia="仿宋"/>
              <w:color w:val="auto"/>
              <w:sz w:val="28"/>
              <w:szCs w:val="60"/>
              <w:highlight w:val="none"/>
            </w:rPr>
            <w:t>评审办法和程序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_Toc3567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Ansi="宋体"/>
              <w:color w:val="auto"/>
              <w:sz w:val="28"/>
              <w:szCs w:val="44"/>
              <w:highlight w:val="none"/>
            </w:rPr>
            <w:fldChar w:fldCharType="end"/>
          </w:r>
        </w:p>
        <w:p w14:paraId="690BF3AD">
          <w:pPr>
            <w:pStyle w:val="39"/>
            <w:tabs>
              <w:tab w:val="right" w:leader="dot" w:pos="8820"/>
            </w:tabs>
            <w:rPr>
              <w:color w:val="auto"/>
              <w:highlight w:val="none"/>
            </w:rPr>
          </w:pPr>
          <w:r>
            <w:rPr>
              <w:rFonts w:hAnsi="宋体"/>
              <w:color w:val="auto"/>
              <w:sz w:val="28"/>
              <w:szCs w:val="44"/>
              <w:highlight w:val="none"/>
            </w:rPr>
            <w:fldChar w:fldCharType="begin"/>
          </w:r>
          <w:r>
            <w:rPr>
              <w:rFonts w:hAnsi="宋体"/>
              <w:color w:val="auto"/>
              <w:sz w:val="28"/>
              <w:szCs w:val="44"/>
              <w:highlight w:val="none"/>
            </w:rPr>
            <w:instrText xml:space="preserve"> HYPERLINK \l _Toc19540 </w:instrText>
          </w:r>
          <w:r>
            <w:rPr>
              <w:rFonts w:hAnsi="宋体"/>
              <w:color w:val="auto"/>
              <w:sz w:val="28"/>
              <w:szCs w:val="44"/>
              <w:highlight w:val="none"/>
            </w:rPr>
            <w:fldChar w:fldCharType="separate"/>
          </w:r>
          <w:r>
            <w:rPr>
              <w:rFonts w:hint="default" w:ascii="仿宋" w:hAnsi="仿宋" w:eastAsia="仿宋"/>
              <w:color w:val="auto"/>
              <w:sz w:val="28"/>
              <w:szCs w:val="60"/>
              <w:highlight w:val="none"/>
            </w:rPr>
            <w:t xml:space="preserve">第五章 </w:t>
          </w:r>
          <w:r>
            <w:rPr>
              <w:rFonts w:hint="eastAsia" w:ascii="仿宋" w:hAnsi="仿宋" w:eastAsia="仿宋"/>
              <w:color w:val="auto"/>
              <w:sz w:val="28"/>
              <w:szCs w:val="60"/>
              <w:highlight w:val="none"/>
            </w:rPr>
            <w:t>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_Toc19540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hAnsi="宋体"/>
              <w:color w:val="auto"/>
              <w:sz w:val="28"/>
              <w:szCs w:val="44"/>
              <w:highlight w:val="none"/>
            </w:rPr>
            <w:fldChar w:fldCharType="end"/>
          </w:r>
        </w:p>
        <w:p w14:paraId="7961D177">
          <w:pPr>
            <w:widowControl/>
            <w:autoSpaceDE w:val="0"/>
            <w:autoSpaceDN w:val="0"/>
            <w:spacing w:line="360" w:lineRule="auto"/>
            <w:jc w:val="center"/>
            <w:textAlignment w:val="bottom"/>
            <w:rPr>
              <w:rFonts w:hAnsi="宋体"/>
              <w:b/>
              <w:color w:val="auto"/>
              <w:sz w:val="28"/>
              <w:szCs w:val="28"/>
              <w:highlight w:val="none"/>
            </w:rPr>
          </w:pPr>
          <w:r>
            <w:rPr>
              <w:rFonts w:hAnsi="宋体"/>
              <w:color w:val="auto"/>
              <w:szCs w:val="28"/>
              <w:highlight w:val="none"/>
            </w:rPr>
            <w:fldChar w:fldCharType="end"/>
          </w:r>
        </w:p>
      </w:sdtContent>
    </w:sdt>
    <w:p w14:paraId="1E3EC300">
      <w:pPr>
        <w:rPr>
          <w:rFonts w:hAnsi="宋体"/>
          <w:color w:val="auto"/>
          <w:sz w:val="28"/>
          <w:szCs w:val="28"/>
          <w:highlight w:val="none"/>
        </w:rPr>
      </w:pPr>
    </w:p>
    <w:p w14:paraId="4E546203">
      <w:pPr>
        <w:jc w:val="center"/>
        <w:rPr>
          <w:rFonts w:hAnsi="宋体"/>
          <w:color w:val="auto"/>
          <w:sz w:val="28"/>
          <w:szCs w:val="28"/>
          <w:highlight w:val="none"/>
        </w:rPr>
      </w:pPr>
    </w:p>
    <w:p w14:paraId="66AECC43">
      <w:pPr>
        <w:pStyle w:val="22"/>
        <w:rPr>
          <w:color w:val="auto"/>
          <w:highlight w:val="none"/>
        </w:rPr>
      </w:pPr>
    </w:p>
    <w:p w14:paraId="77AD6B6E">
      <w:pPr>
        <w:rPr>
          <w:color w:val="auto"/>
          <w:highlight w:val="none"/>
        </w:rPr>
      </w:pPr>
    </w:p>
    <w:p w14:paraId="17B96764">
      <w:pPr>
        <w:pStyle w:val="22"/>
        <w:rPr>
          <w:color w:val="auto"/>
          <w:highlight w:val="none"/>
        </w:rPr>
      </w:pPr>
    </w:p>
    <w:p w14:paraId="74372EC0">
      <w:pPr>
        <w:pStyle w:val="2"/>
        <w:pageBreakBefore/>
        <w:numPr>
          <w:ilvl w:val="0"/>
          <w:numId w:val="5"/>
        </w:numPr>
        <w:spacing w:before="0" w:after="0" w:line="276" w:lineRule="auto"/>
        <w:rPr>
          <w:rFonts w:ascii="仿宋" w:hAnsi="仿宋" w:eastAsia="仿宋"/>
          <w:color w:val="auto"/>
          <w:sz w:val="44"/>
          <w:szCs w:val="44"/>
          <w:highlight w:val="none"/>
        </w:rPr>
        <w:sectPr>
          <w:pgSz w:w="11906" w:h="16838"/>
          <w:pgMar w:top="1418" w:right="1555" w:bottom="1418" w:left="1531" w:header="851" w:footer="992" w:gutter="0"/>
          <w:pgNumType w:start="1"/>
          <w:cols w:space="720" w:num="1"/>
          <w:titlePg/>
          <w:docGrid w:type="lines" w:linePitch="312" w:charSpace="0"/>
        </w:sectPr>
      </w:pPr>
      <w:bookmarkStart w:id="0" w:name="_Toc18167"/>
    </w:p>
    <w:p w14:paraId="7F4C1913">
      <w:pPr>
        <w:pStyle w:val="2"/>
        <w:pageBreakBefore/>
        <w:numPr>
          <w:ilvl w:val="0"/>
          <w:numId w:val="5"/>
        </w:numPr>
        <w:spacing w:before="0" w:after="0" w:line="276" w:lineRule="auto"/>
        <w:rPr>
          <w:rFonts w:ascii="仿宋" w:hAnsi="仿宋" w:eastAsia="仿宋"/>
          <w:color w:val="auto"/>
          <w:sz w:val="44"/>
          <w:szCs w:val="44"/>
          <w:highlight w:val="none"/>
        </w:rPr>
      </w:pPr>
      <w:bookmarkStart w:id="1" w:name="_Toc14304"/>
      <w:r>
        <w:rPr>
          <w:rFonts w:hint="eastAsia" w:ascii="仿宋" w:hAnsi="仿宋" w:eastAsia="仿宋"/>
          <w:color w:val="auto"/>
          <w:sz w:val="44"/>
          <w:szCs w:val="44"/>
          <w:highlight w:val="none"/>
        </w:rPr>
        <w:t>竞争性磋商公告</w:t>
      </w:r>
      <w:bookmarkEnd w:id="0"/>
      <w:bookmarkEnd w:id="1"/>
    </w:p>
    <w:p w14:paraId="364DBFE1">
      <w:pPr>
        <w:pBdr>
          <w:top w:val="single" w:color="auto" w:sz="4" w:space="1"/>
          <w:left w:val="single" w:color="auto" w:sz="4" w:space="4"/>
          <w:bottom w:val="single" w:color="auto" w:sz="4" w:space="1"/>
          <w:right w:val="single" w:color="auto" w:sz="4" w:space="4"/>
        </w:pBdr>
        <w:spacing w:line="440" w:lineRule="exact"/>
        <w:rPr>
          <w:rFonts w:asciiTheme="minorEastAsia" w:hAnsiTheme="minorEastAsia" w:eastAsiaTheme="minorEastAsia" w:cstheme="minorEastAsia"/>
          <w:b/>
          <w:bCs/>
          <w:color w:val="auto"/>
          <w:sz w:val="24"/>
          <w:szCs w:val="24"/>
          <w:highlight w:val="none"/>
        </w:rPr>
      </w:pPr>
      <w:bookmarkStart w:id="2" w:name="OLE_LINK1"/>
      <w:r>
        <w:rPr>
          <w:rFonts w:hint="eastAsia" w:asciiTheme="minorEastAsia" w:hAnsiTheme="minorEastAsia" w:eastAsiaTheme="minorEastAsia" w:cstheme="minorEastAsia"/>
          <w:b/>
          <w:bCs/>
          <w:color w:val="auto"/>
          <w:sz w:val="24"/>
          <w:szCs w:val="24"/>
          <w:highlight w:val="none"/>
        </w:rPr>
        <w:t>项目概况</w:t>
      </w:r>
    </w:p>
    <w:p w14:paraId="4ABCDC3F">
      <w:pPr>
        <w:pBdr>
          <w:top w:val="single" w:color="auto" w:sz="4" w:space="1"/>
          <w:left w:val="single" w:color="auto" w:sz="4" w:space="4"/>
          <w:bottom w:val="single" w:color="auto" w:sz="4" w:space="1"/>
          <w:right w:val="single" w:color="auto" w:sz="4" w:space="4"/>
        </w:pBdr>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GF智能制造创新实践基地（二期）</w:t>
      </w:r>
      <w:r>
        <w:rPr>
          <w:rFonts w:hint="eastAsia" w:asciiTheme="minorEastAsia" w:hAnsiTheme="minorEastAsia" w:eastAsiaTheme="minorEastAsia" w:cstheme="minorEastAsia"/>
          <w:color w:val="auto"/>
          <w:sz w:val="24"/>
          <w:szCs w:val="24"/>
          <w:highlight w:val="none"/>
        </w:rPr>
        <w:t>的潜在供应商应在</w:t>
      </w:r>
      <w:r>
        <w:rPr>
          <w:rFonts w:hint="eastAsia"/>
          <w:bCs/>
          <w:color w:val="auto"/>
          <w:sz w:val="24"/>
          <w:highlight w:val="none"/>
          <w:u w:val="single"/>
        </w:rPr>
        <w:t>海南政府采购网(www.ccgp-hainan.gov.cn)-海南省政府采购电子化交易管理系统（新）</w:t>
      </w:r>
      <w:r>
        <w:rPr>
          <w:rFonts w:hint="eastAsia" w:asciiTheme="minorEastAsia" w:hAnsiTheme="minorEastAsia" w:eastAsiaTheme="minorEastAsia" w:cstheme="minorEastAsia"/>
          <w:color w:val="auto"/>
          <w:sz w:val="24"/>
          <w:szCs w:val="24"/>
          <w:highlight w:val="none"/>
        </w:rPr>
        <w:t>获取采购文件，并于</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28</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时30分</w:t>
      </w:r>
      <w:r>
        <w:rPr>
          <w:rFonts w:hint="eastAsia" w:asciiTheme="minorEastAsia" w:hAnsiTheme="minorEastAsia" w:eastAsiaTheme="minorEastAsia" w:cstheme="minorEastAsia"/>
          <w:bCs/>
          <w:color w:val="auto"/>
          <w:sz w:val="24"/>
          <w:szCs w:val="24"/>
          <w:highlight w:val="none"/>
        </w:rPr>
        <w:t>（北京时间）前提交响应文件</w:t>
      </w:r>
      <w:r>
        <w:rPr>
          <w:rFonts w:hint="eastAsia" w:asciiTheme="minorEastAsia" w:hAnsiTheme="minorEastAsia" w:eastAsiaTheme="minorEastAsia" w:cstheme="minorEastAsia"/>
          <w:color w:val="auto"/>
          <w:sz w:val="24"/>
          <w:szCs w:val="24"/>
          <w:highlight w:val="none"/>
        </w:rPr>
        <w:t>。</w:t>
      </w:r>
    </w:p>
    <w:p w14:paraId="71FA5459">
      <w:pPr>
        <w:pStyle w:val="22"/>
        <w:rPr>
          <w:color w:val="auto"/>
          <w:highlight w:val="none"/>
        </w:rPr>
      </w:pPr>
      <w:r>
        <w:rPr>
          <w:rFonts w:hint="eastAsia"/>
          <w:color w:val="auto"/>
          <w:highlight w:val="none"/>
        </w:rPr>
        <w:t>一、</w:t>
      </w:r>
      <w:bookmarkStart w:id="3" w:name="_Toc35393629"/>
      <w:bookmarkStart w:id="4" w:name="_Toc35393798"/>
      <w:bookmarkStart w:id="5" w:name="_Toc28359089"/>
      <w:bookmarkStart w:id="6" w:name="_Toc28359012"/>
      <w:r>
        <w:rPr>
          <w:rFonts w:hint="eastAsia"/>
          <w:color w:val="auto"/>
          <w:highlight w:val="none"/>
        </w:rPr>
        <w:t>项目基本情况</w:t>
      </w:r>
      <w:bookmarkEnd w:id="3"/>
      <w:bookmarkEnd w:id="4"/>
      <w:bookmarkEnd w:id="5"/>
      <w:bookmarkEnd w:id="6"/>
    </w:p>
    <w:p w14:paraId="0A121484">
      <w:pPr>
        <w:pStyle w:val="22"/>
        <w:rPr>
          <w:color w:val="auto"/>
          <w:highlight w:val="none"/>
        </w:rPr>
      </w:pPr>
      <w:r>
        <w:rPr>
          <w:rFonts w:hint="eastAsia"/>
          <w:color w:val="auto"/>
          <w:highlight w:val="none"/>
        </w:rPr>
        <w:t>1、项目编号：</w:t>
      </w:r>
      <w:r>
        <w:rPr>
          <w:rFonts w:hint="eastAsia"/>
          <w:color w:val="auto"/>
          <w:highlight w:val="none"/>
          <w:lang w:eastAsia="zh-CN"/>
        </w:rPr>
        <w:t>HNZD-2024-028</w:t>
      </w:r>
      <w:r>
        <w:rPr>
          <w:rFonts w:hint="eastAsia"/>
          <w:color w:val="auto"/>
          <w:highlight w:val="none"/>
        </w:rPr>
        <w:t>；</w:t>
      </w:r>
    </w:p>
    <w:p w14:paraId="5C780BE5">
      <w:pPr>
        <w:pStyle w:val="22"/>
        <w:rPr>
          <w:color w:val="auto"/>
          <w:highlight w:val="none"/>
        </w:rPr>
      </w:pPr>
      <w:r>
        <w:rPr>
          <w:rFonts w:hint="eastAsia"/>
          <w:color w:val="auto"/>
          <w:highlight w:val="none"/>
        </w:rPr>
        <w:t>2、项目名称：</w:t>
      </w:r>
      <w:r>
        <w:rPr>
          <w:rFonts w:hint="eastAsia"/>
          <w:color w:val="auto"/>
          <w:highlight w:val="none"/>
          <w:lang w:eastAsia="zh-CN"/>
        </w:rPr>
        <w:t>GF智能制造创新实践基地（二期）</w:t>
      </w:r>
      <w:r>
        <w:rPr>
          <w:rFonts w:hint="eastAsia"/>
          <w:color w:val="auto"/>
          <w:highlight w:val="none"/>
        </w:rPr>
        <w:t>；</w:t>
      </w:r>
    </w:p>
    <w:p w14:paraId="4693C323">
      <w:pPr>
        <w:pStyle w:val="22"/>
        <w:rPr>
          <w:color w:val="auto"/>
          <w:highlight w:val="none"/>
        </w:rPr>
      </w:pPr>
      <w:r>
        <w:rPr>
          <w:rFonts w:hint="eastAsia"/>
          <w:color w:val="auto"/>
          <w:highlight w:val="none"/>
        </w:rPr>
        <w:t>3、采购方式：竞争性磋商；</w:t>
      </w:r>
    </w:p>
    <w:p w14:paraId="05014C85">
      <w:pPr>
        <w:pStyle w:val="22"/>
        <w:rPr>
          <w:color w:val="auto"/>
          <w:highlight w:val="none"/>
        </w:rPr>
      </w:pPr>
      <w:r>
        <w:rPr>
          <w:rFonts w:hint="eastAsia"/>
          <w:color w:val="auto"/>
          <w:highlight w:val="none"/>
        </w:rPr>
        <w:t>4、采购预算：</w:t>
      </w:r>
      <w:r>
        <w:rPr>
          <w:rFonts w:hint="eastAsia"/>
          <w:color w:val="auto"/>
          <w:highlight w:val="none"/>
          <w:lang w:eastAsia="zh-CN"/>
        </w:rPr>
        <w:t>¥2635300.00元</w:t>
      </w:r>
      <w:r>
        <w:rPr>
          <w:rFonts w:hint="eastAsia"/>
          <w:color w:val="auto"/>
          <w:highlight w:val="none"/>
        </w:rPr>
        <w:t>；</w:t>
      </w:r>
    </w:p>
    <w:p w14:paraId="7E63B15F">
      <w:pPr>
        <w:pStyle w:val="22"/>
        <w:rPr>
          <w:color w:val="auto"/>
          <w:highlight w:val="none"/>
        </w:rPr>
      </w:pPr>
      <w:r>
        <w:rPr>
          <w:rFonts w:hint="eastAsia"/>
          <w:color w:val="auto"/>
          <w:highlight w:val="none"/>
        </w:rPr>
        <w:t>5、最高限价：</w:t>
      </w:r>
      <w:r>
        <w:rPr>
          <w:rFonts w:hint="eastAsia"/>
          <w:color w:val="auto"/>
          <w:highlight w:val="none"/>
          <w:lang w:eastAsia="zh-CN"/>
        </w:rPr>
        <w:t>¥2635300.00元</w:t>
      </w:r>
      <w:r>
        <w:rPr>
          <w:rFonts w:hint="eastAsia"/>
          <w:color w:val="auto"/>
          <w:highlight w:val="none"/>
        </w:rPr>
        <w:t>（超出最高限价的，按无效响应文件处理）；</w:t>
      </w:r>
    </w:p>
    <w:p w14:paraId="4C612E33">
      <w:pPr>
        <w:spacing w:line="360" w:lineRule="auto"/>
        <w:ind w:firstLine="480" w:firstLineChars="20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6、采购需求：详见第五章《用户需求书》</w:t>
      </w:r>
    </w:p>
    <w:p w14:paraId="62BC794E">
      <w:pPr>
        <w:pStyle w:val="22"/>
        <w:spacing w:before="0" w:after="0" w:line="360" w:lineRule="auto"/>
        <w:rPr>
          <w:rFonts w:hint="eastAsia"/>
          <w:color w:val="auto"/>
          <w:highlight w:val="none"/>
          <w:shd w:val="clear" w:color="auto" w:fill="FFFFFF"/>
        </w:rPr>
      </w:pPr>
      <w:r>
        <w:rPr>
          <w:rFonts w:hint="eastAsia"/>
          <w:color w:val="auto"/>
          <w:highlight w:val="none"/>
          <w:shd w:val="clear" w:color="auto" w:fill="FFFFFF"/>
        </w:rPr>
        <w:t>7、资金来源：财政资金；</w:t>
      </w:r>
    </w:p>
    <w:p w14:paraId="5BF32418">
      <w:pPr>
        <w:pStyle w:val="22"/>
        <w:spacing w:before="0" w:after="0" w:line="360" w:lineRule="auto"/>
        <w:rPr>
          <w:rFonts w:asciiTheme="minorEastAsia" w:hAnsiTheme="minorEastAsia" w:eastAsiaTheme="minorEastAsia" w:cstheme="minorEastAsia"/>
          <w:color w:val="auto"/>
          <w:kern w:val="2"/>
          <w:sz w:val="24"/>
          <w:szCs w:val="24"/>
          <w:highlight w:val="none"/>
          <w:shd w:val="clear" w:color="auto" w:fill="auto"/>
        </w:rPr>
      </w:pPr>
      <w:r>
        <w:rPr>
          <w:rFonts w:hint="eastAsia"/>
          <w:color w:val="auto"/>
          <w:highlight w:val="none"/>
          <w:shd w:val="clear" w:color="auto" w:fill="auto"/>
          <w:lang w:val="en-US" w:eastAsia="zh-CN"/>
        </w:rPr>
        <w:t>8</w:t>
      </w:r>
      <w:r>
        <w:rPr>
          <w:rFonts w:hint="eastAsia"/>
          <w:color w:val="auto"/>
          <w:highlight w:val="none"/>
          <w:shd w:val="clear" w:color="auto" w:fill="auto"/>
        </w:rPr>
        <w:t>、</w:t>
      </w:r>
      <w:r>
        <w:rPr>
          <w:rFonts w:hint="eastAsia" w:asciiTheme="minorEastAsia" w:hAnsiTheme="minorEastAsia" w:eastAsiaTheme="minorEastAsia" w:cstheme="minorEastAsia"/>
          <w:color w:val="auto"/>
          <w:kern w:val="2"/>
          <w:sz w:val="24"/>
          <w:szCs w:val="24"/>
          <w:highlight w:val="none"/>
          <w:shd w:val="clear" w:color="auto" w:fill="auto"/>
        </w:rPr>
        <w:t>合同履行期限：</w:t>
      </w:r>
      <w:r>
        <w:rPr>
          <w:rFonts w:hint="eastAsia" w:cstheme="minorEastAsia"/>
          <w:color w:val="auto"/>
          <w:kern w:val="2"/>
          <w:sz w:val="24"/>
          <w:szCs w:val="24"/>
          <w:highlight w:val="none"/>
          <w:shd w:val="clear" w:color="auto" w:fill="auto"/>
          <w:lang w:eastAsia="zh-CN"/>
        </w:rPr>
        <w:t>自合同签订之日起30天内完成供货及安装调试</w:t>
      </w:r>
      <w:r>
        <w:rPr>
          <w:rFonts w:hint="eastAsia" w:asciiTheme="minorEastAsia" w:hAnsiTheme="minorEastAsia" w:eastAsiaTheme="minorEastAsia" w:cstheme="minorEastAsia"/>
          <w:color w:val="auto"/>
          <w:kern w:val="2"/>
          <w:sz w:val="24"/>
          <w:szCs w:val="24"/>
          <w:highlight w:val="none"/>
          <w:shd w:val="clear" w:color="auto" w:fill="auto"/>
        </w:rPr>
        <w:t>；</w:t>
      </w:r>
    </w:p>
    <w:p w14:paraId="6C23EA5E">
      <w:pPr>
        <w:pStyle w:val="22"/>
        <w:spacing w:before="0" w:after="0" w:line="360" w:lineRule="auto"/>
        <w:rPr>
          <w:color w:val="auto"/>
          <w:highlight w:val="none"/>
          <w:shd w:val="clear" w:color="auto" w:fill="FFFFFF"/>
        </w:rPr>
      </w:pPr>
      <w:r>
        <w:rPr>
          <w:rFonts w:hint="eastAsia"/>
          <w:color w:val="auto"/>
          <w:highlight w:val="none"/>
          <w:shd w:val="clear" w:color="auto" w:fill="FFFFFF"/>
          <w:lang w:val="en-US" w:eastAsia="zh-CN"/>
        </w:rPr>
        <w:t>9</w:t>
      </w:r>
      <w:r>
        <w:rPr>
          <w:rFonts w:hint="eastAsia"/>
          <w:color w:val="auto"/>
          <w:highlight w:val="none"/>
          <w:shd w:val="clear" w:color="auto" w:fill="FFFFFF"/>
        </w:rPr>
        <w:t>、本项目（否）接受联合体：不接受。</w:t>
      </w:r>
    </w:p>
    <w:p w14:paraId="5AE72A18">
      <w:pPr>
        <w:shd w:val="clear" w:color="auto" w:fill="FFFFFF"/>
        <w:snapToGrid w:val="0"/>
        <w:spacing w:line="44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5228590</wp:posOffset>
                </wp:positionV>
                <wp:extent cx="114935" cy="18097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14935" cy="180975"/>
                        </a:xfrm>
                        <a:prstGeom prst="rect">
                          <a:avLst/>
                        </a:prstGeom>
                        <a:noFill/>
                        <a:ln>
                          <a:noFill/>
                        </a:ln>
                      </wps:spPr>
                      <wps:txbx>
                        <w:txbxContent>
                          <w:p w14:paraId="6CA89E1C"/>
                        </w:txbxContent>
                      </wps:txbx>
                      <wps:bodyPr wrap="none" lIns="0" tIns="0" rIns="0" bIns="0" upright="1">
                        <a:spAutoFit/>
                      </wps:bodyPr>
                    </wps:wsp>
                  </a:graphicData>
                </a:graphic>
              </wp:anchor>
            </w:drawing>
          </mc:Choice>
          <mc:Fallback>
            <w:pict>
              <v:shape id="文本框 12" o:spid="_x0000_s1026" o:spt="202" type="#_x0000_t202" style="position:absolute;left:0pt;margin-top:411.7pt;height:14.25pt;width:9.05pt;mso-position-horizontal:center;mso-position-horizontal-relative:margin;mso-wrap-style:none;z-index:251659264;mso-width-relative:page;mso-height-relative:page;" filled="f" stroked="f" coordsize="21600,21600" o:gfxdata="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vDRT9QAAAAHAQAADwAAAAAAAAABACAAAAAiAAAAZHJz&#10;L2Rvd25yZXYueG1sUEsBAhQAFAAAAAgAh07iQG7wAs/PAQAAmAMAAA4AAAAAAAAAAQAgAAAAIwEA&#10;AGRycy9lMm9Eb2MueG1sUEsFBgAAAAAGAAYAWQEAAGQFAAAAAA==&#10;">
                <v:fill on="f" focussize="0,0"/>
                <v:stroke on="f"/>
                <v:imagedata o:title=""/>
                <o:lock v:ext="edit" aspectratio="f"/>
                <v:textbox inset="0mm,0mm,0mm,0mm" style="mso-fit-shape-to-text:t;">
                  <w:txbxContent>
                    <w:p w14:paraId="6CA89E1C"/>
                  </w:txbxContent>
                </v:textbox>
              </v:shape>
            </w:pict>
          </mc:Fallback>
        </mc:AlternateContent>
      </w:r>
      <w:r>
        <w:rPr>
          <w:rFonts w:hint="eastAsia" w:asciiTheme="minorEastAsia" w:hAnsiTheme="minorEastAsia" w:eastAsiaTheme="minorEastAsia" w:cstheme="minorEastAsia"/>
          <w:b/>
          <w:color w:val="auto"/>
          <w:sz w:val="24"/>
          <w:szCs w:val="24"/>
          <w:highlight w:val="none"/>
        </w:rPr>
        <w:t>二、申请人的资格要求：</w:t>
      </w:r>
    </w:p>
    <w:bookmarkEnd w:id="2"/>
    <w:p w14:paraId="3EF918B0">
      <w:pPr>
        <w:spacing w:line="360" w:lineRule="auto"/>
        <w:ind w:firstLine="480"/>
        <w:rPr>
          <w:rFonts w:ascii="宋体" w:hAnsi="宋体"/>
          <w:color w:val="auto"/>
          <w:sz w:val="24"/>
          <w:highlight w:val="none"/>
        </w:rPr>
      </w:pPr>
      <w:r>
        <w:rPr>
          <w:rFonts w:ascii="宋体" w:hAnsi="宋体"/>
          <w:color w:val="auto"/>
          <w:sz w:val="24"/>
          <w:highlight w:val="none"/>
        </w:rPr>
        <w:t>1、符合《中华人民共和国政府采购法》第二十二条（一）至（六）的规定，即：</w:t>
      </w:r>
    </w:p>
    <w:p w14:paraId="462E5BB7">
      <w:pPr>
        <w:spacing w:line="360" w:lineRule="auto"/>
        <w:ind w:firstLine="480"/>
        <w:rPr>
          <w:rFonts w:ascii="宋体" w:hAnsi="宋体"/>
          <w:color w:val="auto"/>
          <w:sz w:val="24"/>
          <w:highlight w:val="none"/>
        </w:rPr>
      </w:pPr>
      <w:r>
        <w:rPr>
          <w:rFonts w:hint="eastAsia" w:ascii="宋体" w:hAnsi="宋体"/>
          <w:color w:val="auto"/>
          <w:sz w:val="24"/>
          <w:highlight w:val="none"/>
        </w:rPr>
        <w:t>1.1在中华人民共和国注册的、具有独立承担民事责任能力（需提供营业执照副本、组织机构代码证、税务登记证或三证合一的营业执照的复印件加盖公章）</w:t>
      </w:r>
      <w:r>
        <w:rPr>
          <w:rFonts w:ascii="宋体" w:hAnsi="宋体"/>
          <w:color w:val="auto"/>
          <w:sz w:val="24"/>
          <w:highlight w:val="none"/>
        </w:rPr>
        <w:t>；</w:t>
      </w:r>
    </w:p>
    <w:p w14:paraId="70D820E8">
      <w:pPr>
        <w:spacing w:line="360" w:lineRule="auto"/>
        <w:ind w:firstLine="48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具有良好的商业信誉和健全的财务会计制度(提供承诺函</w:t>
      </w:r>
      <w:r>
        <w:rPr>
          <w:rFonts w:hint="eastAsia" w:ascii="宋体" w:hAnsi="宋体"/>
          <w:color w:val="auto"/>
          <w:sz w:val="24"/>
          <w:highlight w:val="none"/>
        </w:rPr>
        <w:t>加盖公章，格式自拟</w:t>
      </w:r>
      <w:r>
        <w:rPr>
          <w:rFonts w:ascii="宋体" w:hAnsi="宋体"/>
          <w:color w:val="auto"/>
          <w:sz w:val="24"/>
          <w:highlight w:val="none"/>
        </w:rPr>
        <w:t>)；</w:t>
      </w:r>
    </w:p>
    <w:p w14:paraId="7C13D18D">
      <w:pPr>
        <w:spacing w:line="360" w:lineRule="auto"/>
        <w:ind w:firstLine="48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具有履行合同所必需的设备和专业技术能力；(提供承诺函</w:t>
      </w:r>
      <w:r>
        <w:rPr>
          <w:rFonts w:hint="eastAsia" w:ascii="宋体" w:hAnsi="宋体"/>
          <w:color w:val="auto"/>
          <w:sz w:val="24"/>
          <w:highlight w:val="none"/>
        </w:rPr>
        <w:t>加盖公章，格式自拟</w:t>
      </w:r>
      <w:r>
        <w:rPr>
          <w:rFonts w:ascii="宋体" w:hAnsi="宋体"/>
          <w:color w:val="auto"/>
          <w:sz w:val="24"/>
          <w:highlight w:val="none"/>
        </w:rPr>
        <w:t>)</w:t>
      </w:r>
    </w:p>
    <w:p w14:paraId="09315837">
      <w:pPr>
        <w:spacing w:line="360" w:lineRule="auto"/>
        <w:ind w:firstLine="480"/>
        <w:rPr>
          <w:rFonts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 xml:space="preserve"> 有依法缴纳税收和社会保障资金的良好记录(提供承诺函</w:t>
      </w:r>
      <w:r>
        <w:rPr>
          <w:rFonts w:hint="eastAsia" w:ascii="宋体" w:hAnsi="宋体"/>
          <w:color w:val="auto"/>
          <w:sz w:val="24"/>
          <w:highlight w:val="none"/>
        </w:rPr>
        <w:t>加盖公章，格式自拟</w:t>
      </w:r>
      <w:r>
        <w:rPr>
          <w:rFonts w:ascii="宋体" w:hAnsi="宋体"/>
          <w:color w:val="auto"/>
          <w:sz w:val="24"/>
          <w:highlight w:val="none"/>
        </w:rPr>
        <w:t>)；</w:t>
      </w:r>
    </w:p>
    <w:p w14:paraId="54FE09FE">
      <w:pPr>
        <w:spacing w:line="360" w:lineRule="auto"/>
        <w:ind w:firstLine="480"/>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参加政府采购活动前三年内，在经营活动中没有重大违法记录（重大违法记录是指供应商因违法经营受到刑事处罚或者责令停产停业、吊销许可证或者执照、较大数额罚款等行政处罚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olor w:val="auto"/>
          <w:sz w:val="24"/>
          <w:highlight w:val="none"/>
        </w:rPr>
        <w:t>，提供承诺函加盖公章，格式自拟</w:t>
      </w:r>
      <w:r>
        <w:rPr>
          <w:rFonts w:ascii="宋体" w:hAnsi="宋体"/>
          <w:color w:val="auto"/>
          <w:sz w:val="24"/>
          <w:highlight w:val="none"/>
        </w:rPr>
        <w:t>）；</w:t>
      </w:r>
    </w:p>
    <w:p w14:paraId="422882F0">
      <w:pPr>
        <w:spacing w:line="360" w:lineRule="auto"/>
        <w:ind w:firstLine="480"/>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法律、行政法规规定的其他条件</w:t>
      </w:r>
      <w:r>
        <w:rPr>
          <w:rFonts w:hint="eastAsia" w:ascii="宋体" w:hAnsi="宋体"/>
          <w:color w:val="auto"/>
          <w:sz w:val="24"/>
          <w:highlight w:val="none"/>
        </w:rPr>
        <w:t>(提供承诺函加盖公章，格式自拟）</w:t>
      </w:r>
      <w:r>
        <w:rPr>
          <w:rFonts w:ascii="宋体" w:hAnsi="宋体"/>
          <w:color w:val="auto"/>
          <w:sz w:val="24"/>
          <w:highlight w:val="none"/>
        </w:rPr>
        <w:t>。</w:t>
      </w:r>
    </w:p>
    <w:p w14:paraId="0EF1E3F4">
      <w:pPr>
        <w:spacing w:line="360" w:lineRule="auto"/>
        <w:ind w:firstLine="480"/>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被“信用中国”网站（www.creditchina.gov.cn）中列入</w:t>
      </w:r>
      <w:r>
        <w:rPr>
          <w:rFonts w:hint="eastAsia" w:ascii="宋体" w:hAnsi="宋体"/>
          <w:color w:val="auto"/>
          <w:sz w:val="24"/>
          <w:highlight w:val="none"/>
        </w:rPr>
        <w:t>“</w:t>
      </w:r>
      <w:r>
        <w:rPr>
          <w:rFonts w:ascii="宋体" w:hAnsi="宋体"/>
          <w:color w:val="auto"/>
          <w:sz w:val="24"/>
          <w:highlight w:val="none"/>
        </w:rPr>
        <w:t>失信被执行人</w:t>
      </w:r>
      <w:r>
        <w:rPr>
          <w:rFonts w:hint="eastAsia" w:ascii="宋体" w:hAnsi="宋体"/>
          <w:color w:val="auto"/>
          <w:sz w:val="24"/>
          <w:highlight w:val="none"/>
        </w:rPr>
        <w:t>”</w:t>
      </w:r>
      <w:r>
        <w:rPr>
          <w:rFonts w:ascii="宋体" w:hAnsi="宋体"/>
          <w:color w:val="auto"/>
          <w:sz w:val="24"/>
          <w:highlight w:val="none"/>
        </w:rPr>
        <w:t>和</w:t>
      </w:r>
      <w:r>
        <w:rPr>
          <w:rFonts w:hint="eastAsia" w:ascii="宋体" w:hAnsi="宋体"/>
          <w:color w:val="auto"/>
          <w:sz w:val="24"/>
          <w:highlight w:val="none"/>
        </w:rPr>
        <w:t>“</w:t>
      </w:r>
      <w:r>
        <w:rPr>
          <w:rFonts w:ascii="宋体" w:hAnsi="宋体"/>
          <w:color w:val="auto"/>
          <w:sz w:val="24"/>
          <w:highlight w:val="none"/>
        </w:rPr>
        <w:t>重大税收违法案件当事人名单”的供应商、被中国政府采购网（www.ccgp.gov.cn）列入</w:t>
      </w:r>
      <w:r>
        <w:rPr>
          <w:rFonts w:hint="eastAsia" w:ascii="宋体" w:hAnsi="宋体"/>
          <w:color w:val="auto"/>
          <w:sz w:val="24"/>
          <w:highlight w:val="none"/>
        </w:rPr>
        <w:t>“</w:t>
      </w:r>
      <w:r>
        <w:rPr>
          <w:rFonts w:ascii="宋体" w:hAnsi="宋体"/>
          <w:color w:val="auto"/>
          <w:sz w:val="24"/>
          <w:highlight w:val="none"/>
        </w:rPr>
        <w:t>政府采购严重违法失信行为记”录名中被财政部门禁止参加政府采购活动的供应商（处罚决定规定的时间和地域范围内），无资格参加本项目的采购活动</w:t>
      </w:r>
      <w:r>
        <w:rPr>
          <w:rFonts w:hint="eastAsia" w:ascii="宋体" w:hAnsi="宋体"/>
          <w:color w:val="auto"/>
          <w:sz w:val="24"/>
          <w:highlight w:val="none"/>
        </w:rPr>
        <w:t>（</w:t>
      </w:r>
      <w:r>
        <w:rPr>
          <w:rFonts w:ascii="宋体" w:hAnsi="宋体"/>
          <w:color w:val="auto"/>
          <w:sz w:val="24"/>
          <w:highlight w:val="none"/>
        </w:rPr>
        <w:t>(提供承诺函</w:t>
      </w:r>
      <w:r>
        <w:rPr>
          <w:rFonts w:hint="eastAsia" w:ascii="宋体" w:hAnsi="宋体"/>
          <w:color w:val="auto"/>
          <w:sz w:val="24"/>
          <w:highlight w:val="none"/>
        </w:rPr>
        <w:t>加盖公章，格式自拟）</w:t>
      </w:r>
      <w:r>
        <w:rPr>
          <w:rFonts w:ascii="宋体" w:hAnsi="宋体"/>
          <w:color w:val="auto"/>
          <w:sz w:val="24"/>
          <w:highlight w:val="none"/>
        </w:rPr>
        <w:t xml:space="preserve">。 </w:t>
      </w:r>
    </w:p>
    <w:p w14:paraId="5A474393">
      <w:pPr>
        <w:spacing w:line="360" w:lineRule="auto"/>
        <w:ind w:firstLine="480"/>
        <w:rPr>
          <w:rFonts w:ascii="宋体" w:hAnsi="宋体"/>
          <w:color w:val="auto"/>
          <w:sz w:val="24"/>
          <w:highlight w:val="none"/>
        </w:rPr>
      </w:pPr>
      <w:r>
        <w:rPr>
          <w:rFonts w:hint="eastAsia" w:hAnsi="宋体"/>
          <w:color w:val="auto"/>
          <w:sz w:val="24"/>
          <w:highlight w:val="none"/>
          <w:lang w:val="en-US" w:eastAsia="zh-CN"/>
        </w:rPr>
        <w:t xml:space="preserve">1.8 </w:t>
      </w:r>
      <w:r>
        <w:rPr>
          <w:rFonts w:ascii="宋体" w:hAnsi="宋体"/>
          <w:color w:val="auto"/>
          <w:sz w:val="24"/>
          <w:highlight w:val="none"/>
        </w:rPr>
        <w:t>提供政府采购供应商信用承诺书。</w:t>
      </w:r>
    </w:p>
    <w:p w14:paraId="059031E3">
      <w:pPr>
        <w:spacing w:line="360" w:lineRule="auto"/>
        <w:ind w:firstLine="480"/>
        <w:rPr>
          <w:rFonts w:ascii="宋体" w:hAnsi="宋体"/>
          <w:color w:val="auto"/>
          <w:sz w:val="24"/>
          <w:highlight w:val="none"/>
        </w:rPr>
      </w:pPr>
      <w:r>
        <w:rPr>
          <w:rFonts w:hint="eastAsia" w:hAnsi="宋体"/>
          <w:color w:val="auto"/>
          <w:sz w:val="24"/>
          <w:highlight w:val="none"/>
          <w:lang w:val="en-US" w:eastAsia="zh-CN"/>
        </w:rPr>
        <w:t xml:space="preserve">1.9 </w:t>
      </w:r>
      <w:r>
        <w:rPr>
          <w:rFonts w:ascii="宋体" w:hAnsi="宋体"/>
          <w:color w:val="auto"/>
          <w:sz w:val="24"/>
          <w:highlight w:val="none"/>
        </w:rPr>
        <w:t>是否允许联合体投标：</w:t>
      </w:r>
      <w:r>
        <w:rPr>
          <w:rFonts w:hint="eastAsia" w:ascii="宋体" w:hAnsi="宋体"/>
          <w:color w:val="auto"/>
          <w:sz w:val="24"/>
          <w:highlight w:val="none"/>
        </w:rPr>
        <w:t>否</w:t>
      </w:r>
    </w:p>
    <w:p w14:paraId="679E747C">
      <w:pPr>
        <w:snapToGrid w:val="0"/>
        <w:spacing w:line="360" w:lineRule="auto"/>
        <w:ind w:firstLine="482" w:firstLineChars="200"/>
        <w:rPr>
          <w:b/>
          <w:bCs/>
          <w:color w:val="auto"/>
          <w:sz w:val="24"/>
          <w:szCs w:val="24"/>
          <w:highlight w:val="none"/>
        </w:rPr>
      </w:pPr>
      <w:r>
        <w:rPr>
          <w:rFonts w:hint="eastAsia"/>
          <w:b/>
          <w:bCs/>
          <w:color w:val="auto"/>
          <w:sz w:val="24"/>
          <w:szCs w:val="24"/>
          <w:highlight w:val="none"/>
        </w:rPr>
        <w:t>注：供应商承诺函不实的，将依照有关法律法规追究法律责任</w:t>
      </w:r>
    </w:p>
    <w:p w14:paraId="338411BB">
      <w:pPr>
        <w:snapToGrid w:val="0"/>
        <w:spacing w:line="360" w:lineRule="auto"/>
        <w:ind w:firstLine="482" w:firstLineChars="200"/>
        <w:rPr>
          <w:b/>
          <w:bCs/>
          <w:color w:val="auto"/>
          <w:sz w:val="24"/>
          <w:szCs w:val="24"/>
          <w:highlight w:val="none"/>
        </w:rPr>
      </w:pPr>
      <w:r>
        <w:rPr>
          <w:rFonts w:hint="eastAsia"/>
          <w:b/>
          <w:bCs/>
          <w:color w:val="auto"/>
          <w:sz w:val="24"/>
          <w:szCs w:val="24"/>
          <w:highlight w:val="none"/>
        </w:rPr>
        <w:t>2、落实政府采购政策需满足的资格要求：</w:t>
      </w:r>
    </w:p>
    <w:p w14:paraId="05157055">
      <w:pPr>
        <w:spacing w:line="360" w:lineRule="auto"/>
        <w:ind w:firstLine="480"/>
        <w:rPr>
          <w:rFonts w:hint="eastAsia" w:ascii="宋体" w:hAnsi="宋体"/>
          <w:color w:val="auto"/>
          <w:sz w:val="24"/>
          <w:highlight w:val="none"/>
        </w:rPr>
      </w:pPr>
      <w:r>
        <w:rPr>
          <w:rFonts w:ascii="宋体" w:hAnsi="宋体"/>
          <w:color w:val="auto"/>
          <w:sz w:val="24"/>
          <w:highlight w:val="none"/>
        </w:rPr>
        <w:t>本项目支持政府采购促进中小企业发展政策、政府采购支持监狱企业发展政策、促进残疾人就业政府采购政策、政府采购优先采购节能产品政策、政府采购优先采购环境标志产品政策、扶持不发达地区和少数民族地区等相关政策。</w:t>
      </w:r>
    </w:p>
    <w:p w14:paraId="1A95C0C2">
      <w:pPr>
        <w:adjustRightInd w:val="0"/>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三、获取采购文件</w:t>
      </w:r>
    </w:p>
    <w:p w14:paraId="11D950F9">
      <w:pP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1、时间：</w:t>
      </w:r>
      <w:r>
        <w:rPr>
          <w:rFonts w:hint="eastAsia" w:asciiTheme="minorEastAsia" w:hAnsiTheme="minorEastAsia" w:eastAsiaTheme="minorEastAsia" w:cstheme="minorEastAsia"/>
          <w:color w:val="auto"/>
          <w:sz w:val="24"/>
          <w:szCs w:val="24"/>
          <w:highlight w:val="none"/>
          <w:u w:val="single"/>
        </w:rPr>
        <w:t>2024</w:t>
      </w:r>
      <w:r>
        <w:rPr>
          <w:rFonts w:hint="eastAsia" w:asciiTheme="minorEastAsia" w:hAnsiTheme="minorEastAsia" w:eastAsiaTheme="minorEastAsia" w:cstheme="minorEastAsia"/>
          <w:bCs/>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rPr>
        <w:t>2024</w:t>
      </w:r>
      <w:r>
        <w:rPr>
          <w:rFonts w:hint="eastAsia" w:asciiTheme="minorEastAsia" w:hAnsiTheme="minorEastAsia" w:eastAsiaTheme="minorEastAsia" w:cstheme="minorEastAsia"/>
          <w:bCs/>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21</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rPr>
        <w:t>，每天上午</w:t>
      </w:r>
      <w:r>
        <w:rPr>
          <w:rFonts w:hint="eastAsia" w:asciiTheme="minorEastAsia" w:hAnsiTheme="minorEastAsia" w:eastAsiaTheme="minorEastAsia" w:cstheme="minorEastAsia"/>
          <w:bCs/>
          <w:color w:val="auto"/>
          <w:sz w:val="24"/>
          <w:szCs w:val="24"/>
          <w:highlight w:val="none"/>
          <w:u w:val="single"/>
        </w:rPr>
        <w:t>00：00</w:t>
      </w:r>
      <w:r>
        <w:rPr>
          <w:rFonts w:hint="eastAsia" w:asciiTheme="minorEastAsia" w:hAnsiTheme="minorEastAsia" w:eastAsiaTheme="minorEastAsia" w:cstheme="minorEastAsia"/>
          <w:bCs/>
          <w:color w:val="auto"/>
          <w:sz w:val="24"/>
          <w:szCs w:val="24"/>
          <w:highlight w:val="none"/>
        </w:rPr>
        <w:t>至</w:t>
      </w:r>
      <w:r>
        <w:rPr>
          <w:rFonts w:hint="eastAsia" w:asciiTheme="minorEastAsia" w:hAnsiTheme="minorEastAsia" w:eastAsiaTheme="minorEastAsia" w:cstheme="minorEastAsia"/>
          <w:bCs/>
          <w:color w:val="auto"/>
          <w:sz w:val="24"/>
          <w:szCs w:val="24"/>
          <w:highlight w:val="none"/>
          <w:u w:val="single"/>
        </w:rPr>
        <w:t>12：00</w:t>
      </w:r>
      <w:r>
        <w:rPr>
          <w:rFonts w:hint="eastAsia" w:asciiTheme="minorEastAsia" w:hAnsiTheme="minorEastAsia" w:eastAsiaTheme="minorEastAsia" w:cstheme="minorEastAsia"/>
          <w:bCs/>
          <w:color w:val="auto"/>
          <w:sz w:val="24"/>
          <w:szCs w:val="24"/>
          <w:highlight w:val="none"/>
        </w:rPr>
        <w:t>，下午</w:t>
      </w:r>
      <w:r>
        <w:rPr>
          <w:rFonts w:hint="eastAsia" w:asciiTheme="minorEastAsia" w:hAnsiTheme="minorEastAsia" w:eastAsiaTheme="minorEastAsia" w:cstheme="minorEastAsia"/>
          <w:bCs/>
          <w:color w:val="auto"/>
          <w:sz w:val="24"/>
          <w:szCs w:val="24"/>
          <w:highlight w:val="none"/>
          <w:u w:val="single"/>
        </w:rPr>
        <w:t>12：00</w:t>
      </w:r>
      <w:r>
        <w:rPr>
          <w:rFonts w:hint="eastAsia" w:asciiTheme="minorEastAsia" w:hAnsiTheme="minorEastAsia" w:eastAsiaTheme="minorEastAsia" w:cstheme="minorEastAsia"/>
          <w:bCs/>
          <w:color w:val="auto"/>
          <w:sz w:val="24"/>
          <w:szCs w:val="24"/>
          <w:highlight w:val="none"/>
        </w:rPr>
        <w:t>至</w:t>
      </w:r>
      <w:r>
        <w:rPr>
          <w:rFonts w:hint="eastAsia" w:asciiTheme="minorEastAsia" w:hAnsiTheme="minorEastAsia" w:eastAsiaTheme="minorEastAsia" w:cstheme="minorEastAsia"/>
          <w:bCs/>
          <w:color w:val="auto"/>
          <w:sz w:val="24"/>
          <w:szCs w:val="24"/>
          <w:highlight w:val="none"/>
          <w:u w:val="single"/>
          <w:lang w:val="en-US" w:eastAsia="zh-CN"/>
        </w:rPr>
        <w:t>23</w:t>
      </w:r>
      <w:r>
        <w:rPr>
          <w:rFonts w:hint="eastAsia" w:asciiTheme="minorEastAsia" w:hAnsiTheme="minorEastAsia" w:eastAsiaTheme="minorEastAsia" w:cstheme="minorEastAsia"/>
          <w:bCs/>
          <w:color w:val="auto"/>
          <w:sz w:val="24"/>
          <w:szCs w:val="24"/>
          <w:highlight w:val="none"/>
          <w:u w:val="single"/>
        </w:rPr>
        <w:t>：</w:t>
      </w:r>
      <w:r>
        <w:rPr>
          <w:rFonts w:hint="eastAsia" w:asciiTheme="minorEastAsia" w:hAnsiTheme="minorEastAsia" w:eastAsiaTheme="minorEastAsia" w:cstheme="minorEastAsia"/>
          <w:bCs/>
          <w:color w:val="auto"/>
          <w:sz w:val="24"/>
          <w:szCs w:val="24"/>
          <w:highlight w:val="none"/>
          <w:u w:val="single"/>
          <w:lang w:val="en-US" w:eastAsia="zh-CN"/>
        </w:rPr>
        <w:t>59</w:t>
      </w:r>
      <w:r>
        <w:rPr>
          <w:rFonts w:hint="eastAsia" w:asciiTheme="minorEastAsia" w:hAnsiTheme="minorEastAsia" w:eastAsiaTheme="minorEastAsia" w:cstheme="minorEastAsia"/>
          <w:bCs/>
          <w:color w:val="auto"/>
          <w:sz w:val="24"/>
          <w:szCs w:val="24"/>
          <w:highlight w:val="none"/>
        </w:rPr>
        <w:t>（北京时间，法定节假日除外）</w:t>
      </w:r>
    </w:p>
    <w:p w14:paraId="2911A2D6">
      <w:pPr>
        <w:spacing w:line="360" w:lineRule="auto"/>
        <w:ind w:firstLine="480" w:firstLineChars="200"/>
        <w:rPr>
          <w:rFonts w:hAnsi="宋体" w:cs="宋体"/>
          <w:color w:val="auto"/>
          <w:sz w:val="24"/>
          <w:highlight w:val="none"/>
        </w:rPr>
      </w:pPr>
      <w:r>
        <w:rPr>
          <w:rFonts w:hint="eastAsia" w:asciiTheme="minorEastAsia" w:hAnsiTheme="minorEastAsia" w:eastAsiaTheme="minorEastAsia" w:cstheme="minorEastAsia"/>
          <w:bCs/>
          <w:color w:val="auto"/>
          <w:sz w:val="24"/>
          <w:szCs w:val="24"/>
          <w:highlight w:val="none"/>
        </w:rPr>
        <w:t>2、地点：</w:t>
      </w:r>
      <w:r>
        <w:rPr>
          <w:rFonts w:hint="eastAsia" w:hAnsi="宋体" w:cs="宋体"/>
          <w:color w:val="auto"/>
          <w:kern w:val="2"/>
          <w:sz w:val="24"/>
          <w:szCs w:val="24"/>
          <w:highlight w:val="none"/>
        </w:rPr>
        <w:t>海南政府采购网(www.ccgp-hainan.gov.cn)-海南省政府采购电子化交易管理系统(新)</w:t>
      </w:r>
      <w:r>
        <w:rPr>
          <w:rFonts w:hint="eastAsia" w:asciiTheme="minorEastAsia" w:hAnsiTheme="minorEastAsia" w:eastAsiaTheme="minorEastAsia" w:cstheme="minorEastAsia"/>
          <w:color w:val="auto"/>
          <w:sz w:val="24"/>
          <w:szCs w:val="24"/>
          <w:highlight w:val="none"/>
          <w:lang w:val="en-GB"/>
        </w:rPr>
        <w:t>；</w:t>
      </w:r>
    </w:p>
    <w:p w14:paraId="243ECD1F">
      <w:pP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3、方式：</w:t>
      </w:r>
      <w:r>
        <w:rPr>
          <w:rFonts w:hint="eastAsia" w:asciiTheme="minorEastAsia" w:hAnsiTheme="minorEastAsia" w:eastAsiaTheme="minorEastAsia" w:cstheme="minorEastAsia"/>
          <w:color w:val="auto"/>
          <w:sz w:val="24"/>
          <w:szCs w:val="24"/>
          <w:highlight w:val="none"/>
        </w:rPr>
        <w:t>网上下载；</w:t>
      </w:r>
    </w:p>
    <w:p w14:paraId="08E7C88A">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4、售价：人民币0.00元/份。</w:t>
      </w:r>
    </w:p>
    <w:p w14:paraId="3CD1439B">
      <w:pPr>
        <w:adjustRightInd w:val="0"/>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四、</w:t>
      </w:r>
      <w:r>
        <w:rPr>
          <w:rFonts w:hint="eastAsia" w:asciiTheme="minorEastAsia" w:hAnsiTheme="minorEastAsia" w:eastAsiaTheme="minorEastAsia" w:cstheme="minorEastAsia"/>
          <w:b/>
          <w:bCs/>
          <w:color w:val="auto"/>
          <w:sz w:val="24"/>
          <w:szCs w:val="24"/>
          <w:highlight w:val="none"/>
        </w:rPr>
        <w:t>响应文件提交</w:t>
      </w:r>
    </w:p>
    <w:p w14:paraId="260B7770">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1、截止时间：</w:t>
      </w:r>
      <w:r>
        <w:rPr>
          <w:rFonts w:hint="eastAsia" w:asciiTheme="minorEastAsia" w:hAnsiTheme="minorEastAsia" w:eastAsiaTheme="minorEastAsia" w:cstheme="minorEastAsia"/>
          <w:color w:val="auto"/>
          <w:sz w:val="24"/>
          <w:szCs w:val="24"/>
          <w:highlight w:val="none"/>
          <w:u w:val="single"/>
          <w:lang w:eastAsia="zh-CN"/>
        </w:rPr>
        <w:t>10月</w:t>
      </w:r>
      <w:r>
        <w:rPr>
          <w:rFonts w:hint="eastAsia" w:asciiTheme="minorEastAsia" w:hAnsiTheme="minorEastAsia" w:eastAsiaTheme="minorEastAsia" w:cstheme="minorEastAsia"/>
          <w:color w:val="auto"/>
          <w:sz w:val="24"/>
          <w:szCs w:val="24"/>
          <w:highlight w:val="none"/>
          <w:u w:val="single"/>
          <w:lang w:val="en-US" w:eastAsia="zh-CN"/>
        </w:rPr>
        <w:t>28</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08</w:t>
      </w:r>
      <w:r>
        <w:rPr>
          <w:rFonts w:hint="eastAsia" w:asciiTheme="minorEastAsia" w:hAnsiTheme="minorEastAsia" w:eastAsiaTheme="minorEastAsia" w:cstheme="minorEastAsia"/>
          <w:color w:val="auto"/>
          <w:sz w:val="24"/>
          <w:szCs w:val="24"/>
          <w:highlight w:val="none"/>
          <w:u w:val="single"/>
          <w:lang w:eastAsia="zh-CN"/>
        </w:rPr>
        <w:t>时30分</w:t>
      </w:r>
      <w:r>
        <w:rPr>
          <w:rFonts w:hint="eastAsia" w:asciiTheme="minorEastAsia" w:hAnsiTheme="minorEastAsia" w:eastAsiaTheme="minorEastAsia" w:cstheme="minorEastAsia"/>
          <w:bCs/>
          <w:color w:val="auto"/>
          <w:sz w:val="24"/>
          <w:szCs w:val="24"/>
          <w:highlight w:val="none"/>
        </w:rPr>
        <w:t>（北京时间）。</w:t>
      </w:r>
    </w:p>
    <w:p w14:paraId="0E5FC16F">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2、地点：</w:t>
      </w:r>
      <w:r>
        <w:rPr>
          <w:rFonts w:hint="eastAsia" w:asciiTheme="minorEastAsia" w:hAnsiTheme="minorEastAsia" w:eastAsiaTheme="minorEastAsia" w:cstheme="minorEastAsia"/>
          <w:color w:val="auto"/>
          <w:sz w:val="24"/>
          <w:highlight w:val="none"/>
        </w:rPr>
        <w:t xml:space="preserve">全程线上远程开标-海南政府采购网(www.ccgp-hainan.gov.cn)-海南省政府采购电子化交易管理系统(新) </w:t>
      </w:r>
      <w:r>
        <w:rPr>
          <w:rFonts w:hint="eastAsia" w:asciiTheme="minorEastAsia" w:hAnsiTheme="minorEastAsia" w:eastAsiaTheme="minorEastAsia" w:cstheme="minorEastAsia"/>
          <w:color w:val="auto"/>
          <w:sz w:val="24"/>
          <w:szCs w:val="24"/>
          <w:highlight w:val="none"/>
        </w:rPr>
        <w:t>。</w:t>
      </w:r>
    </w:p>
    <w:p w14:paraId="61C27343">
      <w:pPr>
        <w:adjustRightInd w:val="0"/>
        <w:snapToGri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五、开启</w:t>
      </w:r>
    </w:p>
    <w:p w14:paraId="186DF36F">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1、时间：</w:t>
      </w:r>
      <w:r>
        <w:rPr>
          <w:rFonts w:hint="eastAsia" w:asciiTheme="minorEastAsia" w:hAnsiTheme="minorEastAsia" w:eastAsiaTheme="minorEastAsia" w:cstheme="minorEastAsia"/>
          <w:color w:val="auto"/>
          <w:sz w:val="24"/>
          <w:szCs w:val="24"/>
          <w:highlight w:val="none"/>
          <w:u w:val="single"/>
          <w:lang w:eastAsia="zh-CN"/>
        </w:rPr>
        <w:t>10月</w:t>
      </w:r>
      <w:r>
        <w:rPr>
          <w:rFonts w:hint="eastAsia" w:asciiTheme="minorEastAsia" w:hAnsiTheme="minorEastAsia" w:eastAsiaTheme="minorEastAsia" w:cstheme="minorEastAsia"/>
          <w:color w:val="auto"/>
          <w:sz w:val="24"/>
          <w:szCs w:val="24"/>
          <w:highlight w:val="none"/>
          <w:u w:val="single"/>
          <w:lang w:val="en-US" w:eastAsia="zh-CN"/>
        </w:rPr>
        <w:t>28</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08</w:t>
      </w:r>
      <w:r>
        <w:rPr>
          <w:rFonts w:hint="eastAsia" w:asciiTheme="minorEastAsia" w:hAnsiTheme="minorEastAsia" w:eastAsiaTheme="minorEastAsia" w:cstheme="minorEastAsia"/>
          <w:color w:val="auto"/>
          <w:sz w:val="24"/>
          <w:szCs w:val="24"/>
          <w:highlight w:val="none"/>
          <w:u w:val="single"/>
          <w:lang w:eastAsia="zh-CN"/>
        </w:rPr>
        <w:t>时30分</w:t>
      </w:r>
      <w:r>
        <w:rPr>
          <w:rFonts w:hint="eastAsia" w:asciiTheme="minorEastAsia" w:hAnsiTheme="minorEastAsia" w:eastAsiaTheme="minorEastAsia" w:cstheme="minorEastAsia"/>
          <w:bCs/>
          <w:color w:val="auto"/>
          <w:sz w:val="24"/>
          <w:szCs w:val="24"/>
          <w:highlight w:val="none"/>
        </w:rPr>
        <w:t>（北京时间）</w:t>
      </w:r>
    </w:p>
    <w:p w14:paraId="53B28588">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2、地点：</w:t>
      </w:r>
      <w:r>
        <w:rPr>
          <w:rFonts w:hint="eastAsia" w:asciiTheme="minorEastAsia" w:hAnsiTheme="minorEastAsia" w:eastAsiaTheme="minorEastAsia" w:cstheme="minorEastAsia"/>
          <w:color w:val="auto"/>
          <w:sz w:val="24"/>
          <w:highlight w:val="none"/>
        </w:rPr>
        <w:t xml:space="preserve">全程线上远程开标-海南政府采购网(www.ccgp-hainan.gov.cn)-海南省政府采购电子化交易管理系统(新) </w:t>
      </w:r>
      <w:r>
        <w:rPr>
          <w:rFonts w:hint="eastAsia" w:asciiTheme="minorEastAsia" w:hAnsiTheme="minorEastAsia" w:eastAsiaTheme="minorEastAsia" w:cstheme="minorEastAsia"/>
          <w:color w:val="auto"/>
          <w:sz w:val="24"/>
          <w:szCs w:val="24"/>
          <w:highlight w:val="none"/>
        </w:rPr>
        <w:t>。</w:t>
      </w:r>
    </w:p>
    <w:p w14:paraId="031EE38E">
      <w:pPr>
        <w:adjustRightInd w:val="0"/>
        <w:snapToGrid w:val="0"/>
        <w:spacing w:line="360" w:lineRule="auto"/>
        <w:rPr>
          <w:rFonts w:asciiTheme="minorEastAsia" w:hAnsiTheme="minorEastAsia" w:eastAsiaTheme="minorEastAsia" w:cstheme="minorEastAsia"/>
          <w:b/>
          <w:color w:val="auto"/>
          <w:sz w:val="24"/>
          <w:szCs w:val="24"/>
          <w:highlight w:val="none"/>
        </w:rPr>
      </w:pPr>
      <w:bookmarkStart w:id="7" w:name="_Toc28359017"/>
      <w:bookmarkStart w:id="8" w:name="_Toc28359094"/>
      <w:bookmarkStart w:id="9" w:name="_Toc35393803"/>
      <w:bookmarkStart w:id="10" w:name="_Toc35393634"/>
      <w:r>
        <w:rPr>
          <w:rFonts w:hint="eastAsia" w:asciiTheme="minorEastAsia" w:hAnsiTheme="minorEastAsia" w:eastAsiaTheme="minorEastAsia" w:cstheme="minorEastAsia"/>
          <w:b/>
          <w:bCs/>
          <w:color w:val="auto"/>
          <w:sz w:val="24"/>
          <w:szCs w:val="24"/>
          <w:highlight w:val="none"/>
        </w:rPr>
        <w:t>六、公告期限</w:t>
      </w:r>
      <w:bookmarkEnd w:id="7"/>
      <w:bookmarkEnd w:id="8"/>
      <w:bookmarkEnd w:id="9"/>
      <w:bookmarkEnd w:id="10"/>
    </w:p>
    <w:p w14:paraId="0B78F3CA">
      <w:pP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自本公告发布之日起不得少于</w:t>
      </w:r>
      <w:r>
        <w:rPr>
          <w:rFonts w:hint="eastAsia" w:asciiTheme="minorEastAsia" w:hAnsiTheme="minorEastAsia" w:eastAsiaTheme="minorEastAsia" w:cstheme="minorEastAsia"/>
          <w:bCs/>
          <w:color w:val="auto"/>
          <w:sz w:val="24"/>
          <w:szCs w:val="24"/>
          <w:highlight w:val="none"/>
        </w:rPr>
        <w:t>3</w:t>
      </w:r>
      <w:r>
        <w:rPr>
          <w:rFonts w:asciiTheme="minorEastAsia" w:hAnsiTheme="minorEastAsia" w:eastAsiaTheme="minorEastAsia" w:cstheme="minorEastAsia"/>
          <w:bCs/>
          <w:color w:val="auto"/>
          <w:sz w:val="24"/>
          <w:szCs w:val="24"/>
          <w:highlight w:val="none"/>
        </w:rPr>
        <w:t>个工作日</w:t>
      </w:r>
      <w:r>
        <w:rPr>
          <w:rFonts w:hint="eastAsia" w:asciiTheme="minorEastAsia" w:hAnsiTheme="minorEastAsia" w:eastAsiaTheme="minorEastAsia" w:cstheme="minorEastAsia"/>
          <w:bCs/>
          <w:color w:val="auto"/>
          <w:sz w:val="24"/>
          <w:szCs w:val="24"/>
          <w:highlight w:val="none"/>
        </w:rPr>
        <w:t>。</w:t>
      </w:r>
    </w:p>
    <w:p w14:paraId="783FF998">
      <w:pPr>
        <w:adjustRightInd w:val="0"/>
        <w:snapToGrid w:val="0"/>
        <w:spacing w:line="360" w:lineRule="auto"/>
        <w:rPr>
          <w:rFonts w:asciiTheme="minorEastAsia" w:hAnsiTheme="minorEastAsia" w:eastAsiaTheme="minorEastAsia" w:cstheme="minorEastAsia"/>
          <w:color w:val="auto"/>
          <w:sz w:val="24"/>
          <w:szCs w:val="24"/>
          <w:highlight w:val="none"/>
        </w:rPr>
      </w:pPr>
      <w:bookmarkStart w:id="11" w:name="_Toc35393804"/>
      <w:bookmarkStart w:id="12" w:name="_Toc35393635"/>
      <w:r>
        <w:rPr>
          <w:rFonts w:hint="eastAsia" w:asciiTheme="minorEastAsia" w:hAnsiTheme="minorEastAsia" w:eastAsiaTheme="minorEastAsia" w:cstheme="minorEastAsia"/>
          <w:b/>
          <w:bCs/>
          <w:color w:val="auto"/>
          <w:sz w:val="24"/>
          <w:szCs w:val="24"/>
          <w:highlight w:val="none"/>
        </w:rPr>
        <w:t>七、其他补充事宜</w:t>
      </w:r>
      <w:bookmarkEnd w:id="11"/>
      <w:bookmarkEnd w:id="12"/>
    </w:p>
    <w:p w14:paraId="0444E773">
      <w:pPr>
        <w:spacing w:line="360" w:lineRule="auto"/>
        <w:ind w:firstLine="480" w:firstLineChars="200"/>
        <w:rPr>
          <w:rFonts w:hAnsi="宋体" w:cs="宋体"/>
          <w:color w:val="auto"/>
          <w:sz w:val="24"/>
          <w:szCs w:val="24"/>
          <w:highlight w:val="none"/>
          <w:u w:color="000000"/>
        </w:rPr>
      </w:pPr>
      <w:bookmarkStart w:id="13" w:name="_Toc28359018"/>
      <w:bookmarkStart w:id="14" w:name="_Toc35393636"/>
      <w:bookmarkStart w:id="15" w:name="_Toc28359095"/>
      <w:bookmarkStart w:id="16" w:name="_Toc35393805"/>
      <w:r>
        <w:rPr>
          <w:rFonts w:hint="eastAsia" w:hAnsi="宋体" w:cs="宋体"/>
          <w:color w:val="auto"/>
          <w:sz w:val="24"/>
          <w:szCs w:val="24"/>
          <w:highlight w:val="none"/>
          <w:u w:color="000000"/>
        </w:rPr>
        <w:t>1、公告发布媒介：《海南省政府采购网》；</w:t>
      </w:r>
    </w:p>
    <w:p w14:paraId="55175441">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u w:color="000000"/>
        </w:rPr>
        <w:t>2、项目所属行业：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农、林、牧、渔,</w:t>
      </w:r>
      <w:r>
        <w:rPr>
          <w:rFonts w:hint="eastAsia" w:hAnsi="宋体" w:cs="宋体"/>
          <w:color w:val="auto"/>
          <w:sz w:val="24"/>
          <w:szCs w:val="24"/>
          <w:highlight w:val="none"/>
          <w:u w:color="000000"/>
        </w:rPr>
        <w:sym w:font="Wingdings" w:char="00FE"/>
      </w:r>
      <w:r>
        <w:rPr>
          <w:rFonts w:hint="eastAsia" w:hAnsi="宋体" w:cs="宋体"/>
          <w:color w:val="auto"/>
          <w:sz w:val="24"/>
          <w:szCs w:val="24"/>
          <w:highlight w:val="none"/>
          <w:u w:color="000000"/>
        </w:rPr>
        <w:t>工业(包括采矿业,制造业,电力、热力、燃气及水生产和供应业),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建筑业,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批发业,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零售业,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交通运输业(不含铁路运输业),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仓储业,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邮政业,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住宿业,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餐饮业,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信息传输业(包括电信、互联网和相关服务),</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软件和信息技术服务业,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房地产开发经营,</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物业管理,</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租赁和商务服务业,</w:t>
      </w:r>
      <w:r>
        <w:rPr>
          <w:rFonts w:hint="eastAsia" w:hAnsi="宋体" w:cs="宋体"/>
          <w:color w:val="auto"/>
          <w:sz w:val="24"/>
          <w:szCs w:val="24"/>
          <w:highlight w:val="none"/>
          <w:u w:color="000000"/>
        </w:rPr>
        <w:sym w:font="Wingdings" w:char="00A8"/>
      </w:r>
      <w:r>
        <w:rPr>
          <w:rFonts w:hint="eastAsia" w:hAnsi="宋体" w:cs="宋体"/>
          <w:color w:val="auto"/>
          <w:sz w:val="24"/>
          <w:szCs w:val="24"/>
          <w:highlight w:val="none"/>
          <w:u w:color="000000"/>
        </w:rPr>
        <w:t>其他未列明行业(包括科学研究和技术服务业,水利、环境和公共设施管理业,居民服务、修理和其他服务业,社会工作,文化、体育和娱乐业,房地产中介服务、租赁经营等)。</w:t>
      </w:r>
      <w:r>
        <w:rPr>
          <w:rFonts w:hint="eastAsia" w:hAnsi="宋体" w:cs="宋体"/>
          <w:color w:val="auto"/>
          <w:sz w:val="24"/>
          <w:szCs w:val="24"/>
          <w:highlight w:val="none"/>
        </w:rPr>
        <w:t>；</w:t>
      </w:r>
    </w:p>
    <w:p w14:paraId="3FAF350A">
      <w:pPr>
        <w:spacing w:line="390" w:lineRule="atLeast"/>
        <w:ind w:firstLine="480" w:firstLineChars="200"/>
        <w:rPr>
          <w:rFonts w:hAnsi="宋体" w:cs="宋体"/>
          <w:color w:val="auto"/>
          <w:sz w:val="24"/>
          <w:szCs w:val="24"/>
          <w:highlight w:val="none"/>
          <w:lang w:val="en-GB"/>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w:t>
      </w:r>
      <w:r>
        <w:rPr>
          <w:rFonts w:hint="eastAsia" w:hAnsi="宋体" w:cs="宋体"/>
          <w:color w:val="auto"/>
          <w:sz w:val="24"/>
          <w:szCs w:val="24"/>
          <w:highlight w:val="none"/>
          <w:lang w:val="en-GB"/>
        </w:rPr>
        <w:t>海南省政府采购网注册：供应商须在海南省政府采购网(https://www.ccgp-hainan.gov.cn/zhuzhan/)中的海南省政府采购电子化交易管理系统进行注册。</w:t>
      </w:r>
      <w:r>
        <w:rPr>
          <w:rFonts w:hint="eastAsia" w:hAnsi="宋体" w:cs="宋体"/>
          <w:b/>
          <w:bCs/>
          <w:color w:val="auto"/>
          <w:sz w:val="24"/>
          <w:szCs w:val="24"/>
          <w:highlight w:val="none"/>
          <w:lang w:val="en-GB"/>
        </w:rPr>
        <w:t>注意：</w:t>
      </w:r>
      <w:r>
        <w:rPr>
          <w:rFonts w:hint="eastAsia" w:hAnsi="宋体" w:cs="宋体"/>
          <w:color w:val="auto"/>
          <w:sz w:val="24"/>
          <w:szCs w:val="24"/>
          <w:highlight w:val="none"/>
          <w:lang w:val="en-GB"/>
        </w:rPr>
        <w:t>供应商制作投标文件、签到等需选择key签章，海南CA数字证书办理所需材料及地址如下：</w:t>
      </w:r>
    </w:p>
    <w:p w14:paraId="6E73B050">
      <w:pPr>
        <w:numPr>
          <w:ilvl w:val="0"/>
          <w:numId w:val="9"/>
        </w:numPr>
        <w:spacing w:line="390" w:lineRule="atLeast"/>
        <w:ind w:firstLine="480" w:firstLineChars="200"/>
        <w:rPr>
          <w:rFonts w:hAnsi="宋体" w:cs="宋体"/>
          <w:color w:val="auto"/>
          <w:sz w:val="24"/>
          <w:szCs w:val="24"/>
          <w:highlight w:val="none"/>
          <w:lang w:val="en-GB"/>
        </w:rPr>
      </w:pPr>
      <w:r>
        <w:rPr>
          <w:rFonts w:hint="eastAsia" w:hAnsi="宋体" w:cs="宋体"/>
          <w:color w:val="auto"/>
          <w:sz w:val="24"/>
          <w:szCs w:val="24"/>
          <w:highlight w:val="none"/>
          <w:lang w:val="en-GB"/>
        </w:rPr>
        <w:t>CA数字证书所需材料：登录海南省数字证书认证中心网站（网址：http://www.hndca.com/CA/） “服务支持”中的“海南省电子招投标用户办理数字证书业务指南”下载。（可在线办理，也可现场办理）；</w:t>
      </w:r>
    </w:p>
    <w:p w14:paraId="4FD61DA4">
      <w:pPr>
        <w:spacing w:line="390" w:lineRule="atLeast"/>
        <w:ind w:firstLine="480" w:firstLineChars="200"/>
        <w:rPr>
          <w:rFonts w:hAnsi="宋体" w:cs="宋体"/>
          <w:color w:val="auto"/>
          <w:sz w:val="24"/>
          <w:szCs w:val="24"/>
          <w:highlight w:val="none"/>
          <w:lang w:val="en-GB"/>
        </w:rPr>
      </w:pPr>
      <w:r>
        <w:rPr>
          <w:rFonts w:hint="eastAsia" w:hAnsi="宋体" w:cs="宋体"/>
          <w:color w:val="auto"/>
          <w:sz w:val="24"/>
          <w:szCs w:val="24"/>
          <w:highlight w:val="none"/>
          <w:lang w:val="en-GB"/>
        </w:rPr>
        <w:t>（2）CA 数字证书现场办理地址：海南省海口市美兰区大英山东三路2号海南数据谷二号营地2层212室。数字证书咨询电话：0898-66668096、0898-66664947，电子签章咨询电话：0898-6520320</w:t>
      </w:r>
      <w:r>
        <w:rPr>
          <w:rFonts w:hint="eastAsia" w:hAnsi="宋体" w:cs="宋体"/>
          <w:color w:val="auto"/>
          <w:sz w:val="24"/>
          <w:szCs w:val="24"/>
          <w:highlight w:val="none"/>
        </w:rPr>
        <w:t>7</w:t>
      </w:r>
      <w:r>
        <w:rPr>
          <w:rFonts w:hint="eastAsia" w:hAnsi="宋体" w:cs="宋体"/>
          <w:color w:val="auto"/>
          <w:sz w:val="24"/>
          <w:szCs w:val="24"/>
          <w:highlight w:val="none"/>
          <w:lang w:val="en-GB"/>
        </w:rPr>
        <w:t>）。已注册备案通过的供应商不需要再重新备案；已办理过海南CA锁数字证书进行招投标的用户，可直接使用，无须再办理。</w:t>
      </w:r>
    </w:p>
    <w:p w14:paraId="19D3F682">
      <w:pPr>
        <w:spacing w:line="360" w:lineRule="auto"/>
        <w:ind w:firstLine="480" w:firstLineChars="200"/>
        <w:jc w:val="left"/>
        <w:rPr>
          <w:rFonts w:hAnsi="宋体" w:cs="宋体"/>
          <w:color w:val="auto"/>
          <w:sz w:val="24"/>
          <w:szCs w:val="24"/>
          <w:highlight w:val="none"/>
          <w:lang w:val="en-GB"/>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w:t>
      </w:r>
      <w:r>
        <w:rPr>
          <w:rFonts w:hint="eastAsia" w:hAnsi="宋体" w:cs="宋体"/>
          <w:color w:val="auto"/>
          <w:sz w:val="24"/>
          <w:szCs w:val="24"/>
          <w:highlight w:val="none"/>
          <w:lang w:val="en-GB"/>
        </w:rPr>
        <w:t>获取采购文件方式：登录海南政府采购网(www.ccgp-hainan.gov.cn)-海南省政府采购电子化交易管理系统(新)交易平台进行报名并下载电子版竞争性磋商文件及其他文件。 </w:t>
      </w:r>
    </w:p>
    <w:p w14:paraId="1C65D68B">
      <w:pPr>
        <w:spacing w:line="360" w:lineRule="auto"/>
        <w:ind w:firstLine="480" w:firstLineChars="200"/>
        <w:jc w:val="left"/>
        <w:rPr>
          <w:rFonts w:hAnsi="宋体" w:cs="宋体"/>
          <w:color w:val="auto"/>
          <w:sz w:val="24"/>
          <w:szCs w:val="24"/>
          <w:highlight w:val="none"/>
          <w:lang w:val="en-GB"/>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w:t>
      </w:r>
      <w:r>
        <w:rPr>
          <w:rFonts w:hint="eastAsia" w:hAnsi="宋体" w:cs="宋体"/>
          <w:color w:val="auto"/>
          <w:sz w:val="24"/>
          <w:szCs w:val="24"/>
          <w:highlight w:val="none"/>
          <w:lang w:val="en-GB"/>
        </w:rPr>
        <w:t>本项目为全流程电子化操作项目：供应商必须使用最新版本的电子投标书编制工具制作电子版投标文件并使用CA数字证书（含手机CA）的电子印章进行签章，且使用CA数字证书（含手机CA）进行加密后在提交投标文件截止时间前上传</w:t>
      </w:r>
      <w:r>
        <w:rPr>
          <w:rFonts w:hint="eastAsia" w:hAnsi="宋体" w:cs="宋体"/>
          <w:color w:val="auto"/>
          <w:sz w:val="24"/>
          <w:szCs w:val="24"/>
          <w:highlight w:val="none"/>
        </w:rPr>
        <w:t>加密的电子投标文件</w:t>
      </w:r>
      <w:r>
        <w:rPr>
          <w:rFonts w:hint="eastAsia" w:hAnsi="宋体" w:cs="宋体"/>
          <w:color w:val="auto"/>
          <w:sz w:val="24"/>
          <w:szCs w:val="24"/>
          <w:highlight w:val="none"/>
          <w:lang w:val="en-GB"/>
        </w:rPr>
        <w:t>至交易系统，未经加密和</w:t>
      </w:r>
      <w:r>
        <w:rPr>
          <w:rFonts w:hint="eastAsia" w:hAnsi="宋体" w:cs="宋体"/>
          <w:color w:val="auto"/>
          <w:sz w:val="24"/>
          <w:szCs w:val="24"/>
          <w:highlight w:val="none"/>
        </w:rPr>
        <w:t>逾期</w:t>
      </w:r>
      <w:r>
        <w:rPr>
          <w:rFonts w:hint="eastAsia" w:hAnsi="宋体" w:cs="宋体"/>
          <w:color w:val="auto"/>
          <w:sz w:val="24"/>
          <w:szCs w:val="24"/>
          <w:highlight w:val="none"/>
          <w:lang w:val="en-GB"/>
        </w:rPr>
        <w:t>递交的电子投标文件，将被交易平台拒收。（投标文件制作工具是配合政府采购交易系统制作投标文件的工具。投标人/供应商使用该工具打开从系统下载的招投标文件包【为wtbwj格式】，离线编辑完成的投标文件各组成部分导入pdf格式签章，最终生成加密的投标文件【为wenc格式】）。电子投标书编制工具、投标工具使用手册及供应商使用手册等均可在海南省政府采购电子化交易管理系统（http://218.77.183.212:8199/u/loginu/）-帮助中心下载。 </w:t>
      </w:r>
    </w:p>
    <w:p w14:paraId="6CDCF01E">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、本项目采用远程开标，投标人无需</w:t>
      </w:r>
      <w:r>
        <w:rPr>
          <w:rFonts w:hint="eastAsia" w:hAnsi="宋体" w:cs="宋体"/>
          <w:color w:val="auto"/>
          <w:sz w:val="24"/>
          <w:szCs w:val="24"/>
          <w:highlight w:val="none"/>
          <w:lang w:val="en-GB"/>
        </w:rPr>
        <w:t>委派授权代表参加</w:t>
      </w:r>
      <w:r>
        <w:rPr>
          <w:rFonts w:hint="eastAsia" w:hAnsi="宋体" w:cs="宋体"/>
          <w:color w:val="auto"/>
          <w:sz w:val="24"/>
          <w:szCs w:val="24"/>
          <w:highlight w:val="none"/>
        </w:rPr>
        <w:t>现场开标。</w:t>
      </w:r>
      <w:r>
        <w:rPr>
          <w:rFonts w:hint="eastAsia" w:hAnsi="宋体" w:cs="宋体"/>
          <w:color w:val="auto"/>
          <w:sz w:val="24"/>
          <w:szCs w:val="24"/>
          <w:highlight w:val="none"/>
          <w:lang w:val="en-GB"/>
        </w:rPr>
        <w:t>开标时投标人使用个人电脑登入海南政府采购网(www.ccgp-hainan.gov.cn)-海南省政府采购电子化交易管理系统(新)(实体CA数字证书或移动CA数字证书，必须是生成投标文件时使用的数字认证锁) 进行远程解密。在开标前，投标人应利用参与开标的电脑提前登入开标系统进行电脑配置环境检测，并按提示设置电脑环境</w:t>
      </w:r>
      <w:r>
        <w:rPr>
          <w:rFonts w:hint="eastAsia" w:hAnsi="宋体" w:cs="宋体"/>
          <w:color w:val="auto"/>
          <w:sz w:val="24"/>
          <w:szCs w:val="24"/>
          <w:highlight w:val="none"/>
        </w:rPr>
        <w:t>。注：建议在开标截止时间前60分钟进入系统远程在线签到，如投标人未按时在线签到，此投标将被交易平台拒绝。</w:t>
      </w:r>
    </w:p>
    <w:p w14:paraId="7404B473">
      <w:pPr>
        <w:spacing w:line="360" w:lineRule="auto"/>
        <w:ind w:firstLine="480" w:firstLineChars="200"/>
        <w:jc w:val="left"/>
        <w:rPr>
          <w:color w:val="auto"/>
          <w:highlight w:val="none"/>
          <w:lang w:val="en-GB"/>
        </w:rPr>
      </w:pP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有关本项目文件的补遗、澄清及变更信息以上述网站公告与下载为准，文件与更正公告的内容相互矛盾时，以最后发出的更正公告内容为准。竞争性磋商文件有更正的必须重新下载更正后的竞争性磋商文件数据包编制电子投标文件，否则开标过程会解密失败。</w:t>
      </w:r>
    </w:p>
    <w:p w14:paraId="5F806E58">
      <w:pPr>
        <w:spacing w:line="360" w:lineRule="auto"/>
        <w:ind w:firstLine="482" w:firstLineChars="200"/>
        <w:jc w:val="left"/>
        <w:rPr>
          <w:rFonts w:hAnsi="宋体" w:cs="宋体"/>
          <w:color w:val="auto"/>
          <w:sz w:val="24"/>
          <w:szCs w:val="24"/>
          <w:highlight w:val="none"/>
          <w:lang w:val="en-GB"/>
        </w:rPr>
      </w:pPr>
      <w:r>
        <w:rPr>
          <w:rFonts w:hint="eastAsia" w:hAnsi="宋体" w:cs="宋体"/>
          <w:b/>
          <w:bCs/>
          <w:color w:val="auto"/>
          <w:sz w:val="24"/>
          <w:szCs w:val="24"/>
          <w:highlight w:val="none"/>
          <w:lang w:val="en-GB"/>
        </w:rPr>
        <w:t>注意事项：</w:t>
      </w:r>
      <w:r>
        <w:rPr>
          <w:rFonts w:hint="eastAsia" w:hAnsi="宋体" w:cs="宋体"/>
          <w:color w:val="auto"/>
          <w:sz w:val="24"/>
          <w:szCs w:val="24"/>
          <w:highlight w:val="none"/>
          <w:lang w:val="en-GB"/>
        </w:rPr>
        <w:t>本项目采用全流程电子化操作，供应商应详细阅读海南省政府采购网的通知《海南省财政厅关于进一步推进政府采购全流程电子化的通知》，下载查看操作手册，在使用交易系统遇到问题可致电技术支持：0898-68546705。</w:t>
      </w:r>
    </w:p>
    <w:p w14:paraId="376FC469">
      <w:pPr>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八、凡对本次采购提出询问，请按以下方式联系</w:t>
      </w:r>
      <w:bookmarkEnd w:id="13"/>
      <w:bookmarkEnd w:id="14"/>
      <w:bookmarkEnd w:id="15"/>
      <w:bookmarkEnd w:id="16"/>
    </w:p>
    <w:p w14:paraId="4675410A">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rPr>
      </w:pPr>
      <w:bookmarkStart w:id="17" w:name="_Toc28359096"/>
      <w:bookmarkStart w:id="18" w:name="_Toc28359019"/>
      <w:bookmarkStart w:id="19" w:name="_Toc35393806"/>
      <w:bookmarkStart w:id="20" w:name="_Toc35393637"/>
      <w:r>
        <w:rPr>
          <w:rFonts w:hint="eastAsia" w:asciiTheme="minorEastAsia" w:hAnsiTheme="minorEastAsia" w:eastAsiaTheme="minorEastAsia" w:cstheme="minorEastAsia"/>
          <w:bCs/>
          <w:color w:val="auto"/>
          <w:sz w:val="24"/>
          <w:szCs w:val="24"/>
          <w:highlight w:val="none"/>
        </w:rPr>
        <w:t>1、采购人信息</w:t>
      </w:r>
      <w:bookmarkEnd w:id="17"/>
      <w:bookmarkEnd w:id="18"/>
      <w:bookmarkEnd w:id="19"/>
      <w:bookmarkEnd w:id="20"/>
    </w:p>
    <w:p w14:paraId="29C70E6D">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名    称：</w:t>
      </w:r>
      <w:r>
        <w:rPr>
          <w:rFonts w:hint="eastAsia" w:asciiTheme="minorEastAsia" w:hAnsiTheme="minorEastAsia" w:eastAsiaTheme="minorEastAsia" w:cstheme="minorEastAsia"/>
          <w:bCs/>
          <w:color w:val="auto"/>
          <w:sz w:val="24"/>
          <w:szCs w:val="24"/>
          <w:highlight w:val="none"/>
          <w:lang w:eastAsia="zh-CN"/>
        </w:rPr>
        <w:t>海南省技师学院</w:t>
      </w:r>
    </w:p>
    <w:p w14:paraId="594F83DA">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地    址：</w:t>
      </w:r>
      <w:r>
        <w:rPr>
          <w:rFonts w:hint="eastAsia" w:asciiTheme="minorEastAsia" w:hAnsiTheme="minorEastAsia" w:eastAsiaTheme="minorEastAsia" w:cstheme="minorEastAsia"/>
          <w:bCs/>
          <w:color w:val="auto"/>
          <w:sz w:val="24"/>
          <w:szCs w:val="24"/>
          <w:highlight w:val="none"/>
          <w:lang w:eastAsia="zh-CN"/>
        </w:rPr>
        <w:t>海南省技师学院老城校区</w:t>
      </w:r>
    </w:p>
    <w:p w14:paraId="64183269">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bookmarkStart w:id="21" w:name="_Toc28359097"/>
      <w:bookmarkStart w:id="22" w:name="_Toc28359020"/>
      <w:bookmarkStart w:id="23" w:name="_Toc35393807"/>
      <w:bookmarkStart w:id="24" w:name="_Toc35393638"/>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孟老师/</w:t>
      </w:r>
      <w:r>
        <w:rPr>
          <w:rFonts w:hint="eastAsia" w:asciiTheme="minorEastAsia" w:hAnsiTheme="minorEastAsia" w:eastAsiaTheme="minorEastAsia" w:cstheme="minorEastAsia"/>
          <w:bCs/>
          <w:color w:val="auto"/>
          <w:sz w:val="24"/>
          <w:szCs w:val="24"/>
          <w:highlight w:val="none"/>
          <w:lang w:eastAsia="zh-CN"/>
        </w:rPr>
        <w:t>13876395352</w:t>
      </w:r>
    </w:p>
    <w:p w14:paraId="0747D2B2">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2、采购代理机构信息</w:t>
      </w:r>
      <w:bookmarkEnd w:id="21"/>
      <w:bookmarkEnd w:id="22"/>
      <w:bookmarkEnd w:id="23"/>
      <w:bookmarkEnd w:id="24"/>
    </w:p>
    <w:p w14:paraId="1455E787">
      <w:pPr>
        <w:adjustRightInd w:val="0"/>
        <w:snapToGrid w:val="0"/>
        <w:spacing w:line="360" w:lineRule="auto"/>
        <w:ind w:firstLine="480" w:firstLineChars="200"/>
        <w:rPr>
          <w:rFonts w:hint="eastAsia" w:hAnsi="宋体" w:cs="宋体" w:eastAsiaTheme="minorEastAsia"/>
          <w:color w:val="auto"/>
          <w:sz w:val="24"/>
          <w:highlight w:val="none"/>
          <w:u w:color="000000"/>
          <w:lang w:eastAsia="zh-CN"/>
        </w:rPr>
      </w:pPr>
      <w:r>
        <w:rPr>
          <w:rFonts w:hint="eastAsia" w:asciiTheme="minorEastAsia" w:hAnsiTheme="minorEastAsia" w:eastAsiaTheme="minorEastAsia" w:cstheme="minorEastAsia"/>
          <w:bCs/>
          <w:color w:val="auto"/>
          <w:sz w:val="24"/>
          <w:szCs w:val="24"/>
          <w:highlight w:val="none"/>
        </w:rPr>
        <w:t>名    称：</w:t>
      </w:r>
      <w:r>
        <w:rPr>
          <w:rFonts w:hint="eastAsia" w:hAnsi="宋体" w:cs="宋体" w:eastAsiaTheme="minorEastAsia"/>
          <w:color w:val="auto"/>
          <w:sz w:val="24"/>
          <w:highlight w:val="none"/>
          <w:u w:color="000000"/>
          <w:lang w:eastAsia="zh-CN"/>
        </w:rPr>
        <w:t>海南政德项目管理有限公司</w:t>
      </w:r>
    </w:p>
    <w:p w14:paraId="500F0B2D">
      <w:pPr>
        <w:adjustRightInd w:val="0"/>
        <w:snapToGrid w:val="0"/>
        <w:spacing w:line="360" w:lineRule="auto"/>
        <w:ind w:firstLine="480" w:firstLineChars="200"/>
        <w:rPr>
          <w:rFonts w:hint="eastAsia" w:hAnsi="宋体" w:cs="宋体"/>
          <w:bCs/>
          <w:color w:val="auto"/>
          <w:sz w:val="24"/>
          <w:highlight w:val="none"/>
          <w:lang w:eastAsia="zh-CN"/>
        </w:rPr>
      </w:pPr>
      <w:r>
        <w:rPr>
          <w:rFonts w:hint="eastAsia" w:asciiTheme="minorEastAsia" w:hAnsiTheme="minorEastAsia" w:eastAsiaTheme="minorEastAsia" w:cstheme="minorEastAsia"/>
          <w:bCs/>
          <w:color w:val="auto"/>
          <w:sz w:val="24"/>
          <w:szCs w:val="24"/>
          <w:highlight w:val="none"/>
        </w:rPr>
        <w:t>地　　址：</w:t>
      </w:r>
      <w:r>
        <w:rPr>
          <w:rFonts w:hint="eastAsia" w:hAnsi="宋体" w:cs="宋体"/>
          <w:bCs/>
          <w:color w:val="auto"/>
          <w:sz w:val="24"/>
          <w:highlight w:val="none"/>
          <w:lang w:eastAsia="zh-CN"/>
        </w:rPr>
        <w:t>海南省海口市美兰区大英山东一路7号国瑞城雅仕苑1栋2单元18层1802房</w:t>
      </w:r>
    </w:p>
    <w:p w14:paraId="70920801">
      <w:pPr>
        <w:adjustRightInd w:val="0"/>
        <w:snapToGrid w:val="0"/>
        <w:spacing w:line="360" w:lineRule="auto"/>
        <w:ind w:firstLine="480" w:firstLineChars="200"/>
        <w:rPr>
          <w:rFonts w:hint="eastAsia" w:eastAsia="宋体" w:asciiTheme="minorEastAsia" w:hAnsi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联系方式：</w:t>
      </w:r>
      <w:r>
        <w:rPr>
          <w:rFonts w:hint="eastAsia" w:asciiTheme="minorEastAsia" w:hAnsiTheme="minorEastAsia" w:eastAsiaTheme="minorEastAsia" w:cstheme="minorEastAsia"/>
          <w:bCs/>
          <w:color w:val="auto"/>
          <w:sz w:val="24"/>
          <w:szCs w:val="24"/>
          <w:highlight w:val="none"/>
          <w:lang w:val="en-US" w:eastAsia="zh-CN"/>
        </w:rPr>
        <w:t>林</w:t>
      </w:r>
      <w:r>
        <w:rPr>
          <w:rFonts w:hint="eastAsia" w:asciiTheme="minorEastAsia" w:hAnsiTheme="minorEastAsia" w:eastAsiaTheme="minorEastAsia" w:cstheme="minorEastAsia"/>
          <w:bCs/>
          <w:color w:val="auto"/>
          <w:sz w:val="24"/>
          <w:szCs w:val="24"/>
          <w:highlight w:val="none"/>
        </w:rPr>
        <w:t>工/</w:t>
      </w:r>
      <w:r>
        <w:rPr>
          <w:rFonts w:hint="eastAsia" w:ascii="宋体" w:hAnsi="宋体"/>
          <w:color w:val="auto"/>
          <w:sz w:val="24"/>
          <w:highlight w:val="none"/>
        </w:rPr>
        <w:t>0898-</w:t>
      </w:r>
      <w:r>
        <w:rPr>
          <w:rFonts w:hint="eastAsia" w:hAnsi="宋体"/>
          <w:color w:val="auto"/>
          <w:sz w:val="24"/>
          <w:highlight w:val="none"/>
          <w:lang w:eastAsia="zh-CN"/>
        </w:rPr>
        <w:t>65227090</w:t>
      </w:r>
    </w:p>
    <w:p w14:paraId="134113C5">
      <w:pPr>
        <w:adjustRightInd w:val="0"/>
        <w:snapToGrid w:val="0"/>
        <w:spacing w:line="360" w:lineRule="auto"/>
        <w:ind w:firstLine="360" w:firstLineChars="150"/>
        <w:rPr>
          <w:rFonts w:asciiTheme="minorEastAsia" w:hAnsiTheme="minorEastAsia" w:eastAsiaTheme="minorEastAsia" w:cstheme="minorEastAsia"/>
          <w:bCs/>
          <w:color w:val="auto"/>
          <w:sz w:val="24"/>
          <w:szCs w:val="24"/>
          <w:highlight w:val="none"/>
        </w:rPr>
      </w:pPr>
      <w:bookmarkStart w:id="25" w:name="_Toc28359021"/>
      <w:bookmarkStart w:id="26" w:name="_Toc28359098"/>
      <w:bookmarkStart w:id="27" w:name="_Toc35393808"/>
      <w:bookmarkStart w:id="28" w:name="_Toc35393639"/>
      <w:r>
        <w:rPr>
          <w:rFonts w:hint="eastAsia" w:asciiTheme="minorEastAsia" w:hAnsiTheme="minorEastAsia" w:eastAsiaTheme="minorEastAsia" w:cstheme="minorEastAsia"/>
          <w:bCs/>
          <w:color w:val="auto"/>
          <w:sz w:val="24"/>
          <w:szCs w:val="24"/>
          <w:highlight w:val="none"/>
        </w:rPr>
        <w:t>3、项目联系方式</w:t>
      </w:r>
      <w:bookmarkEnd w:id="25"/>
      <w:bookmarkEnd w:id="26"/>
      <w:bookmarkEnd w:id="27"/>
      <w:bookmarkEnd w:id="28"/>
    </w:p>
    <w:p w14:paraId="40F0BE5E">
      <w:pP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项目联系人：</w:t>
      </w:r>
      <w:r>
        <w:rPr>
          <w:rFonts w:hint="eastAsia" w:asciiTheme="minorEastAsia" w:hAnsiTheme="minorEastAsia" w:eastAsiaTheme="minorEastAsia" w:cstheme="minorEastAsia"/>
          <w:bCs/>
          <w:color w:val="auto"/>
          <w:sz w:val="24"/>
          <w:szCs w:val="24"/>
          <w:highlight w:val="none"/>
          <w:lang w:val="en-US" w:eastAsia="zh-CN"/>
        </w:rPr>
        <w:t>林</w:t>
      </w:r>
      <w:r>
        <w:rPr>
          <w:rFonts w:hint="eastAsia" w:asciiTheme="minorEastAsia" w:hAnsiTheme="minorEastAsia" w:eastAsiaTheme="minorEastAsia" w:cstheme="minorEastAsia"/>
          <w:bCs/>
          <w:color w:val="auto"/>
          <w:sz w:val="24"/>
          <w:szCs w:val="24"/>
          <w:highlight w:val="none"/>
        </w:rPr>
        <w:t>工</w:t>
      </w:r>
    </w:p>
    <w:p w14:paraId="59082016">
      <w:pPr>
        <w:spacing w:line="360" w:lineRule="auto"/>
        <w:ind w:firstLine="480" w:firstLineChars="200"/>
        <w:rPr>
          <w:rFonts w:hint="eastAsia" w:eastAsia="宋体" w:asciiTheme="minorEastAsia" w:hAnsi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电　　话：</w:t>
      </w:r>
      <w:bookmarkStart w:id="29" w:name="_Toc10018"/>
      <w:bookmarkStart w:id="30" w:name="_Toc495679392"/>
      <w:r>
        <w:rPr>
          <w:rFonts w:hint="eastAsia" w:ascii="宋体" w:hAnsi="宋体"/>
          <w:color w:val="auto"/>
          <w:sz w:val="24"/>
          <w:highlight w:val="none"/>
        </w:rPr>
        <w:t>0898-</w:t>
      </w:r>
      <w:r>
        <w:rPr>
          <w:rFonts w:hint="eastAsia" w:hAnsi="宋体"/>
          <w:color w:val="auto"/>
          <w:sz w:val="24"/>
          <w:highlight w:val="none"/>
          <w:lang w:eastAsia="zh-CN"/>
        </w:rPr>
        <w:t>65227090</w:t>
      </w:r>
    </w:p>
    <w:p w14:paraId="69A25422">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29"/>
    <w:bookmarkEnd w:id="30"/>
    <w:p w14:paraId="5FF2E949">
      <w:pPr>
        <w:pStyle w:val="2"/>
        <w:pageBreakBefore/>
        <w:numPr>
          <w:ilvl w:val="0"/>
          <w:numId w:val="5"/>
        </w:numPr>
        <w:spacing w:before="0" w:after="0" w:line="276" w:lineRule="auto"/>
        <w:rPr>
          <w:rFonts w:hint="eastAsia" w:ascii="仿宋" w:hAnsi="仿宋" w:eastAsia="仿宋"/>
          <w:color w:val="auto"/>
          <w:sz w:val="44"/>
          <w:szCs w:val="44"/>
          <w:highlight w:val="none"/>
        </w:rPr>
      </w:pPr>
      <w:bookmarkStart w:id="31" w:name="_Toc18146"/>
      <w:bookmarkStart w:id="32" w:name="_Toc8489"/>
      <w:bookmarkStart w:id="33" w:name="_Toc495679398"/>
      <w:r>
        <w:rPr>
          <w:rFonts w:hint="eastAsia" w:ascii="仿宋" w:hAnsi="仿宋" w:eastAsia="仿宋"/>
          <w:color w:val="auto"/>
          <w:sz w:val="44"/>
          <w:szCs w:val="44"/>
          <w:highlight w:val="none"/>
        </w:rPr>
        <w:t>供应商须知</w:t>
      </w:r>
      <w:bookmarkEnd w:id="31"/>
      <w:bookmarkEnd w:id="32"/>
      <w:bookmarkEnd w:id="33"/>
      <w:bookmarkStart w:id="34" w:name="_Toc30602"/>
    </w:p>
    <w:p w14:paraId="116462AC">
      <w:pPr>
        <w:pStyle w:val="880"/>
        <w:numPr>
          <w:ilvl w:val="0"/>
          <w:numId w:val="0"/>
        </w:numPr>
        <w:spacing w:before="120" w:after="120"/>
        <w:jc w:val="center"/>
        <w:rPr>
          <w:b/>
          <w:bCs/>
          <w:color w:val="auto"/>
          <w:highlight w:val="none"/>
        </w:rPr>
      </w:pPr>
      <w:r>
        <w:rPr>
          <w:rFonts w:hint="eastAsia"/>
          <w:b/>
          <w:bCs/>
          <w:color w:val="auto"/>
          <w:highlight w:val="none"/>
        </w:rPr>
        <w:t>供应商须知前附表</w:t>
      </w:r>
      <w:bookmarkEnd w:id="34"/>
    </w:p>
    <w:tbl>
      <w:tblPr>
        <w:tblStyle w:val="6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176"/>
        <w:gridCol w:w="6662"/>
      </w:tblGrid>
      <w:tr w14:paraId="3317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Align w:val="center"/>
          </w:tcPr>
          <w:p w14:paraId="11EC2391">
            <w:pPr>
              <w:pStyle w:val="974"/>
              <w:rPr>
                <w:color w:val="auto"/>
                <w:highlight w:val="none"/>
              </w:rPr>
            </w:pPr>
            <w:r>
              <w:rPr>
                <w:rFonts w:hint="eastAsia"/>
                <w:color w:val="auto"/>
                <w:highlight w:val="none"/>
              </w:rPr>
              <w:t>条款号</w:t>
            </w:r>
          </w:p>
        </w:tc>
        <w:tc>
          <w:tcPr>
            <w:tcW w:w="2176" w:type="dxa"/>
            <w:vAlign w:val="center"/>
          </w:tcPr>
          <w:p w14:paraId="3E217B37">
            <w:pPr>
              <w:pStyle w:val="974"/>
              <w:rPr>
                <w:color w:val="auto"/>
                <w:highlight w:val="none"/>
              </w:rPr>
            </w:pPr>
            <w:r>
              <w:rPr>
                <w:rFonts w:hint="eastAsia"/>
                <w:color w:val="auto"/>
                <w:highlight w:val="none"/>
              </w:rPr>
              <w:t>条款名称</w:t>
            </w:r>
          </w:p>
        </w:tc>
        <w:tc>
          <w:tcPr>
            <w:tcW w:w="6662" w:type="dxa"/>
            <w:vAlign w:val="center"/>
          </w:tcPr>
          <w:p w14:paraId="043AA9CF">
            <w:pPr>
              <w:pStyle w:val="974"/>
              <w:rPr>
                <w:color w:val="auto"/>
                <w:highlight w:val="none"/>
              </w:rPr>
            </w:pPr>
            <w:r>
              <w:rPr>
                <w:rFonts w:hint="eastAsia"/>
                <w:color w:val="auto"/>
                <w:highlight w:val="none"/>
              </w:rPr>
              <w:t>编列内容</w:t>
            </w:r>
          </w:p>
        </w:tc>
      </w:tr>
      <w:tr w14:paraId="37E5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3" w:type="dxa"/>
            <w:vAlign w:val="center"/>
          </w:tcPr>
          <w:p w14:paraId="48BD9101">
            <w:pPr>
              <w:spacing w:line="360" w:lineRule="auto"/>
              <w:jc w:val="center"/>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2.1</w:t>
            </w:r>
          </w:p>
        </w:tc>
        <w:tc>
          <w:tcPr>
            <w:tcW w:w="2176" w:type="dxa"/>
            <w:vAlign w:val="center"/>
          </w:tcPr>
          <w:p w14:paraId="1849576D">
            <w:pPr>
              <w:pStyle w:val="974"/>
              <w:rPr>
                <w:color w:val="auto"/>
                <w:highlight w:val="none"/>
              </w:rPr>
            </w:pPr>
            <w:r>
              <w:rPr>
                <w:rFonts w:hint="eastAsia"/>
                <w:color w:val="auto"/>
                <w:highlight w:val="none"/>
              </w:rPr>
              <w:t>项目名称</w:t>
            </w:r>
          </w:p>
        </w:tc>
        <w:tc>
          <w:tcPr>
            <w:tcW w:w="6662" w:type="dxa"/>
            <w:vAlign w:val="center"/>
          </w:tcPr>
          <w:p w14:paraId="1BDDA351">
            <w:pPr>
              <w:pStyle w:val="974"/>
              <w:rPr>
                <w:rFonts w:hint="eastAsia" w:eastAsia="宋体"/>
                <w:color w:val="auto"/>
                <w:highlight w:val="none"/>
                <w:lang w:eastAsia="zh-CN"/>
              </w:rPr>
            </w:pPr>
            <w:r>
              <w:rPr>
                <w:rFonts w:hint="eastAsia"/>
                <w:color w:val="auto"/>
                <w:highlight w:val="none"/>
                <w:lang w:eastAsia="zh-CN"/>
              </w:rPr>
              <w:t>GF智能制造创新实践基地（二期）</w:t>
            </w:r>
          </w:p>
        </w:tc>
      </w:tr>
      <w:tr w14:paraId="55F4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03" w:type="dxa"/>
            <w:vAlign w:val="center"/>
          </w:tcPr>
          <w:p w14:paraId="73C8B899">
            <w:pPr>
              <w:spacing w:line="360" w:lineRule="auto"/>
              <w:jc w:val="center"/>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2.2</w:t>
            </w:r>
          </w:p>
        </w:tc>
        <w:tc>
          <w:tcPr>
            <w:tcW w:w="2176" w:type="dxa"/>
            <w:vAlign w:val="center"/>
          </w:tcPr>
          <w:p w14:paraId="398AF61C">
            <w:pPr>
              <w:pStyle w:val="974"/>
              <w:rPr>
                <w:color w:val="auto"/>
                <w:highlight w:val="none"/>
              </w:rPr>
            </w:pPr>
            <w:r>
              <w:rPr>
                <w:rFonts w:hint="eastAsia"/>
                <w:color w:val="auto"/>
                <w:highlight w:val="none"/>
              </w:rPr>
              <w:t>项目编号</w:t>
            </w:r>
          </w:p>
        </w:tc>
        <w:tc>
          <w:tcPr>
            <w:tcW w:w="6662" w:type="dxa"/>
            <w:vAlign w:val="center"/>
          </w:tcPr>
          <w:p w14:paraId="2115C270">
            <w:pPr>
              <w:pStyle w:val="974"/>
              <w:rPr>
                <w:rFonts w:hint="eastAsia" w:eastAsia="宋体"/>
                <w:color w:val="auto"/>
                <w:highlight w:val="none"/>
                <w:lang w:eastAsia="zh-CN"/>
              </w:rPr>
            </w:pPr>
            <w:r>
              <w:rPr>
                <w:rFonts w:hint="eastAsia"/>
                <w:color w:val="auto"/>
                <w:highlight w:val="none"/>
                <w:lang w:eastAsia="zh-CN"/>
              </w:rPr>
              <w:t>HNZD-2024-028</w:t>
            </w:r>
          </w:p>
        </w:tc>
      </w:tr>
      <w:tr w14:paraId="781A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03" w:type="dxa"/>
            <w:vAlign w:val="center"/>
          </w:tcPr>
          <w:p w14:paraId="714613FF">
            <w:pPr>
              <w:spacing w:line="360" w:lineRule="auto"/>
              <w:jc w:val="center"/>
              <w:rPr>
                <w:rFonts w:hAnsi="宋体" w:cs="宋体"/>
                <w:color w:val="auto"/>
                <w:sz w:val="24"/>
                <w:highlight w:val="none"/>
              </w:rPr>
            </w:pPr>
            <w:r>
              <w:rPr>
                <w:rFonts w:asciiTheme="minorEastAsia" w:hAnsiTheme="minorEastAsia" w:eastAsiaTheme="minorEastAsia" w:cstheme="minorEastAsia"/>
                <w:bCs/>
                <w:color w:val="auto"/>
                <w:sz w:val="24"/>
                <w:szCs w:val="24"/>
                <w:highlight w:val="none"/>
              </w:rPr>
              <w:t>2.3</w:t>
            </w:r>
          </w:p>
        </w:tc>
        <w:tc>
          <w:tcPr>
            <w:tcW w:w="2176" w:type="dxa"/>
            <w:vAlign w:val="center"/>
          </w:tcPr>
          <w:p w14:paraId="59C80D61">
            <w:pPr>
              <w:pStyle w:val="974"/>
              <w:rPr>
                <w:color w:val="auto"/>
                <w:highlight w:val="none"/>
              </w:rPr>
            </w:pPr>
            <w:r>
              <w:rPr>
                <w:rFonts w:hint="eastAsia"/>
                <w:color w:val="auto"/>
                <w:highlight w:val="none"/>
              </w:rPr>
              <w:t>采购人</w:t>
            </w:r>
          </w:p>
        </w:tc>
        <w:tc>
          <w:tcPr>
            <w:tcW w:w="6662" w:type="dxa"/>
            <w:vAlign w:val="center"/>
          </w:tcPr>
          <w:p w14:paraId="52139B35">
            <w:pPr>
              <w:shd w:val="solid" w:color="FFFFFF" w:fill="auto"/>
              <w:autoSpaceDN w:val="0"/>
              <w:spacing w:line="360" w:lineRule="auto"/>
              <w:rPr>
                <w:rFonts w:hint="eastAsia" w:hAnsi="宋体" w:eastAsia="宋体" w:cs="宋体"/>
                <w:color w:val="auto"/>
                <w:sz w:val="24"/>
                <w:highlight w:val="none"/>
                <w:shd w:val="clear" w:color="auto" w:fill="FFFFFF"/>
                <w:lang w:eastAsia="zh-CN"/>
              </w:rPr>
            </w:pPr>
            <w:r>
              <w:rPr>
                <w:rFonts w:hint="eastAsia" w:hAnsi="宋体" w:cs="宋体"/>
                <w:color w:val="auto"/>
                <w:sz w:val="24"/>
                <w:highlight w:val="none"/>
                <w:shd w:val="clear" w:color="auto" w:fill="FFFFFF"/>
              </w:rPr>
              <w:t>名称：</w:t>
            </w:r>
            <w:r>
              <w:rPr>
                <w:rFonts w:hint="eastAsia" w:asciiTheme="minorEastAsia" w:hAnsiTheme="minorEastAsia" w:eastAsiaTheme="minorEastAsia" w:cstheme="minorEastAsia"/>
                <w:bCs/>
                <w:color w:val="auto"/>
                <w:sz w:val="24"/>
                <w:szCs w:val="24"/>
                <w:highlight w:val="none"/>
                <w:lang w:eastAsia="zh-CN"/>
              </w:rPr>
              <w:t>海南省技师学院</w:t>
            </w:r>
          </w:p>
          <w:p w14:paraId="286978E9">
            <w:pPr>
              <w:shd w:val="solid" w:color="FFFFFF" w:fill="auto"/>
              <w:autoSpaceDN w:val="0"/>
              <w:spacing w:line="360" w:lineRule="auto"/>
              <w:rPr>
                <w:rFonts w:hAnsi="宋体" w:cs="宋体"/>
                <w:color w:val="auto"/>
                <w:sz w:val="24"/>
                <w:highlight w:val="none"/>
                <w:shd w:val="clear" w:color="auto" w:fill="FFFFFF"/>
              </w:rPr>
            </w:pPr>
            <w:r>
              <w:rPr>
                <w:rFonts w:hint="eastAsia" w:hAnsi="宋体" w:cs="宋体"/>
                <w:color w:val="auto"/>
                <w:sz w:val="24"/>
                <w:highlight w:val="none"/>
                <w:shd w:val="clear" w:color="auto" w:fill="FFFFFF"/>
              </w:rPr>
              <w:t>地址：</w:t>
            </w:r>
            <w:r>
              <w:rPr>
                <w:rFonts w:hint="eastAsia" w:asciiTheme="minorEastAsia" w:hAnsiTheme="minorEastAsia" w:eastAsiaTheme="minorEastAsia" w:cstheme="minorEastAsia"/>
                <w:bCs/>
                <w:color w:val="auto"/>
                <w:sz w:val="24"/>
                <w:szCs w:val="24"/>
                <w:highlight w:val="none"/>
                <w:lang w:eastAsia="zh-CN"/>
              </w:rPr>
              <w:t>海南省技师学院老城校区</w:t>
            </w:r>
            <w:r>
              <w:rPr>
                <w:rFonts w:hint="eastAsia" w:hAnsi="宋体" w:cs="宋体"/>
                <w:color w:val="auto"/>
                <w:sz w:val="24"/>
                <w:highlight w:val="none"/>
                <w:shd w:val="clear" w:color="auto" w:fill="FFFFFF"/>
              </w:rPr>
              <w:t>　　　　　　　　　　　　　　　　　　</w:t>
            </w:r>
          </w:p>
          <w:p w14:paraId="2E0236C3">
            <w:pPr>
              <w:shd w:val="solid" w:color="FFFFFF" w:fill="auto"/>
              <w:autoSpaceDN w:val="0"/>
              <w:spacing w:line="360" w:lineRule="auto"/>
              <w:rPr>
                <w:rFonts w:hint="default" w:hAnsi="宋体" w:cs="宋体"/>
                <w:color w:val="auto"/>
                <w:sz w:val="24"/>
                <w:highlight w:val="none"/>
                <w:shd w:val="clear" w:color="auto" w:fill="FFFFFF"/>
                <w:lang w:val="en-US"/>
              </w:rPr>
            </w:pPr>
            <w:r>
              <w:rPr>
                <w:rFonts w:hint="eastAsia" w:hAnsi="宋体" w:cs="宋体"/>
                <w:color w:val="auto"/>
                <w:sz w:val="24"/>
                <w:highlight w:val="none"/>
                <w:shd w:val="clear" w:color="auto" w:fill="FFFFFF"/>
              </w:rPr>
              <w:t>联系人：</w:t>
            </w:r>
            <w:r>
              <w:rPr>
                <w:rFonts w:hint="eastAsia" w:asciiTheme="minorEastAsia" w:hAnsiTheme="minorEastAsia" w:eastAsiaTheme="minorEastAsia" w:cstheme="minorEastAsia"/>
                <w:bCs/>
                <w:color w:val="auto"/>
                <w:sz w:val="24"/>
                <w:szCs w:val="24"/>
                <w:highlight w:val="none"/>
                <w:lang w:val="en-US" w:eastAsia="zh-CN"/>
              </w:rPr>
              <w:t>孟老师</w:t>
            </w:r>
          </w:p>
          <w:p w14:paraId="57C6DA23">
            <w:pPr>
              <w:shd w:val="solid" w:color="FFFFFF" w:fill="auto"/>
              <w:autoSpaceDN w:val="0"/>
              <w:spacing w:line="360" w:lineRule="auto"/>
              <w:rPr>
                <w:rFonts w:hint="eastAsia" w:hAnsi="宋体" w:eastAsia="宋体" w:cs="宋体"/>
                <w:color w:val="auto"/>
                <w:sz w:val="24"/>
                <w:highlight w:val="none"/>
                <w:shd w:val="clear" w:color="auto" w:fill="FFFFFF"/>
                <w:lang w:eastAsia="zh-CN"/>
              </w:rPr>
            </w:pPr>
            <w:r>
              <w:rPr>
                <w:rFonts w:hint="eastAsia" w:hAnsi="宋体" w:cs="宋体"/>
                <w:color w:val="auto"/>
                <w:sz w:val="24"/>
                <w:highlight w:val="none"/>
                <w:shd w:val="clear" w:color="auto" w:fill="FFFFFF"/>
              </w:rPr>
              <w:t>电话：</w:t>
            </w:r>
            <w:r>
              <w:rPr>
                <w:rFonts w:hint="eastAsia" w:hAnsi="宋体" w:cs="宋体"/>
                <w:color w:val="auto"/>
                <w:sz w:val="24"/>
                <w:highlight w:val="none"/>
                <w:shd w:val="clear" w:color="auto" w:fill="FFFFFF"/>
                <w:lang w:eastAsia="zh-CN"/>
              </w:rPr>
              <w:t>13876395352</w:t>
            </w:r>
          </w:p>
        </w:tc>
      </w:tr>
      <w:tr w14:paraId="78DA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3" w:type="dxa"/>
            <w:vAlign w:val="center"/>
          </w:tcPr>
          <w:p w14:paraId="6AACA880">
            <w:pPr>
              <w:spacing w:line="360" w:lineRule="auto"/>
              <w:jc w:val="center"/>
              <w:rPr>
                <w:rFonts w:hAnsi="宋体" w:cs="宋体"/>
                <w:color w:val="auto"/>
                <w:sz w:val="24"/>
                <w:highlight w:val="none"/>
              </w:rPr>
            </w:pPr>
            <w:r>
              <w:rPr>
                <w:rFonts w:hAnsi="宋体" w:cs="宋体"/>
                <w:color w:val="auto"/>
                <w:sz w:val="24"/>
                <w:highlight w:val="none"/>
              </w:rPr>
              <w:t>2.4</w:t>
            </w:r>
          </w:p>
        </w:tc>
        <w:tc>
          <w:tcPr>
            <w:tcW w:w="2176" w:type="dxa"/>
            <w:vAlign w:val="center"/>
          </w:tcPr>
          <w:p w14:paraId="2DAB52E7">
            <w:pPr>
              <w:pStyle w:val="974"/>
              <w:rPr>
                <w:color w:val="auto"/>
                <w:highlight w:val="none"/>
              </w:rPr>
            </w:pPr>
            <w:r>
              <w:rPr>
                <w:rFonts w:hint="eastAsia"/>
                <w:color w:val="auto"/>
                <w:highlight w:val="none"/>
              </w:rPr>
              <w:t>代理机构</w:t>
            </w:r>
          </w:p>
        </w:tc>
        <w:tc>
          <w:tcPr>
            <w:tcW w:w="6662" w:type="dxa"/>
            <w:vAlign w:val="center"/>
          </w:tcPr>
          <w:p w14:paraId="616D3691">
            <w:pPr>
              <w:spacing w:line="360" w:lineRule="auto"/>
              <w:rPr>
                <w:rFonts w:hint="eastAsia" w:hAnsi="宋体" w:eastAsia="宋体" w:cs="宋体"/>
                <w:bCs/>
                <w:color w:val="auto"/>
                <w:sz w:val="24"/>
                <w:highlight w:val="none"/>
                <w:lang w:eastAsia="zh-CN"/>
              </w:rPr>
            </w:pPr>
            <w:r>
              <w:rPr>
                <w:rFonts w:hint="eastAsia" w:hAnsi="宋体" w:cs="宋体"/>
                <w:bCs/>
                <w:color w:val="auto"/>
                <w:sz w:val="24"/>
                <w:highlight w:val="none"/>
              </w:rPr>
              <w:t>名称：</w:t>
            </w:r>
            <w:r>
              <w:rPr>
                <w:rFonts w:hint="eastAsia" w:hAnsi="宋体" w:cs="宋体"/>
                <w:color w:val="auto"/>
                <w:sz w:val="24"/>
                <w:highlight w:val="none"/>
                <w:u w:color="000000"/>
                <w:lang w:eastAsia="zh-CN"/>
              </w:rPr>
              <w:t>海南政德项目管理有限公司</w:t>
            </w:r>
          </w:p>
          <w:p w14:paraId="136338B6">
            <w:pPr>
              <w:spacing w:line="360" w:lineRule="auto"/>
              <w:rPr>
                <w:rFonts w:hint="eastAsia" w:hAnsi="宋体" w:eastAsia="宋体" w:cs="宋体"/>
                <w:bCs/>
                <w:color w:val="auto"/>
                <w:sz w:val="24"/>
                <w:highlight w:val="none"/>
                <w:lang w:eastAsia="zh-CN"/>
              </w:rPr>
            </w:pPr>
            <w:r>
              <w:rPr>
                <w:rFonts w:hint="eastAsia" w:hAnsi="宋体" w:cs="宋体"/>
                <w:bCs/>
                <w:color w:val="auto"/>
                <w:sz w:val="24"/>
                <w:highlight w:val="none"/>
              </w:rPr>
              <w:t>地址：</w:t>
            </w:r>
            <w:r>
              <w:rPr>
                <w:rFonts w:hint="eastAsia" w:hAnsi="宋体" w:cs="宋体"/>
                <w:bCs/>
                <w:color w:val="auto"/>
                <w:sz w:val="24"/>
                <w:highlight w:val="none"/>
                <w:lang w:eastAsia="zh-CN"/>
              </w:rPr>
              <w:t>海南省海口市美兰区大英山东一路7号国瑞城雅仕苑1栋2单元18层1802房</w:t>
            </w:r>
          </w:p>
          <w:p w14:paraId="2A31AEAC">
            <w:pPr>
              <w:spacing w:line="360" w:lineRule="auto"/>
              <w:rPr>
                <w:rFonts w:hAnsi="宋体" w:cs="宋体"/>
                <w:bCs/>
                <w:color w:val="auto"/>
                <w:sz w:val="24"/>
                <w:highlight w:val="none"/>
              </w:rPr>
            </w:pPr>
            <w:r>
              <w:rPr>
                <w:rFonts w:hint="eastAsia" w:hAnsi="宋体" w:cs="宋体"/>
                <w:bCs/>
                <w:color w:val="auto"/>
                <w:sz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林</w:t>
            </w:r>
            <w:r>
              <w:rPr>
                <w:rFonts w:hint="eastAsia" w:asciiTheme="minorEastAsia" w:hAnsiTheme="minorEastAsia" w:eastAsiaTheme="minorEastAsia" w:cstheme="minorEastAsia"/>
                <w:bCs/>
                <w:color w:val="auto"/>
                <w:sz w:val="24"/>
                <w:szCs w:val="24"/>
                <w:highlight w:val="none"/>
              </w:rPr>
              <w:t>工</w:t>
            </w:r>
          </w:p>
          <w:p w14:paraId="5BA91D0C">
            <w:pPr>
              <w:spacing w:line="360" w:lineRule="auto"/>
              <w:rPr>
                <w:rFonts w:hint="eastAsia" w:hAnsi="宋体" w:eastAsia="宋体" w:cs="宋体"/>
                <w:color w:val="auto"/>
                <w:sz w:val="24"/>
                <w:highlight w:val="none"/>
                <w:lang w:eastAsia="zh-CN"/>
              </w:rPr>
            </w:pPr>
            <w:r>
              <w:rPr>
                <w:rFonts w:hint="eastAsia" w:hAnsi="宋体" w:cs="宋体"/>
                <w:bCs/>
                <w:color w:val="auto"/>
                <w:sz w:val="24"/>
                <w:highlight w:val="none"/>
              </w:rPr>
              <w:t>电话：</w:t>
            </w:r>
            <w:r>
              <w:rPr>
                <w:rFonts w:hint="eastAsia" w:ascii="宋体" w:hAnsi="宋体"/>
                <w:color w:val="auto"/>
                <w:sz w:val="24"/>
                <w:highlight w:val="none"/>
              </w:rPr>
              <w:t>0898-</w:t>
            </w:r>
            <w:r>
              <w:rPr>
                <w:rFonts w:hint="eastAsia" w:hAnsi="宋体"/>
                <w:color w:val="auto"/>
                <w:sz w:val="24"/>
                <w:highlight w:val="none"/>
                <w:lang w:eastAsia="zh-CN"/>
              </w:rPr>
              <w:t>65227090</w:t>
            </w:r>
          </w:p>
        </w:tc>
      </w:tr>
      <w:tr w14:paraId="4641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03" w:type="dxa"/>
            <w:vAlign w:val="center"/>
          </w:tcPr>
          <w:p w14:paraId="28650B7A">
            <w:pPr>
              <w:spacing w:line="360" w:lineRule="auto"/>
              <w:jc w:val="center"/>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2.5</w:t>
            </w:r>
          </w:p>
        </w:tc>
        <w:tc>
          <w:tcPr>
            <w:tcW w:w="2176" w:type="dxa"/>
            <w:vAlign w:val="center"/>
          </w:tcPr>
          <w:p w14:paraId="3267E799">
            <w:pPr>
              <w:pStyle w:val="974"/>
              <w:rPr>
                <w:color w:val="auto"/>
                <w:highlight w:val="none"/>
              </w:rPr>
            </w:pPr>
            <w:r>
              <w:rPr>
                <w:rFonts w:hint="eastAsia"/>
                <w:color w:val="auto"/>
                <w:highlight w:val="none"/>
              </w:rPr>
              <w:t>采购预算</w:t>
            </w:r>
          </w:p>
        </w:tc>
        <w:tc>
          <w:tcPr>
            <w:tcW w:w="6662" w:type="dxa"/>
            <w:vAlign w:val="center"/>
          </w:tcPr>
          <w:p w14:paraId="2403D2E0">
            <w:pPr>
              <w:pStyle w:val="974"/>
              <w:rPr>
                <w:color w:val="auto"/>
                <w:highlight w:val="none"/>
              </w:rPr>
            </w:pPr>
            <w:r>
              <w:rPr>
                <w:rFonts w:hint="eastAsia"/>
                <w:color w:val="auto"/>
                <w:highlight w:val="none"/>
              </w:rPr>
              <w:t>本项目预算金额为</w:t>
            </w:r>
            <w:r>
              <w:rPr>
                <w:rFonts w:hint="eastAsia"/>
                <w:color w:val="auto"/>
                <w:highlight w:val="none"/>
                <w:lang w:eastAsia="zh-CN"/>
              </w:rPr>
              <w:t>¥2635300.00元</w:t>
            </w:r>
            <w:r>
              <w:rPr>
                <w:rFonts w:hint="eastAsia"/>
                <w:color w:val="auto"/>
                <w:highlight w:val="none"/>
              </w:rPr>
              <w:t>；</w:t>
            </w:r>
          </w:p>
          <w:p w14:paraId="792DDB7E">
            <w:pPr>
              <w:pStyle w:val="974"/>
              <w:rPr>
                <w:color w:val="auto"/>
                <w:highlight w:val="none"/>
              </w:rPr>
            </w:pPr>
            <w:r>
              <w:rPr>
                <w:rFonts w:hint="eastAsia"/>
                <w:color w:val="auto"/>
                <w:highlight w:val="none"/>
              </w:rPr>
              <w:t>最高限价为</w:t>
            </w:r>
            <w:r>
              <w:rPr>
                <w:rFonts w:hint="eastAsia"/>
                <w:color w:val="auto"/>
                <w:highlight w:val="none"/>
                <w:lang w:eastAsia="zh-CN"/>
              </w:rPr>
              <w:t>¥2635300.00元</w:t>
            </w:r>
            <w:r>
              <w:rPr>
                <w:rFonts w:hint="eastAsia"/>
                <w:color w:val="auto"/>
                <w:highlight w:val="none"/>
              </w:rPr>
              <w:t>（超出最高限价的，按无效响应文件处理）。</w:t>
            </w:r>
          </w:p>
        </w:tc>
      </w:tr>
      <w:tr w14:paraId="6C04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03" w:type="dxa"/>
            <w:vAlign w:val="center"/>
          </w:tcPr>
          <w:p w14:paraId="301B57C0">
            <w:pPr>
              <w:spacing w:line="360" w:lineRule="auto"/>
              <w:jc w:val="center"/>
              <w:rPr>
                <w:rFonts w:hAnsi="宋体" w:cs="宋体"/>
                <w:color w:val="auto"/>
                <w:sz w:val="24"/>
                <w:highlight w:val="none"/>
              </w:rPr>
            </w:pPr>
            <w:r>
              <w:rPr>
                <w:rFonts w:hAnsi="宋体" w:cs="宋体"/>
                <w:color w:val="auto"/>
                <w:sz w:val="24"/>
                <w:highlight w:val="none"/>
              </w:rPr>
              <w:t>2.6</w:t>
            </w:r>
          </w:p>
        </w:tc>
        <w:tc>
          <w:tcPr>
            <w:tcW w:w="2176" w:type="dxa"/>
            <w:vAlign w:val="center"/>
          </w:tcPr>
          <w:p w14:paraId="14A6D5B2">
            <w:pPr>
              <w:pStyle w:val="974"/>
              <w:rPr>
                <w:color w:val="auto"/>
                <w:highlight w:val="none"/>
              </w:rPr>
            </w:pPr>
            <w:r>
              <w:rPr>
                <w:rFonts w:hint="eastAsia"/>
                <w:color w:val="auto"/>
                <w:highlight w:val="none"/>
              </w:rPr>
              <w:t>投资模式</w:t>
            </w:r>
          </w:p>
        </w:tc>
        <w:tc>
          <w:tcPr>
            <w:tcW w:w="6662" w:type="dxa"/>
            <w:vAlign w:val="center"/>
          </w:tcPr>
          <w:p w14:paraId="1251C31E">
            <w:pPr>
              <w:pStyle w:val="974"/>
              <w:rPr>
                <w:color w:val="auto"/>
                <w:highlight w:val="none"/>
              </w:rPr>
            </w:pPr>
            <w:r>
              <w:rPr>
                <w:rFonts w:hint="eastAsia"/>
                <w:color w:val="auto"/>
                <w:highlight w:val="none"/>
              </w:rPr>
              <w:t>财政资金</w:t>
            </w:r>
          </w:p>
        </w:tc>
      </w:tr>
      <w:tr w14:paraId="37F2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03" w:type="dxa"/>
            <w:vAlign w:val="center"/>
          </w:tcPr>
          <w:p w14:paraId="27335616">
            <w:pPr>
              <w:spacing w:line="360" w:lineRule="auto"/>
              <w:jc w:val="center"/>
              <w:rPr>
                <w:rFonts w:hAnsi="宋体" w:cs="宋体"/>
                <w:color w:val="auto"/>
                <w:sz w:val="24"/>
                <w:highlight w:val="none"/>
              </w:rPr>
            </w:pPr>
            <w:r>
              <w:rPr>
                <w:rFonts w:hAnsi="宋体" w:cs="宋体"/>
                <w:color w:val="auto"/>
                <w:sz w:val="24"/>
                <w:highlight w:val="none"/>
              </w:rPr>
              <w:t>2.7</w:t>
            </w:r>
          </w:p>
        </w:tc>
        <w:tc>
          <w:tcPr>
            <w:tcW w:w="2176" w:type="dxa"/>
            <w:vAlign w:val="center"/>
          </w:tcPr>
          <w:p w14:paraId="1225DEF2">
            <w:pPr>
              <w:pStyle w:val="974"/>
              <w:rPr>
                <w:color w:val="auto"/>
                <w:highlight w:val="none"/>
              </w:rPr>
            </w:pPr>
            <w:r>
              <w:rPr>
                <w:rFonts w:hint="eastAsia"/>
                <w:color w:val="auto"/>
                <w:highlight w:val="none"/>
              </w:rPr>
              <w:t>供应商资格要求</w:t>
            </w:r>
          </w:p>
        </w:tc>
        <w:tc>
          <w:tcPr>
            <w:tcW w:w="6662" w:type="dxa"/>
            <w:vAlign w:val="center"/>
          </w:tcPr>
          <w:p w14:paraId="1E12A6D8">
            <w:pPr>
              <w:pStyle w:val="974"/>
              <w:rPr>
                <w:color w:val="auto"/>
                <w:highlight w:val="none"/>
              </w:rPr>
            </w:pPr>
            <w:r>
              <w:rPr>
                <w:rFonts w:hint="eastAsia"/>
                <w:color w:val="auto"/>
                <w:highlight w:val="none"/>
              </w:rPr>
              <w:t>见第一章竞争性磋商公告“二、申请人的资格要求”</w:t>
            </w:r>
          </w:p>
        </w:tc>
      </w:tr>
      <w:tr w14:paraId="1B99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3" w:type="dxa"/>
            <w:vAlign w:val="center"/>
          </w:tcPr>
          <w:p w14:paraId="44020EC5">
            <w:pPr>
              <w:spacing w:line="360" w:lineRule="auto"/>
              <w:jc w:val="center"/>
              <w:rPr>
                <w:rFonts w:hAnsi="宋体" w:cs="宋体"/>
                <w:color w:val="auto"/>
                <w:sz w:val="24"/>
                <w:highlight w:val="none"/>
              </w:rPr>
            </w:pPr>
            <w:r>
              <w:rPr>
                <w:rFonts w:hAnsi="宋体" w:cs="宋体"/>
                <w:color w:val="auto"/>
                <w:sz w:val="24"/>
                <w:highlight w:val="none"/>
              </w:rPr>
              <w:t>2.8</w:t>
            </w:r>
          </w:p>
        </w:tc>
        <w:tc>
          <w:tcPr>
            <w:tcW w:w="2176" w:type="dxa"/>
            <w:vAlign w:val="center"/>
          </w:tcPr>
          <w:p w14:paraId="52886AC1">
            <w:pPr>
              <w:pStyle w:val="974"/>
              <w:rPr>
                <w:rFonts w:hAnsi="宋体" w:cs="宋体"/>
                <w:color w:val="auto"/>
                <w:highlight w:val="none"/>
              </w:rPr>
            </w:pPr>
            <w:r>
              <w:rPr>
                <w:rFonts w:hint="eastAsia"/>
                <w:color w:val="auto"/>
                <w:highlight w:val="none"/>
                <w:shd w:val="clear" w:color="auto" w:fill="FFFFFF"/>
              </w:rPr>
              <w:t>计划工期</w:t>
            </w:r>
          </w:p>
        </w:tc>
        <w:tc>
          <w:tcPr>
            <w:tcW w:w="6662" w:type="dxa"/>
            <w:vAlign w:val="center"/>
          </w:tcPr>
          <w:p w14:paraId="582D110A">
            <w:pPr>
              <w:pStyle w:val="974"/>
              <w:rPr>
                <w:rFonts w:hint="eastAsia" w:hAnsi="宋体" w:eastAsia="宋体" w:cs="宋体"/>
                <w:color w:val="auto"/>
                <w:highlight w:val="none"/>
                <w:lang w:eastAsia="zh-CN"/>
              </w:rPr>
            </w:pPr>
            <w:r>
              <w:rPr>
                <w:rFonts w:hint="eastAsia"/>
                <w:color w:val="auto"/>
                <w:highlight w:val="none"/>
                <w:lang w:eastAsia="zh-CN"/>
              </w:rPr>
              <w:t>自合同签订之日起30天内完成供货及安装调试</w:t>
            </w:r>
          </w:p>
        </w:tc>
      </w:tr>
      <w:tr w14:paraId="070D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3" w:type="dxa"/>
            <w:vAlign w:val="center"/>
          </w:tcPr>
          <w:p w14:paraId="6554CCC8">
            <w:pPr>
              <w:spacing w:line="360" w:lineRule="auto"/>
              <w:jc w:val="center"/>
              <w:rPr>
                <w:rFonts w:hAnsi="宋体" w:cs="宋体"/>
                <w:color w:val="auto"/>
                <w:sz w:val="24"/>
                <w:highlight w:val="none"/>
              </w:rPr>
            </w:pPr>
            <w:r>
              <w:rPr>
                <w:rFonts w:hint="eastAsia" w:hAnsi="宋体" w:cs="宋体"/>
                <w:color w:val="auto"/>
                <w:sz w:val="24"/>
                <w:highlight w:val="none"/>
              </w:rPr>
              <w:t>2.9</w:t>
            </w:r>
          </w:p>
        </w:tc>
        <w:tc>
          <w:tcPr>
            <w:tcW w:w="2176" w:type="dxa"/>
            <w:vAlign w:val="center"/>
          </w:tcPr>
          <w:p w14:paraId="1B879B1B">
            <w:pPr>
              <w:pStyle w:val="974"/>
              <w:rPr>
                <w:color w:val="auto"/>
                <w:highlight w:val="none"/>
              </w:rPr>
            </w:pPr>
            <w:r>
              <w:rPr>
                <w:rFonts w:hint="eastAsia"/>
                <w:color w:val="auto"/>
                <w:highlight w:val="none"/>
              </w:rPr>
              <w:t>项目所属行业</w:t>
            </w:r>
          </w:p>
        </w:tc>
        <w:tc>
          <w:tcPr>
            <w:tcW w:w="6662" w:type="dxa"/>
            <w:vAlign w:val="center"/>
          </w:tcPr>
          <w:p w14:paraId="371A6C9F">
            <w:pPr>
              <w:pStyle w:val="974"/>
              <w:rPr>
                <w:color w:val="auto"/>
                <w:highlight w:val="none"/>
              </w:rPr>
            </w:pPr>
            <w:r>
              <w:rPr>
                <w:color w:val="auto"/>
                <w:highlight w:val="none"/>
              </w:rPr>
              <w:t>根据《统计上大中小微型企业划分办法（2017）》，本项目 所属行业为工业</w:t>
            </w:r>
          </w:p>
        </w:tc>
      </w:tr>
      <w:tr w14:paraId="7298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03" w:type="dxa"/>
            <w:vAlign w:val="center"/>
          </w:tcPr>
          <w:p w14:paraId="11F16912">
            <w:pPr>
              <w:spacing w:line="360" w:lineRule="auto"/>
              <w:jc w:val="center"/>
              <w:rPr>
                <w:rFonts w:hAnsi="宋体" w:cs="宋体"/>
                <w:color w:val="auto"/>
                <w:sz w:val="24"/>
                <w:highlight w:val="none"/>
              </w:rPr>
            </w:pPr>
            <w:r>
              <w:rPr>
                <w:rFonts w:hAnsi="宋体" w:cs="宋体"/>
                <w:color w:val="auto"/>
                <w:sz w:val="24"/>
                <w:highlight w:val="none"/>
              </w:rPr>
              <w:t>3.2</w:t>
            </w:r>
          </w:p>
        </w:tc>
        <w:tc>
          <w:tcPr>
            <w:tcW w:w="2176" w:type="dxa"/>
            <w:vAlign w:val="center"/>
          </w:tcPr>
          <w:p w14:paraId="7A0A371F">
            <w:pPr>
              <w:pStyle w:val="974"/>
              <w:rPr>
                <w:color w:val="auto"/>
                <w:highlight w:val="none"/>
              </w:rPr>
            </w:pPr>
            <w:r>
              <w:rPr>
                <w:rFonts w:hint="eastAsia"/>
                <w:color w:val="auto"/>
                <w:highlight w:val="none"/>
              </w:rPr>
              <w:t>委托代表人</w:t>
            </w:r>
          </w:p>
          <w:p w14:paraId="22717CDA">
            <w:pPr>
              <w:pStyle w:val="974"/>
              <w:rPr>
                <w:color w:val="auto"/>
                <w:highlight w:val="none"/>
              </w:rPr>
            </w:pPr>
            <w:r>
              <w:rPr>
                <w:rFonts w:hint="eastAsia"/>
                <w:color w:val="auto"/>
                <w:highlight w:val="none"/>
              </w:rPr>
              <w:t>的资格条件</w:t>
            </w:r>
          </w:p>
        </w:tc>
        <w:tc>
          <w:tcPr>
            <w:tcW w:w="6662" w:type="dxa"/>
            <w:vAlign w:val="center"/>
          </w:tcPr>
          <w:p w14:paraId="097036E9">
            <w:pPr>
              <w:pStyle w:val="974"/>
              <w:rPr>
                <w:color w:val="auto"/>
                <w:highlight w:val="none"/>
              </w:rPr>
            </w:pPr>
            <w:r>
              <w:rPr>
                <w:rFonts w:hint="eastAsia"/>
                <w:color w:val="auto"/>
                <w:highlight w:val="none"/>
              </w:rPr>
              <w:t>响应文件中提供授权委托书及被授权人身份证复印件核实身份。否则，否决其投标。</w:t>
            </w:r>
          </w:p>
        </w:tc>
      </w:tr>
      <w:tr w14:paraId="7005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03" w:type="dxa"/>
            <w:vAlign w:val="center"/>
          </w:tcPr>
          <w:p w14:paraId="6DA0A1B9">
            <w:pPr>
              <w:spacing w:line="360" w:lineRule="auto"/>
              <w:jc w:val="center"/>
              <w:rPr>
                <w:rFonts w:hAnsi="宋体" w:cs="宋体"/>
                <w:color w:val="auto"/>
                <w:sz w:val="24"/>
                <w:highlight w:val="none"/>
              </w:rPr>
            </w:pPr>
            <w:r>
              <w:rPr>
                <w:rFonts w:hAnsi="宋体" w:cs="宋体"/>
                <w:color w:val="auto"/>
                <w:sz w:val="24"/>
                <w:highlight w:val="none"/>
              </w:rPr>
              <w:t>3.3</w:t>
            </w:r>
          </w:p>
        </w:tc>
        <w:tc>
          <w:tcPr>
            <w:tcW w:w="2176" w:type="dxa"/>
            <w:vAlign w:val="center"/>
          </w:tcPr>
          <w:p w14:paraId="7C08D56D">
            <w:pPr>
              <w:pStyle w:val="974"/>
              <w:rPr>
                <w:color w:val="auto"/>
                <w:highlight w:val="none"/>
              </w:rPr>
            </w:pPr>
            <w:r>
              <w:rPr>
                <w:rFonts w:hint="eastAsia"/>
                <w:color w:val="auto"/>
                <w:highlight w:val="none"/>
              </w:rPr>
              <w:t>委托代表人</w:t>
            </w:r>
          </w:p>
          <w:p w14:paraId="08FEB9BC">
            <w:pPr>
              <w:pStyle w:val="974"/>
              <w:rPr>
                <w:color w:val="auto"/>
                <w:highlight w:val="none"/>
              </w:rPr>
            </w:pPr>
            <w:r>
              <w:rPr>
                <w:rFonts w:hint="eastAsia"/>
                <w:color w:val="auto"/>
                <w:highlight w:val="none"/>
              </w:rPr>
              <w:t>的代理权限</w:t>
            </w:r>
          </w:p>
        </w:tc>
        <w:tc>
          <w:tcPr>
            <w:tcW w:w="6662" w:type="dxa"/>
            <w:vAlign w:val="center"/>
          </w:tcPr>
          <w:p w14:paraId="0A2724EA">
            <w:pPr>
              <w:pStyle w:val="974"/>
              <w:rPr>
                <w:color w:val="auto"/>
                <w:highlight w:val="none"/>
              </w:rPr>
            </w:pPr>
            <w:r>
              <w:rPr>
                <w:rFonts w:hint="eastAsia"/>
                <w:color w:val="auto"/>
                <w:highlight w:val="none"/>
              </w:rPr>
              <w:t>委托代表人只能代表委托人处置磋商活动中的一般事务。提出询问、质疑、投诉等特殊事项，必须经法定代表人特别授权。</w:t>
            </w:r>
          </w:p>
        </w:tc>
      </w:tr>
      <w:tr w14:paraId="55C8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 w:type="dxa"/>
            <w:vAlign w:val="center"/>
          </w:tcPr>
          <w:p w14:paraId="0E9E31C6">
            <w:pPr>
              <w:spacing w:line="360" w:lineRule="auto"/>
              <w:jc w:val="center"/>
              <w:rPr>
                <w:rFonts w:hAnsi="宋体" w:cs="宋体"/>
                <w:color w:val="auto"/>
                <w:sz w:val="24"/>
                <w:highlight w:val="none"/>
              </w:rPr>
            </w:pPr>
            <w:r>
              <w:rPr>
                <w:rFonts w:hAnsi="宋体" w:cs="宋体"/>
                <w:color w:val="auto"/>
                <w:sz w:val="24"/>
                <w:highlight w:val="none"/>
              </w:rPr>
              <w:t>7.1</w:t>
            </w:r>
          </w:p>
        </w:tc>
        <w:tc>
          <w:tcPr>
            <w:tcW w:w="2176" w:type="dxa"/>
            <w:vAlign w:val="center"/>
          </w:tcPr>
          <w:p w14:paraId="0B8F2E13">
            <w:pPr>
              <w:pStyle w:val="974"/>
              <w:rPr>
                <w:color w:val="auto"/>
                <w:highlight w:val="none"/>
              </w:rPr>
            </w:pPr>
            <w:r>
              <w:rPr>
                <w:rFonts w:hint="eastAsia"/>
                <w:color w:val="auto"/>
                <w:highlight w:val="none"/>
              </w:rPr>
              <w:t>现场考察和答疑会</w:t>
            </w:r>
          </w:p>
        </w:tc>
        <w:tc>
          <w:tcPr>
            <w:tcW w:w="6662" w:type="dxa"/>
            <w:vAlign w:val="center"/>
          </w:tcPr>
          <w:p w14:paraId="2783AB8A">
            <w:pPr>
              <w:pStyle w:val="974"/>
              <w:rPr>
                <w:color w:val="auto"/>
                <w:highlight w:val="none"/>
              </w:rPr>
            </w:pPr>
            <w:r>
              <w:rPr>
                <w:rFonts w:hint="eastAsia"/>
                <w:color w:val="auto"/>
                <w:highlight w:val="none"/>
              </w:rPr>
              <w:t>不组织</w:t>
            </w:r>
          </w:p>
        </w:tc>
      </w:tr>
      <w:tr w14:paraId="7027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03" w:type="dxa"/>
            <w:vAlign w:val="center"/>
          </w:tcPr>
          <w:p w14:paraId="3B2FBF61">
            <w:pPr>
              <w:spacing w:line="360" w:lineRule="auto"/>
              <w:jc w:val="center"/>
              <w:rPr>
                <w:rFonts w:hAnsi="宋体" w:cs="宋体"/>
                <w:color w:val="auto"/>
                <w:sz w:val="24"/>
                <w:highlight w:val="none"/>
              </w:rPr>
            </w:pPr>
            <w:r>
              <w:rPr>
                <w:rFonts w:hAnsi="宋体" w:cs="宋体"/>
                <w:color w:val="auto"/>
                <w:sz w:val="24"/>
                <w:highlight w:val="none"/>
              </w:rPr>
              <w:t>12.3</w:t>
            </w:r>
          </w:p>
        </w:tc>
        <w:tc>
          <w:tcPr>
            <w:tcW w:w="2176" w:type="dxa"/>
            <w:vAlign w:val="center"/>
          </w:tcPr>
          <w:p w14:paraId="594CD052">
            <w:pPr>
              <w:pStyle w:val="974"/>
              <w:rPr>
                <w:color w:val="auto"/>
                <w:highlight w:val="none"/>
              </w:rPr>
            </w:pPr>
            <w:r>
              <w:rPr>
                <w:rFonts w:hint="eastAsia"/>
                <w:color w:val="auto"/>
                <w:highlight w:val="none"/>
              </w:rPr>
              <w:t>是否允许选择性</w:t>
            </w:r>
          </w:p>
          <w:p w14:paraId="52C2D40A">
            <w:pPr>
              <w:pStyle w:val="974"/>
              <w:rPr>
                <w:color w:val="auto"/>
                <w:highlight w:val="none"/>
              </w:rPr>
            </w:pPr>
            <w:r>
              <w:rPr>
                <w:rFonts w:hint="eastAsia"/>
                <w:color w:val="auto"/>
                <w:highlight w:val="none"/>
              </w:rPr>
              <w:t>报价</w:t>
            </w:r>
          </w:p>
        </w:tc>
        <w:tc>
          <w:tcPr>
            <w:tcW w:w="6662" w:type="dxa"/>
            <w:vAlign w:val="center"/>
          </w:tcPr>
          <w:p w14:paraId="2096F800">
            <w:pPr>
              <w:autoSpaceDE w:val="0"/>
              <w:autoSpaceDN w:val="0"/>
              <w:adjustRightInd w:val="0"/>
              <w:spacing w:line="360" w:lineRule="auto"/>
              <w:rPr>
                <w:rFonts w:hAnsi="宋体" w:cs="宋体"/>
                <w:color w:val="auto"/>
                <w:sz w:val="24"/>
                <w:highlight w:val="none"/>
              </w:rPr>
            </w:pPr>
            <w:r>
              <w:rPr>
                <w:rFonts w:hint="eastAsia" w:hAnsi="宋体" w:cs="宋体"/>
                <w:color w:val="auto"/>
                <w:sz w:val="24"/>
                <w:highlight w:val="none"/>
              </w:rPr>
              <w:t>不接受选择性报价</w:t>
            </w:r>
          </w:p>
        </w:tc>
      </w:tr>
      <w:tr w14:paraId="3C8B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14:paraId="0E6F72B0">
            <w:pPr>
              <w:spacing w:line="360" w:lineRule="auto"/>
              <w:jc w:val="center"/>
              <w:rPr>
                <w:rFonts w:hAnsi="宋体" w:cs="宋体"/>
                <w:color w:val="auto"/>
                <w:sz w:val="24"/>
                <w:highlight w:val="none"/>
              </w:rPr>
            </w:pPr>
            <w:r>
              <w:rPr>
                <w:rFonts w:hAnsi="宋体" w:cs="宋体"/>
                <w:color w:val="auto"/>
                <w:sz w:val="24"/>
                <w:highlight w:val="none"/>
              </w:rPr>
              <w:t>13.1</w:t>
            </w:r>
          </w:p>
        </w:tc>
        <w:tc>
          <w:tcPr>
            <w:tcW w:w="2176" w:type="dxa"/>
            <w:vAlign w:val="center"/>
          </w:tcPr>
          <w:p w14:paraId="50BF6A6A">
            <w:pPr>
              <w:pStyle w:val="974"/>
              <w:rPr>
                <w:color w:val="auto"/>
                <w:highlight w:val="none"/>
              </w:rPr>
            </w:pPr>
            <w:r>
              <w:rPr>
                <w:rFonts w:hint="eastAsia"/>
                <w:color w:val="auto"/>
                <w:highlight w:val="none"/>
              </w:rPr>
              <w:t>磋商保证金数额</w:t>
            </w:r>
          </w:p>
        </w:tc>
        <w:tc>
          <w:tcPr>
            <w:tcW w:w="6662" w:type="dxa"/>
            <w:vAlign w:val="center"/>
          </w:tcPr>
          <w:p w14:paraId="517F1EC5">
            <w:pPr>
              <w:pStyle w:val="974"/>
              <w:rPr>
                <w:color w:val="auto"/>
                <w:highlight w:val="none"/>
              </w:rPr>
            </w:pPr>
            <w:r>
              <w:rPr>
                <w:rFonts w:hint="eastAsia"/>
                <w:color w:val="auto"/>
                <w:highlight w:val="none"/>
              </w:rPr>
              <w:t>本项目不作要求</w:t>
            </w:r>
          </w:p>
        </w:tc>
      </w:tr>
      <w:tr w14:paraId="1D82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14:paraId="53190DE3">
            <w:pPr>
              <w:spacing w:line="360" w:lineRule="auto"/>
              <w:jc w:val="center"/>
              <w:rPr>
                <w:rFonts w:hAnsi="宋体" w:cs="宋体"/>
                <w:color w:val="auto"/>
                <w:sz w:val="24"/>
                <w:highlight w:val="none"/>
              </w:rPr>
            </w:pPr>
            <w:r>
              <w:rPr>
                <w:rFonts w:hAnsi="宋体" w:cs="宋体"/>
                <w:color w:val="auto"/>
                <w:sz w:val="24"/>
                <w:highlight w:val="none"/>
              </w:rPr>
              <w:t>13.2</w:t>
            </w:r>
          </w:p>
        </w:tc>
        <w:tc>
          <w:tcPr>
            <w:tcW w:w="2176" w:type="dxa"/>
            <w:vAlign w:val="center"/>
          </w:tcPr>
          <w:p w14:paraId="6407BDA2">
            <w:pPr>
              <w:pStyle w:val="974"/>
              <w:rPr>
                <w:color w:val="auto"/>
                <w:highlight w:val="none"/>
              </w:rPr>
            </w:pPr>
            <w:r>
              <w:rPr>
                <w:rFonts w:hint="eastAsia"/>
                <w:color w:val="auto"/>
                <w:highlight w:val="none"/>
              </w:rPr>
              <w:t>磋商保证金缴纳时间</w:t>
            </w:r>
          </w:p>
        </w:tc>
        <w:tc>
          <w:tcPr>
            <w:tcW w:w="6662" w:type="dxa"/>
            <w:vAlign w:val="center"/>
          </w:tcPr>
          <w:p w14:paraId="49E2A8B7">
            <w:pPr>
              <w:pStyle w:val="974"/>
              <w:rPr>
                <w:color w:val="auto"/>
                <w:highlight w:val="none"/>
              </w:rPr>
            </w:pPr>
            <w:r>
              <w:rPr>
                <w:rFonts w:hint="eastAsia"/>
                <w:color w:val="auto"/>
                <w:highlight w:val="none"/>
              </w:rPr>
              <w:t>本项目不作要求</w:t>
            </w:r>
          </w:p>
        </w:tc>
      </w:tr>
      <w:tr w14:paraId="5B25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14:paraId="102DBE3D">
            <w:pPr>
              <w:spacing w:line="360" w:lineRule="auto"/>
              <w:jc w:val="center"/>
              <w:rPr>
                <w:rFonts w:hAnsi="宋体" w:cs="宋体"/>
                <w:color w:val="auto"/>
                <w:sz w:val="24"/>
                <w:highlight w:val="none"/>
              </w:rPr>
            </w:pPr>
            <w:r>
              <w:rPr>
                <w:rFonts w:hAnsi="宋体" w:cs="宋体"/>
                <w:color w:val="auto"/>
                <w:sz w:val="24"/>
                <w:highlight w:val="none"/>
              </w:rPr>
              <w:t>13.3</w:t>
            </w:r>
          </w:p>
        </w:tc>
        <w:tc>
          <w:tcPr>
            <w:tcW w:w="2176" w:type="dxa"/>
            <w:vAlign w:val="center"/>
          </w:tcPr>
          <w:p w14:paraId="1861E3A9">
            <w:pPr>
              <w:pStyle w:val="974"/>
              <w:rPr>
                <w:color w:val="auto"/>
                <w:highlight w:val="none"/>
              </w:rPr>
            </w:pPr>
            <w:r>
              <w:rPr>
                <w:rFonts w:hint="eastAsia"/>
                <w:color w:val="auto"/>
                <w:highlight w:val="none"/>
              </w:rPr>
              <w:t>磋商保证金缴纳账户</w:t>
            </w:r>
          </w:p>
        </w:tc>
        <w:tc>
          <w:tcPr>
            <w:tcW w:w="6662" w:type="dxa"/>
            <w:vAlign w:val="center"/>
          </w:tcPr>
          <w:p w14:paraId="4A3BCDBF">
            <w:pPr>
              <w:pStyle w:val="974"/>
              <w:rPr>
                <w:color w:val="auto"/>
                <w:highlight w:val="none"/>
              </w:rPr>
            </w:pPr>
            <w:r>
              <w:rPr>
                <w:rFonts w:hint="eastAsia"/>
                <w:color w:val="auto"/>
                <w:highlight w:val="none"/>
              </w:rPr>
              <w:t>本项目不作要求</w:t>
            </w:r>
          </w:p>
        </w:tc>
      </w:tr>
      <w:tr w14:paraId="4EE5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3" w:type="dxa"/>
            <w:vAlign w:val="center"/>
          </w:tcPr>
          <w:p w14:paraId="08243664">
            <w:pPr>
              <w:spacing w:line="360" w:lineRule="auto"/>
              <w:jc w:val="center"/>
              <w:rPr>
                <w:rFonts w:hAnsi="宋体" w:cs="宋体"/>
                <w:color w:val="auto"/>
                <w:sz w:val="24"/>
                <w:highlight w:val="none"/>
              </w:rPr>
            </w:pPr>
            <w:r>
              <w:rPr>
                <w:rFonts w:hAnsi="宋体" w:cs="宋体"/>
                <w:color w:val="auto"/>
                <w:sz w:val="24"/>
                <w:highlight w:val="none"/>
              </w:rPr>
              <w:t>14.1</w:t>
            </w:r>
          </w:p>
        </w:tc>
        <w:tc>
          <w:tcPr>
            <w:tcW w:w="2176" w:type="dxa"/>
            <w:vAlign w:val="center"/>
          </w:tcPr>
          <w:p w14:paraId="46F6317C">
            <w:pPr>
              <w:pStyle w:val="974"/>
              <w:rPr>
                <w:color w:val="auto"/>
                <w:highlight w:val="none"/>
              </w:rPr>
            </w:pPr>
            <w:r>
              <w:rPr>
                <w:rFonts w:hint="eastAsia"/>
                <w:color w:val="auto"/>
                <w:highlight w:val="none"/>
              </w:rPr>
              <w:t>响应文件有效期</w:t>
            </w:r>
          </w:p>
        </w:tc>
        <w:tc>
          <w:tcPr>
            <w:tcW w:w="6662" w:type="dxa"/>
            <w:vAlign w:val="center"/>
          </w:tcPr>
          <w:p w14:paraId="35586676">
            <w:pPr>
              <w:pStyle w:val="974"/>
              <w:rPr>
                <w:color w:val="auto"/>
                <w:highlight w:val="none"/>
              </w:rPr>
            </w:pPr>
            <w:r>
              <w:rPr>
                <w:rFonts w:hint="eastAsia"/>
                <w:color w:val="auto"/>
                <w:highlight w:val="none"/>
              </w:rPr>
              <w:t>自响应文件开启之日起</w:t>
            </w:r>
            <w:r>
              <w:rPr>
                <w:color w:val="auto"/>
                <w:highlight w:val="none"/>
              </w:rPr>
              <w:t>60</w:t>
            </w:r>
            <w:r>
              <w:rPr>
                <w:rFonts w:hint="eastAsia"/>
                <w:color w:val="auto"/>
                <w:highlight w:val="none"/>
              </w:rPr>
              <w:t>日历天</w:t>
            </w:r>
          </w:p>
        </w:tc>
      </w:tr>
      <w:tr w14:paraId="34D0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3" w:type="dxa"/>
            <w:vAlign w:val="center"/>
          </w:tcPr>
          <w:p w14:paraId="4A9C47E9">
            <w:pPr>
              <w:spacing w:line="360" w:lineRule="auto"/>
              <w:jc w:val="center"/>
              <w:rPr>
                <w:rFonts w:hAnsi="宋体" w:cs="宋体"/>
                <w:color w:val="auto"/>
                <w:sz w:val="24"/>
                <w:highlight w:val="none"/>
              </w:rPr>
            </w:pPr>
            <w:r>
              <w:rPr>
                <w:rFonts w:hAnsi="宋体" w:cs="宋体"/>
                <w:color w:val="auto"/>
                <w:sz w:val="24"/>
                <w:highlight w:val="none"/>
              </w:rPr>
              <w:t>15.1</w:t>
            </w:r>
          </w:p>
        </w:tc>
        <w:tc>
          <w:tcPr>
            <w:tcW w:w="2176" w:type="dxa"/>
            <w:vAlign w:val="center"/>
          </w:tcPr>
          <w:p w14:paraId="3795AEBC">
            <w:pPr>
              <w:pStyle w:val="974"/>
              <w:rPr>
                <w:color w:val="auto"/>
                <w:highlight w:val="none"/>
              </w:rPr>
            </w:pPr>
            <w:r>
              <w:rPr>
                <w:rFonts w:hint="eastAsia"/>
                <w:color w:val="auto"/>
                <w:highlight w:val="none"/>
              </w:rPr>
              <w:t>响应文件份数</w:t>
            </w:r>
          </w:p>
        </w:tc>
        <w:tc>
          <w:tcPr>
            <w:tcW w:w="6662" w:type="dxa"/>
            <w:vAlign w:val="center"/>
          </w:tcPr>
          <w:p w14:paraId="52E1D95D">
            <w:pPr>
              <w:pStyle w:val="974"/>
              <w:rPr>
                <w:color w:val="auto"/>
                <w:highlight w:val="none"/>
              </w:rPr>
            </w:pPr>
            <w:r>
              <w:rPr>
                <w:rFonts w:hint="eastAsia"/>
                <w:color w:val="auto"/>
                <w:highlight w:val="none"/>
              </w:rPr>
              <w:t>0份（中标/成交单位须在中标/成交后提供纸质响应文件一正二副共3份投标文件（为了节约资源，建议双面打印，且与上传系统电子版投标时文件内容一致，并加盖骑缝章。）至代理机构处</w:t>
            </w:r>
          </w:p>
        </w:tc>
      </w:tr>
      <w:tr w14:paraId="6475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03" w:type="dxa"/>
            <w:vAlign w:val="center"/>
          </w:tcPr>
          <w:p w14:paraId="6DA832A6">
            <w:pPr>
              <w:spacing w:line="360" w:lineRule="auto"/>
              <w:jc w:val="center"/>
              <w:rPr>
                <w:rFonts w:hAnsi="宋体" w:cs="宋体"/>
                <w:color w:val="auto"/>
                <w:sz w:val="24"/>
                <w:highlight w:val="none"/>
              </w:rPr>
            </w:pPr>
            <w:r>
              <w:rPr>
                <w:rFonts w:hAnsi="宋体" w:cs="宋体"/>
                <w:color w:val="auto"/>
                <w:sz w:val="24"/>
                <w:highlight w:val="none"/>
              </w:rPr>
              <w:t>18.2</w:t>
            </w:r>
          </w:p>
        </w:tc>
        <w:tc>
          <w:tcPr>
            <w:tcW w:w="2176" w:type="dxa"/>
            <w:vAlign w:val="center"/>
          </w:tcPr>
          <w:p w14:paraId="291826A8">
            <w:pPr>
              <w:pStyle w:val="974"/>
              <w:rPr>
                <w:color w:val="auto"/>
                <w:highlight w:val="none"/>
              </w:rPr>
            </w:pPr>
            <w:r>
              <w:rPr>
                <w:rFonts w:hint="eastAsia"/>
                <w:color w:val="auto"/>
                <w:highlight w:val="none"/>
              </w:rPr>
              <w:t>是否退还响应文件</w:t>
            </w:r>
          </w:p>
        </w:tc>
        <w:tc>
          <w:tcPr>
            <w:tcW w:w="6662" w:type="dxa"/>
            <w:vAlign w:val="center"/>
          </w:tcPr>
          <w:p w14:paraId="093E2E6F">
            <w:pPr>
              <w:pStyle w:val="974"/>
              <w:rPr>
                <w:color w:val="auto"/>
                <w:highlight w:val="none"/>
              </w:rPr>
            </w:pPr>
            <w:r>
              <w:rPr>
                <w:rFonts w:hint="eastAsia"/>
                <w:color w:val="auto"/>
                <w:highlight w:val="none"/>
              </w:rPr>
              <w:t>不退还</w:t>
            </w:r>
          </w:p>
        </w:tc>
      </w:tr>
      <w:tr w14:paraId="433A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03" w:type="dxa"/>
            <w:vAlign w:val="center"/>
          </w:tcPr>
          <w:p w14:paraId="75128C21">
            <w:pPr>
              <w:spacing w:line="360" w:lineRule="auto"/>
              <w:jc w:val="center"/>
              <w:rPr>
                <w:rFonts w:hAnsi="宋体" w:cs="宋体"/>
                <w:color w:val="auto"/>
                <w:sz w:val="24"/>
                <w:highlight w:val="none"/>
              </w:rPr>
            </w:pPr>
            <w:r>
              <w:rPr>
                <w:rFonts w:hAnsi="宋体" w:cs="宋体"/>
                <w:color w:val="auto"/>
                <w:sz w:val="24"/>
                <w:highlight w:val="none"/>
              </w:rPr>
              <w:t>1</w:t>
            </w:r>
            <w:r>
              <w:rPr>
                <w:rFonts w:hint="eastAsia" w:hAnsi="宋体" w:cs="宋体"/>
                <w:color w:val="auto"/>
                <w:sz w:val="24"/>
                <w:highlight w:val="none"/>
              </w:rPr>
              <w:t>9</w:t>
            </w:r>
            <w:r>
              <w:rPr>
                <w:rFonts w:hAnsi="宋体" w:cs="宋体"/>
                <w:color w:val="auto"/>
                <w:sz w:val="24"/>
                <w:highlight w:val="none"/>
              </w:rPr>
              <w:t>.</w:t>
            </w:r>
            <w:r>
              <w:rPr>
                <w:rFonts w:hint="eastAsia" w:hAnsi="宋体" w:cs="宋体"/>
                <w:color w:val="auto"/>
                <w:sz w:val="24"/>
                <w:highlight w:val="none"/>
              </w:rPr>
              <w:t>1</w:t>
            </w:r>
          </w:p>
        </w:tc>
        <w:tc>
          <w:tcPr>
            <w:tcW w:w="2176" w:type="dxa"/>
            <w:vAlign w:val="center"/>
          </w:tcPr>
          <w:p w14:paraId="3BA097D3">
            <w:pPr>
              <w:pStyle w:val="974"/>
              <w:rPr>
                <w:color w:val="auto"/>
                <w:highlight w:val="none"/>
              </w:rPr>
            </w:pPr>
            <w:r>
              <w:rPr>
                <w:rFonts w:hint="eastAsia"/>
                <w:color w:val="auto"/>
                <w:highlight w:val="none"/>
              </w:rPr>
              <w:t>磋商程序</w:t>
            </w:r>
          </w:p>
        </w:tc>
        <w:tc>
          <w:tcPr>
            <w:tcW w:w="6662" w:type="dxa"/>
            <w:vAlign w:val="center"/>
          </w:tcPr>
          <w:p w14:paraId="0FF79D3A">
            <w:pPr>
              <w:pStyle w:val="974"/>
              <w:rPr>
                <w:color w:val="auto"/>
                <w:highlight w:val="none"/>
              </w:rPr>
            </w:pPr>
            <w:r>
              <w:rPr>
                <w:rFonts w:hint="eastAsia"/>
                <w:color w:val="auto"/>
                <w:highlight w:val="none"/>
              </w:rPr>
              <w:t>（1）线上开标。开标（签到）倒计时结束前供应商必须完成签到，要求在签到页面进行电子签章。供应商未签到，作为无效投标处理。参与本项目开标与投标文件解密的投标人不足三家的，不得开标。</w:t>
            </w:r>
          </w:p>
          <w:p w14:paraId="41E7FBE0">
            <w:pPr>
              <w:pStyle w:val="974"/>
              <w:rPr>
                <w:color w:val="auto"/>
                <w:highlight w:val="none"/>
              </w:rPr>
            </w:pPr>
            <w:r>
              <w:rPr>
                <w:rFonts w:hint="eastAsia"/>
                <w:color w:val="auto"/>
                <w:highlight w:val="none"/>
              </w:rPr>
              <w:t>（2）电子开标前应签到。（开标（签到）倒计时结束前必须完成签到，要求在签到页面进行电子签章。供应商未签到,作为无效投标处理。）</w:t>
            </w:r>
          </w:p>
          <w:p w14:paraId="0317E068">
            <w:pPr>
              <w:pStyle w:val="974"/>
              <w:rPr>
                <w:color w:val="auto"/>
                <w:highlight w:val="none"/>
              </w:rPr>
            </w:pPr>
            <w:r>
              <w:rPr>
                <w:rFonts w:hint="eastAsia"/>
                <w:color w:val="auto"/>
                <w:highlight w:val="none"/>
              </w:rPr>
              <w:t>（3）发起解密，规定时间内未解密成功者，视为投标无效（供应商在解密页面选择加密时的数字证书进行解密，否则解密不成功。也可通过[系统通知] 点击进入解密页面。供立商解密未成功，作为无效投标处理。）</w:t>
            </w:r>
          </w:p>
          <w:p w14:paraId="02F9DF61">
            <w:pPr>
              <w:pStyle w:val="974"/>
              <w:rPr>
                <w:color w:val="auto"/>
                <w:highlight w:val="none"/>
              </w:rPr>
            </w:pPr>
            <w:r>
              <w:rPr>
                <w:rFonts w:hint="eastAsia"/>
                <w:color w:val="auto"/>
                <w:highlight w:val="none"/>
              </w:rPr>
              <w:t>（4）解密结束，发起结果确认，要求供应商开标结果页面进行电子签章，确认成功，等待评标。也可通过[系统通知]进入开标结果确认页面</w:t>
            </w:r>
          </w:p>
          <w:p w14:paraId="64770EAC">
            <w:pPr>
              <w:pStyle w:val="974"/>
              <w:rPr>
                <w:color w:val="auto"/>
                <w:highlight w:val="none"/>
              </w:rPr>
            </w:pPr>
            <w:r>
              <w:rPr>
                <w:rFonts w:hint="eastAsia"/>
                <w:color w:val="auto"/>
                <w:highlight w:val="none"/>
              </w:rPr>
              <w:t>（5）开标结果确认倒计时结束，结束开标。</w:t>
            </w:r>
          </w:p>
          <w:p w14:paraId="5A93C63C">
            <w:pPr>
              <w:pStyle w:val="974"/>
              <w:rPr>
                <w:color w:val="auto"/>
                <w:highlight w:val="none"/>
              </w:rPr>
            </w:pPr>
            <w:r>
              <w:rPr>
                <w:rFonts w:hint="eastAsia"/>
                <w:color w:val="auto"/>
                <w:highlight w:val="none"/>
              </w:rPr>
              <w:t>（6）投标人开标结束后在海南政府采购网(www.ccgp-hainan.gov.cn)-海南省政府采购电子化交易管理系统(新)等待二次报价。</w:t>
            </w:r>
          </w:p>
        </w:tc>
      </w:tr>
      <w:tr w14:paraId="157B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03" w:type="dxa"/>
            <w:vAlign w:val="center"/>
          </w:tcPr>
          <w:p w14:paraId="7310B65A">
            <w:pPr>
              <w:pStyle w:val="974"/>
              <w:rPr>
                <w:color w:val="auto"/>
                <w:highlight w:val="none"/>
              </w:rPr>
            </w:pPr>
            <w:r>
              <w:rPr>
                <w:color w:val="auto"/>
                <w:highlight w:val="none"/>
              </w:rPr>
              <w:t>20.1</w:t>
            </w:r>
          </w:p>
        </w:tc>
        <w:tc>
          <w:tcPr>
            <w:tcW w:w="2176" w:type="dxa"/>
            <w:vAlign w:val="center"/>
          </w:tcPr>
          <w:p w14:paraId="4BDEE187">
            <w:pPr>
              <w:pStyle w:val="974"/>
              <w:rPr>
                <w:color w:val="auto"/>
                <w:highlight w:val="none"/>
              </w:rPr>
            </w:pPr>
            <w:r>
              <w:rPr>
                <w:rFonts w:hint="eastAsia"/>
                <w:color w:val="auto"/>
                <w:highlight w:val="none"/>
              </w:rPr>
              <w:t>磋商小组的组成</w:t>
            </w:r>
          </w:p>
        </w:tc>
        <w:tc>
          <w:tcPr>
            <w:tcW w:w="6662" w:type="dxa"/>
            <w:vAlign w:val="center"/>
          </w:tcPr>
          <w:p w14:paraId="0D2A29D9">
            <w:pPr>
              <w:pStyle w:val="974"/>
              <w:rPr>
                <w:color w:val="auto"/>
                <w:highlight w:val="none"/>
              </w:rPr>
            </w:pPr>
            <w:r>
              <w:rPr>
                <w:rFonts w:hint="eastAsia"/>
                <w:color w:val="auto"/>
                <w:highlight w:val="none"/>
              </w:rPr>
              <w:t>磋商小组由</w:t>
            </w:r>
            <w:r>
              <w:rPr>
                <w:color w:val="auto"/>
                <w:highlight w:val="none"/>
              </w:rPr>
              <w:t>3</w:t>
            </w:r>
            <w:r>
              <w:rPr>
                <w:rFonts w:hint="eastAsia"/>
                <w:color w:val="auto"/>
                <w:highlight w:val="none"/>
              </w:rPr>
              <w:t>名专家组成。</w:t>
            </w:r>
          </w:p>
        </w:tc>
      </w:tr>
      <w:tr w14:paraId="38F4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3" w:type="dxa"/>
            <w:vAlign w:val="center"/>
          </w:tcPr>
          <w:p w14:paraId="233AF79D">
            <w:pPr>
              <w:spacing w:line="360" w:lineRule="auto"/>
              <w:jc w:val="center"/>
              <w:rPr>
                <w:rFonts w:hAnsi="宋体" w:cs="宋体"/>
                <w:color w:val="auto"/>
                <w:sz w:val="24"/>
                <w:highlight w:val="none"/>
              </w:rPr>
            </w:pPr>
            <w:r>
              <w:rPr>
                <w:rFonts w:hAnsi="宋体" w:cs="宋体"/>
                <w:color w:val="auto"/>
                <w:sz w:val="24"/>
                <w:highlight w:val="none"/>
              </w:rPr>
              <w:t>20.2</w:t>
            </w:r>
          </w:p>
        </w:tc>
        <w:tc>
          <w:tcPr>
            <w:tcW w:w="2176" w:type="dxa"/>
            <w:vAlign w:val="center"/>
          </w:tcPr>
          <w:p w14:paraId="6783F522">
            <w:pPr>
              <w:pStyle w:val="974"/>
              <w:rPr>
                <w:color w:val="auto"/>
                <w:highlight w:val="none"/>
              </w:rPr>
            </w:pPr>
            <w:r>
              <w:rPr>
                <w:rFonts w:hint="eastAsia"/>
                <w:color w:val="auto"/>
                <w:highlight w:val="none"/>
              </w:rPr>
              <w:t>评审方法</w:t>
            </w:r>
          </w:p>
        </w:tc>
        <w:tc>
          <w:tcPr>
            <w:tcW w:w="6662" w:type="dxa"/>
            <w:vAlign w:val="center"/>
          </w:tcPr>
          <w:p w14:paraId="660E0702">
            <w:pPr>
              <w:pStyle w:val="76"/>
              <w:spacing w:line="360" w:lineRule="auto"/>
              <w:jc w:val="both"/>
              <w:rPr>
                <w:rFonts w:ascii="宋体" w:hAnsi="宋体" w:cs="宋体"/>
                <w:color w:val="auto"/>
                <w:highlight w:val="none"/>
              </w:rPr>
            </w:pPr>
            <w:r>
              <w:rPr>
                <w:rFonts w:hint="eastAsia" w:ascii="宋体" w:hAnsi="宋体" w:cs="宋体"/>
                <w:color w:val="auto"/>
                <w:highlight w:val="none"/>
              </w:rPr>
              <w:t>本项目实施两轮报价，经磋商确定最终采购需求和提交最后报价的供应商后，由磋商小组采用综合评分法对提交最后报价的供应商的响应文件和最后报价进行综合评分。</w:t>
            </w:r>
          </w:p>
        </w:tc>
      </w:tr>
      <w:tr w14:paraId="3375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03" w:type="dxa"/>
            <w:vAlign w:val="center"/>
          </w:tcPr>
          <w:p w14:paraId="4D6DAFA7">
            <w:pPr>
              <w:spacing w:line="360" w:lineRule="auto"/>
              <w:jc w:val="center"/>
              <w:rPr>
                <w:rFonts w:hAnsi="宋体" w:cs="宋体"/>
                <w:color w:val="auto"/>
                <w:sz w:val="24"/>
                <w:highlight w:val="none"/>
              </w:rPr>
            </w:pPr>
            <w:r>
              <w:rPr>
                <w:rFonts w:hAnsi="宋体" w:cs="宋体"/>
                <w:color w:val="auto"/>
                <w:sz w:val="24"/>
                <w:highlight w:val="none"/>
              </w:rPr>
              <w:t>25.3</w:t>
            </w:r>
          </w:p>
        </w:tc>
        <w:tc>
          <w:tcPr>
            <w:tcW w:w="2176" w:type="dxa"/>
            <w:vAlign w:val="center"/>
          </w:tcPr>
          <w:p w14:paraId="6FDB5E76">
            <w:pPr>
              <w:pStyle w:val="974"/>
              <w:rPr>
                <w:color w:val="auto"/>
                <w:highlight w:val="none"/>
              </w:rPr>
            </w:pPr>
            <w:r>
              <w:rPr>
                <w:rFonts w:hint="eastAsia"/>
                <w:color w:val="auto"/>
                <w:highlight w:val="none"/>
              </w:rPr>
              <w:t>成交候选人数量</w:t>
            </w:r>
          </w:p>
        </w:tc>
        <w:tc>
          <w:tcPr>
            <w:tcW w:w="6662" w:type="dxa"/>
            <w:vAlign w:val="center"/>
          </w:tcPr>
          <w:p w14:paraId="739D4CED">
            <w:pPr>
              <w:pStyle w:val="974"/>
              <w:rPr>
                <w:color w:val="auto"/>
                <w:highlight w:val="none"/>
              </w:rPr>
            </w:pPr>
            <w:r>
              <w:rPr>
                <w:rFonts w:hint="eastAsia"/>
                <w:color w:val="auto"/>
                <w:highlight w:val="none"/>
              </w:rPr>
              <w:t>推荐</w:t>
            </w:r>
            <w:r>
              <w:rPr>
                <w:color w:val="auto"/>
                <w:highlight w:val="none"/>
              </w:rPr>
              <w:t>3</w:t>
            </w:r>
            <w:r>
              <w:rPr>
                <w:rFonts w:hint="eastAsia"/>
                <w:color w:val="auto"/>
                <w:highlight w:val="none"/>
              </w:rPr>
              <w:t>名成交候选供应商。</w:t>
            </w:r>
          </w:p>
        </w:tc>
      </w:tr>
      <w:tr w14:paraId="4952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03" w:type="dxa"/>
            <w:vMerge w:val="restart"/>
            <w:vAlign w:val="center"/>
          </w:tcPr>
          <w:p w14:paraId="12E87C70">
            <w:pPr>
              <w:spacing w:line="360" w:lineRule="auto"/>
              <w:jc w:val="center"/>
              <w:rPr>
                <w:rFonts w:hAnsi="宋体" w:cs="宋体"/>
                <w:color w:val="auto"/>
                <w:sz w:val="24"/>
                <w:highlight w:val="none"/>
              </w:rPr>
            </w:pPr>
            <w:r>
              <w:rPr>
                <w:rFonts w:hAnsi="宋体" w:cs="宋体"/>
                <w:color w:val="auto"/>
                <w:sz w:val="24"/>
                <w:highlight w:val="none"/>
              </w:rPr>
              <w:t>38</w:t>
            </w:r>
          </w:p>
        </w:tc>
        <w:tc>
          <w:tcPr>
            <w:tcW w:w="2176" w:type="dxa"/>
            <w:vMerge w:val="restart"/>
            <w:vAlign w:val="center"/>
          </w:tcPr>
          <w:p w14:paraId="629EE479">
            <w:pPr>
              <w:pStyle w:val="974"/>
              <w:rPr>
                <w:color w:val="auto"/>
                <w:highlight w:val="none"/>
              </w:rPr>
            </w:pPr>
            <w:r>
              <w:rPr>
                <w:rFonts w:hint="eastAsia"/>
                <w:color w:val="auto"/>
                <w:highlight w:val="none"/>
              </w:rPr>
              <w:t>需要补充的</w:t>
            </w:r>
          </w:p>
          <w:p w14:paraId="07B4612E">
            <w:pPr>
              <w:pStyle w:val="974"/>
              <w:rPr>
                <w:color w:val="auto"/>
                <w:highlight w:val="none"/>
              </w:rPr>
            </w:pPr>
            <w:r>
              <w:rPr>
                <w:rFonts w:hint="eastAsia"/>
                <w:color w:val="auto"/>
                <w:highlight w:val="none"/>
              </w:rPr>
              <w:t>其他内容</w:t>
            </w:r>
          </w:p>
        </w:tc>
        <w:tc>
          <w:tcPr>
            <w:tcW w:w="6662" w:type="dxa"/>
            <w:vAlign w:val="center"/>
          </w:tcPr>
          <w:p w14:paraId="77DD5A0E">
            <w:pPr>
              <w:pStyle w:val="974"/>
              <w:rPr>
                <w:color w:val="auto"/>
                <w:highlight w:val="none"/>
              </w:rPr>
            </w:pPr>
            <w:r>
              <w:rPr>
                <w:rFonts w:hint="eastAsia"/>
                <w:color w:val="auto"/>
                <w:highlight w:val="none"/>
              </w:rPr>
              <w:t>单位负责人为同一人或者存在直接控股、管理关系的不同投标人，不得参加同一合同项下的采购活动；</w:t>
            </w:r>
          </w:p>
        </w:tc>
      </w:tr>
      <w:tr w14:paraId="5077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300668AA">
            <w:pPr>
              <w:spacing w:line="360" w:lineRule="auto"/>
              <w:jc w:val="center"/>
              <w:rPr>
                <w:rFonts w:hAnsi="宋体" w:cs="宋体"/>
                <w:color w:val="auto"/>
                <w:sz w:val="24"/>
                <w:highlight w:val="none"/>
              </w:rPr>
            </w:pPr>
          </w:p>
        </w:tc>
        <w:tc>
          <w:tcPr>
            <w:tcW w:w="2176" w:type="dxa"/>
            <w:vMerge w:val="continue"/>
            <w:vAlign w:val="center"/>
          </w:tcPr>
          <w:p w14:paraId="3898101F">
            <w:pPr>
              <w:pStyle w:val="974"/>
              <w:rPr>
                <w:color w:val="auto"/>
                <w:highlight w:val="none"/>
              </w:rPr>
            </w:pPr>
          </w:p>
        </w:tc>
        <w:tc>
          <w:tcPr>
            <w:tcW w:w="6662" w:type="dxa"/>
            <w:vAlign w:val="center"/>
          </w:tcPr>
          <w:p w14:paraId="33FF0EDD">
            <w:pPr>
              <w:pStyle w:val="974"/>
              <w:rPr>
                <w:color w:val="auto"/>
                <w:highlight w:val="none"/>
              </w:rPr>
            </w:pPr>
            <w:r>
              <w:rPr>
                <w:rFonts w:hint="eastAsia"/>
                <w:color w:val="auto"/>
                <w:highlight w:val="none"/>
              </w:rPr>
              <w:t>除单一来源的项目，为采购项目提供整体设计、规范编制或者项目管理、监理、检测等服务的</w:t>
            </w:r>
            <w:r>
              <w:rPr>
                <w:rFonts w:hint="eastAsia" w:cs="宋体"/>
                <w:color w:val="auto"/>
                <w:szCs w:val="24"/>
                <w:highlight w:val="none"/>
              </w:rPr>
              <w:t>投标人</w:t>
            </w:r>
            <w:r>
              <w:rPr>
                <w:rFonts w:hint="eastAsia"/>
                <w:color w:val="auto"/>
                <w:highlight w:val="none"/>
              </w:rPr>
              <w:t>，不得再参加该采购项目的其他采购活动。</w:t>
            </w:r>
          </w:p>
        </w:tc>
      </w:tr>
      <w:tr w14:paraId="4453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143E269E">
            <w:pPr>
              <w:spacing w:line="360" w:lineRule="auto"/>
              <w:jc w:val="center"/>
              <w:rPr>
                <w:rFonts w:hAnsi="宋体" w:cs="宋体"/>
                <w:color w:val="auto"/>
                <w:sz w:val="24"/>
                <w:highlight w:val="none"/>
              </w:rPr>
            </w:pPr>
          </w:p>
        </w:tc>
        <w:tc>
          <w:tcPr>
            <w:tcW w:w="2176" w:type="dxa"/>
            <w:vMerge w:val="continue"/>
            <w:vAlign w:val="center"/>
          </w:tcPr>
          <w:p w14:paraId="4C9C170C">
            <w:pPr>
              <w:pStyle w:val="974"/>
              <w:rPr>
                <w:color w:val="auto"/>
                <w:highlight w:val="none"/>
              </w:rPr>
            </w:pPr>
          </w:p>
        </w:tc>
        <w:tc>
          <w:tcPr>
            <w:tcW w:w="6662" w:type="dxa"/>
            <w:vAlign w:val="center"/>
          </w:tcPr>
          <w:p w14:paraId="143E2165">
            <w:pPr>
              <w:pStyle w:val="974"/>
              <w:rPr>
                <w:color w:val="auto"/>
                <w:highlight w:val="none"/>
              </w:rPr>
            </w:pPr>
            <w:r>
              <w:rPr>
                <w:rFonts w:hint="eastAsia"/>
                <w:color w:val="auto"/>
                <w:highlight w:val="none"/>
              </w:rPr>
              <w:t>付款方式：采购双方签订合同时另行具体约定</w:t>
            </w:r>
          </w:p>
        </w:tc>
      </w:tr>
      <w:tr w14:paraId="781A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27B8E709">
            <w:pPr>
              <w:spacing w:line="360" w:lineRule="auto"/>
              <w:jc w:val="center"/>
              <w:rPr>
                <w:rFonts w:hAnsi="宋体" w:cs="宋体"/>
                <w:color w:val="auto"/>
                <w:sz w:val="24"/>
                <w:highlight w:val="none"/>
              </w:rPr>
            </w:pPr>
          </w:p>
        </w:tc>
        <w:tc>
          <w:tcPr>
            <w:tcW w:w="2176" w:type="dxa"/>
            <w:vMerge w:val="continue"/>
            <w:vAlign w:val="center"/>
          </w:tcPr>
          <w:p w14:paraId="47700C1A">
            <w:pPr>
              <w:pStyle w:val="974"/>
              <w:rPr>
                <w:color w:val="auto"/>
                <w:highlight w:val="none"/>
              </w:rPr>
            </w:pPr>
          </w:p>
        </w:tc>
        <w:tc>
          <w:tcPr>
            <w:tcW w:w="6662" w:type="dxa"/>
            <w:vAlign w:val="center"/>
          </w:tcPr>
          <w:p w14:paraId="58FE7F8E">
            <w:pPr>
              <w:pStyle w:val="974"/>
              <w:rPr>
                <w:color w:val="auto"/>
                <w:highlight w:val="none"/>
              </w:rPr>
            </w:pPr>
            <w:r>
              <w:rPr>
                <w:rFonts w:hint="eastAsia"/>
                <w:color w:val="auto"/>
                <w:highlight w:val="none"/>
              </w:rPr>
              <w:t>资金来源：财政资金</w:t>
            </w:r>
          </w:p>
        </w:tc>
      </w:tr>
      <w:tr w14:paraId="77E6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42E76D5C">
            <w:pPr>
              <w:spacing w:line="360" w:lineRule="auto"/>
              <w:jc w:val="center"/>
              <w:rPr>
                <w:rFonts w:hAnsi="宋体" w:cs="宋体"/>
                <w:color w:val="auto"/>
                <w:sz w:val="24"/>
                <w:highlight w:val="none"/>
              </w:rPr>
            </w:pPr>
          </w:p>
        </w:tc>
        <w:tc>
          <w:tcPr>
            <w:tcW w:w="2176" w:type="dxa"/>
            <w:vMerge w:val="continue"/>
            <w:vAlign w:val="center"/>
          </w:tcPr>
          <w:p w14:paraId="375EBAD3">
            <w:pPr>
              <w:pStyle w:val="974"/>
              <w:rPr>
                <w:color w:val="auto"/>
                <w:highlight w:val="none"/>
              </w:rPr>
            </w:pPr>
          </w:p>
        </w:tc>
        <w:tc>
          <w:tcPr>
            <w:tcW w:w="6662" w:type="dxa"/>
            <w:vAlign w:val="center"/>
          </w:tcPr>
          <w:p w14:paraId="478AA9D5">
            <w:pPr>
              <w:pStyle w:val="974"/>
              <w:rPr>
                <w:color w:val="auto"/>
                <w:highlight w:val="none"/>
              </w:rPr>
            </w:pPr>
            <w:r>
              <w:rPr>
                <w:rFonts w:hint="eastAsia"/>
                <w:color w:val="auto"/>
                <w:highlight w:val="none"/>
              </w:rPr>
              <w:t>质量标准：合格</w:t>
            </w:r>
          </w:p>
        </w:tc>
      </w:tr>
      <w:tr w14:paraId="3B66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29182188">
            <w:pPr>
              <w:spacing w:line="360" w:lineRule="auto"/>
              <w:jc w:val="center"/>
              <w:rPr>
                <w:rFonts w:hAnsi="宋体" w:cs="宋体"/>
                <w:color w:val="auto"/>
                <w:sz w:val="24"/>
                <w:highlight w:val="none"/>
              </w:rPr>
            </w:pPr>
          </w:p>
        </w:tc>
        <w:tc>
          <w:tcPr>
            <w:tcW w:w="2176" w:type="dxa"/>
            <w:vMerge w:val="continue"/>
            <w:vAlign w:val="center"/>
          </w:tcPr>
          <w:p w14:paraId="0A8E4EAD">
            <w:pPr>
              <w:pStyle w:val="974"/>
              <w:rPr>
                <w:color w:val="auto"/>
                <w:highlight w:val="none"/>
              </w:rPr>
            </w:pPr>
          </w:p>
        </w:tc>
        <w:tc>
          <w:tcPr>
            <w:tcW w:w="6662" w:type="dxa"/>
            <w:vAlign w:val="center"/>
          </w:tcPr>
          <w:p w14:paraId="3400410C">
            <w:pPr>
              <w:pStyle w:val="974"/>
              <w:rPr>
                <w:color w:val="auto"/>
                <w:highlight w:val="none"/>
              </w:rPr>
            </w:pPr>
            <w:r>
              <w:rPr>
                <w:rFonts w:hint="eastAsia"/>
                <w:color w:val="auto"/>
                <w:highlight w:val="none"/>
              </w:rPr>
              <w:t>响应文件要求：</w:t>
            </w:r>
          </w:p>
          <w:p w14:paraId="41442371">
            <w:pPr>
              <w:pStyle w:val="974"/>
              <w:rPr>
                <w:color w:val="auto"/>
                <w:highlight w:val="none"/>
              </w:rPr>
            </w:pPr>
            <w:r>
              <w:rPr>
                <w:rFonts w:hint="eastAsia"/>
                <w:color w:val="auto"/>
                <w:highlight w:val="none"/>
              </w:rPr>
              <w:t>上传使用“投标文件制作工具”制作加密的投标文件(wenc格式)1份，须在提交投标文件截止时间前成功上传至海南省政府采购电子化交易管理系统平台(https://www.ccgp-hainan.gov.cn/zhuzhan/)并取得回执。逾期上传或者错误方式上传的投标文件，视为无效投标文件。</w:t>
            </w:r>
          </w:p>
        </w:tc>
      </w:tr>
      <w:tr w14:paraId="74AD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56BF53F3">
            <w:pPr>
              <w:spacing w:line="360" w:lineRule="auto"/>
              <w:jc w:val="center"/>
              <w:rPr>
                <w:rFonts w:hAnsi="宋体" w:cs="宋体"/>
                <w:color w:val="auto"/>
                <w:sz w:val="24"/>
                <w:highlight w:val="none"/>
              </w:rPr>
            </w:pPr>
          </w:p>
        </w:tc>
        <w:tc>
          <w:tcPr>
            <w:tcW w:w="2176" w:type="dxa"/>
            <w:vMerge w:val="continue"/>
            <w:vAlign w:val="center"/>
          </w:tcPr>
          <w:p w14:paraId="5B16CADF">
            <w:pPr>
              <w:pStyle w:val="974"/>
              <w:rPr>
                <w:color w:val="auto"/>
                <w:highlight w:val="none"/>
              </w:rPr>
            </w:pPr>
          </w:p>
        </w:tc>
        <w:tc>
          <w:tcPr>
            <w:tcW w:w="6662" w:type="dxa"/>
            <w:vAlign w:val="center"/>
          </w:tcPr>
          <w:p w14:paraId="1CEFD2FC">
            <w:pPr>
              <w:pStyle w:val="974"/>
              <w:rPr>
                <w:color w:val="auto"/>
                <w:highlight w:val="none"/>
              </w:rPr>
            </w:pPr>
            <w:r>
              <w:rPr>
                <w:rFonts w:hint="eastAsia"/>
                <w:color w:val="auto"/>
                <w:highlight w:val="none"/>
              </w:rPr>
              <w:t>电子标书制作要求：</w:t>
            </w:r>
          </w:p>
          <w:p w14:paraId="34E5A5FD">
            <w:pPr>
              <w:pStyle w:val="974"/>
              <w:rPr>
                <w:color w:val="auto"/>
                <w:highlight w:val="none"/>
              </w:rPr>
            </w:pPr>
            <w:r>
              <w:rPr>
                <w:rFonts w:hint="eastAsia"/>
                <w:color w:val="auto"/>
                <w:highlight w:val="none"/>
              </w:rPr>
              <w:t>（1）电子标书的制作需按照交易平台的指引进行，除了制作文本格式的标书外，交易平台为了在开评标阶段提取关键数据，会要求投标人在投标文件编制工具中，同时填写结构化表单，进行条款关联等操作。</w:t>
            </w:r>
          </w:p>
          <w:p w14:paraId="0283126A">
            <w:pPr>
              <w:pStyle w:val="974"/>
              <w:rPr>
                <w:color w:val="auto"/>
                <w:highlight w:val="none"/>
              </w:rPr>
            </w:pPr>
            <w:r>
              <w:rPr>
                <w:rFonts w:hint="eastAsia"/>
                <w:color w:val="auto"/>
                <w:highlight w:val="none"/>
              </w:rPr>
              <w:t>（2）供应商必须使用从海南省政府采购电子化交易管理系统下载的招投标文件数据包，必须通过电子标书制作工具进行编制和加密等。招标文件有更正的必须下载更正后的招标文件数据包，否则解密失败。</w:t>
            </w:r>
          </w:p>
        </w:tc>
      </w:tr>
      <w:tr w14:paraId="68C4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3" w:type="dxa"/>
            <w:vMerge w:val="continue"/>
            <w:vAlign w:val="center"/>
          </w:tcPr>
          <w:p w14:paraId="34240DE7">
            <w:pPr>
              <w:spacing w:line="360" w:lineRule="auto"/>
              <w:jc w:val="center"/>
              <w:rPr>
                <w:rFonts w:hAnsi="宋体" w:cs="宋体"/>
                <w:color w:val="auto"/>
                <w:sz w:val="24"/>
                <w:highlight w:val="none"/>
              </w:rPr>
            </w:pPr>
          </w:p>
        </w:tc>
        <w:tc>
          <w:tcPr>
            <w:tcW w:w="2176" w:type="dxa"/>
            <w:vMerge w:val="continue"/>
            <w:vAlign w:val="center"/>
          </w:tcPr>
          <w:p w14:paraId="628431BC">
            <w:pPr>
              <w:pStyle w:val="974"/>
              <w:rPr>
                <w:color w:val="auto"/>
                <w:highlight w:val="none"/>
              </w:rPr>
            </w:pPr>
          </w:p>
        </w:tc>
        <w:tc>
          <w:tcPr>
            <w:tcW w:w="6662" w:type="dxa"/>
            <w:vAlign w:val="center"/>
          </w:tcPr>
          <w:p w14:paraId="0135FD69">
            <w:pPr>
              <w:pStyle w:val="974"/>
              <w:rPr>
                <w:color w:val="auto"/>
                <w:highlight w:val="none"/>
              </w:rPr>
            </w:pPr>
            <w:r>
              <w:rPr>
                <w:rFonts w:hint="eastAsia"/>
                <w:color w:val="auto"/>
                <w:highlight w:val="none"/>
              </w:rPr>
              <w:t>签字盖章要求：</w:t>
            </w:r>
          </w:p>
          <w:p w14:paraId="146A564F">
            <w:pPr>
              <w:pStyle w:val="974"/>
              <w:rPr>
                <w:color w:val="auto"/>
                <w:highlight w:val="none"/>
              </w:rPr>
            </w:pPr>
            <w:r>
              <w:rPr>
                <w:rFonts w:hint="eastAsia"/>
                <w:color w:val="auto"/>
                <w:highlight w:val="none"/>
              </w:rPr>
              <w:t>电子模式下，标书并不需要逐页签字或盖章，直接使用CA锁在投标文件编制工具里对文件需要签字和盖章处签字盖章、及加盖骑缝章即可，电子签章（电子签名、盖章）同样具有法律效率，投标人按照交易平台指引，离线制作电子标书并签章即可（如果投标人只办理了公司公章的CA锁，未办理法人章CA锁或投标文件是由委托代理人签字的，则需导出签字盖章，再扫描放入标书中）。对于授权书等，一些特殊形式的证明文件，仍需要手动签字或盖章后再扫描放入标书中，一并进行电子签章。招标文件有其他约定的从其约定。</w:t>
            </w:r>
          </w:p>
        </w:tc>
      </w:tr>
      <w:tr w14:paraId="16C4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03" w:type="dxa"/>
            <w:vAlign w:val="center"/>
          </w:tcPr>
          <w:p w14:paraId="1F53EEAE">
            <w:pPr>
              <w:spacing w:line="360" w:lineRule="auto"/>
              <w:jc w:val="center"/>
              <w:rPr>
                <w:rFonts w:hAnsi="宋体" w:cs="宋体"/>
                <w:color w:val="auto"/>
                <w:sz w:val="24"/>
                <w:highlight w:val="none"/>
              </w:rPr>
            </w:pPr>
          </w:p>
          <w:p w14:paraId="4C3C48FB">
            <w:pPr>
              <w:spacing w:line="360" w:lineRule="auto"/>
              <w:jc w:val="center"/>
              <w:rPr>
                <w:rFonts w:hAnsi="宋体" w:cs="宋体"/>
                <w:color w:val="auto"/>
                <w:sz w:val="24"/>
                <w:highlight w:val="none"/>
              </w:rPr>
            </w:pPr>
            <w:r>
              <w:rPr>
                <w:rFonts w:hint="eastAsia" w:hAnsi="宋体" w:cs="宋体"/>
                <w:color w:val="auto"/>
                <w:sz w:val="24"/>
                <w:highlight w:val="none"/>
              </w:rPr>
              <w:t>政府采购政策</w:t>
            </w:r>
          </w:p>
        </w:tc>
        <w:tc>
          <w:tcPr>
            <w:tcW w:w="2176" w:type="dxa"/>
            <w:vAlign w:val="center"/>
          </w:tcPr>
          <w:p w14:paraId="62D4827F">
            <w:pPr>
              <w:pStyle w:val="974"/>
              <w:rPr>
                <w:color w:val="auto"/>
                <w:highlight w:val="none"/>
              </w:rPr>
            </w:pPr>
            <w:r>
              <w:rPr>
                <w:rFonts w:hint="eastAsia"/>
                <w:color w:val="auto"/>
                <w:highlight w:val="none"/>
              </w:rPr>
              <w:t>中小企业促进政策</w:t>
            </w:r>
          </w:p>
        </w:tc>
        <w:tc>
          <w:tcPr>
            <w:tcW w:w="6662" w:type="dxa"/>
            <w:vAlign w:val="center"/>
          </w:tcPr>
          <w:p w14:paraId="0ACBAAE4">
            <w:pPr>
              <w:pStyle w:val="974"/>
              <w:rPr>
                <w:color w:val="auto"/>
                <w:highlight w:val="none"/>
              </w:rPr>
            </w:pPr>
            <w:r>
              <w:rPr>
                <w:rFonts w:hint="eastAsia"/>
                <w:color w:val="auto"/>
                <w:highlight w:val="none"/>
              </w:rPr>
              <w:t>1、小型和微型企业：小型和微型企业须提供注册地县级及以上中小企业管理部门出具的小型和微型企业证明文件和《中小企业声明函》。小型和微型企业不能提供证明文件的，按照《政府采购促进中小企业发展管理办法》（财库﹝2020﹞46 号）的规定，可提供企业从业人员、营业收入、资产总额等证明材料和《中小企业声明函》，否则将不进行价格扣除。</w:t>
            </w:r>
          </w:p>
          <w:p w14:paraId="24A4B351">
            <w:pPr>
              <w:pStyle w:val="974"/>
              <w:rPr>
                <w:color w:val="auto"/>
                <w:highlight w:val="none"/>
              </w:rPr>
            </w:pPr>
            <w:r>
              <w:rPr>
                <w:rFonts w:hint="eastAsia"/>
                <w:color w:val="auto"/>
                <w:highlight w:val="none"/>
              </w:rPr>
              <w:t>2、监狱企业：根据《财政部 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14:paraId="481F0158">
            <w:pPr>
              <w:pStyle w:val="974"/>
              <w:rPr>
                <w:color w:val="auto"/>
                <w:highlight w:val="none"/>
              </w:rPr>
            </w:pPr>
            <w:r>
              <w:rPr>
                <w:rFonts w:hint="eastAsia"/>
                <w:color w:val="auto"/>
                <w:highlight w:val="none"/>
              </w:rPr>
              <w:t>3、残疾人福利性单位：根据《财政部 民政部 中国残疾人联合会关于促进残疾人就业政府采购政策的通知》（财库〔2017〕 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14:paraId="6F680008">
            <w:pPr>
              <w:pStyle w:val="974"/>
              <w:rPr>
                <w:rFonts w:hAnsi="宋体" w:cs="宋体"/>
                <w:color w:val="auto"/>
                <w:szCs w:val="24"/>
                <w:highlight w:val="none"/>
              </w:rPr>
            </w:pPr>
            <w:r>
              <w:rPr>
                <w:rFonts w:hint="eastAsia"/>
                <w:color w:val="auto"/>
                <w:highlight w:val="none"/>
              </w:rPr>
              <w:t>4、价格扣除幅度：投标人同时为小微型企业、监狱企业或残疾人福利性单位的，评审中只享受一次价格扣除，不重复进行价格扣除</w:t>
            </w:r>
            <w:r>
              <w:rPr>
                <w:rFonts w:hint="eastAsia" w:hAnsi="宋体" w:cs="宋体"/>
                <w:color w:val="auto"/>
                <w:szCs w:val="24"/>
                <w:highlight w:val="none"/>
              </w:rPr>
              <w:t>。</w:t>
            </w:r>
          </w:p>
        </w:tc>
      </w:tr>
    </w:tbl>
    <w:p w14:paraId="1034D92A">
      <w:pPr>
        <w:pStyle w:val="880"/>
        <w:numPr>
          <w:ilvl w:val="0"/>
          <w:numId w:val="0"/>
        </w:numPr>
        <w:spacing w:before="120" w:after="120"/>
        <w:jc w:val="center"/>
        <w:rPr>
          <w:b/>
          <w:bCs/>
          <w:color w:val="auto"/>
          <w:highlight w:val="none"/>
        </w:rPr>
      </w:pPr>
    </w:p>
    <w:p w14:paraId="3CAB593B">
      <w:pPr>
        <w:tabs>
          <w:tab w:val="left" w:pos="540"/>
          <w:tab w:val="left" w:pos="720"/>
        </w:tabs>
        <w:spacing w:before="100" w:beforeAutospacing="1" w:after="100" w:afterAutospacing="1" w:line="360" w:lineRule="auto"/>
        <w:outlineLvl w:val="1"/>
        <w:rPr>
          <w:rFonts w:hAnsi="宋体" w:cs="宋体"/>
          <w:b/>
          <w:color w:val="auto"/>
          <w:kern w:val="2"/>
          <w:sz w:val="36"/>
          <w:szCs w:val="36"/>
          <w:highlight w:val="none"/>
        </w:rPr>
      </w:pPr>
      <w:r>
        <w:rPr>
          <w:rFonts w:hint="eastAsia" w:hAnsi="宋体" w:cs="宋体"/>
          <w:b/>
          <w:color w:val="auto"/>
          <w:kern w:val="2"/>
          <w:sz w:val="36"/>
          <w:szCs w:val="36"/>
          <w:highlight w:val="none"/>
        </w:rPr>
        <w:t>说明和释义</w:t>
      </w:r>
    </w:p>
    <w:p w14:paraId="744A1040">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适用范围</w:t>
      </w:r>
    </w:p>
    <w:p w14:paraId="28BCBF50">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本磋商文件仅适用于本采购活动。</w:t>
      </w:r>
    </w:p>
    <w:p w14:paraId="46A339DD">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本采购活动及结果受中国法律的制约和保护。</w:t>
      </w:r>
    </w:p>
    <w:p w14:paraId="7C7DD99E">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采购说明</w:t>
      </w:r>
    </w:p>
    <w:p w14:paraId="3B817D9F">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项目名称：见供应商须知前附表。</w:t>
      </w:r>
    </w:p>
    <w:p w14:paraId="7A392672">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项目编号：见供应商须知前附表。</w:t>
      </w:r>
    </w:p>
    <w:p w14:paraId="31F357F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采购人：见供应商须知前附表。</w:t>
      </w:r>
    </w:p>
    <w:p w14:paraId="6968220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采购代理机构：见供应商须知前附表。</w:t>
      </w:r>
    </w:p>
    <w:p w14:paraId="7267E971">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采购预算：见供应商须知前附表。</w:t>
      </w:r>
    </w:p>
    <w:p w14:paraId="138F1E8C">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投资模式：见供应商须知前附表。</w:t>
      </w:r>
    </w:p>
    <w:p w14:paraId="7D98144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供应商资格要求：见供应商须知前附表。</w:t>
      </w:r>
    </w:p>
    <w:p w14:paraId="610EF398">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2.7.1 </w:t>
      </w:r>
      <w:r>
        <w:rPr>
          <w:rFonts w:hint="eastAsia" w:hAnsi="宋体"/>
          <w:color w:val="auto"/>
          <w:kern w:val="2"/>
          <w:sz w:val="24"/>
          <w:szCs w:val="24"/>
          <w:highlight w:val="none"/>
        </w:rPr>
        <w:t>投标人不得存在下列情形之一：</w:t>
      </w:r>
    </w:p>
    <w:p w14:paraId="24ADBA3F">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(l</w:t>
      </w:r>
      <w:r>
        <w:rPr>
          <w:rFonts w:hint="eastAsia" w:hAnsi="宋体"/>
          <w:color w:val="auto"/>
          <w:kern w:val="2"/>
          <w:sz w:val="24"/>
          <w:szCs w:val="24"/>
          <w:highlight w:val="none"/>
        </w:rPr>
        <w:t>）为招标人不具有独立法人资格的附属机构（单位）；</w:t>
      </w:r>
    </w:p>
    <w:p w14:paraId="63C32F7F">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(2</w:t>
      </w:r>
      <w:r>
        <w:rPr>
          <w:rFonts w:hint="eastAsia" w:hAnsi="宋体"/>
          <w:color w:val="auto"/>
          <w:kern w:val="2"/>
          <w:sz w:val="24"/>
          <w:szCs w:val="24"/>
          <w:highlight w:val="none"/>
        </w:rPr>
        <w:t>）为本标段前期准备提供设计或咨询服务的，但设计施工总承包的除外；</w:t>
      </w:r>
    </w:p>
    <w:p w14:paraId="3CE27D2D">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(3</w:t>
      </w:r>
      <w:r>
        <w:rPr>
          <w:rFonts w:hint="eastAsia" w:hAnsi="宋体"/>
          <w:color w:val="auto"/>
          <w:kern w:val="2"/>
          <w:sz w:val="24"/>
          <w:szCs w:val="24"/>
          <w:highlight w:val="none"/>
        </w:rPr>
        <w:t>）为本标段的监理人；</w:t>
      </w:r>
    </w:p>
    <w:p w14:paraId="06BE51F4">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(4</w:t>
      </w:r>
      <w:r>
        <w:rPr>
          <w:rFonts w:hint="eastAsia" w:hAnsi="宋体"/>
          <w:color w:val="auto"/>
          <w:kern w:val="2"/>
          <w:sz w:val="24"/>
          <w:szCs w:val="24"/>
          <w:highlight w:val="none"/>
        </w:rPr>
        <w:t>）为本标段的代建人；</w:t>
      </w:r>
    </w:p>
    <w:p w14:paraId="43C19F78">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(5</w:t>
      </w:r>
      <w:r>
        <w:rPr>
          <w:rFonts w:hint="eastAsia" w:hAnsi="宋体"/>
          <w:color w:val="auto"/>
          <w:kern w:val="2"/>
          <w:sz w:val="24"/>
          <w:szCs w:val="24"/>
          <w:highlight w:val="none"/>
        </w:rPr>
        <w:t>）为本标段提供招标代理服务的；</w:t>
      </w:r>
    </w:p>
    <w:p w14:paraId="75CE0974">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(6</w:t>
      </w:r>
      <w:r>
        <w:rPr>
          <w:rFonts w:hint="eastAsia" w:hAnsi="宋体"/>
          <w:color w:val="auto"/>
          <w:kern w:val="2"/>
          <w:sz w:val="24"/>
          <w:szCs w:val="24"/>
          <w:highlight w:val="none"/>
        </w:rPr>
        <w:t>）与本标段的监理人或代建人或招标代理机构同为一个法定代表人的；</w:t>
      </w:r>
    </w:p>
    <w:p w14:paraId="304C9E0A">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(7</w:t>
      </w:r>
      <w:r>
        <w:rPr>
          <w:rFonts w:hint="eastAsia" w:hAnsi="宋体"/>
          <w:color w:val="auto"/>
          <w:kern w:val="2"/>
          <w:sz w:val="24"/>
          <w:szCs w:val="24"/>
          <w:highlight w:val="none"/>
        </w:rPr>
        <w:t>）与本标段的监理人或代建人或招标代理机构相互控股或参股的；</w:t>
      </w:r>
    </w:p>
    <w:p w14:paraId="5346D53E">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(8</w:t>
      </w:r>
      <w:r>
        <w:rPr>
          <w:rFonts w:hint="eastAsia" w:hAnsi="宋体"/>
          <w:color w:val="auto"/>
          <w:kern w:val="2"/>
          <w:sz w:val="24"/>
          <w:szCs w:val="24"/>
          <w:highlight w:val="none"/>
        </w:rPr>
        <w:t>）与本标段的监理人或代建人或招标代理机构相互任职或工作的；</w:t>
      </w:r>
    </w:p>
    <w:p w14:paraId="07D31B5C">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(9</w:t>
      </w:r>
      <w:r>
        <w:rPr>
          <w:rFonts w:hint="eastAsia" w:hAnsi="宋体"/>
          <w:color w:val="auto"/>
          <w:kern w:val="2"/>
          <w:sz w:val="24"/>
          <w:szCs w:val="24"/>
          <w:highlight w:val="none"/>
        </w:rPr>
        <w:t>）被责令停业的；</w:t>
      </w:r>
    </w:p>
    <w:p w14:paraId="2E2895E0">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(10</w:t>
      </w:r>
      <w:r>
        <w:rPr>
          <w:rFonts w:hint="eastAsia" w:hAnsi="宋体"/>
          <w:color w:val="auto"/>
          <w:kern w:val="2"/>
          <w:sz w:val="24"/>
          <w:szCs w:val="24"/>
          <w:highlight w:val="none"/>
        </w:rPr>
        <w:t>）被暂停或取消投标资格的；</w:t>
      </w:r>
    </w:p>
    <w:p w14:paraId="63740648">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(11</w:t>
      </w:r>
      <w:r>
        <w:rPr>
          <w:rFonts w:hint="eastAsia" w:hAnsi="宋体"/>
          <w:color w:val="auto"/>
          <w:kern w:val="2"/>
          <w:sz w:val="24"/>
          <w:szCs w:val="24"/>
          <w:highlight w:val="none"/>
        </w:rPr>
        <w:t>）财产被接管或冻结的；</w:t>
      </w:r>
    </w:p>
    <w:p w14:paraId="4C1FD0D6">
      <w:pPr>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 xml:space="preserve">     (12</w:t>
      </w:r>
      <w:r>
        <w:rPr>
          <w:rFonts w:hint="eastAsia" w:hAnsi="宋体"/>
          <w:color w:val="auto"/>
          <w:kern w:val="2"/>
          <w:sz w:val="24"/>
          <w:szCs w:val="24"/>
          <w:highlight w:val="none"/>
        </w:rPr>
        <w:t>）在最近三年内有骗取中标或严重违约或重大工程质量问题的；</w:t>
      </w:r>
    </w:p>
    <w:p w14:paraId="33A6F393">
      <w:pPr>
        <w:spacing w:line="360" w:lineRule="auto"/>
        <w:ind w:firstLine="960" w:firstLineChars="400"/>
        <w:rPr>
          <w:rFonts w:hAnsi="宋体"/>
          <w:color w:val="auto"/>
          <w:kern w:val="2"/>
          <w:sz w:val="24"/>
          <w:szCs w:val="24"/>
          <w:highlight w:val="none"/>
        </w:rPr>
      </w:pPr>
      <w:r>
        <w:rPr>
          <w:rFonts w:hint="eastAsia" w:hAnsi="宋体"/>
          <w:color w:val="auto"/>
          <w:kern w:val="2"/>
          <w:sz w:val="24"/>
          <w:szCs w:val="24"/>
          <w:highlight w:val="none"/>
        </w:rPr>
        <w:t>（</w:t>
      </w:r>
      <w:r>
        <w:rPr>
          <w:rFonts w:hAnsi="宋体"/>
          <w:color w:val="auto"/>
          <w:kern w:val="2"/>
          <w:sz w:val="24"/>
          <w:szCs w:val="24"/>
          <w:highlight w:val="none"/>
        </w:rPr>
        <w:t>13</w:t>
      </w:r>
      <w:r>
        <w:rPr>
          <w:rFonts w:hint="eastAsia" w:hAnsi="宋体"/>
          <w:color w:val="auto"/>
          <w:kern w:val="2"/>
          <w:sz w:val="24"/>
          <w:szCs w:val="24"/>
          <w:highlight w:val="none"/>
        </w:rPr>
        <w:t>）</w:t>
      </w:r>
      <w:r>
        <w:rPr>
          <w:rFonts w:hint="eastAsia" w:hAnsi="宋体" w:cs="宋体"/>
          <w:color w:val="auto"/>
          <w:sz w:val="24"/>
          <w:szCs w:val="24"/>
          <w:highlight w:val="none"/>
        </w:rPr>
        <w:t>单位负责人为同一人或者存在直接控股、管理关系的不同供应商，不得参加同一合同项下的政府采购活动。</w:t>
      </w:r>
    </w:p>
    <w:p w14:paraId="15B9F7A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计划工期：见供应商须知前附表。</w:t>
      </w:r>
    </w:p>
    <w:p w14:paraId="3F8B6664">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项目属于行业：见供应商须知前附表。</w:t>
      </w:r>
    </w:p>
    <w:p w14:paraId="7DB6A4A8">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磋商授权委托</w:t>
      </w:r>
    </w:p>
    <w:p w14:paraId="4CB851C1">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供应商的法定代表人可以委托代表人处理磋商事务。</w:t>
      </w:r>
    </w:p>
    <w:p w14:paraId="73AF050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委托代表人的资格条件：见供应商须知前附表。</w:t>
      </w:r>
    </w:p>
    <w:p w14:paraId="26365CA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委托代表人的代理权限：见供应商须知前附表。</w:t>
      </w:r>
    </w:p>
    <w:p w14:paraId="3D78B1C3">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委托代表人须持有法定代表人出具的符合格式要求的《法定代表人授权委托书》。</w:t>
      </w:r>
    </w:p>
    <w:p w14:paraId="415336C6">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磋商费用</w:t>
      </w:r>
    </w:p>
    <w:p w14:paraId="7634AD6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供应商自行承担参加磋商的全部费用，自行承担磋商失败风险。</w:t>
      </w:r>
    </w:p>
    <w:p w14:paraId="49C3B5F0">
      <w:pPr>
        <w:numPr>
          <w:ilvl w:val="0"/>
          <w:numId w:val="11"/>
        </w:numPr>
        <w:tabs>
          <w:tab w:val="left" w:pos="540"/>
          <w:tab w:val="left" w:pos="720"/>
          <w:tab w:val="clear" w:pos="960"/>
        </w:tabs>
        <w:spacing w:before="100" w:beforeAutospacing="1" w:after="100" w:afterAutospacing="1" w:line="360" w:lineRule="auto"/>
        <w:ind w:left="720" w:hanging="720"/>
        <w:outlineLvl w:val="1"/>
        <w:rPr>
          <w:rFonts w:hAnsi="宋体" w:cs="宋体"/>
          <w:b/>
          <w:color w:val="auto"/>
          <w:kern w:val="2"/>
          <w:sz w:val="36"/>
          <w:szCs w:val="36"/>
          <w:highlight w:val="none"/>
        </w:rPr>
      </w:pPr>
      <w:bookmarkStart w:id="35" w:name="_Toc12008"/>
      <w:r>
        <w:rPr>
          <w:rFonts w:hint="eastAsia" w:hAnsi="宋体" w:cs="宋体"/>
          <w:b/>
          <w:color w:val="auto"/>
          <w:kern w:val="2"/>
          <w:sz w:val="36"/>
          <w:szCs w:val="36"/>
          <w:highlight w:val="none"/>
        </w:rPr>
        <w:t>磋商文件</w:t>
      </w:r>
      <w:bookmarkEnd w:id="35"/>
    </w:p>
    <w:p w14:paraId="0B843B53">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磋商文件的构成</w:t>
      </w:r>
    </w:p>
    <w:p w14:paraId="0201EF33">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磋商文件包括以下内容：</w:t>
      </w:r>
    </w:p>
    <w:p w14:paraId="2FEA7D9D">
      <w:pPr>
        <w:spacing w:line="360" w:lineRule="auto"/>
        <w:ind w:firstLine="480" w:firstLineChars="200"/>
        <w:rPr>
          <w:color w:val="auto"/>
          <w:sz w:val="24"/>
          <w:szCs w:val="24"/>
          <w:highlight w:val="none"/>
        </w:rPr>
      </w:pPr>
      <w:r>
        <w:rPr>
          <w:rFonts w:hint="eastAsia" w:hAnsi="宋体"/>
          <w:color w:val="auto"/>
          <w:sz w:val="24"/>
          <w:szCs w:val="24"/>
          <w:highlight w:val="none"/>
        </w:rPr>
        <w:t>（一）竞争性磋商公告；</w:t>
      </w:r>
    </w:p>
    <w:p w14:paraId="3309882C">
      <w:pPr>
        <w:spacing w:line="360" w:lineRule="auto"/>
        <w:ind w:firstLine="480" w:firstLineChars="200"/>
        <w:rPr>
          <w:color w:val="auto"/>
          <w:sz w:val="24"/>
          <w:szCs w:val="24"/>
          <w:highlight w:val="none"/>
        </w:rPr>
      </w:pPr>
      <w:r>
        <w:rPr>
          <w:rFonts w:hint="eastAsia" w:hAnsi="宋体"/>
          <w:color w:val="auto"/>
          <w:sz w:val="24"/>
          <w:szCs w:val="24"/>
          <w:highlight w:val="none"/>
        </w:rPr>
        <w:t>（二）供应商须知；</w:t>
      </w:r>
    </w:p>
    <w:p w14:paraId="7E47BE10">
      <w:pPr>
        <w:spacing w:line="360" w:lineRule="auto"/>
        <w:ind w:firstLine="480" w:firstLineChars="200"/>
        <w:rPr>
          <w:color w:val="auto"/>
          <w:sz w:val="24"/>
          <w:szCs w:val="24"/>
          <w:highlight w:val="none"/>
        </w:rPr>
      </w:pPr>
      <w:r>
        <w:rPr>
          <w:rFonts w:hint="eastAsia" w:hAnsi="宋体"/>
          <w:color w:val="auto"/>
          <w:sz w:val="24"/>
          <w:szCs w:val="24"/>
          <w:highlight w:val="none"/>
        </w:rPr>
        <w:t>（三）用户需求书；</w:t>
      </w:r>
    </w:p>
    <w:p w14:paraId="505BDF32">
      <w:pPr>
        <w:spacing w:line="360" w:lineRule="auto"/>
        <w:ind w:firstLine="480" w:firstLineChars="200"/>
        <w:rPr>
          <w:color w:val="auto"/>
          <w:sz w:val="24"/>
          <w:szCs w:val="24"/>
          <w:highlight w:val="none"/>
        </w:rPr>
      </w:pPr>
      <w:r>
        <w:rPr>
          <w:rFonts w:hint="eastAsia" w:hAnsi="宋体"/>
          <w:color w:val="auto"/>
          <w:sz w:val="24"/>
          <w:szCs w:val="24"/>
          <w:highlight w:val="none"/>
        </w:rPr>
        <w:t>（四）评审程序、方法和标准；</w:t>
      </w:r>
    </w:p>
    <w:p w14:paraId="4184DA32">
      <w:pPr>
        <w:spacing w:line="360" w:lineRule="auto"/>
        <w:ind w:firstLine="480" w:firstLineChars="200"/>
        <w:rPr>
          <w:color w:val="auto"/>
          <w:sz w:val="24"/>
          <w:szCs w:val="24"/>
          <w:highlight w:val="none"/>
        </w:rPr>
      </w:pPr>
      <w:r>
        <w:rPr>
          <w:rFonts w:hint="eastAsia" w:hAnsi="宋体"/>
          <w:color w:val="auto"/>
          <w:sz w:val="24"/>
          <w:szCs w:val="24"/>
          <w:highlight w:val="none"/>
        </w:rPr>
        <w:t>（五）合同条款及格式；</w:t>
      </w:r>
    </w:p>
    <w:p w14:paraId="5283959D">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（六）磋商响应文件格式；</w:t>
      </w:r>
    </w:p>
    <w:p w14:paraId="19C25693">
      <w:pPr>
        <w:spacing w:line="360" w:lineRule="auto"/>
        <w:ind w:firstLine="482" w:firstLineChars="200"/>
        <w:rPr>
          <w:rFonts w:hAnsi="宋体"/>
          <w:color w:val="auto"/>
          <w:sz w:val="24"/>
          <w:highlight w:val="none"/>
        </w:rPr>
      </w:pPr>
      <w:r>
        <w:rPr>
          <w:rFonts w:hint="eastAsia" w:hAnsi="宋体"/>
          <w:b/>
          <w:color w:val="auto"/>
          <w:sz w:val="24"/>
          <w:highlight w:val="none"/>
        </w:rPr>
        <w:t>注：请仔细检查竞争性</w:t>
      </w:r>
      <w:r>
        <w:rPr>
          <w:rFonts w:hAnsi="宋体"/>
          <w:b/>
          <w:color w:val="auto"/>
          <w:sz w:val="24"/>
          <w:highlight w:val="none"/>
        </w:rPr>
        <w:t>磋商</w:t>
      </w:r>
      <w:r>
        <w:rPr>
          <w:rFonts w:hint="eastAsia" w:hAnsi="宋体"/>
          <w:b/>
          <w:color w:val="auto"/>
          <w:sz w:val="24"/>
          <w:highlight w:val="none"/>
        </w:rPr>
        <w:t>文件是否齐全，如有缺漏，请立即与采购代理联系解决。</w:t>
      </w:r>
    </w:p>
    <w:p w14:paraId="2590B152">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供应商应当仔细阅读和正确理解磋商文件中陈述的所有事项，遵循格式文件的规定和签署要求。</w:t>
      </w:r>
    </w:p>
    <w:p w14:paraId="050D7F43">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磋商文件的澄清和修改</w:t>
      </w:r>
    </w:p>
    <w:p w14:paraId="3E62B98A">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w:t>
      </w:r>
      <w:r>
        <w:rPr>
          <w:rFonts w:hAnsi="宋体" w:cs="宋体"/>
          <w:bCs/>
          <w:color w:val="auto"/>
          <w:kern w:val="2"/>
          <w:sz w:val="24"/>
          <w:szCs w:val="28"/>
          <w:highlight w:val="none"/>
        </w:rPr>
        <w:t>5</w:t>
      </w:r>
      <w:r>
        <w:rPr>
          <w:rFonts w:hint="eastAsia" w:hAnsi="宋体" w:cs="宋体"/>
          <w:bCs/>
          <w:color w:val="auto"/>
          <w:kern w:val="2"/>
          <w:sz w:val="24"/>
          <w:szCs w:val="28"/>
          <w:highlight w:val="none"/>
        </w:rPr>
        <w:t>日前，以书面形式通知所有获取磋商文件的供应商；不足</w:t>
      </w:r>
      <w:r>
        <w:rPr>
          <w:rFonts w:hAnsi="宋体" w:cs="宋体"/>
          <w:bCs/>
          <w:color w:val="auto"/>
          <w:kern w:val="2"/>
          <w:sz w:val="24"/>
          <w:szCs w:val="28"/>
          <w:highlight w:val="none"/>
        </w:rPr>
        <w:t>5</w:t>
      </w:r>
      <w:r>
        <w:rPr>
          <w:rFonts w:hint="eastAsia" w:hAnsi="宋体" w:cs="宋体"/>
          <w:bCs/>
          <w:color w:val="auto"/>
          <w:kern w:val="2"/>
          <w:sz w:val="24"/>
          <w:szCs w:val="28"/>
          <w:highlight w:val="none"/>
        </w:rPr>
        <w:t>日的，采购人、采购代理机构应当顺延提交响应文件截止时间。</w:t>
      </w:r>
    </w:p>
    <w:p w14:paraId="2709B748">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澄清或者修改是磋商文件的组成部分。澄清或者修改以变更公告的方式发布。</w:t>
      </w:r>
    </w:p>
    <w:p w14:paraId="01D4307F">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现场考察和答疑会</w:t>
      </w:r>
    </w:p>
    <w:p w14:paraId="6CDE554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现场考察和答疑会：见供应商须知前附表。</w:t>
      </w:r>
    </w:p>
    <w:p w14:paraId="669065DD">
      <w:pPr>
        <w:numPr>
          <w:ilvl w:val="0"/>
          <w:numId w:val="11"/>
        </w:numPr>
        <w:tabs>
          <w:tab w:val="left" w:pos="540"/>
          <w:tab w:val="left" w:pos="720"/>
          <w:tab w:val="clear" w:pos="960"/>
        </w:tabs>
        <w:spacing w:before="100" w:beforeAutospacing="1" w:after="100" w:afterAutospacing="1" w:line="360" w:lineRule="auto"/>
        <w:ind w:left="720" w:hanging="720"/>
        <w:outlineLvl w:val="1"/>
        <w:rPr>
          <w:rFonts w:hAnsi="宋体" w:cs="宋体"/>
          <w:b/>
          <w:color w:val="auto"/>
          <w:kern w:val="2"/>
          <w:sz w:val="36"/>
          <w:szCs w:val="36"/>
          <w:highlight w:val="none"/>
        </w:rPr>
      </w:pPr>
      <w:bookmarkStart w:id="36" w:name="_Toc22340"/>
      <w:r>
        <w:rPr>
          <w:rFonts w:hint="eastAsia" w:hAnsi="宋体" w:cs="宋体"/>
          <w:b/>
          <w:color w:val="auto"/>
          <w:kern w:val="2"/>
          <w:sz w:val="36"/>
          <w:szCs w:val="36"/>
          <w:highlight w:val="none"/>
        </w:rPr>
        <w:t>响应文件</w:t>
      </w:r>
      <w:bookmarkEnd w:id="36"/>
    </w:p>
    <w:p w14:paraId="27BD0F54">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响应文件计量单位和使用文字</w:t>
      </w:r>
    </w:p>
    <w:p w14:paraId="2F187A3C">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所有计量均采用中华人民共和国法定计量单位。</w:t>
      </w:r>
    </w:p>
    <w:p w14:paraId="626FCCB1">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响应文件使用中文编制。响应文件部分内容必须使用其他文字的，应当附有该文字的中文译本。供应商承担未附中文译本或中文译本不准确而引起不利后果。</w:t>
      </w:r>
    </w:p>
    <w:p w14:paraId="6BB83B24">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联合体</w:t>
      </w:r>
    </w:p>
    <w:p w14:paraId="77C3DE8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不接受供应商组成联合体。</w:t>
      </w:r>
    </w:p>
    <w:p w14:paraId="058567EB">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响应文件的组成</w:t>
      </w:r>
    </w:p>
    <w:p w14:paraId="10514E2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响应文件</w:t>
      </w:r>
    </w:p>
    <w:p w14:paraId="759426DB">
      <w:pPr>
        <w:numPr>
          <w:ilvl w:val="2"/>
          <w:numId w:val="10"/>
        </w:numPr>
        <w:tabs>
          <w:tab w:val="left" w:pos="1365"/>
          <w:tab w:val="clear" w:pos="1418"/>
        </w:tabs>
        <w:spacing w:line="360" w:lineRule="auto"/>
        <w:ind w:left="0" w:firstLine="720" w:firstLineChars="300"/>
        <w:rPr>
          <w:rFonts w:hAnsi="宋体" w:cs="宋体"/>
          <w:bCs/>
          <w:color w:val="auto"/>
          <w:kern w:val="2"/>
          <w:sz w:val="24"/>
          <w:szCs w:val="28"/>
          <w:highlight w:val="none"/>
        </w:rPr>
      </w:pPr>
      <w:r>
        <w:rPr>
          <w:rFonts w:hint="eastAsia" w:hAnsi="宋体" w:cs="宋体"/>
          <w:bCs/>
          <w:color w:val="auto"/>
          <w:kern w:val="2"/>
          <w:sz w:val="24"/>
          <w:szCs w:val="28"/>
          <w:highlight w:val="none"/>
        </w:rPr>
        <w:t>磋商报价</w:t>
      </w:r>
      <w:r>
        <w:rPr>
          <w:rFonts w:hAnsi="宋体" w:cs="宋体"/>
          <w:bCs/>
          <w:color w:val="auto"/>
          <w:kern w:val="2"/>
          <w:sz w:val="24"/>
          <w:szCs w:val="28"/>
          <w:highlight w:val="none"/>
        </w:rPr>
        <w:t>(</w:t>
      </w:r>
      <w:r>
        <w:rPr>
          <w:rFonts w:hint="eastAsia" w:hAnsi="宋体" w:cs="宋体"/>
          <w:bCs/>
          <w:color w:val="auto"/>
          <w:kern w:val="2"/>
          <w:sz w:val="24"/>
          <w:szCs w:val="28"/>
          <w:highlight w:val="none"/>
        </w:rPr>
        <w:t>详见磋商文件第六章磋商响应文件格式</w:t>
      </w:r>
      <w:r>
        <w:rPr>
          <w:rFonts w:hAnsi="宋体" w:cs="宋体"/>
          <w:bCs/>
          <w:color w:val="auto"/>
          <w:kern w:val="2"/>
          <w:sz w:val="24"/>
          <w:szCs w:val="28"/>
          <w:highlight w:val="none"/>
        </w:rPr>
        <w:t>)</w:t>
      </w:r>
      <w:r>
        <w:rPr>
          <w:rFonts w:hint="eastAsia" w:hAnsi="宋体" w:cs="宋体"/>
          <w:bCs/>
          <w:color w:val="auto"/>
          <w:kern w:val="2"/>
          <w:sz w:val="24"/>
          <w:szCs w:val="28"/>
          <w:highlight w:val="none"/>
        </w:rPr>
        <w:t>；</w:t>
      </w:r>
    </w:p>
    <w:p w14:paraId="1AC7BDB1">
      <w:pPr>
        <w:numPr>
          <w:ilvl w:val="2"/>
          <w:numId w:val="10"/>
        </w:numPr>
        <w:tabs>
          <w:tab w:val="left" w:pos="1365"/>
          <w:tab w:val="clear" w:pos="1418"/>
        </w:tabs>
        <w:spacing w:line="360" w:lineRule="auto"/>
        <w:ind w:left="0" w:firstLine="720" w:firstLineChars="300"/>
        <w:rPr>
          <w:rFonts w:hAnsi="宋体" w:cs="宋体"/>
          <w:bCs/>
          <w:color w:val="auto"/>
          <w:kern w:val="2"/>
          <w:sz w:val="24"/>
          <w:szCs w:val="28"/>
          <w:highlight w:val="none"/>
        </w:rPr>
      </w:pPr>
      <w:r>
        <w:rPr>
          <w:rFonts w:hint="eastAsia" w:hAnsi="宋体" w:cs="宋体"/>
          <w:bCs/>
          <w:color w:val="auto"/>
          <w:kern w:val="2"/>
          <w:sz w:val="24"/>
          <w:szCs w:val="28"/>
          <w:highlight w:val="none"/>
        </w:rPr>
        <w:t>商务响应文件</w:t>
      </w:r>
      <w:r>
        <w:rPr>
          <w:rFonts w:hAnsi="宋体" w:cs="宋体"/>
          <w:bCs/>
          <w:color w:val="auto"/>
          <w:kern w:val="2"/>
          <w:sz w:val="24"/>
          <w:szCs w:val="28"/>
          <w:highlight w:val="none"/>
        </w:rPr>
        <w:t xml:space="preserve"> (</w:t>
      </w:r>
      <w:r>
        <w:rPr>
          <w:rFonts w:hint="eastAsia" w:hAnsi="宋体" w:cs="宋体"/>
          <w:bCs/>
          <w:color w:val="auto"/>
          <w:kern w:val="2"/>
          <w:sz w:val="24"/>
          <w:szCs w:val="28"/>
          <w:highlight w:val="none"/>
        </w:rPr>
        <w:t>详见磋商文件第六章磋商响应文件格式</w:t>
      </w:r>
      <w:r>
        <w:rPr>
          <w:rFonts w:hAnsi="宋体" w:cs="宋体"/>
          <w:bCs/>
          <w:color w:val="auto"/>
          <w:kern w:val="2"/>
          <w:sz w:val="24"/>
          <w:szCs w:val="28"/>
          <w:highlight w:val="none"/>
        </w:rPr>
        <w:t>)</w:t>
      </w:r>
      <w:r>
        <w:rPr>
          <w:rFonts w:hint="eastAsia" w:hAnsi="宋体" w:cs="宋体"/>
          <w:bCs/>
          <w:color w:val="auto"/>
          <w:kern w:val="2"/>
          <w:sz w:val="24"/>
          <w:szCs w:val="28"/>
          <w:highlight w:val="none"/>
        </w:rPr>
        <w:t>；</w:t>
      </w:r>
    </w:p>
    <w:p w14:paraId="0E9E96A5">
      <w:pPr>
        <w:numPr>
          <w:ilvl w:val="2"/>
          <w:numId w:val="10"/>
        </w:numPr>
        <w:tabs>
          <w:tab w:val="left" w:pos="1365"/>
          <w:tab w:val="clear" w:pos="1418"/>
        </w:tabs>
        <w:spacing w:line="360" w:lineRule="auto"/>
        <w:ind w:left="0" w:firstLine="720" w:firstLineChars="300"/>
        <w:rPr>
          <w:rFonts w:hAnsi="宋体" w:cs="宋体"/>
          <w:bCs/>
          <w:color w:val="auto"/>
          <w:kern w:val="2"/>
          <w:sz w:val="24"/>
          <w:szCs w:val="28"/>
          <w:highlight w:val="none"/>
        </w:rPr>
      </w:pPr>
      <w:r>
        <w:rPr>
          <w:rFonts w:hint="eastAsia" w:hAnsi="宋体" w:cs="宋体"/>
          <w:bCs/>
          <w:color w:val="auto"/>
          <w:kern w:val="2"/>
          <w:sz w:val="24"/>
          <w:szCs w:val="28"/>
          <w:highlight w:val="none"/>
        </w:rPr>
        <w:t>技术响应文件</w:t>
      </w:r>
      <w:r>
        <w:rPr>
          <w:rFonts w:hAnsi="宋体" w:cs="宋体"/>
          <w:bCs/>
          <w:color w:val="auto"/>
          <w:kern w:val="2"/>
          <w:sz w:val="24"/>
          <w:szCs w:val="28"/>
          <w:highlight w:val="none"/>
        </w:rPr>
        <w:t xml:space="preserve"> (</w:t>
      </w:r>
      <w:r>
        <w:rPr>
          <w:rFonts w:hint="eastAsia" w:hAnsi="宋体" w:cs="宋体"/>
          <w:bCs/>
          <w:color w:val="auto"/>
          <w:kern w:val="2"/>
          <w:sz w:val="24"/>
          <w:szCs w:val="28"/>
          <w:highlight w:val="none"/>
        </w:rPr>
        <w:t>详见磋商文件第六章磋商响应文件格式</w:t>
      </w:r>
      <w:r>
        <w:rPr>
          <w:rFonts w:hAnsi="宋体" w:cs="宋体"/>
          <w:bCs/>
          <w:color w:val="auto"/>
          <w:kern w:val="2"/>
          <w:sz w:val="24"/>
          <w:szCs w:val="28"/>
          <w:highlight w:val="none"/>
        </w:rPr>
        <w:t>)</w:t>
      </w:r>
      <w:r>
        <w:rPr>
          <w:rFonts w:hint="eastAsia" w:hAnsi="宋体" w:cs="宋体"/>
          <w:bCs/>
          <w:color w:val="auto"/>
          <w:kern w:val="2"/>
          <w:sz w:val="24"/>
          <w:szCs w:val="28"/>
          <w:highlight w:val="none"/>
        </w:rPr>
        <w:t>；</w:t>
      </w:r>
    </w:p>
    <w:p w14:paraId="2CC2B2B1">
      <w:pPr>
        <w:numPr>
          <w:ilvl w:val="2"/>
          <w:numId w:val="10"/>
        </w:numPr>
        <w:tabs>
          <w:tab w:val="left" w:pos="1365"/>
          <w:tab w:val="clear" w:pos="1418"/>
        </w:tabs>
        <w:spacing w:line="360" w:lineRule="auto"/>
        <w:ind w:left="0" w:firstLine="720" w:firstLineChars="300"/>
        <w:rPr>
          <w:rFonts w:hAnsi="宋体" w:cs="宋体"/>
          <w:bCs/>
          <w:color w:val="auto"/>
          <w:kern w:val="2"/>
          <w:sz w:val="24"/>
          <w:szCs w:val="28"/>
          <w:highlight w:val="none"/>
        </w:rPr>
      </w:pPr>
      <w:r>
        <w:rPr>
          <w:rFonts w:hint="eastAsia" w:hAnsi="宋体" w:cs="宋体"/>
          <w:bCs/>
          <w:color w:val="auto"/>
          <w:kern w:val="2"/>
          <w:sz w:val="24"/>
          <w:szCs w:val="28"/>
          <w:highlight w:val="none"/>
        </w:rPr>
        <w:t>供应商认为需加以说明的其他内容；</w:t>
      </w:r>
    </w:p>
    <w:p w14:paraId="343D6115">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响应文件编制说明</w:t>
      </w:r>
    </w:p>
    <w:p w14:paraId="6115EC9F">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响应文件必须按照磋商文件要求的统一格式顺序编写</w:t>
      </w:r>
      <w:r>
        <w:rPr>
          <w:rFonts w:hint="eastAsia" w:hAnsi="宋体" w:cs="宋体"/>
          <w:b/>
          <w:bCs/>
          <w:color w:val="auto"/>
          <w:kern w:val="2"/>
          <w:sz w:val="24"/>
          <w:szCs w:val="28"/>
          <w:highlight w:val="none"/>
        </w:rPr>
        <w:t>。</w:t>
      </w:r>
      <w:r>
        <w:rPr>
          <w:rFonts w:hint="eastAsia" w:hAnsi="宋体" w:cs="宋体"/>
          <w:b/>
          <w:bCs/>
          <w:color w:val="auto"/>
          <w:kern w:val="2"/>
          <w:sz w:val="24"/>
          <w:szCs w:val="28"/>
          <w:highlight w:val="none"/>
          <w:u w:val="single"/>
        </w:rPr>
        <w:t>要求响应文件全部内容制作详细的目录（包括页码的编制），为评审时查询作索引。</w:t>
      </w:r>
    </w:p>
    <w:p w14:paraId="521F4CA3">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磋商报价</w:t>
      </w:r>
    </w:p>
    <w:p w14:paraId="076BA33A">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w:t>
      </w:r>
      <w:r>
        <w:rPr>
          <w:rFonts w:hint="eastAsia" w:hAnsi="宋体"/>
          <w:bCs/>
          <w:color w:val="auto"/>
          <w:kern w:val="2"/>
          <w:sz w:val="24"/>
          <w:szCs w:val="24"/>
          <w:highlight w:val="none"/>
        </w:rPr>
        <w:t>报价一览表</w:t>
      </w:r>
      <w:r>
        <w:rPr>
          <w:rFonts w:hint="eastAsia" w:hAnsi="宋体" w:cs="宋体"/>
          <w:bCs/>
          <w:color w:val="auto"/>
          <w:kern w:val="2"/>
          <w:sz w:val="24"/>
          <w:szCs w:val="28"/>
          <w:highlight w:val="none"/>
        </w:rPr>
        <w:t>》中报价为达到工程竣工验收标准的全部费用，应当包括人工费、材料费、机械使用费、管理费、利润、规费、税金等费用，以及合同包含的所有风险、责任等。</w:t>
      </w:r>
    </w:p>
    <w:p w14:paraId="13BF918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w:t>
      </w:r>
      <w:r>
        <w:rPr>
          <w:rFonts w:hint="eastAsia" w:hAnsi="宋体"/>
          <w:bCs/>
          <w:color w:val="auto"/>
          <w:kern w:val="2"/>
          <w:sz w:val="24"/>
          <w:szCs w:val="24"/>
          <w:highlight w:val="none"/>
        </w:rPr>
        <w:t>报价一览表</w:t>
      </w:r>
      <w:r>
        <w:rPr>
          <w:rFonts w:hint="eastAsia" w:hAnsi="宋体" w:cs="宋体"/>
          <w:bCs/>
          <w:color w:val="auto"/>
          <w:kern w:val="2"/>
          <w:sz w:val="24"/>
          <w:szCs w:val="28"/>
          <w:highlight w:val="none"/>
        </w:rPr>
        <w:t>》中的每一个费用单项，均应填写单价和计算总价，并由法定代表人或授权委托人签署。</w:t>
      </w:r>
    </w:p>
    <w:p w14:paraId="3DD0BD02">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报价全部采用人民币表示。</w:t>
      </w:r>
    </w:p>
    <w:p w14:paraId="22D6345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超出采购预算的报价为无效报价。</w:t>
      </w:r>
    </w:p>
    <w:p w14:paraId="08C06C55">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磋商保证金</w:t>
      </w:r>
    </w:p>
    <w:p w14:paraId="62890F2D">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13.1磋商保证金数额：</w:t>
      </w:r>
      <w:r>
        <w:rPr>
          <w:rFonts w:hint="eastAsia" w:hAnsi="宋体" w:cs="宋体"/>
          <w:b/>
          <w:bCs/>
          <w:color w:val="auto"/>
          <w:kern w:val="2"/>
          <w:sz w:val="24"/>
          <w:szCs w:val="24"/>
          <w:highlight w:val="none"/>
        </w:rPr>
        <w:t>本项目不作要求</w:t>
      </w:r>
      <w:r>
        <w:rPr>
          <w:rFonts w:hint="eastAsia" w:hAnsi="宋体" w:cs="宋体"/>
          <w:color w:val="auto"/>
          <w:kern w:val="2"/>
          <w:sz w:val="24"/>
          <w:szCs w:val="24"/>
          <w:highlight w:val="none"/>
        </w:rPr>
        <w:t>。</w:t>
      </w:r>
    </w:p>
    <w:p w14:paraId="0FC2CCFA">
      <w:pPr>
        <w:pStyle w:val="974"/>
        <w:rPr>
          <w:color w:val="auto"/>
          <w:kern w:val="2"/>
          <w:highlight w:val="none"/>
        </w:rPr>
      </w:pPr>
      <w:r>
        <w:rPr>
          <w:rFonts w:hint="eastAsia"/>
          <w:color w:val="auto"/>
          <w:kern w:val="2"/>
          <w:highlight w:val="none"/>
        </w:rPr>
        <w:t>13.2 磋商保证金缴纳时间：</w:t>
      </w:r>
      <w:r>
        <w:rPr>
          <w:rFonts w:hint="eastAsia"/>
          <w:b/>
          <w:color w:val="auto"/>
          <w:kern w:val="2"/>
          <w:highlight w:val="none"/>
        </w:rPr>
        <w:t>本项目不作要求</w:t>
      </w:r>
      <w:r>
        <w:rPr>
          <w:rFonts w:hint="eastAsia"/>
          <w:color w:val="auto"/>
          <w:kern w:val="2"/>
          <w:highlight w:val="none"/>
        </w:rPr>
        <w:t>。</w:t>
      </w:r>
    </w:p>
    <w:p w14:paraId="3A3920B5">
      <w:pPr>
        <w:pStyle w:val="76"/>
        <w:ind w:firstLine="480" w:firstLineChars="200"/>
        <w:rPr>
          <w:rFonts w:ascii="宋体" w:hAnsi="宋体" w:cs="宋体"/>
          <w:color w:val="auto"/>
          <w:kern w:val="2"/>
          <w:highlight w:val="none"/>
        </w:rPr>
      </w:pPr>
      <w:r>
        <w:rPr>
          <w:rFonts w:hint="eastAsia" w:ascii="宋体" w:hAnsi="宋体" w:cs="宋体"/>
          <w:color w:val="auto"/>
          <w:kern w:val="2"/>
          <w:highlight w:val="none"/>
        </w:rPr>
        <w:t>13.3 磋商保证金缴纳账户：</w:t>
      </w:r>
      <w:r>
        <w:rPr>
          <w:rFonts w:hint="eastAsia" w:ascii="宋体" w:hAnsi="宋体" w:cs="宋体"/>
          <w:b/>
          <w:bCs/>
          <w:color w:val="auto"/>
          <w:kern w:val="2"/>
          <w:highlight w:val="none"/>
        </w:rPr>
        <w:t>本项目不作要求</w:t>
      </w:r>
      <w:r>
        <w:rPr>
          <w:rFonts w:hint="eastAsia" w:ascii="宋体" w:hAnsi="宋体" w:cs="宋体"/>
          <w:color w:val="auto"/>
          <w:kern w:val="2"/>
          <w:highlight w:val="none"/>
        </w:rPr>
        <w:t>。</w:t>
      </w:r>
    </w:p>
    <w:p w14:paraId="08176C98">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响应文件的有效期</w:t>
      </w:r>
    </w:p>
    <w:p w14:paraId="07278E2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4"/>
          <w:highlight w:val="none"/>
        </w:rPr>
        <w:t>自响应文件开启之日起</w:t>
      </w:r>
      <w:r>
        <w:rPr>
          <w:rFonts w:hAnsi="宋体" w:cs="宋体"/>
          <w:b/>
          <w:bCs/>
          <w:color w:val="auto"/>
          <w:kern w:val="2"/>
          <w:sz w:val="24"/>
          <w:szCs w:val="24"/>
          <w:highlight w:val="none"/>
          <w:u w:val="single"/>
        </w:rPr>
        <w:t>60</w:t>
      </w:r>
      <w:r>
        <w:rPr>
          <w:rFonts w:hint="eastAsia" w:hAnsi="宋体" w:cs="宋体"/>
          <w:b/>
          <w:bCs/>
          <w:color w:val="auto"/>
          <w:kern w:val="2"/>
          <w:sz w:val="24"/>
          <w:szCs w:val="24"/>
          <w:highlight w:val="none"/>
          <w:u w:val="single"/>
        </w:rPr>
        <w:t>日历天</w:t>
      </w:r>
      <w:r>
        <w:rPr>
          <w:rFonts w:hint="eastAsia" w:hAnsi="宋体" w:cs="宋体"/>
          <w:bCs/>
          <w:color w:val="auto"/>
          <w:kern w:val="2"/>
          <w:sz w:val="24"/>
          <w:szCs w:val="28"/>
          <w:highlight w:val="none"/>
        </w:rPr>
        <w:t>，响应文件应保持有效。有效期短于规定期限的，将被拒绝。</w:t>
      </w:r>
    </w:p>
    <w:p w14:paraId="42F6861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在特殊情况下，采购人可与供应商协商延长响应文件的有效期。协商应当以信函、传真或电子邮件的形式进行。</w:t>
      </w:r>
    </w:p>
    <w:p w14:paraId="0E039F19">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响应文件的份数和签署</w:t>
      </w:r>
    </w:p>
    <w:p w14:paraId="07C06144">
      <w:pPr>
        <w:numPr>
          <w:ilvl w:val="1"/>
          <w:numId w:val="10"/>
        </w:numPr>
        <w:tabs>
          <w:tab w:val="left" w:pos="425"/>
          <w:tab w:val="left" w:pos="709"/>
          <w:tab w:val="left" w:pos="1050"/>
        </w:tabs>
        <w:spacing w:line="360" w:lineRule="auto"/>
        <w:ind w:left="0" w:firstLine="482" w:firstLineChars="200"/>
        <w:outlineLvl w:val="3"/>
        <w:rPr>
          <w:rFonts w:hAnsi="宋体" w:cs="宋体"/>
          <w:b/>
          <w:bCs/>
          <w:color w:val="auto"/>
          <w:kern w:val="2"/>
          <w:sz w:val="24"/>
          <w:szCs w:val="28"/>
          <w:highlight w:val="none"/>
        </w:rPr>
      </w:pPr>
      <w:r>
        <w:rPr>
          <w:rFonts w:hint="eastAsia" w:hAnsi="宋体" w:cs="宋体"/>
          <w:b/>
          <w:bCs/>
          <w:color w:val="auto"/>
          <w:kern w:val="2"/>
          <w:sz w:val="24"/>
          <w:szCs w:val="28"/>
          <w:highlight w:val="none"/>
        </w:rPr>
        <w:t>响应文件份数：见供应商须知前附表。</w:t>
      </w:r>
    </w:p>
    <w:p w14:paraId="5F1F4DDC">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全套响应文件应无涂改、无行间插字。除非这些删改是根据采购代理机构的要求实施的，或者是供应商造成的错误且必须修改的。修改处应由响应文件签字人签字证明。</w:t>
      </w:r>
    </w:p>
    <w:p w14:paraId="35DC8256">
      <w:pPr>
        <w:numPr>
          <w:ilvl w:val="0"/>
          <w:numId w:val="11"/>
        </w:numPr>
        <w:tabs>
          <w:tab w:val="left" w:pos="540"/>
          <w:tab w:val="left" w:pos="720"/>
          <w:tab w:val="clear" w:pos="960"/>
        </w:tabs>
        <w:spacing w:before="100" w:beforeAutospacing="1" w:after="100" w:afterAutospacing="1" w:line="360" w:lineRule="auto"/>
        <w:ind w:left="720" w:hanging="720"/>
        <w:outlineLvl w:val="1"/>
        <w:rPr>
          <w:rFonts w:hAnsi="宋体" w:cs="宋体"/>
          <w:b/>
          <w:color w:val="auto"/>
          <w:kern w:val="2"/>
          <w:sz w:val="36"/>
          <w:szCs w:val="36"/>
          <w:highlight w:val="none"/>
        </w:rPr>
      </w:pPr>
      <w:bookmarkStart w:id="37" w:name="_Toc317237777"/>
      <w:bookmarkStart w:id="38" w:name="_Toc317237602"/>
      <w:bookmarkStart w:id="39" w:name="_Toc21782"/>
      <w:r>
        <w:rPr>
          <w:rFonts w:hint="eastAsia" w:hAnsi="宋体" w:cs="宋体"/>
          <w:b/>
          <w:color w:val="auto"/>
          <w:kern w:val="2"/>
          <w:sz w:val="36"/>
          <w:szCs w:val="36"/>
          <w:highlight w:val="none"/>
        </w:rPr>
        <w:t>响应文件的递交</w:t>
      </w:r>
      <w:bookmarkEnd w:id="37"/>
      <w:bookmarkEnd w:id="38"/>
      <w:bookmarkEnd w:id="39"/>
    </w:p>
    <w:p w14:paraId="28C7065A">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响应文件递交</w:t>
      </w:r>
    </w:p>
    <w:p w14:paraId="33CB6DC3">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16.1 在提交响应文件截止时间前，供应商须将加密的wenc格式电子响应文件1份成功完整上传至海南省政府采购电子化交易管理系统并取得回执,时间以系统服务器的北京时间为准.响应截止时间后，系统将不允许供应商上传响应文件，已上传响应文件但未完成传输的文件系统将拒绝接收。</w:t>
      </w:r>
    </w:p>
    <w:p w14:paraId="37D055F1">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16.2因不可抗力事件造成响应文件损坏的，采购人或采购代理机构不承担任何责任。</w:t>
      </w:r>
    </w:p>
    <w:p w14:paraId="2B865C6A">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16.3 出现下述情形之一的，属于未成功提交响应文件，按无效响应处理:</w:t>
      </w:r>
    </w:p>
    <w:p w14:paraId="6BFDF5A5">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(1) 至提交响应文件截止时，响应文件未完整上传的。</w:t>
      </w:r>
    </w:p>
    <w:p w14:paraId="5B0541DD">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(2)响应文件未按响应格式中注明需签字盖章的要求进行签名 (含电子签名) 和加盖电子印章，或签名 (含电子签名) 或电子印章不完整的。</w:t>
      </w:r>
    </w:p>
    <w:p w14:paraId="7D70A151">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(3)响应文件损坏或格式不正确的。</w:t>
      </w:r>
    </w:p>
    <w:p w14:paraId="63D0E702">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rPr>
        <w:t>(4)响应文件解密不成功的。</w:t>
      </w:r>
    </w:p>
    <w:p w14:paraId="13C9955E">
      <w:pPr>
        <w:spacing w:line="360" w:lineRule="auto"/>
        <w:ind w:firstLine="480" w:firstLineChars="200"/>
        <w:rPr>
          <w:rFonts w:hAnsi="宋体" w:cs="宋体"/>
          <w:bCs/>
          <w:color w:val="auto"/>
          <w:kern w:val="2"/>
          <w:sz w:val="24"/>
          <w:szCs w:val="28"/>
          <w:highlight w:val="none"/>
          <w:lang w:val="en-GB"/>
        </w:rPr>
      </w:pPr>
      <w:r>
        <w:rPr>
          <w:rFonts w:hint="eastAsia" w:hAnsi="宋体" w:cs="宋体"/>
          <w:bCs/>
          <w:color w:val="auto"/>
          <w:kern w:val="2"/>
          <w:sz w:val="24"/>
          <w:szCs w:val="28"/>
          <w:highlight w:val="none"/>
        </w:rPr>
        <w:t>16.4 不接受邮寄或传真的响应文件</w:t>
      </w:r>
      <w:r>
        <w:rPr>
          <w:rFonts w:hint="eastAsia" w:hAnsi="宋体" w:cs="宋体"/>
          <w:bCs/>
          <w:color w:val="auto"/>
          <w:kern w:val="2"/>
          <w:sz w:val="24"/>
          <w:szCs w:val="28"/>
          <w:highlight w:val="none"/>
          <w:lang w:val="en-GB"/>
        </w:rPr>
        <w:t>。</w:t>
      </w:r>
    </w:p>
    <w:p w14:paraId="4B1534EC">
      <w:pPr>
        <w:spacing w:line="360" w:lineRule="auto"/>
        <w:ind w:firstLine="480" w:firstLineChars="200"/>
        <w:rPr>
          <w:rFonts w:hAnsi="宋体" w:cs="宋体"/>
          <w:bCs/>
          <w:color w:val="auto"/>
          <w:kern w:val="2"/>
          <w:sz w:val="24"/>
          <w:szCs w:val="28"/>
          <w:highlight w:val="none"/>
          <w:lang w:val="en-GB"/>
        </w:rPr>
      </w:pPr>
      <w:r>
        <w:rPr>
          <w:rFonts w:hint="eastAsia" w:hAnsi="宋体" w:cs="宋体"/>
          <w:bCs/>
          <w:color w:val="auto"/>
          <w:kern w:val="2"/>
          <w:sz w:val="24"/>
          <w:szCs w:val="28"/>
          <w:highlight w:val="none"/>
          <w:lang w:val="en-GB"/>
        </w:rPr>
        <w:t>16.5 截至递交截止时间，参加响应的供应商(以开标会场签到为准)不足三家的，终止采购活动；</w:t>
      </w:r>
    </w:p>
    <w:p w14:paraId="3A2B8458">
      <w:pPr>
        <w:spacing w:line="360" w:lineRule="auto"/>
        <w:ind w:firstLine="480" w:firstLineChars="200"/>
        <w:rPr>
          <w:rFonts w:hAnsi="宋体" w:cs="宋体"/>
          <w:bCs/>
          <w:color w:val="auto"/>
          <w:kern w:val="2"/>
          <w:sz w:val="24"/>
          <w:szCs w:val="28"/>
          <w:highlight w:val="none"/>
        </w:rPr>
      </w:pPr>
      <w:r>
        <w:rPr>
          <w:rFonts w:hint="eastAsia" w:hAnsi="宋体" w:cs="宋体"/>
          <w:bCs/>
          <w:color w:val="auto"/>
          <w:kern w:val="2"/>
          <w:sz w:val="24"/>
          <w:szCs w:val="28"/>
          <w:highlight w:val="none"/>
          <w:lang w:val="en-GB"/>
        </w:rPr>
        <w:t>16.6 参加响应供应商数量满足三家或以上的，同一时间予以开标，开标后，响应文件一律不予退还。</w:t>
      </w:r>
    </w:p>
    <w:p w14:paraId="4827D369">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截止时间</w:t>
      </w:r>
    </w:p>
    <w:p w14:paraId="0E297227">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响应文件必须在提交响应文件截止时间前在海南政府采购网(www.ccgp-hainan.gov.cn)-海南省政府采购电子化交易管理系统（新）上传。</w:t>
      </w:r>
    </w:p>
    <w:p w14:paraId="733EFCE3">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应于响应文件递交截止时间之前在海南政府采购网(www.ccgp-hainan.gov.cn)-海南省政府采购电子化交易管理系统（新）查询本项目的更正公告，以保证其对磋商文件做出正确的响应。供应商未按要求下载相关文件，或由于未及时关注更正公告的信息造成的后果，其责任由供应商自行负责。</w:t>
      </w:r>
    </w:p>
    <w:p w14:paraId="7E6F5395">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响应文件的修改和撤回</w:t>
      </w:r>
    </w:p>
    <w:p w14:paraId="111EE0DD">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响应文件提交截止时间以后，供应商不得修改和撤回响应文件，不得在磋商有效期内撤回响应文件。</w:t>
      </w:r>
    </w:p>
    <w:p w14:paraId="49F8CB7C">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响应文件提交后，均不予退还。</w:t>
      </w:r>
    </w:p>
    <w:p w14:paraId="01F284B4">
      <w:pPr>
        <w:numPr>
          <w:ilvl w:val="0"/>
          <w:numId w:val="11"/>
        </w:numPr>
        <w:tabs>
          <w:tab w:val="left" w:pos="540"/>
          <w:tab w:val="left" w:pos="720"/>
          <w:tab w:val="clear" w:pos="960"/>
        </w:tabs>
        <w:spacing w:before="100" w:beforeAutospacing="1" w:after="100" w:afterAutospacing="1" w:line="360" w:lineRule="auto"/>
        <w:ind w:left="720" w:hanging="720"/>
        <w:outlineLvl w:val="1"/>
        <w:rPr>
          <w:rFonts w:hAnsi="宋体" w:cs="宋体"/>
          <w:b/>
          <w:color w:val="auto"/>
          <w:kern w:val="2"/>
          <w:sz w:val="36"/>
          <w:szCs w:val="36"/>
          <w:highlight w:val="none"/>
        </w:rPr>
      </w:pPr>
      <w:bookmarkStart w:id="40" w:name="_Toc479"/>
      <w:bookmarkStart w:id="41" w:name="_Toc317237603"/>
      <w:bookmarkStart w:id="42" w:name="_Toc317237778"/>
      <w:r>
        <w:rPr>
          <w:rFonts w:hint="eastAsia" w:hAnsi="宋体" w:cs="宋体"/>
          <w:b/>
          <w:color w:val="auto"/>
          <w:kern w:val="2"/>
          <w:sz w:val="36"/>
          <w:szCs w:val="36"/>
          <w:highlight w:val="none"/>
        </w:rPr>
        <w:t>磋商程序</w:t>
      </w:r>
      <w:bookmarkEnd w:id="40"/>
      <w:bookmarkEnd w:id="41"/>
      <w:bookmarkEnd w:id="42"/>
    </w:p>
    <w:p w14:paraId="1D36ECC2">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开标</w:t>
      </w:r>
    </w:p>
    <w:p w14:paraId="3B0747EC">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电子开标前应签到，建议供应商提前30分钟进入开标大厅做准备。</w:t>
      </w:r>
    </w:p>
    <w:p w14:paraId="0C9F9955">
      <w:pPr>
        <w:numPr>
          <w:ilvl w:val="1"/>
          <w:numId w:val="0"/>
        </w:numPr>
        <w:tabs>
          <w:tab w:val="left" w:pos="425"/>
          <w:tab w:val="left" w:pos="709"/>
          <w:tab w:val="left" w:pos="1050"/>
        </w:tabs>
        <w:spacing w:line="360" w:lineRule="auto"/>
        <w:ind w:left="680" w:left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（1）代理机构进入开标大厅，显示开标倒计时，开标(签到)倒计时结束前必须完成签到,要求供应商在签到页面进行电子签章。供应商未签到，作为无效投标处理。</w:t>
      </w:r>
    </w:p>
    <w:p w14:paraId="04C99C67">
      <w:pPr>
        <w:numPr>
          <w:ilvl w:val="1"/>
          <w:numId w:val="0"/>
        </w:numPr>
        <w:tabs>
          <w:tab w:val="left" w:pos="425"/>
          <w:tab w:val="left" w:pos="709"/>
          <w:tab w:val="left" w:pos="1050"/>
        </w:tabs>
        <w:spacing w:line="360" w:lineRule="auto"/>
        <w:ind w:left="680" w:left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（2）到达开标时间后，签到查看、标书解密等功能方可进行操作。</w:t>
      </w:r>
    </w:p>
    <w:p w14:paraId="7F2F6252">
      <w:pPr>
        <w:numPr>
          <w:ilvl w:val="1"/>
          <w:numId w:val="0"/>
        </w:numPr>
        <w:tabs>
          <w:tab w:val="left" w:pos="425"/>
          <w:tab w:val="left" w:pos="709"/>
          <w:tab w:val="left" w:pos="1050"/>
        </w:tabs>
        <w:spacing w:line="360" w:lineRule="auto"/>
        <w:ind w:left="680" w:left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3）采购代理机构(或采购人)按商文件规定的时间进行开标，本项目为远程电子开标开标时，供应商应当使用编制本项目(采购包)电子响应文件时加密所用CA数字证书在开始解密后在规定的时间内完成电子响应文件的解密，如遇不可抗力等其他特殊情况，采购代理机构(或采购人)可视情况延长解密时间，供应商过时未解密或解密不成的，视为无效响应文件。各供应商在参加开标之前须自行对使用电脑的网络环境、驱动安装、客户端安装以及CA数字证书的有效性等进行检测，建议使用win7以上版本系统、IE11版本浏览器登录系统操作，确保可以正常使用。</w:t>
      </w:r>
    </w:p>
    <w:p w14:paraId="411FD08F">
      <w:pPr>
        <w:numPr>
          <w:ilvl w:val="1"/>
          <w:numId w:val="0"/>
        </w:numPr>
        <w:tabs>
          <w:tab w:val="left" w:pos="425"/>
          <w:tab w:val="left" w:pos="709"/>
          <w:tab w:val="left" w:pos="1050"/>
        </w:tabs>
        <w:spacing w:line="360" w:lineRule="auto"/>
        <w:ind w:left="680" w:left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（4）[标书解密]阶段中会显示响应单位名称、解密完成时间、解密状态、解密失败原因远程解密的，采购代理机构开启标书解密后，供应商在规定时间内使用CA数字证书(含手机CA)自行解密。</w:t>
      </w:r>
    </w:p>
    <w:p w14:paraId="7A9C373C">
      <w:pPr>
        <w:numPr>
          <w:ilvl w:val="1"/>
          <w:numId w:val="0"/>
        </w:numPr>
        <w:tabs>
          <w:tab w:val="left" w:pos="425"/>
          <w:tab w:val="left" w:pos="709"/>
          <w:tab w:val="left" w:pos="1050"/>
        </w:tabs>
        <w:spacing w:line="360" w:lineRule="auto"/>
        <w:ind w:left="680" w:leftChars="20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解密结束后，界面上会显示“已解密”，表示解密成功，否则为未解密成功。如批量获取不成功或解密失败且非系统原因时，过时未解密或解密不成功的，视为无效响应文件。</w:t>
      </w:r>
    </w:p>
    <w:p w14:paraId="657ECB78">
      <w:pPr>
        <w:numPr>
          <w:ilvl w:val="1"/>
          <w:numId w:val="0"/>
        </w:numPr>
        <w:tabs>
          <w:tab w:val="left" w:pos="425"/>
          <w:tab w:val="left" w:pos="709"/>
          <w:tab w:val="left" w:pos="1050"/>
        </w:tabs>
        <w:spacing w:line="360" w:lineRule="auto"/>
        <w:ind w:left="680" w:left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（5）解密结束，要求供应商在开标结果页面进行电子签章(也可通过下方[系统通知]进入开标结果确认页面)，确认成功，等待评标。</w:t>
      </w:r>
    </w:p>
    <w:p w14:paraId="6CBE293D">
      <w:pPr>
        <w:numPr>
          <w:ilvl w:val="1"/>
          <w:numId w:val="0"/>
        </w:numPr>
        <w:tabs>
          <w:tab w:val="left" w:pos="425"/>
          <w:tab w:val="left" w:pos="709"/>
          <w:tab w:val="left" w:pos="1050"/>
        </w:tabs>
        <w:spacing w:line="360" w:lineRule="auto"/>
        <w:ind w:left="680" w:leftChars="200"/>
        <w:outlineLvl w:val="3"/>
        <w:rPr>
          <w:rFonts w:ascii="Arial" w:hAnsi="Arial"/>
          <w:bCs/>
          <w:color w:val="auto"/>
          <w:kern w:val="2"/>
          <w:sz w:val="24"/>
          <w:szCs w:val="28"/>
          <w:highlight w:val="none"/>
        </w:rPr>
      </w:pPr>
      <w:r>
        <w:rPr>
          <w:rFonts w:hint="eastAsia" w:hAnsi="宋体" w:cs="宋体"/>
          <w:bCs/>
          <w:color w:val="auto"/>
          <w:kern w:val="2"/>
          <w:sz w:val="24"/>
          <w:szCs w:val="28"/>
          <w:highlight w:val="none"/>
        </w:rPr>
        <w:t>（6）开标活动完成后，点击[开标结束] 按钮可进行评标活动。</w:t>
      </w:r>
    </w:p>
    <w:p w14:paraId="6B7E5D11">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磋商小组</w:t>
      </w:r>
    </w:p>
    <w:p w14:paraId="20ED06F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磋商小组的组成：见供应商须知前附表。</w:t>
      </w:r>
    </w:p>
    <w:p w14:paraId="0D8997E3">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评审方法：见供应商须知前附表。</w:t>
      </w:r>
    </w:p>
    <w:p w14:paraId="05D56F25">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磋商方式和内容</w:t>
      </w:r>
    </w:p>
    <w:p w14:paraId="6F74D86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磋商小组分别与通过资格审查的供应商进行磋商，并给予所有参加磋商的供应商平等的磋商机会。</w:t>
      </w:r>
    </w:p>
    <w:p w14:paraId="74DEF0DA">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内容包括技术方案响应情况、服务内容标准与承诺、施工能力、合同条件、采购要求的优化建议等。在磋商过程中，磋商小组可以根据磋商文件和磋商情况实质性变动采购需求中的技术、服务要求以及合同草案条款，但不得变动磋商文件中的其他内容。实质性变动的内容，须经采购人代表确认。</w:t>
      </w:r>
    </w:p>
    <w:p w14:paraId="16A1308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磋商小组可以根据磋商的实际情况决定磋商的轮次，但最多不能超过两轮磋商。</w:t>
      </w:r>
    </w:p>
    <w:p w14:paraId="73B5D2B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供应商在磋商中作出的承诺，是其响应文件的组成部分。</w:t>
      </w:r>
    </w:p>
    <w:p w14:paraId="42250AC7">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磋商内容的保密</w:t>
      </w:r>
    </w:p>
    <w:p w14:paraId="10DBF6F4">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磋商后，至正式授予成交供应商合同止，凡属于审查、澄清、评价和比较的所有资料、有关授予合同的信息等，都不能向供应商或与磋商无关的其他人泄露。</w:t>
      </w:r>
    </w:p>
    <w:p w14:paraId="5CD24EF4">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在响应文件的审查、澄清、评价和比较以及授予合同的过程中，供应商对采购人、采购代理机构和磋商小组成员施加影响的任何行为，都将导致其磋商资格被取消。</w:t>
      </w:r>
    </w:p>
    <w:p w14:paraId="3DDE5662">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对响应文件的评审</w:t>
      </w:r>
    </w:p>
    <w:p w14:paraId="558CE564">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评审程序、评审方法和评审标准见第五部分</w:t>
      </w:r>
    </w:p>
    <w:p w14:paraId="58C1451E">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确认成交结果</w:t>
      </w:r>
    </w:p>
    <w:p w14:paraId="77D0F155">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采购代理机构在评审结束后</w:t>
      </w:r>
      <w:r>
        <w:rPr>
          <w:rFonts w:hAnsi="宋体" w:cs="宋体"/>
          <w:bCs/>
          <w:color w:val="auto"/>
          <w:kern w:val="2"/>
          <w:sz w:val="24"/>
          <w:szCs w:val="28"/>
          <w:highlight w:val="none"/>
        </w:rPr>
        <w:t>2</w:t>
      </w:r>
      <w:r>
        <w:rPr>
          <w:rFonts w:hint="eastAsia" w:hAnsi="宋体" w:cs="宋体"/>
          <w:bCs/>
          <w:color w:val="auto"/>
          <w:kern w:val="2"/>
          <w:sz w:val="24"/>
          <w:szCs w:val="28"/>
          <w:highlight w:val="none"/>
        </w:rPr>
        <w:t>个工作日内将评审报告送采购人确认。采购人应当在收到评审报告后2个工作日内，从评审报告推荐出的成交候选供应商中，按照排序由高到低的原则确定成交供应商。</w:t>
      </w:r>
    </w:p>
    <w:p w14:paraId="13C5EA36">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代理机构应当在成交供应商确定后1个工作日内，在省级以上财政部门指定的政府采购信息发布媒体上公告成交结果，同时向成交供应商发出成交通知书，并将磋商文件随成交结果同时公告。成交通知书是成交供应商与采购人签订合同的依据。合同签订后，成交通知书成为合同的一部分。</w:t>
      </w:r>
    </w:p>
    <w:p w14:paraId="442A8BE1">
      <w:pPr>
        <w:numPr>
          <w:ilvl w:val="0"/>
          <w:numId w:val="11"/>
        </w:numPr>
        <w:tabs>
          <w:tab w:val="left" w:pos="540"/>
          <w:tab w:val="left" w:pos="720"/>
          <w:tab w:val="clear" w:pos="960"/>
        </w:tabs>
        <w:spacing w:before="100" w:beforeAutospacing="1" w:after="100" w:afterAutospacing="1" w:line="360" w:lineRule="auto"/>
        <w:ind w:left="720" w:hanging="720"/>
        <w:outlineLvl w:val="1"/>
        <w:rPr>
          <w:rFonts w:hAnsi="宋体" w:cs="宋体"/>
          <w:b/>
          <w:color w:val="auto"/>
          <w:kern w:val="2"/>
          <w:sz w:val="36"/>
          <w:szCs w:val="36"/>
          <w:highlight w:val="none"/>
        </w:rPr>
      </w:pPr>
      <w:bookmarkStart w:id="43" w:name="_Toc317237779"/>
      <w:bookmarkStart w:id="44" w:name="_Toc10232"/>
      <w:bookmarkStart w:id="45" w:name="_Toc317237604"/>
      <w:r>
        <w:rPr>
          <w:rFonts w:hint="eastAsia" w:hAnsi="宋体" w:cs="宋体"/>
          <w:b/>
          <w:color w:val="auto"/>
          <w:kern w:val="2"/>
          <w:sz w:val="36"/>
          <w:szCs w:val="36"/>
          <w:highlight w:val="none"/>
        </w:rPr>
        <w:t>授予合同</w:t>
      </w:r>
      <w:bookmarkEnd w:id="43"/>
      <w:bookmarkEnd w:id="44"/>
      <w:bookmarkEnd w:id="45"/>
    </w:p>
    <w:p w14:paraId="097710E1">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成交供应商的确认</w:t>
      </w:r>
    </w:p>
    <w:p w14:paraId="7EEBD01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磋商小组根据本磋商文件第五部分的规定，对供应商进行审查，对响应文件进行评价和比较，按照磋商文件规定的排序原则推荐成交候选人。</w:t>
      </w:r>
    </w:p>
    <w:p w14:paraId="79D69829">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磋商小组有权按磋商文件的要求评定并推荐成交候选供应商，也有权拒绝任何或所有不符合磋商文件要求的供应商的响应文件。</w:t>
      </w:r>
    </w:p>
    <w:p w14:paraId="1E2EEEFD">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bookmarkStart w:id="46" w:name="_Toc495679404"/>
      <w:r>
        <w:rPr>
          <w:rFonts w:hint="eastAsia" w:hAnsi="宋体" w:cs="宋体"/>
          <w:bCs/>
          <w:color w:val="auto"/>
          <w:kern w:val="2"/>
          <w:sz w:val="24"/>
          <w:szCs w:val="28"/>
          <w:highlight w:val="none"/>
        </w:rPr>
        <w:t>采购人按照磋商小组推荐的成交候选供应商顺序确定成交供应商，并且确定排名第一的中标候选人为成交供应商。</w:t>
      </w:r>
      <w:bookmarkEnd w:id="46"/>
    </w:p>
    <w:p w14:paraId="6701F944">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合同授予标准</w:t>
      </w:r>
    </w:p>
    <w:p w14:paraId="675C4A7E">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采购人应当把合同授予磋商小组推荐的第一顺序成交候选人。被授予合同的供应商必须具有实施本合同的能力和资源。</w:t>
      </w:r>
    </w:p>
    <w:p w14:paraId="263CF8BF">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确认成交供应商之前，采购人有权对成交候选人诚信履约的能力进行最后审查。审查方式包括询问、调查、考察、要求成交候选人作出履约承诺或担保等。如果发现成交候选人提供了虚假材料，在响应文件中有故意隐瞒或虚报的情节，在以往的成交项目中有不诚信履约的情形，不能按采购人要求作出相应的履约承诺或担保等，采购人有权否决其成交资格，按顺序确定排名随后的供应商作为成交供应商或者重新组织采购。</w:t>
      </w:r>
    </w:p>
    <w:p w14:paraId="45D01E23">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成交通知</w:t>
      </w:r>
    </w:p>
    <w:p w14:paraId="3EB40883">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确定成交供应商后，采购代理机构在发布成交公告的同时，以书面形式向成交供应商发出成交通知书。成交通知书应当规定签署合同的日期和地点。</w:t>
      </w:r>
    </w:p>
    <w:p w14:paraId="0E438DD9">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成交通知书是合同的组成部分。</w:t>
      </w:r>
    </w:p>
    <w:p w14:paraId="1310A742">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签订合同</w:t>
      </w:r>
    </w:p>
    <w:p w14:paraId="19125EAA">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color w:val="auto"/>
          <w:sz w:val="24"/>
          <w:highlight w:val="none"/>
          <w:lang w:val="en-GB"/>
        </w:rPr>
        <w:t>采购人应在成交通知书发出之日起</w:t>
      </w:r>
      <w:r>
        <w:rPr>
          <w:rFonts w:hint="eastAsia" w:hAnsi="宋体" w:cs="宋体"/>
          <w:b/>
          <w:bCs/>
          <w:color w:val="auto"/>
          <w:sz w:val="24"/>
          <w:highlight w:val="none"/>
          <w:u w:val="single"/>
        </w:rPr>
        <w:t>5个工作日</w:t>
      </w:r>
      <w:r>
        <w:rPr>
          <w:rFonts w:hint="eastAsia" w:hAnsi="宋体" w:cs="宋体"/>
          <w:color w:val="auto"/>
          <w:sz w:val="24"/>
          <w:highlight w:val="none"/>
          <w:lang w:val="en-GB"/>
        </w:rPr>
        <w:t>与成交供应商签订政府采购合同</w:t>
      </w:r>
      <w:r>
        <w:rPr>
          <w:rFonts w:hint="eastAsia" w:hAnsi="宋体" w:cs="宋体"/>
          <w:bCs/>
          <w:color w:val="auto"/>
          <w:kern w:val="2"/>
          <w:sz w:val="24"/>
          <w:szCs w:val="28"/>
          <w:highlight w:val="none"/>
        </w:rPr>
        <w:t>。</w:t>
      </w:r>
    </w:p>
    <w:p w14:paraId="3B561320">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成交供应商拒签合同，或不能在规定的期限内与采购人签订合同，采购人有权取消其成交资格，其磋商保证金（如有）不予退还。</w:t>
      </w:r>
    </w:p>
    <w:p w14:paraId="36957A21">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成交供应商放弃成交，其磋商保证金如有）不予退还。</w:t>
      </w:r>
    </w:p>
    <w:p w14:paraId="50BC728D">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成交供应商放弃成交或被取消成交资格后，采购人有权按磋商小组推荐的顺序确定备选成交候选人成交并与之签订合同。所有被确定成交的候选供应商均放弃成交或被取消成交资格，采购人应当重新组织采购。放弃或被取消成交资格的供应商不得参与重新采购。</w:t>
      </w:r>
    </w:p>
    <w:p w14:paraId="715C51A8">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成交供应商拒签合同或放弃成交是违约行为，应当依法赔偿违约行为给采购人造成的实际损失。</w:t>
      </w:r>
    </w:p>
    <w:p w14:paraId="4B5BEA89">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前款所称“违约行为给采购人造成的实际损失”，是指顺延成交供应商的成交价格高于违约人成交价格的高出部分。</w:t>
      </w:r>
    </w:p>
    <w:p w14:paraId="12BB67EB">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签订合同及合同条款应以磋商文件和成交供应商的响应文件为依据。</w:t>
      </w:r>
    </w:p>
    <w:p w14:paraId="2576BC13">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验收</w:t>
      </w:r>
    </w:p>
    <w:p w14:paraId="696563FA">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成交供应商与采购人应严格按照磋商文件规定的标准和响应文件承诺的条件进行验收。</w:t>
      </w:r>
    </w:p>
    <w:p w14:paraId="5F4BD8C8">
      <w:pPr>
        <w:numPr>
          <w:ilvl w:val="1"/>
          <w:numId w:val="10"/>
        </w:numPr>
        <w:tabs>
          <w:tab w:val="left" w:pos="425"/>
          <w:tab w:val="left" w:pos="709"/>
          <w:tab w:val="left" w:pos="1050"/>
        </w:tabs>
        <w:spacing w:line="360"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采购人可以独立邀请第三方参与验收。验收出现争议时，成交供应商可以与采购人协商共同邀请第三方参与验收。</w:t>
      </w:r>
    </w:p>
    <w:p w14:paraId="1A67441F">
      <w:pPr>
        <w:numPr>
          <w:ilvl w:val="0"/>
          <w:numId w:val="10"/>
        </w:numPr>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采购代理服务费</w:t>
      </w:r>
    </w:p>
    <w:p w14:paraId="7774FD65">
      <w:pPr>
        <w:widowControl/>
        <w:spacing w:line="360" w:lineRule="auto"/>
        <w:ind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4"/>
          <w:highlight w:val="none"/>
        </w:rPr>
        <w:t>30.1本项目的采购代理服务费由</w:t>
      </w:r>
      <w:r>
        <w:rPr>
          <w:rFonts w:hint="eastAsia" w:hAnsi="宋体" w:cs="宋体"/>
          <w:b/>
          <w:bCs w:val="0"/>
          <w:color w:val="auto"/>
          <w:kern w:val="2"/>
          <w:sz w:val="24"/>
          <w:szCs w:val="24"/>
          <w:highlight w:val="none"/>
          <w:lang w:val="en-US" w:eastAsia="zh-CN"/>
        </w:rPr>
        <w:t>中标人在领取中标通知书时一次性</w:t>
      </w:r>
      <w:r>
        <w:rPr>
          <w:rFonts w:hint="eastAsia" w:hAnsi="宋体" w:cs="宋体"/>
          <w:b/>
          <w:bCs w:val="0"/>
          <w:color w:val="auto"/>
          <w:kern w:val="2"/>
          <w:sz w:val="24"/>
          <w:szCs w:val="24"/>
          <w:highlight w:val="none"/>
        </w:rPr>
        <w:t>向采购代理机构支付</w:t>
      </w:r>
      <w:r>
        <w:rPr>
          <w:rFonts w:hint="eastAsia" w:hAnsi="宋体" w:cs="宋体"/>
          <w:bCs/>
          <w:color w:val="auto"/>
          <w:kern w:val="2"/>
          <w:sz w:val="24"/>
          <w:szCs w:val="24"/>
          <w:highlight w:val="none"/>
        </w:rPr>
        <w:t>。（代理服务费金额按采购人与采购代理机构约定的金额支付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次招标代理服务费为小写：</w:t>
      </w:r>
      <w:r>
        <w:rPr>
          <w:rFonts w:hint="eastAsia" w:ascii="宋体" w:hAnsi="宋体" w:eastAsia="宋体" w:cs="宋体"/>
          <w:color w:val="auto"/>
          <w:sz w:val="24"/>
          <w:szCs w:val="24"/>
          <w:highlight w:val="none"/>
          <w:lang w:val="en-US" w:eastAsia="zh-CN"/>
        </w:rPr>
        <w:t>19788.00</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lang w:val="en-US" w:eastAsia="zh-CN"/>
        </w:rPr>
        <w:t>壹万玖仟柒佰捌拾捌元整</w:t>
      </w:r>
      <w:r>
        <w:rPr>
          <w:rFonts w:hint="eastAsia" w:hAnsi="宋体" w:cs="宋体"/>
          <w:bCs/>
          <w:color w:val="auto"/>
          <w:kern w:val="2"/>
          <w:sz w:val="24"/>
          <w:szCs w:val="24"/>
          <w:highlight w:val="none"/>
        </w:rPr>
        <w:t>）</w:t>
      </w:r>
      <w:r>
        <w:rPr>
          <w:rFonts w:hint="eastAsia" w:hAnsi="宋体" w:cs="宋体"/>
          <w:bCs/>
          <w:color w:val="auto"/>
          <w:kern w:val="2"/>
          <w:sz w:val="24"/>
          <w:szCs w:val="28"/>
          <w:highlight w:val="none"/>
        </w:rPr>
        <w:t>。</w:t>
      </w:r>
    </w:p>
    <w:p w14:paraId="32866538">
      <w:pPr>
        <w:spacing w:line="360" w:lineRule="auto"/>
        <w:ind w:firstLine="480" w:firstLineChars="200"/>
        <w:rPr>
          <w:rFonts w:hAnsi="宋体" w:cs="宋体"/>
          <w:color w:val="auto"/>
          <w:sz w:val="24"/>
          <w:highlight w:val="none"/>
        </w:rPr>
      </w:pPr>
      <w:r>
        <w:rPr>
          <w:rFonts w:hint="eastAsia" w:hAnsi="宋体" w:cs="宋体"/>
          <w:color w:val="auto"/>
          <w:sz w:val="24"/>
          <w:highlight w:val="none"/>
        </w:rPr>
        <w:t>30.2 采购代理服务费支付账号</w:t>
      </w:r>
    </w:p>
    <w:p w14:paraId="36067687">
      <w:pPr>
        <w:spacing w:line="360" w:lineRule="auto"/>
        <w:ind w:firstLine="480" w:firstLineChars="200"/>
        <w:rPr>
          <w:rFonts w:hint="eastAsia" w:hAnsi="宋体" w:cs="宋体"/>
          <w:color w:val="auto"/>
          <w:sz w:val="24"/>
          <w:highlight w:val="none"/>
        </w:rPr>
      </w:pPr>
      <w:bookmarkStart w:id="47" w:name="_Toc317237605"/>
      <w:bookmarkStart w:id="48" w:name="_Toc317237780"/>
      <w:bookmarkStart w:id="49" w:name="_Toc4795"/>
      <w:r>
        <w:rPr>
          <w:rFonts w:hint="eastAsia" w:hAnsi="宋体" w:cs="宋体"/>
          <w:color w:val="auto"/>
          <w:sz w:val="24"/>
          <w:highlight w:val="none"/>
        </w:rPr>
        <w:t>名    称：海南政德项目管理有限公司</w:t>
      </w:r>
    </w:p>
    <w:p w14:paraId="3BA6B9A5">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开户银行：中国建设银行股份有限公司海口友谊支行</w:t>
      </w:r>
    </w:p>
    <w:p w14:paraId="372CAD1A">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帐    号：4605 0100 2936 0000 0492</w:t>
      </w:r>
    </w:p>
    <w:p w14:paraId="3CB43412">
      <w:pPr>
        <w:numPr>
          <w:ilvl w:val="0"/>
          <w:numId w:val="11"/>
        </w:numPr>
        <w:tabs>
          <w:tab w:val="left" w:pos="540"/>
          <w:tab w:val="left" w:pos="720"/>
          <w:tab w:val="clear" w:pos="960"/>
        </w:tabs>
        <w:spacing w:before="100" w:beforeAutospacing="1" w:after="100" w:afterAutospacing="1" w:line="348" w:lineRule="auto"/>
        <w:ind w:left="720" w:hanging="720"/>
        <w:outlineLvl w:val="1"/>
        <w:rPr>
          <w:rFonts w:hAnsi="宋体" w:cs="宋体"/>
          <w:b/>
          <w:color w:val="auto"/>
          <w:kern w:val="2"/>
          <w:sz w:val="36"/>
          <w:szCs w:val="36"/>
          <w:highlight w:val="none"/>
        </w:rPr>
      </w:pPr>
      <w:r>
        <w:rPr>
          <w:rFonts w:hint="eastAsia" w:hAnsi="宋体" w:cs="宋体"/>
          <w:b/>
          <w:color w:val="auto"/>
          <w:kern w:val="2"/>
          <w:sz w:val="36"/>
          <w:szCs w:val="36"/>
          <w:highlight w:val="none"/>
        </w:rPr>
        <w:t>询问、质疑和投诉</w:t>
      </w:r>
      <w:bookmarkEnd w:id="47"/>
      <w:bookmarkEnd w:id="48"/>
      <w:bookmarkEnd w:id="49"/>
    </w:p>
    <w:p w14:paraId="2CF2AF70">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询问</w:t>
      </w:r>
    </w:p>
    <w:p w14:paraId="79DF1C96">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供应商对本采购活动事项有疑问的，应当以书面形式向采购人或采购代理机构提出询问。</w:t>
      </w:r>
    </w:p>
    <w:p w14:paraId="13AEC974">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询问应当用传真、信函、电子邮件等方式提出。</w:t>
      </w:r>
    </w:p>
    <w:p w14:paraId="18EC25DE">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对询问的答复，将依据是否是重要的共性问题，决定是否同时告知其他供应商。</w:t>
      </w:r>
    </w:p>
    <w:p w14:paraId="70B36971">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质疑</w:t>
      </w:r>
    </w:p>
    <w:p w14:paraId="0D3A881F">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供应商认为采购文件、采购过程和成交结果使自己的权益受到损害的，可以在知道或者应知其权益受到损害之日起七个工作日内，以书面形式向本代理机构或向采购人提出质疑。</w:t>
      </w:r>
    </w:p>
    <w:p w14:paraId="4D8FA94E">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4"/>
          <w:highlight w:val="none"/>
        </w:rPr>
        <w:t>质疑必须以书面形式提出。质疑函应当包括但不限于下列内容：供应商的名称、地址、邮编、联系人及联系电话；质疑项目的名称、编号；质疑事项；事实依据和证明材料；法律依据；提出质疑的日期。质疑函必须由提出质疑的供应商的法定代表人亲笔签署，并加盖企业法人公章。</w:t>
      </w:r>
    </w:p>
    <w:p w14:paraId="628E82E6">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质疑应当用传真、信函或电子邮件送达。信函的邮发地必须是供应商的注册地；发出传真的号码和发出邮件的邮箱必须是供应商以网站或其他形式公布的号码及邮箱。</w:t>
      </w:r>
    </w:p>
    <w:p w14:paraId="1684273A">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不符合本章第</w:t>
      </w:r>
      <w:r>
        <w:rPr>
          <w:rFonts w:hAnsi="宋体" w:cs="宋体"/>
          <w:bCs/>
          <w:color w:val="auto"/>
          <w:kern w:val="2"/>
          <w:sz w:val="24"/>
          <w:szCs w:val="28"/>
          <w:highlight w:val="none"/>
        </w:rPr>
        <w:t>32.1</w:t>
      </w:r>
      <w:r>
        <w:rPr>
          <w:rFonts w:hint="eastAsia" w:hAnsi="宋体" w:cs="宋体"/>
          <w:bCs/>
          <w:color w:val="auto"/>
          <w:kern w:val="2"/>
          <w:sz w:val="24"/>
          <w:szCs w:val="28"/>
          <w:highlight w:val="none"/>
        </w:rPr>
        <w:t>、</w:t>
      </w:r>
      <w:r>
        <w:rPr>
          <w:rFonts w:hAnsi="宋体" w:cs="宋体"/>
          <w:bCs/>
          <w:color w:val="auto"/>
          <w:kern w:val="2"/>
          <w:sz w:val="24"/>
          <w:szCs w:val="28"/>
          <w:highlight w:val="none"/>
        </w:rPr>
        <w:t>32.2</w:t>
      </w:r>
      <w:r>
        <w:rPr>
          <w:rFonts w:hint="eastAsia" w:hAnsi="宋体" w:cs="宋体"/>
          <w:bCs/>
          <w:color w:val="auto"/>
          <w:kern w:val="2"/>
          <w:sz w:val="24"/>
          <w:szCs w:val="28"/>
          <w:highlight w:val="none"/>
        </w:rPr>
        <w:t>和</w:t>
      </w:r>
      <w:r>
        <w:rPr>
          <w:rFonts w:hAnsi="宋体" w:cs="宋体"/>
          <w:bCs/>
          <w:color w:val="auto"/>
          <w:kern w:val="2"/>
          <w:sz w:val="24"/>
          <w:szCs w:val="28"/>
          <w:highlight w:val="none"/>
        </w:rPr>
        <w:t>32.3</w:t>
      </w:r>
      <w:r>
        <w:rPr>
          <w:rFonts w:hint="eastAsia" w:hAnsi="宋体" w:cs="宋体"/>
          <w:bCs/>
          <w:color w:val="auto"/>
          <w:kern w:val="2"/>
          <w:sz w:val="24"/>
          <w:szCs w:val="28"/>
          <w:highlight w:val="none"/>
        </w:rPr>
        <w:t>款规定的质疑是无效质疑，不予受理。</w:t>
      </w:r>
    </w:p>
    <w:p w14:paraId="1E43E3A2">
      <w:pPr>
        <w:numPr>
          <w:ilvl w:val="1"/>
          <w:numId w:val="10"/>
        </w:numPr>
        <w:tabs>
          <w:tab w:val="left" w:pos="425"/>
          <w:tab w:val="left" w:pos="709"/>
          <w:tab w:val="left" w:pos="1050"/>
        </w:tabs>
        <w:spacing w:line="348" w:lineRule="auto"/>
        <w:ind w:left="0" w:firstLine="480" w:firstLineChars="200"/>
        <w:outlineLvl w:val="3"/>
        <w:rPr>
          <w:rFonts w:hAnsi="宋体"/>
          <w:bCs/>
          <w:color w:val="auto"/>
          <w:kern w:val="2"/>
          <w:sz w:val="24"/>
          <w:szCs w:val="28"/>
          <w:highlight w:val="none"/>
        </w:rPr>
      </w:pPr>
      <w:r>
        <w:rPr>
          <w:rFonts w:hint="eastAsia" w:hAnsi="宋体" w:cs="宋体"/>
          <w:bCs/>
          <w:color w:val="auto"/>
          <w:kern w:val="2"/>
          <w:sz w:val="24"/>
          <w:szCs w:val="28"/>
          <w:highlight w:val="none"/>
        </w:rPr>
        <w:t>对于供应商的有效质疑，我们将按照</w:t>
      </w:r>
      <w:r>
        <w:rPr>
          <w:rFonts w:hint="eastAsia" w:hAnsi="宋体" w:cs="宋体"/>
          <w:bCs/>
          <w:color w:val="auto"/>
          <w:kern w:val="2"/>
          <w:sz w:val="24"/>
          <w:szCs w:val="24"/>
          <w:highlight w:val="none"/>
        </w:rPr>
        <w:t>未按照《中华人民共和国政府采购法》、《政府采购竞争性磋商采购方式管理暂行办法》、《政府采购质疑和投诉办法》</w:t>
      </w:r>
      <w:r>
        <w:rPr>
          <w:rFonts w:hint="eastAsia" w:hAnsi="宋体" w:cs="宋体"/>
          <w:bCs/>
          <w:color w:val="auto"/>
          <w:kern w:val="2"/>
          <w:sz w:val="24"/>
          <w:szCs w:val="28"/>
          <w:highlight w:val="none"/>
        </w:rPr>
        <w:t>的规定及时予以答复。</w:t>
      </w:r>
    </w:p>
    <w:p w14:paraId="717A3DCE">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供应商应当慎重使用质疑的权利。属于对政府采购活动事项产生一般疑问的，应当根据政府采购法第</w:t>
      </w:r>
      <w:r>
        <w:rPr>
          <w:rFonts w:hAnsi="宋体" w:cs="宋体"/>
          <w:bCs/>
          <w:color w:val="auto"/>
          <w:kern w:val="2"/>
          <w:sz w:val="24"/>
          <w:szCs w:val="28"/>
          <w:highlight w:val="none"/>
        </w:rPr>
        <w:t>52</w:t>
      </w:r>
      <w:r>
        <w:rPr>
          <w:rFonts w:hint="eastAsia" w:hAnsi="宋体" w:cs="宋体"/>
          <w:bCs/>
          <w:color w:val="auto"/>
          <w:kern w:val="2"/>
          <w:sz w:val="24"/>
          <w:szCs w:val="28"/>
          <w:highlight w:val="none"/>
        </w:rPr>
        <w:t>条的规定提出询问，本代理机构有义务及时作出答复。</w:t>
      </w:r>
    </w:p>
    <w:p w14:paraId="050EE397">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投诉</w:t>
      </w:r>
    </w:p>
    <w:p w14:paraId="1CB9721C">
      <w:pPr>
        <w:numPr>
          <w:ilvl w:val="1"/>
          <w:numId w:val="10"/>
        </w:numPr>
        <w:tabs>
          <w:tab w:val="left" w:pos="425"/>
          <w:tab w:val="left" w:pos="709"/>
          <w:tab w:val="left" w:pos="1050"/>
        </w:tabs>
        <w:spacing w:line="348" w:lineRule="auto"/>
        <w:ind w:left="0" w:firstLine="480" w:firstLineChars="200"/>
        <w:outlineLvl w:val="3"/>
        <w:rPr>
          <w:rFonts w:hAnsi="宋体"/>
          <w:bCs/>
          <w:color w:val="auto"/>
          <w:kern w:val="2"/>
          <w:sz w:val="24"/>
          <w:szCs w:val="28"/>
          <w:highlight w:val="none"/>
        </w:rPr>
      </w:pPr>
      <w:r>
        <w:rPr>
          <w:rFonts w:hint="eastAsia" w:hAnsi="宋体" w:cs="宋体"/>
          <w:bCs/>
          <w:color w:val="auto"/>
          <w:kern w:val="2"/>
          <w:sz w:val="24"/>
          <w:szCs w:val="28"/>
          <w:highlight w:val="none"/>
        </w:rPr>
        <w:t>供应商对质疑事项的答复不满意，或者没有在法定期限内得到答复的，可以依法向政府采购监管部门进行投诉。</w:t>
      </w:r>
    </w:p>
    <w:p w14:paraId="08C3FDF3">
      <w:pPr>
        <w:numPr>
          <w:ilvl w:val="1"/>
          <w:numId w:val="10"/>
        </w:numPr>
        <w:tabs>
          <w:tab w:val="left" w:pos="425"/>
          <w:tab w:val="left" w:pos="709"/>
          <w:tab w:val="left" w:pos="1050"/>
        </w:tabs>
        <w:spacing w:line="348" w:lineRule="auto"/>
        <w:ind w:left="0"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供应商的投诉，应当符合《中华人共和国政府采购法》、《</w:t>
      </w:r>
      <w:r>
        <w:rPr>
          <w:rFonts w:hint="eastAsia" w:hAnsi="宋体"/>
          <w:bCs/>
          <w:color w:val="auto"/>
          <w:kern w:val="2"/>
          <w:sz w:val="24"/>
          <w:szCs w:val="24"/>
          <w:highlight w:val="none"/>
        </w:rPr>
        <w:t>政府采购质疑和投诉办法</w:t>
      </w:r>
      <w:r>
        <w:rPr>
          <w:rFonts w:hint="eastAsia" w:hAnsi="宋体" w:cs="宋体"/>
          <w:bCs/>
          <w:color w:val="auto"/>
          <w:kern w:val="2"/>
          <w:sz w:val="24"/>
          <w:szCs w:val="28"/>
          <w:highlight w:val="none"/>
        </w:rPr>
        <w:t>》、《财政部关于加强政府采购供应商投诉受理审查工作的通知》、《政府采购竞争性磋商采购方式管理暂行办法》的相关规定。</w:t>
      </w:r>
    </w:p>
    <w:p w14:paraId="042781E8">
      <w:pPr>
        <w:spacing w:line="348" w:lineRule="auto"/>
        <w:rPr>
          <w:rFonts w:hAnsi="宋体"/>
          <w:color w:val="auto"/>
          <w:kern w:val="2"/>
          <w:sz w:val="21"/>
          <w:szCs w:val="22"/>
          <w:highlight w:val="none"/>
        </w:rPr>
      </w:pPr>
    </w:p>
    <w:p w14:paraId="1BE41467">
      <w:pPr>
        <w:numPr>
          <w:ilvl w:val="0"/>
          <w:numId w:val="11"/>
        </w:numPr>
        <w:tabs>
          <w:tab w:val="left" w:pos="540"/>
          <w:tab w:val="left" w:pos="720"/>
          <w:tab w:val="clear" w:pos="960"/>
        </w:tabs>
        <w:spacing w:line="348" w:lineRule="auto"/>
        <w:ind w:left="720" w:hanging="720"/>
        <w:outlineLvl w:val="1"/>
        <w:rPr>
          <w:rFonts w:hAnsi="宋体" w:cs="宋体"/>
          <w:b/>
          <w:color w:val="auto"/>
          <w:kern w:val="2"/>
          <w:sz w:val="36"/>
          <w:szCs w:val="36"/>
          <w:highlight w:val="none"/>
        </w:rPr>
      </w:pPr>
      <w:bookmarkStart w:id="50" w:name="_Toc21496"/>
      <w:bookmarkStart w:id="51" w:name="_Toc317237781"/>
      <w:bookmarkStart w:id="52" w:name="_Toc317237606"/>
      <w:r>
        <w:rPr>
          <w:rFonts w:hint="eastAsia" w:hAnsi="宋体" w:cs="宋体"/>
          <w:b/>
          <w:color w:val="auto"/>
          <w:kern w:val="2"/>
          <w:sz w:val="36"/>
          <w:szCs w:val="36"/>
          <w:highlight w:val="none"/>
        </w:rPr>
        <w:t>纪律和监督</w:t>
      </w:r>
      <w:bookmarkEnd w:id="50"/>
      <w:bookmarkEnd w:id="51"/>
      <w:bookmarkEnd w:id="52"/>
    </w:p>
    <w:p w14:paraId="0124165F">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对采购人的纪律要求</w:t>
      </w:r>
    </w:p>
    <w:p w14:paraId="35D4D8C4">
      <w:pPr>
        <w:tabs>
          <w:tab w:val="left" w:pos="425"/>
          <w:tab w:val="left" w:pos="709"/>
          <w:tab w:val="left" w:pos="850"/>
          <w:tab w:val="left" w:pos="992"/>
          <w:tab w:val="left" w:pos="1050"/>
        </w:tabs>
        <w:spacing w:line="348" w:lineRule="auto"/>
        <w:ind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采购人不得泄漏磋商采购活动中应当保密的情况和资料，不得与供应商串通损害国家利益、社会公共利益或他人的合法权益。</w:t>
      </w:r>
    </w:p>
    <w:p w14:paraId="70B7CB8F">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对供应商的纪律要求</w:t>
      </w:r>
    </w:p>
    <w:p w14:paraId="1F7E692D">
      <w:pPr>
        <w:tabs>
          <w:tab w:val="left" w:pos="425"/>
          <w:tab w:val="left" w:pos="709"/>
          <w:tab w:val="left" w:pos="850"/>
          <w:tab w:val="left" w:pos="992"/>
          <w:tab w:val="left" w:pos="1050"/>
        </w:tabs>
        <w:spacing w:line="348" w:lineRule="auto"/>
        <w:ind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不得提供虚假材料谋取成交；不得采取不正当手段诋毁、排挤其他供应商；不得与采购人、采购代理机构、其他供应商恶意串通；不得向采购人、采购代理机构、磋商小组成员行贿或者提供其他不正当利益；不得拒不遵守磋商纪律，故意扰乱磋商会场秩序或其他无理取闹行为；不得在采购过程中与采购人、采购代理机构进行协商谈判；不得拒绝有关部门的监督检查或者向监督检查部门提供虚假情况。有上述情形之一的供应商，属于不合格供应商，其成交资格将被取消。</w:t>
      </w:r>
    </w:p>
    <w:p w14:paraId="15108D9B">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对磋商小组成员的纪律要求</w:t>
      </w:r>
    </w:p>
    <w:p w14:paraId="07BB4A3C">
      <w:pPr>
        <w:tabs>
          <w:tab w:val="left" w:pos="425"/>
          <w:tab w:val="left" w:pos="709"/>
          <w:tab w:val="left" w:pos="850"/>
          <w:tab w:val="left" w:pos="992"/>
          <w:tab w:val="left" w:pos="1050"/>
        </w:tabs>
        <w:spacing w:line="348" w:lineRule="auto"/>
        <w:ind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磋商小组成员不得收受他人的财物或者其他好处，不得向他人透漏对响应文件的评审和比较、成交候选人的推荐情况以及磋商有关的其他情况。在磋商活动中，磋商小组成员不得擅离职守，也不得记录、复制或者带走任何评标资料，影响磋商程序正常进行，不得使用本磋商文件第五部分规定之外的评审因素和标准进行评标。</w:t>
      </w:r>
    </w:p>
    <w:p w14:paraId="70486FE6">
      <w:pPr>
        <w:numPr>
          <w:ilvl w:val="0"/>
          <w:numId w:val="10"/>
        </w:num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对与磋商活动有关的工作人员的纪律要求</w:t>
      </w:r>
    </w:p>
    <w:p w14:paraId="52931DD0">
      <w:pPr>
        <w:tabs>
          <w:tab w:val="left" w:pos="425"/>
          <w:tab w:val="left" w:pos="709"/>
          <w:tab w:val="left" w:pos="850"/>
          <w:tab w:val="left" w:pos="992"/>
          <w:tab w:val="left" w:pos="1050"/>
        </w:tabs>
        <w:spacing w:line="348" w:lineRule="auto"/>
        <w:ind w:firstLine="480" w:firstLineChars="200"/>
        <w:outlineLvl w:val="3"/>
        <w:rPr>
          <w:rFonts w:hAnsi="宋体" w:cs="宋体"/>
          <w:bCs/>
          <w:color w:val="auto"/>
          <w:kern w:val="2"/>
          <w:sz w:val="24"/>
          <w:szCs w:val="28"/>
          <w:highlight w:val="none"/>
        </w:rPr>
      </w:pPr>
      <w:r>
        <w:rPr>
          <w:rFonts w:hint="eastAsia" w:hAnsi="宋体" w:cs="宋体"/>
          <w:bCs/>
          <w:color w:val="auto"/>
          <w:kern w:val="2"/>
          <w:sz w:val="24"/>
          <w:szCs w:val="28"/>
          <w:highlight w:val="none"/>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3BCCE2A8">
      <w:pPr>
        <w:spacing w:line="348" w:lineRule="auto"/>
        <w:rPr>
          <w:rFonts w:hAnsi="宋体" w:cs="宋体"/>
          <w:b/>
          <w:color w:val="auto"/>
          <w:kern w:val="2"/>
          <w:sz w:val="24"/>
          <w:szCs w:val="24"/>
          <w:highlight w:val="none"/>
        </w:rPr>
      </w:pPr>
      <w:r>
        <w:rPr>
          <w:rFonts w:hint="eastAsia" w:hAnsi="宋体" w:cs="宋体"/>
          <w:b/>
          <w:color w:val="auto"/>
          <w:kern w:val="2"/>
          <w:sz w:val="24"/>
          <w:szCs w:val="24"/>
          <w:highlight w:val="none"/>
        </w:rPr>
        <w:t>38 需要补充的其他内容</w:t>
      </w:r>
    </w:p>
    <w:p w14:paraId="2B2C3CC5">
      <w:pPr>
        <w:spacing w:line="348" w:lineRule="auto"/>
        <w:ind w:firstLine="480" w:firstLineChars="200"/>
        <w:rPr>
          <w:b/>
          <w:color w:val="auto"/>
          <w:sz w:val="32"/>
          <w:szCs w:val="32"/>
          <w:highlight w:val="none"/>
        </w:rPr>
      </w:pPr>
      <w:r>
        <w:rPr>
          <w:rFonts w:hint="eastAsia" w:hAnsi="宋体" w:cs="宋体"/>
          <w:color w:val="auto"/>
          <w:kern w:val="2"/>
          <w:sz w:val="24"/>
          <w:szCs w:val="24"/>
          <w:highlight w:val="none"/>
        </w:rPr>
        <w:t>需要补充的其他内容：见供应商须知前附表。</w:t>
      </w:r>
      <w:bookmarkStart w:id="53" w:name="_Toc495679406"/>
      <w:bookmarkStart w:id="54" w:name="_Toc15926"/>
      <w:bookmarkStart w:id="55" w:name="_Toc133204461"/>
      <w:bookmarkStart w:id="56" w:name="_Toc133137798"/>
    </w:p>
    <w:p w14:paraId="0D23F29C">
      <w:pPr>
        <w:pStyle w:val="2"/>
        <w:pageBreakBefore/>
        <w:numPr>
          <w:ilvl w:val="0"/>
          <w:numId w:val="5"/>
        </w:numPr>
        <w:spacing w:before="0" w:after="0" w:line="276" w:lineRule="auto"/>
        <w:rPr>
          <w:rFonts w:hint="eastAsia" w:ascii="仿宋" w:hAnsi="仿宋" w:eastAsia="仿宋"/>
          <w:color w:val="auto"/>
          <w:sz w:val="44"/>
          <w:szCs w:val="44"/>
          <w:highlight w:val="none"/>
        </w:rPr>
      </w:pPr>
      <w:bookmarkStart w:id="57" w:name="_Toc26977"/>
      <w:r>
        <w:rPr>
          <w:rFonts w:hint="eastAsia" w:ascii="仿宋" w:hAnsi="仿宋" w:eastAsia="仿宋"/>
          <w:color w:val="auto"/>
          <w:sz w:val="44"/>
          <w:szCs w:val="44"/>
          <w:highlight w:val="none"/>
        </w:rPr>
        <w:t>采购需求</w:t>
      </w:r>
      <w:bookmarkEnd w:id="57"/>
    </w:p>
    <w:p w14:paraId="3125BEB1">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25901722">
      <w:pPr>
        <w:jc w:val="both"/>
        <w:rPr>
          <w:rFonts w:ascii="宋体" w:hAnsi="宋体"/>
          <w:b/>
          <w:bCs/>
          <w:color w:val="auto"/>
          <w:sz w:val="28"/>
          <w:szCs w:val="28"/>
          <w:highlight w:val="none"/>
        </w:rPr>
      </w:pPr>
      <w:r>
        <w:rPr>
          <w:rFonts w:hint="eastAsia" w:ascii="宋体" w:hAnsi="宋体"/>
          <w:b/>
          <w:bCs/>
          <w:color w:val="auto"/>
          <w:sz w:val="28"/>
          <w:szCs w:val="28"/>
          <w:highlight w:val="none"/>
          <w:lang w:val="en-US" w:eastAsia="zh-CN"/>
        </w:rPr>
        <w:t>一、</w:t>
      </w:r>
      <w:r>
        <w:rPr>
          <w:rFonts w:hint="eastAsia" w:ascii="宋体" w:hAnsi="宋体"/>
          <w:b/>
          <w:bCs/>
          <w:color w:val="auto"/>
          <w:sz w:val="28"/>
          <w:szCs w:val="28"/>
          <w:highlight w:val="none"/>
        </w:rPr>
        <w:t>技术需求</w:t>
      </w:r>
    </w:p>
    <w:tbl>
      <w:tblPr>
        <w:tblStyle w:val="60"/>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
        <w:gridCol w:w="792"/>
        <w:gridCol w:w="852"/>
        <w:gridCol w:w="1740"/>
        <w:gridCol w:w="914"/>
        <w:gridCol w:w="980"/>
        <w:gridCol w:w="2921"/>
        <w:gridCol w:w="16"/>
        <w:gridCol w:w="732"/>
        <w:gridCol w:w="16"/>
      </w:tblGrid>
      <w:tr w14:paraId="120B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shd w:val="clear" w:color="auto" w:fill="auto"/>
            <w:vAlign w:val="center"/>
          </w:tcPr>
          <w:p w14:paraId="65198BA8">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序号</w:t>
            </w:r>
          </w:p>
        </w:tc>
        <w:tc>
          <w:tcPr>
            <w:tcW w:w="427" w:type="pct"/>
            <w:shd w:val="clear" w:color="auto" w:fill="auto"/>
            <w:vAlign w:val="center"/>
          </w:tcPr>
          <w:p w14:paraId="480FAECE">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名称</w:t>
            </w:r>
          </w:p>
        </w:tc>
        <w:tc>
          <w:tcPr>
            <w:tcW w:w="4001" w:type="pct"/>
            <w:gridSpan w:val="5"/>
            <w:shd w:val="clear" w:color="auto" w:fill="auto"/>
            <w:vAlign w:val="center"/>
          </w:tcPr>
          <w:p w14:paraId="7997A9CE">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货物参数要求</w:t>
            </w:r>
          </w:p>
        </w:tc>
        <w:tc>
          <w:tcPr>
            <w:tcW w:w="404" w:type="pct"/>
            <w:gridSpan w:val="2"/>
            <w:shd w:val="clear" w:color="auto" w:fill="auto"/>
            <w:vAlign w:val="center"/>
          </w:tcPr>
          <w:p w14:paraId="6FD3524C">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数量</w:t>
            </w:r>
          </w:p>
        </w:tc>
      </w:tr>
      <w:tr w14:paraId="5963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restart"/>
            <w:shd w:val="clear" w:color="auto" w:fill="auto"/>
            <w:vAlign w:val="center"/>
          </w:tcPr>
          <w:p w14:paraId="0510F112">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1</w:t>
            </w:r>
          </w:p>
        </w:tc>
        <w:tc>
          <w:tcPr>
            <w:tcW w:w="427" w:type="pct"/>
            <w:vMerge w:val="restart"/>
            <w:shd w:val="clear" w:color="auto" w:fill="auto"/>
            <w:vAlign w:val="center"/>
          </w:tcPr>
          <w:p w14:paraId="16A88524">
            <w:pPr>
              <w:widowControl/>
              <w:jc w:val="center"/>
              <w:textAlignment w:val="center"/>
              <w:rPr>
                <w:rFonts w:ascii="宋体" w:hAnsi="宋体" w:cs="宋体"/>
                <w:b/>
                <w:bCs/>
                <w:color w:val="auto"/>
                <w:sz w:val="18"/>
                <w:szCs w:val="10"/>
                <w:highlight w:val="none"/>
              </w:rPr>
            </w:pPr>
            <w:r>
              <w:rPr>
                <w:rFonts w:hint="eastAsia" w:ascii="宋体" w:hAnsi="宋体" w:cs="宋体"/>
                <w:color w:val="auto"/>
                <w:kern w:val="0"/>
                <w:sz w:val="18"/>
                <w:szCs w:val="10"/>
                <w:highlight w:val="none"/>
                <w:lang w:bidi="ar"/>
              </w:rPr>
              <w:t>夹具</w:t>
            </w:r>
          </w:p>
        </w:tc>
        <w:tc>
          <w:tcPr>
            <w:tcW w:w="4001" w:type="pct"/>
            <w:gridSpan w:val="5"/>
            <w:shd w:val="clear" w:color="auto" w:fill="auto"/>
            <w:vAlign w:val="center"/>
          </w:tcPr>
          <w:p w14:paraId="75B57460">
            <w:pPr>
              <w:jc w:val="left"/>
              <w:rPr>
                <w:rFonts w:ascii="宋体" w:hAnsi="宋体" w:cs="宋体"/>
                <w:b/>
                <w:bCs/>
                <w:color w:val="auto"/>
                <w:sz w:val="18"/>
                <w:szCs w:val="10"/>
                <w:highlight w:val="none"/>
              </w:rPr>
            </w:pPr>
            <w:r>
              <w:rPr>
                <w:rFonts w:hint="eastAsia"/>
                <w:color w:val="auto"/>
                <w:sz w:val="18"/>
                <w:szCs w:val="8"/>
                <w:highlight w:val="none"/>
              </w:rPr>
              <w:t>一、项目特征</w:t>
            </w:r>
          </w:p>
        </w:tc>
        <w:tc>
          <w:tcPr>
            <w:tcW w:w="404" w:type="pct"/>
            <w:gridSpan w:val="2"/>
            <w:vMerge w:val="restart"/>
            <w:shd w:val="clear" w:color="auto" w:fill="auto"/>
            <w:vAlign w:val="center"/>
          </w:tcPr>
          <w:p w14:paraId="5D668D5B">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1套</w:t>
            </w:r>
          </w:p>
        </w:tc>
      </w:tr>
      <w:tr w14:paraId="1C6E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FABB6A1">
            <w:pPr>
              <w:jc w:val="center"/>
              <w:rPr>
                <w:rFonts w:ascii="宋体" w:hAnsi="宋体" w:cs="宋体"/>
                <w:b/>
                <w:bCs/>
                <w:color w:val="auto"/>
                <w:sz w:val="18"/>
                <w:szCs w:val="10"/>
                <w:highlight w:val="none"/>
              </w:rPr>
            </w:pPr>
          </w:p>
        </w:tc>
        <w:tc>
          <w:tcPr>
            <w:tcW w:w="427" w:type="pct"/>
            <w:vMerge w:val="continue"/>
            <w:shd w:val="clear" w:color="auto" w:fill="auto"/>
            <w:vAlign w:val="center"/>
          </w:tcPr>
          <w:p w14:paraId="60C52FB1">
            <w:pPr>
              <w:widowControl/>
              <w:jc w:val="center"/>
              <w:textAlignment w:val="center"/>
              <w:rPr>
                <w:rFonts w:ascii="宋体" w:hAnsi="宋体" w:cs="宋体"/>
                <w:color w:val="auto"/>
                <w:kern w:val="0"/>
                <w:sz w:val="18"/>
                <w:szCs w:val="10"/>
                <w:highlight w:val="none"/>
                <w:lang w:bidi="ar"/>
              </w:rPr>
            </w:pPr>
          </w:p>
        </w:tc>
        <w:tc>
          <w:tcPr>
            <w:tcW w:w="4001" w:type="pct"/>
            <w:gridSpan w:val="5"/>
            <w:shd w:val="clear" w:color="auto" w:fill="auto"/>
            <w:vAlign w:val="center"/>
          </w:tcPr>
          <w:p w14:paraId="31AA69B7">
            <w:pPr>
              <w:jc w:val="left"/>
              <w:rPr>
                <w:rFonts w:ascii="宋体" w:hAnsi="宋体" w:cs="宋体"/>
                <w:b/>
                <w:bCs/>
                <w:color w:val="auto"/>
                <w:sz w:val="18"/>
                <w:szCs w:val="10"/>
                <w:highlight w:val="none"/>
              </w:rPr>
            </w:pPr>
            <w:r>
              <w:rPr>
                <w:rFonts w:hint="eastAsia"/>
                <w:color w:val="auto"/>
                <w:sz w:val="18"/>
                <w:szCs w:val="8"/>
                <w:highlight w:val="none"/>
              </w:rPr>
              <w:t>1.名称:夹具</w:t>
            </w:r>
          </w:p>
        </w:tc>
        <w:tc>
          <w:tcPr>
            <w:tcW w:w="404" w:type="pct"/>
            <w:gridSpan w:val="2"/>
            <w:vMerge w:val="continue"/>
            <w:shd w:val="clear" w:color="auto" w:fill="auto"/>
            <w:vAlign w:val="center"/>
          </w:tcPr>
          <w:p w14:paraId="09B6D164">
            <w:pPr>
              <w:jc w:val="center"/>
              <w:rPr>
                <w:rFonts w:ascii="宋体" w:hAnsi="宋体" w:cs="宋体"/>
                <w:b/>
                <w:bCs/>
                <w:color w:val="auto"/>
                <w:sz w:val="18"/>
                <w:szCs w:val="10"/>
                <w:highlight w:val="none"/>
              </w:rPr>
            </w:pPr>
          </w:p>
        </w:tc>
      </w:tr>
      <w:tr w14:paraId="44D7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594AD61">
            <w:pPr>
              <w:jc w:val="center"/>
              <w:rPr>
                <w:rFonts w:ascii="宋体" w:hAnsi="宋体" w:cs="宋体"/>
                <w:b/>
                <w:bCs/>
                <w:color w:val="auto"/>
                <w:sz w:val="18"/>
                <w:szCs w:val="10"/>
                <w:highlight w:val="none"/>
              </w:rPr>
            </w:pPr>
          </w:p>
        </w:tc>
        <w:tc>
          <w:tcPr>
            <w:tcW w:w="427" w:type="pct"/>
            <w:vMerge w:val="continue"/>
            <w:shd w:val="clear" w:color="auto" w:fill="auto"/>
            <w:vAlign w:val="center"/>
          </w:tcPr>
          <w:p w14:paraId="64AFDBF1">
            <w:pPr>
              <w:widowControl/>
              <w:jc w:val="center"/>
              <w:textAlignment w:val="center"/>
              <w:rPr>
                <w:rFonts w:ascii="宋体" w:hAnsi="宋体" w:cs="宋体"/>
                <w:color w:val="auto"/>
                <w:kern w:val="0"/>
                <w:sz w:val="18"/>
                <w:szCs w:val="10"/>
                <w:highlight w:val="none"/>
                <w:lang w:bidi="ar"/>
              </w:rPr>
            </w:pPr>
          </w:p>
        </w:tc>
        <w:tc>
          <w:tcPr>
            <w:tcW w:w="4001" w:type="pct"/>
            <w:gridSpan w:val="5"/>
            <w:shd w:val="clear" w:color="auto" w:fill="auto"/>
            <w:vAlign w:val="center"/>
          </w:tcPr>
          <w:p w14:paraId="77A84D18">
            <w:pPr>
              <w:jc w:val="left"/>
              <w:rPr>
                <w:rFonts w:ascii="宋体" w:hAnsi="宋体" w:cs="宋体"/>
                <w:b/>
                <w:bCs/>
                <w:color w:val="auto"/>
                <w:sz w:val="18"/>
                <w:szCs w:val="10"/>
                <w:highlight w:val="none"/>
              </w:rPr>
            </w:pPr>
            <w:r>
              <w:rPr>
                <w:rFonts w:hint="eastAsia"/>
                <w:color w:val="auto"/>
                <w:sz w:val="18"/>
                <w:szCs w:val="8"/>
                <w:highlight w:val="none"/>
              </w:rPr>
              <w:t>2.参数:</w:t>
            </w:r>
          </w:p>
        </w:tc>
        <w:tc>
          <w:tcPr>
            <w:tcW w:w="404" w:type="pct"/>
            <w:gridSpan w:val="2"/>
            <w:vMerge w:val="continue"/>
            <w:shd w:val="clear" w:color="auto" w:fill="auto"/>
            <w:vAlign w:val="center"/>
          </w:tcPr>
          <w:p w14:paraId="68919414">
            <w:pPr>
              <w:jc w:val="center"/>
              <w:rPr>
                <w:rFonts w:ascii="宋体" w:hAnsi="宋体" w:cs="宋体"/>
                <w:b/>
                <w:bCs/>
                <w:color w:val="auto"/>
                <w:sz w:val="18"/>
                <w:szCs w:val="10"/>
                <w:highlight w:val="none"/>
              </w:rPr>
            </w:pPr>
          </w:p>
        </w:tc>
      </w:tr>
      <w:tr w14:paraId="396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7088EC16">
            <w:pPr>
              <w:jc w:val="center"/>
              <w:rPr>
                <w:rFonts w:ascii="宋体" w:hAnsi="宋体" w:cs="宋体"/>
                <w:b/>
                <w:bCs/>
                <w:color w:val="auto"/>
                <w:sz w:val="18"/>
                <w:szCs w:val="10"/>
                <w:highlight w:val="none"/>
              </w:rPr>
            </w:pPr>
          </w:p>
        </w:tc>
        <w:tc>
          <w:tcPr>
            <w:tcW w:w="427" w:type="pct"/>
            <w:vMerge w:val="continue"/>
            <w:shd w:val="clear" w:color="auto" w:fill="auto"/>
            <w:vAlign w:val="center"/>
          </w:tcPr>
          <w:p w14:paraId="47465B75">
            <w:pPr>
              <w:widowControl/>
              <w:jc w:val="center"/>
              <w:textAlignment w:val="center"/>
              <w:rPr>
                <w:rFonts w:ascii="宋体" w:hAnsi="宋体" w:cs="宋体"/>
                <w:b/>
                <w:bCs/>
                <w:color w:val="auto"/>
                <w:sz w:val="18"/>
                <w:szCs w:val="10"/>
                <w:highlight w:val="none"/>
              </w:rPr>
            </w:pPr>
          </w:p>
        </w:tc>
        <w:tc>
          <w:tcPr>
            <w:tcW w:w="460" w:type="pct"/>
            <w:vMerge w:val="restart"/>
            <w:shd w:val="clear" w:color="auto" w:fill="auto"/>
          </w:tcPr>
          <w:p w14:paraId="109A696A">
            <w:pPr>
              <w:rPr>
                <w:color w:val="auto"/>
                <w:sz w:val="18"/>
                <w:szCs w:val="8"/>
                <w:highlight w:val="none"/>
              </w:rPr>
            </w:pPr>
            <w:r>
              <w:rPr>
                <w:rFonts w:hint="eastAsia"/>
                <w:color w:val="auto"/>
                <w:sz w:val="18"/>
                <w:szCs w:val="8"/>
                <w:highlight w:val="none"/>
              </w:rPr>
              <w:t>2.1.气动夹持系统</w:t>
            </w:r>
          </w:p>
        </w:tc>
        <w:tc>
          <w:tcPr>
            <w:tcW w:w="3541" w:type="pct"/>
            <w:gridSpan w:val="4"/>
            <w:shd w:val="clear" w:color="auto" w:fill="auto"/>
          </w:tcPr>
          <w:p w14:paraId="3A64E56E">
            <w:pPr>
              <w:rPr>
                <w:color w:val="auto"/>
                <w:sz w:val="18"/>
                <w:szCs w:val="8"/>
                <w:highlight w:val="none"/>
              </w:rPr>
            </w:pPr>
            <w:r>
              <w:rPr>
                <w:rFonts w:hint="eastAsia"/>
                <w:color w:val="auto"/>
                <w:sz w:val="18"/>
                <w:szCs w:val="8"/>
                <w:highlight w:val="none"/>
              </w:rPr>
              <w:t>1.重量:≥12.4kg（不含卡爪时）</w:t>
            </w:r>
          </w:p>
        </w:tc>
        <w:tc>
          <w:tcPr>
            <w:tcW w:w="404" w:type="pct"/>
            <w:gridSpan w:val="2"/>
            <w:vMerge w:val="continue"/>
            <w:shd w:val="clear" w:color="auto" w:fill="auto"/>
            <w:vAlign w:val="center"/>
          </w:tcPr>
          <w:p w14:paraId="6EEEEF3F">
            <w:pPr>
              <w:jc w:val="center"/>
              <w:rPr>
                <w:rFonts w:ascii="宋体" w:hAnsi="宋体" w:cs="宋体"/>
                <w:b/>
                <w:bCs/>
                <w:color w:val="auto"/>
                <w:sz w:val="18"/>
                <w:szCs w:val="10"/>
                <w:highlight w:val="none"/>
              </w:rPr>
            </w:pPr>
          </w:p>
        </w:tc>
      </w:tr>
      <w:tr w14:paraId="62BB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4F1D517D">
            <w:pPr>
              <w:jc w:val="left"/>
              <w:rPr>
                <w:color w:val="auto"/>
                <w:sz w:val="18"/>
                <w:szCs w:val="8"/>
                <w:highlight w:val="none"/>
              </w:rPr>
            </w:pPr>
          </w:p>
        </w:tc>
        <w:tc>
          <w:tcPr>
            <w:tcW w:w="427" w:type="pct"/>
            <w:vMerge w:val="continue"/>
            <w:shd w:val="clear" w:color="auto" w:fill="auto"/>
            <w:vAlign w:val="center"/>
          </w:tcPr>
          <w:p w14:paraId="63FD22D5">
            <w:pPr>
              <w:jc w:val="left"/>
              <w:rPr>
                <w:color w:val="auto"/>
                <w:sz w:val="18"/>
                <w:szCs w:val="8"/>
                <w:highlight w:val="none"/>
              </w:rPr>
            </w:pPr>
          </w:p>
        </w:tc>
        <w:tc>
          <w:tcPr>
            <w:tcW w:w="460" w:type="pct"/>
            <w:vMerge w:val="continue"/>
            <w:shd w:val="clear" w:color="auto" w:fill="auto"/>
          </w:tcPr>
          <w:p w14:paraId="7C068B06">
            <w:pPr>
              <w:jc w:val="left"/>
              <w:rPr>
                <w:color w:val="auto"/>
                <w:sz w:val="18"/>
                <w:szCs w:val="8"/>
                <w:highlight w:val="none"/>
              </w:rPr>
            </w:pPr>
          </w:p>
        </w:tc>
        <w:tc>
          <w:tcPr>
            <w:tcW w:w="3541" w:type="pct"/>
            <w:gridSpan w:val="4"/>
            <w:shd w:val="clear" w:color="auto" w:fill="auto"/>
          </w:tcPr>
          <w:p w14:paraId="62A54B0E">
            <w:pPr>
              <w:rPr>
                <w:color w:val="auto"/>
                <w:sz w:val="18"/>
                <w:szCs w:val="8"/>
                <w:highlight w:val="none"/>
              </w:rPr>
            </w:pPr>
            <w:r>
              <w:rPr>
                <w:rFonts w:hint="eastAsia"/>
                <w:color w:val="auto"/>
                <w:sz w:val="18"/>
                <w:szCs w:val="8"/>
                <w:highlight w:val="none"/>
              </w:rPr>
              <w:t>2.尺寸LxWxH: ≥160</w:t>
            </w:r>
            <w:r>
              <w:rPr>
                <w:rFonts w:hint="eastAsia"/>
                <w:color w:val="auto"/>
                <w:sz w:val="18"/>
                <w:szCs w:val="8"/>
                <w:highlight w:val="none"/>
                <w:lang w:val="en-US" w:eastAsia="zh-CN"/>
              </w:rPr>
              <w:t>mm</w:t>
            </w:r>
            <w:r>
              <w:rPr>
                <w:rFonts w:hint="eastAsia"/>
                <w:color w:val="auto"/>
                <w:sz w:val="18"/>
                <w:szCs w:val="8"/>
                <w:highlight w:val="none"/>
              </w:rPr>
              <w:t>×155</w:t>
            </w:r>
            <w:r>
              <w:rPr>
                <w:rFonts w:hint="eastAsia"/>
                <w:color w:val="auto"/>
                <w:sz w:val="18"/>
                <w:szCs w:val="8"/>
                <w:highlight w:val="none"/>
                <w:lang w:val="en-US" w:eastAsia="zh-CN"/>
              </w:rPr>
              <w:t>mm</w:t>
            </w:r>
            <w:r>
              <w:rPr>
                <w:rFonts w:hint="eastAsia"/>
                <w:color w:val="auto"/>
                <w:sz w:val="18"/>
                <w:szCs w:val="8"/>
                <w:highlight w:val="none"/>
              </w:rPr>
              <w:t>×96 mm</w:t>
            </w:r>
          </w:p>
        </w:tc>
        <w:tc>
          <w:tcPr>
            <w:tcW w:w="404" w:type="pct"/>
            <w:gridSpan w:val="2"/>
            <w:vMerge w:val="continue"/>
            <w:shd w:val="clear" w:color="auto" w:fill="auto"/>
            <w:vAlign w:val="center"/>
          </w:tcPr>
          <w:p w14:paraId="478DA9D5">
            <w:pPr>
              <w:jc w:val="left"/>
              <w:rPr>
                <w:rFonts w:ascii="宋体" w:hAnsi="宋体" w:cs="宋体"/>
                <w:b/>
                <w:bCs/>
                <w:color w:val="auto"/>
                <w:sz w:val="18"/>
                <w:szCs w:val="10"/>
                <w:highlight w:val="none"/>
              </w:rPr>
            </w:pPr>
          </w:p>
        </w:tc>
      </w:tr>
      <w:tr w14:paraId="2DCB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3C495A32">
            <w:pPr>
              <w:jc w:val="left"/>
              <w:rPr>
                <w:rFonts w:ascii="宋体" w:hAnsi="宋体" w:cs="宋体"/>
                <w:b/>
                <w:bCs/>
                <w:color w:val="auto"/>
                <w:sz w:val="18"/>
                <w:szCs w:val="10"/>
                <w:highlight w:val="none"/>
              </w:rPr>
            </w:pPr>
          </w:p>
        </w:tc>
        <w:tc>
          <w:tcPr>
            <w:tcW w:w="427" w:type="pct"/>
            <w:vMerge w:val="continue"/>
            <w:shd w:val="clear" w:color="auto" w:fill="auto"/>
            <w:vAlign w:val="center"/>
          </w:tcPr>
          <w:p w14:paraId="7F832639">
            <w:pPr>
              <w:jc w:val="left"/>
              <w:rPr>
                <w:rFonts w:ascii="宋体" w:hAnsi="宋体" w:cs="宋体"/>
                <w:b/>
                <w:bCs/>
                <w:color w:val="auto"/>
                <w:sz w:val="18"/>
                <w:szCs w:val="10"/>
                <w:highlight w:val="none"/>
              </w:rPr>
            </w:pPr>
          </w:p>
        </w:tc>
        <w:tc>
          <w:tcPr>
            <w:tcW w:w="460" w:type="pct"/>
            <w:vMerge w:val="continue"/>
            <w:shd w:val="clear" w:color="auto" w:fill="auto"/>
          </w:tcPr>
          <w:p w14:paraId="7F5E00EF">
            <w:pPr>
              <w:jc w:val="left"/>
              <w:rPr>
                <w:rFonts w:ascii="宋体" w:hAnsi="宋体" w:cs="宋体"/>
                <w:b/>
                <w:bCs/>
                <w:color w:val="auto"/>
                <w:sz w:val="18"/>
                <w:szCs w:val="10"/>
                <w:highlight w:val="none"/>
              </w:rPr>
            </w:pPr>
          </w:p>
        </w:tc>
        <w:tc>
          <w:tcPr>
            <w:tcW w:w="3541" w:type="pct"/>
            <w:gridSpan w:val="4"/>
            <w:shd w:val="clear" w:color="auto" w:fill="auto"/>
          </w:tcPr>
          <w:p w14:paraId="7EDC759C">
            <w:pPr>
              <w:rPr>
                <w:color w:val="auto"/>
                <w:sz w:val="18"/>
                <w:szCs w:val="8"/>
                <w:highlight w:val="none"/>
              </w:rPr>
            </w:pPr>
            <w:r>
              <w:rPr>
                <w:rFonts w:hint="eastAsia"/>
                <w:color w:val="auto"/>
                <w:sz w:val="18"/>
                <w:szCs w:val="8"/>
                <w:highlight w:val="none"/>
              </w:rPr>
              <w:t>3.最大夹持力: ≥36 kN</w:t>
            </w:r>
          </w:p>
        </w:tc>
        <w:tc>
          <w:tcPr>
            <w:tcW w:w="404" w:type="pct"/>
            <w:gridSpan w:val="2"/>
            <w:vMerge w:val="continue"/>
            <w:shd w:val="clear" w:color="auto" w:fill="auto"/>
            <w:vAlign w:val="center"/>
          </w:tcPr>
          <w:p w14:paraId="1ED621F3">
            <w:pPr>
              <w:jc w:val="left"/>
              <w:rPr>
                <w:rFonts w:ascii="宋体" w:hAnsi="宋体" w:cs="宋体"/>
                <w:b/>
                <w:bCs/>
                <w:color w:val="auto"/>
                <w:sz w:val="18"/>
                <w:szCs w:val="10"/>
                <w:highlight w:val="none"/>
              </w:rPr>
            </w:pPr>
          </w:p>
        </w:tc>
      </w:tr>
      <w:tr w14:paraId="5721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09C4B7FB">
            <w:pPr>
              <w:jc w:val="left"/>
              <w:rPr>
                <w:rFonts w:ascii="宋体" w:hAnsi="宋体" w:cs="宋体"/>
                <w:b/>
                <w:bCs/>
                <w:color w:val="auto"/>
                <w:sz w:val="18"/>
                <w:szCs w:val="10"/>
                <w:highlight w:val="none"/>
              </w:rPr>
            </w:pPr>
          </w:p>
        </w:tc>
        <w:tc>
          <w:tcPr>
            <w:tcW w:w="427" w:type="pct"/>
            <w:vMerge w:val="continue"/>
            <w:shd w:val="clear" w:color="auto" w:fill="auto"/>
            <w:vAlign w:val="center"/>
          </w:tcPr>
          <w:p w14:paraId="18CD955E">
            <w:pPr>
              <w:jc w:val="left"/>
              <w:rPr>
                <w:rFonts w:ascii="宋体" w:hAnsi="宋体" w:cs="宋体"/>
                <w:b/>
                <w:bCs/>
                <w:color w:val="auto"/>
                <w:sz w:val="18"/>
                <w:szCs w:val="10"/>
                <w:highlight w:val="none"/>
              </w:rPr>
            </w:pPr>
          </w:p>
        </w:tc>
        <w:tc>
          <w:tcPr>
            <w:tcW w:w="460" w:type="pct"/>
            <w:vMerge w:val="continue"/>
            <w:shd w:val="clear" w:color="auto" w:fill="auto"/>
          </w:tcPr>
          <w:p w14:paraId="11C86612">
            <w:pPr>
              <w:jc w:val="left"/>
              <w:rPr>
                <w:rFonts w:ascii="宋体" w:hAnsi="宋体" w:cs="宋体"/>
                <w:b/>
                <w:bCs/>
                <w:color w:val="auto"/>
                <w:sz w:val="18"/>
                <w:szCs w:val="10"/>
                <w:highlight w:val="none"/>
              </w:rPr>
            </w:pPr>
          </w:p>
        </w:tc>
        <w:tc>
          <w:tcPr>
            <w:tcW w:w="3541" w:type="pct"/>
            <w:gridSpan w:val="4"/>
            <w:shd w:val="clear" w:color="auto" w:fill="auto"/>
          </w:tcPr>
          <w:p w14:paraId="4E85EAAD">
            <w:pPr>
              <w:rPr>
                <w:color w:val="auto"/>
                <w:sz w:val="18"/>
                <w:szCs w:val="8"/>
                <w:highlight w:val="none"/>
              </w:rPr>
            </w:pPr>
            <w:r>
              <w:rPr>
                <w:rFonts w:hint="eastAsia"/>
                <w:color w:val="auto"/>
                <w:sz w:val="18"/>
                <w:szCs w:val="8"/>
                <w:highlight w:val="none"/>
              </w:rPr>
              <w:t>4.最大压力: ≥0.9 MPa</w:t>
            </w:r>
          </w:p>
        </w:tc>
        <w:tc>
          <w:tcPr>
            <w:tcW w:w="404" w:type="pct"/>
            <w:gridSpan w:val="2"/>
            <w:vMerge w:val="continue"/>
            <w:shd w:val="clear" w:color="auto" w:fill="auto"/>
            <w:vAlign w:val="center"/>
          </w:tcPr>
          <w:p w14:paraId="1D17E20E">
            <w:pPr>
              <w:jc w:val="left"/>
              <w:rPr>
                <w:rFonts w:ascii="宋体" w:hAnsi="宋体" w:cs="宋体"/>
                <w:b/>
                <w:bCs/>
                <w:color w:val="auto"/>
                <w:sz w:val="18"/>
                <w:szCs w:val="10"/>
                <w:highlight w:val="none"/>
              </w:rPr>
            </w:pPr>
          </w:p>
        </w:tc>
      </w:tr>
      <w:tr w14:paraId="4125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2955ECDA">
            <w:pPr>
              <w:jc w:val="left"/>
              <w:rPr>
                <w:rFonts w:ascii="宋体" w:hAnsi="宋体" w:cs="宋体"/>
                <w:b/>
                <w:bCs/>
                <w:color w:val="auto"/>
                <w:sz w:val="18"/>
                <w:szCs w:val="10"/>
                <w:highlight w:val="none"/>
              </w:rPr>
            </w:pPr>
          </w:p>
        </w:tc>
        <w:tc>
          <w:tcPr>
            <w:tcW w:w="427" w:type="pct"/>
            <w:vMerge w:val="continue"/>
            <w:shd w:val="clear" w:color="auto" w:fill="auto"/>
            <w:vAlign w:val="center"/>
          </w:tcPr>
          <w:p w14:paraId="03E124B3">
            <w:pPr>
              <w:jc w:val="left"/>
              <w:rPr>
                <w:rFonts w:ascii="宋体" w:hAnsi="宋体" w:cs="宋体"/>
                <w:b/>
                <w:bCs/>
                <w:color w:val="auto"/>
                <w:sz w:val="18"/>
                <w:szCs w:val="10"/>
                <w:highlight w:val="none"/>
              </w:rPr>
            </w:pPr>
          </w:p>
        </w:tc>
        <w:tc>
          <w:tcPr>
            <w:tcW w:w="460" w:type="pct"/>
            <w:vMerge w:val="continue"/>
            <w:shd w:val="clear" w:color="auto" w:fill="auto"/>
          </w:tcPr>
          <w:p w14:paraId="4D996232">
            <w:pPr>
              <w:jc w:val="left"/>
              <w:rPr>
                <w:rFonts w:ascii="宋体" w:hAnsi="宋体" w:cs="宋体"/>
                <w:b/>
                <w:bCs/>
                <w:color w:val="auto"/>
                <w:sz w:val="18"/>
                <w:szCs w:val="10"/>
                <w:highlight w:val="none"/>
              </w:rPr>
            </w:pPr>
          </w:p>
        </w:tc>
        <w:tc>
          <w:tcPr>
            <w:tcW w:w="3541" w:type="pct"/>
            <w:gridSpan w:val="4"/>
            <w:shd w:val="clear" w:color="auto" w:fill="auto"/>
          </w:tcPr>
          <w:p w14:paraId="52BA6CEA">
            <w:pPr>
              <w:rPr>
                <w:color w:val="auto"/>
                <w:sz w:val="18"/>
                <w:szCs w:val="8"/>
                <w:highlight w:val="none"/>
              </w:rPr>
            </w:pPr>
            <w:r>
              <w:rPr>
                <w:rFonts w:hint="eastAsia"/>
                <w:color w:val="auto"/>
                <w:sz w:val="18"/>
                <w:szCs w:val="8"/>
                <w:highlight w:val="none"/>
              </w:rPr>
              <w:t>5.重复精度:≤ 0.01 mm</w:t>
            </w:r>
          </w:p>
        </w:tc>
        <w:tc>
          <w:tcPr>
            <w:tcW w:w="404" w:type="pct"/>
            <w:gridSpan w:val="2"/>
            <w:vMerge w:val="continue"/>
            <w:shd w:val="clear" w:color="auto" w:fill="auto"/>
            <w:vAlign w:val="center"/>
          </w:tcPr>
          <w:p w14:paraId="6BC500F2">
            <w:pPr>
              <w:jc w:val="left"/>
              <w:rPr>
                <w:rFonts w:ascii="宋体" w:hAnsi="宋体" w:cs="宋体"/>
                <w:b/>
                <w:bCs/>
                <w:color w:val="auto"/>
                <w:sz w:val="18"/>
                <w:szCs w:val="10"/>
                <w:highlight w:val="none"/>
              </w:rPr>
            </w:pPr>
          </w:p>
        </w:tc>
      </w:tr>
      <w:tr w14:paraId="7A01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3F03CC87">
            <w:pPr>
              <w:jc w:val="left"/>
              <w:rPr>
                <w:rFonts w:ascii="宋体" w:hAnsi="宋体" w:cs="宋体"/>
                <w:b/>
                <w:bCs/>
                <w:color w:val="auto"/>
                <w:sz w:val="18"/>
                <w:szCs w:val="10"/>
                <w:highlight w:val="none"/>
              </w:rPr>
            </w:pPr>
          </w:p>
        </w:tc>
        <w:tc>
          <w:tcPr>
            <w:tcW w:w="427" w:type="pct"/>
            <w:vMerge w:val="continue"/>
            <w:shd w:val="clear" w:color="auto" w:fill="auto"/>
            <w:vAlign w:val="center"/>
          </w:tcPr>
          <w:p w14:paraId="772787BE">
            <w:pPr>
              <w:jc w:val="left"/>
              <w:rPr>
                <w:rFonts w:ascii="宋体" w:hAnsi="宋体" w:cs="宋体"/>
                <w:b/>
                <w:bCs/>
                <w:color w:val="auto"/>
                <w:sz w:val="18"/>
                <w:szCs w:val="10"/>
                <w:highlight w:val="none"/>
              </w:rPr>
            </w:pPr>
          </w:p>
        </w:tc>
        <w:tc>
          <w:tcPr>
            <w:tcW w:w="460" w:type="pct"/>
            <w:vMerge w:val="continue"/>
            <w:shd w:val="clear" w:color="auto" w:fill="auto"/>
          </w:tcPr>
          <w:p w14:paraId="44E011BA">
            <w:pPr>
              <w:jc w:val="left"/>
              <w:rPr>
                <w:rFonts w:ascii="宋体" w:hAnsi="宋体" w:cs="宋体"/>
                <w:b/>
                <w:bCs/>
                <w:color w:val="auto"/>
                <w:sz w:val="18"/>
                <w:szCs w:val="10"/>
                <w:highlight w:val="none"/>
              </w:rPr>
            </w:pPr>
          </w:p>
        </w:tc>
        <w:tc>
          <w:tcPr>
            <w:tcW w:w="3541" w:type="pct"/>
            <w:gridSpan w:val="4"/>
            <w:shd w:val="clear" w:color="auto" w:fill="auto"/>
          </w:tcPr>
          <w:p w14:paraId="5EFB47F1">
            <w:pPr>
              <w:rPr>
                <w:color w:val="auto"/>
                <w:sz w:val="18"/>
                <w:szCs w:val="8"/>
                <w:highlight w:val="none"/>
              </w:rPr>
            </w:pPr>
            <w:r>
              <w:rPr>
                <w:rFonts w:hint="eastAsia"/>
                <w:color w:val="auto"/>
                <w:sz w:val="18"/>
                <w:szCs w:val="8"/>
                <w:highlight w:val="none"/>
              </w:rPr>
              <w:t xml:space="preserve">6.闭合/打开时间:≤ 0.4 s </w:t>
            </w:r>
          </w:p>
        </w:tc>
        <w:tc>
          <w:tcPr>
            <w:tcW w:w="404" w:type="pct"/>
            <w:gridSpan w:val="2"/>
            <w:vMerge w:val="continue"/>
            <w:shd w:val="clear" w:color="auto" w:fill="auto"/>
            <w:vAlign w:val="center"/>
          </w:tcPr>
          <w:p w14:paraId="3103AA2D">
            <w:pPr>
              <w:jc w:val="left"/>
              <w:rPr>
                <w:rFonts w:ascii="宋体" w:hAnsi="宋体" w:cs="宋体"/>
                <w:b/>
                <w:bCs/>
                <w:color w:val="auto"/>
                <w:sz w:val="18"/>
                <w:szCs w:val="10"/>
                <w:highlight w:val="none"/>
              </w:rPr>
            </w:pPr>
          </w:p>
        </w:tc>
      </w:tr>
      <w:tr w14:paraId="134E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1E54DE42">
            <w:pPr>
              <w:jc w:val="left"/>
              <w:rPr>
                <w:rFonts w:ascii="宋体" w:hAnsi="宋体" w:cs="宋体"/>
                <w:b/>
                <w:bCs/>
                <w:color w:val="auto"/>
                <w:sz w:val="18"/>
                <w:szCs w:val="10"/>
                <w:highlight w:val="none"/>
              </w:rPr>
            </w:pPr>
          </w:p>
        </w:tc>
        <w:tc>
          <w:tcPr>
            <w:tcW w:w="427" w:type="pct"/>
            <w:vMerge w:val="continue"/>
            <w:shd w:val="clear" w:color="auto" w:fill="auto"/>
            <w:vAlign w:val="center"/>
          </w:tcPr>
          <w:p w14:paraId="5BE22F39">
            <w:pPr>
              <w:jc w:val="left"/>
              <w:rPr>
                <w:rFonts w:ascii="宋体" w:hAnsi="宋体" w:cs="宋体"/>
                <w:b/>
                <w:bCs/>
                <w:color w:val="auto"/>
                <w:sz w:val="18"/>
                <w:szCs w:val="10"/>
                <w:highlight w:val="none"/>
              </w:rPr>
            </w:pPr>
          </w:p>
        </w:tc>
        <w:tc>
          <w:tcPr>
            <w:tcW w:w="460" w:type="pct"/>
            <w:vMerge w:val="continue"/>
            <w:shd w:val="clear" w:color="auto" w:fill="auto"/>
          </w:tcPr>
          <w:p w14:paraId="37604CA1">
            <w:pPr>
              <w:jc w:val="left"/>
              <w:rPr>
                <w:rFonts w:ascii="宋体" w:hAnsi="宋体" w:cs="宋体"/>
                <w:b/>
                <w:bCs/>
                <w:color w:val="auto"/>
                <w:sz w:val="18"/>
                <w:szCs w:val="10"/>
                <w:highlight w:val="none"/>
              </w:rPr>
            </w:pPr>
          </w:p>
        </w:tc>
        <w:tc>
          <w:tcPr>
            <w:tcW w:w="3541" w:type="pct"/>
            <w:gridSpan w:val="4"/>
            <w:shd w:val="clear" w:color="auto" w:fill="auto"/>
          </w:tcPr>
          <w:p w14:paraId="4F17F45B">
            <w:pPr>
              <w:rPr>
                <w:color w:val="auto"/>
                <w:sz w:val="18"/>
                <w:szCs w:val="8"/>
                <w:highlight w:val="none"/>
              </w:rPr>
            </w:pPr>
            <w:r>
              <w:rPr>
                <w:rFonts w:hint="eastAsia"/>
                <w:color w:val="auto"/>
                <w:sz w:val="18"/>
                <w:szCs w:val="8"/>
                <w:highlight w:val="none"/>
              </w:rPr>
              <w:t>7.单指行程: ≥2.8 mm</w:t>
            </w:r>
          </w:p>
        </w:tc>
        <w:tc>
          <w:tcPr>
            <w:tcW w:w="404" w:type="pct"/>
            <w:gridSpan w:val="2"/>
            <w:vMerge w:val="continue"/>
            <w:shd w:val="clear" w:color="auto" w:fill="auto"/>
            <w:vAlign w:val="center"/>
          </w:tcPr>
          <w:p w14:paraId="11454340">
            <w:pPr>
              <w:jc w:val="left"/>
              <w:rPr>
                <w:rFonts w:ascii="宋体" w:hAnsi="宋体" w:cs="宋体"/>
                <w:b/>
                <w:bCs/>
                <w:color w:val="auto"/>
                <w:sz w:val="18"/>
                <w:szCs w:val="10"/>
                <w:highlight w:val="none"/>
              </w:rPr>
            </w:pPr>
          </w:p>
        </w:tc>
      </w:tr>
      <w:tr w14:paraId="5A77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7D0BE780">
            <w:pPr>
              <w:jc w:val="left"/>
              <w:rPr>
                <w:rFonts w:ascii="宋体" w:hAnsi="宋体" w:cs="宋体"/>
                <w:b/>
                <w:bCs/>
                <w:color w:val="auto"/>
                <w:sz w:val="18"/>
                <w:szCs w:val="10"/>
                <w:highlight w:val="none"/>
              </w:rPr>
            </w:pPr>
          </w:p>
        </w:tc>
        <w:tc>
          <w:tcPr>
            <w:tcW w:w="427" w:type="pct"/>
            <w:vMerge w:val="continue"/>
            <w:shd w:val="clear" w:color="auto" w:fill="auto"/>
            <w:vAlign w:val="center"/>
          </w:tcPr>
          <w:p w14:paraId="34AEBD6D">
            <w:pPr>
              <w:jc w:val="left"/>
              <w:rPr>
                <w:rFonts w:ascii="宋体" w:hAnsi="宋体" w:cs="宋体"/>
                <w:b/>
                <w:bCs/>
                <w:color w:val="auto"/>
                <w:sz w:val="18"/>
                <w:szCs w:val="10"/>
                <w:highlight w:val="none"/>
              </w:rPr>
            </w:pPr>
          </w:p>
        </w:tc>
        <w:tc>
          <w:tcPr>
            <w:tcW w:w="460" w:type="pct"/>
            <w:vMerge w:val="continue"/>
            <w:shd w:val="clear" w:color="auto" w:fill="auto"/>
          </w:tcPr>
          <w:p w14:paraId="1E0769D0">
            <w:pPr>
              <w:jc w:val="left"/>
              <w:rPr>
                <w:rFonts w:ascii="宋体" w:hAnsi="宋体" w:cs="宋体"/>
                <w:b/>
                <w:bCs/>
                <w:color w:val="auto"/>
                <w:sz w:val="18"/>
                <w:szCs w:val="10"/>
                <w:highlight w:val="none"/>
              </w:rPr>
            </w:pPr>
          </w:p>
        </w:tc>
        <w:tc>
          <w:tcPr>
            <w:tcW w:w="3541" w:type="pct"/>
            <w:gridSpan w:val="4"/>
            <w:shd w:val="clear" w:color="auto" w:fill="auto"/>
          </w:tcPr>
          <w:p w14:paraId="502B80B4">
            <w:pPr>
              <w:rPr>
                <w:color w:val="auto"/>
                <w:sz w:val="18"/>
                <w:szCs w:val="8"/>
                <w:highlight w:val="none"/>
              </w:rPr>
            </w:pPr>
            <w:r>
              <w:rPr>
                <w:rFonts w:hint="eastAsia"/>
                <w:color w:val="auto"/>
                <w:sz w:val="18"/>
                <w:szCs w:val="8"/>
                <w:highlight w:val="none"/>
              </w:rPr>
              <w:t>8.正向夹持范围: ≥0-56 mm</w:t>
            </w:r>
          </w:p>
        </w:tc>
        <w:tc>
          <w:tcPr>
            <w:tcW w:w="404" w:type="pct"/>
            <w:gridSpan w:val="2"/>
            <w:vMerge w:val="continue"/>
            <w:shd w:val="clear" w:color="auto" w:fill="auto"/>
            <w:vAlign w:val="center"/>
          </w:tcPr>
          <w:p w14:paraId="4E676B76">
            <w:pPr>
              <w:jc w:val="left"/>
              <w:rPr>
                <w:rFonts w:ascii="宋体" w:hAnsi="宋体" w:cs="宋体"/>
                <w:b/>
                <w:bCs/>
                <w:color w:val="auto"/>
                <w:sz w:val="18"/>
                <w:szCs w:val="10"/>
                <w:highlight w:val="none"/>
              </w:rPr>
            </w:pPr>
          </w:p>
        </w:tc>
      </w:tr>
      <w:tr w14:paraId="53ED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144DAC13">
            <w:pPr>
              <w:jc w:val="left"/>
              <w:rPr>
                <w:rFonts w:ascii="宋体" w:hAnsi="宋体" w:cs="宋体"/>
                <w:b/>
                <w:bCs/>
                <w:color w:val="auto"/>
                <w:sz w:val="18"/>
                <w:szCs w:val="10"/>
                <w:highlight w:val="none"/>
              </w:rPr>
            </w:pPr>
          </w:p>
        </w:tc>
        <w:tc>
          <w:tcPr>
            <w:tcW w:w="427" w:type="pct"/>
            <w:vMerge w:val="continue"/>
            <w:shd w:val="clear" w:color="auto" w:fill="auto"/>
            <w:vAlign w:val="center"/>
          </w:tcPr>
          <w:p w14:paraId="1C4A5A30">
            <w:pPr>
              <w:jc w:val="left"/>
              <w:rPr>
                <w:rFonts w:ascii="宋体" w:hAnsi="宋体" w:cs="宋体"/>
                <w:b/>
                <w:bCs/>
                <w:color w:val="auto"/>
                <w:sz w:val="18"/>
                <w:szCs w:val="10"/>
                <w:highlight w:val="none"/>
              </w:rPr>
            </w:pPr>
          </w:p>
        </w:tc>
        <w:tc>
          <w:tcPr>
            <w:tcW w:w="460" w:type="pct"/>
            <w:vMerge w:val="continue"/>
            <w:shd w:val="clear" w:color="auto" w:fill="auto"/>
          </w:tcPr>
          <w:p w14:paraId="277F0C17">
            <w:pPr>
              <w:jc w:val="left"/>
              <w:rPr>
                <w:rFonts w:ascii="宋体" w:hAnsi="宋体" w:cs="宋体"/>
                <w:b/>
                <w:bCs/>
                <w:color w:val="auto"/>
                <w:sz w:val="18"/>
                <w:szCs w:val="10"/>
                <w:highlight w:val="none"/>
              </w:rPr>
            </w:pPr>
          </w:p>
        </w:tc>
        <w:tc>
          <w:tcPr>
            <w:tcW w:w="3541" w:type="pct"/>
            <w:gridSpan w:val="4"/>
            <w:shd w:val="clear" w:color="auto" w:fill="auto"/>
          </w:tcPr>
          <w:p w14:paraId="3024FE1B">
            <w:pPr>
              <w:rPr>
                <w:color w:val="auto"/>
                <w:sz w:val="18"/>
                <w:szCs w:val="8"/>
                <w:highlight w:val="none"/>
              </w:rPr>
            </w:pPr>
            <w:r>
              <w:rPr>
                <w:rFonts w:hint="eastAsia"/>
                <w:color w:val="auto"/>
                <w:sz w:val="18"/>
                <w:szCs w:val="8"/>
                <w:highlight w:val="none"/>
              </w:rPr>
              <w:t xml:space="preserve">9.反向夹持范围: ≥136-198mm </w:t>
            </w:r>
          </w:p>
        </w:tc>
        <w:tc>
          <w:tcPr>
            <w:tcW w:w="404" w:type="pct"/>
            <w:gridSpan w:val="2"/>
            <w:vMerge w:val="continue"/>
            <w:shd w:val="clear" w:color="auto" w:fill="auto"/>
            <w:vAlign w:val="center"/>
          </w:tcPr>
          <w:p w14:paraId="43400580">
            <w:pPr>
              <w:jc w:val="left"/>
              <w:rPr>
                <w:rFonts w:ascii="宋体" w:hAnsi="宋体" w:cs="宋体"/>
                <w:b/>
                <w:bCs/>
                <w:color w:val="auto"/>
                <w:sz w:val="18"/>
                <w:szCs w:val="10"/>
                <w:highlight w:val="none"/>
              </w:rPr>
            </w:pPr>
          </w:p>
        </w:tc>
      </w:tr>
      <w:tr w14:paraId="3A6E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2E492428">
            <w:pPr>
              <w:jc w:val="left"/>
              <w:rPr>
                <w:rFonts w:ascii="宋体" w:hAnsi="宋体" w:cs="宋体"/>
                <w:b/>
                <w:bCs/>
                <w:color w:val="auto"/>
                <w:sz w:val="18"/>
                <w:szCs w:val="10"/>
                <w:highlight w:val="none"/>
              </w:rPr>
            </w:pPr>
          </w:p>
        </w:tc>
        <w:tc>
          <w:tcPr>
            <w:tcW w:w="427" w:type="pct"/>
            <w:vMerge w:val="continue"/>
            <w:shd w:val="clear" w:color="auto" w:fill="auto"/>
            <w:vAlign w:val="center"/>
          </w:tcPr>
          <w:p w14:paraId="6FDA0186">
            <w:pPr>
              <w:jc w:val="left"/>
              <w:rPr>
                <w:rFonts w:ascii="宋体" w:hAnsi="宋体" w:cs="宋体"/>
                <w:b/>
                <w:bCs/>
                <w:color w:val="auto"/>
                <w:sz w:val="18"/>
                <w:szCs w:val="10"/>
                <w:highlight w:val="none"/>
              </w:rPr>
            </w:pPr>
          </w:p>
        </w:tc>
        <w:tc>
          <w:tcPr>
            <w:tcW w:w="460" w:type="pct"/>
            <w:vMerge w:val="continue"/>
            <w:shd w:val="clear" w:color="auto" w:fill="auto"/>
          </w:tcPr>
          <w:p w14:paraId="0BDA2C20">
            <w:pPr>
              <w:jc w:val="left"/>
              <w:rPr>
                <w:rFonts w:ascii="宋体" w:hAnsi="宋体" w:cs="宋体"/>
                <w:b/>
                <w:bCs/>
                <w:color w:val="auto"/>
                <w:sz w:val="18"/>
                <w:szCs w:val="10"/>
                <w:highlight w:val="none"/>
              </w:rPr>
            </w:pPr>
          </w:p>
        </w:tc>
        <w:tc>
          <w:tcPr>
            <w:tcW w:w="3541" w:type="pct"/>
            <w:gridSpan w:val="4"/>
            <w:shd w:val="clear" w:color="auto" w:fill="auto"/>
          </w:tcPr>
          <w:p w14:paraId="09B115C7">
            <w:pPr>
              <w:rPr>
                <w:color w:val="auto"/>
                <w:sz w:val="18"/>
                <w:szCs w:val="8"/>
                <w:highlight w:val="none"/>
              </w:rPr>
            </w:pPr>
            <w:r>
              <w:rPr>
                <w:rFonts w:hint="eastAsia"/>
                <w:color w:val="auto"/>
                <w:sz w:val="18"/>
                <w:szCs w:val="8"/>
                <w:highlight w:val="none"/>
              </w:rPr>
              <w:t xml:space="preserve">10.安装方式 :螺纹安装或压板安装 </w:t>
            </w:r>
          </w:p>
        </w:tc>
        <w:tc>
          <w:tcPr>
            <w:tcW w:w="404" w:type="pct"/>
            <w:gridSpan w:val="2"/>
            <w:vMerge w:val="continue"/>
            <w:shd w:val="clear" w:color="auto" w:fill="auto"/>
            <w:vAlign w:val="center"/>
          </w:tcPr>
          <w:p w14:paraId="6EBE2CDE">
            <w:pPr>
              <w:jc w:val="left"/>
              <w:rPr>
                <w:rFonts w:ascii="宋体" w:hAnsi="宋体" w:cs="宋体"/>
                <w:b/>
                <w:bCs/>
                <w:color w:val="auto"/>
                <w:sz w:val="18"/>
                <w:szCs w:val="10"/>
                <w:highlight w:val="none"/>
              </w:rPr>
            </w:pPr>
          </w:p>
        </w:tc>
      </w:tr>
      <w:tr w14:paraId="29DA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5DCBC3B6">
            <w:pPr>
              <w:jc w:val="left"/>
              <w:rPr>
                <w:rFonts w:ascii="宋体" w:hAnsi="宋体" w:cs="宋体"/>
                <w:b/>
                <w:bCs/>
                <w:color w:val="auto"/>
                <w:sz w:val="18"/>
                <w:szCs w:val="10"/>
                <w:highlight w:val="none"/>
              </w:rPr>
            </w:pPr>
          </w:p>
        </w:tc>
        <w:tc>
          <w:tcPr>
            <w:tcW w:w="427" w:type="pct"/>
            <w:vMerge w:val="continue"/>
            <w:shd w:val="clear" w:color="auto" w:fill="auto"/>
            <w:vAlign w:val="center"/>
          </w:tcPr>
          <w:p w14:paraId="635F45DA">
            <w:pPr>
              <w:jc w:val="left"/>
              <w:rPr>
                <w:rFonts w:ascii="宋体" w:hAnsi="宋体" w:cs="宋体"/>
                <w:b/>
                <w:bCs/>
                <w:color w:val="auto"/>
                <w:sz w:val="18"/>
                <w:szCs w:val="10"/>
                <w:highlight w:val="none"/>
              </w:rPr>
            </w:pPr>
          </w:p>
        </w:tc>
        <w:tc>
          <w:tcPr>
            <w:tcW w:w="460" w:type="pct"/>
            <w:vMerge w:val="continue"/>
            <w:shd w:val="clear" w:color="auto" w:fill="auto"/>
          </w:tcPr>
          <w:p w14:paraId="4639B2D1">
            <w:pPr>
              <w:jc w:val="left"/>
              <w:rPr>
                <w:rFonts w:ascii="宋体" w:hAnsi="宋体" w:cs="宋体"/>
                <w:b/>
                <w:bCs/>
                <w:color w:val="auto"/>
                <w:sz w:val="18"/>
                <w:szCs w:val="10"/>
                <w:highlight w:val="none"/>
              </w:rPr>
            </w:pPr>
          </w:p>
        </w:tc>
        <w:tc>
          <w:tcPr>
            <w:tcW w:w="3541" w:type="pct"/>
            <w:gridSpan w:val="4"/>
            <w:shd w:val="clear" w:color="auto" w:fill="auto"/>
          </w:tcPr>
          <w:p w14:paraId="67876FEB">
            <w:pPr>
              <w:rPr>
                <w:color w:val="auto"/>
                <w:sz w:val="18"/>
                <w:szCs w:val="8"/>
                <w:highlight w:val="none"/>
              </w:rPr>
            </w:pPr>
            <w:r>
              <w:rPr>
                <w:rFonts w:hint="eastAsia"/>
                <w:color w:val="auto"/>
                <w:sz w:val="18"/>
                <w:szCs w:val="8"/>
                <w:highlight w:val="none"/>
              </w:rPr>
              <w:t xml:space="preserve">11.控制方式 :手动减压阀+气动脚踏开关 </w:t>
            </w:r>
          </w:p>
        </w:tc>
        <w:tc>
          <w:tcPr>
            <w:tcW w:w="404" w:type="pct"/>
            <w:gridSpan w:val="2"/>
            <w:vMerge w:val="continue"/>
            <w:shd w:val="clear" w:color="auto" w:fill="auto"/>
            <w:vAlign w:val="center"/>
          </w:tcPr>
          <w:p w14:paraId="48F8D7A5">
            <w:pPr>
              <w:jc w:val="left"/>
              <w:rPr>
                <w:rFonts w:ascii="宋体" w:hAnsi="宋体" w:cs="宋体"/>
                <w:b/>
                <w:bCs/>
                <w:color w:val="auto"/>
                <w:sz w:val="18"/>
                <w:szCs w:val="10"/>
                <w:highlight w:val="none"/>
              </w:rPr>
            </w:pPr>
          </w:p>
        </w:tc>
      </w:tr>
      <w:tr w14:paraId="7D31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01A1D56A">
            <w:pPr>
              <w:jc w:val="left"/>
              <w:rPr>
                <w:rFonts w:ascii="宋体" w:hAnsi="宋体" w:cs="宋体"/>
                <w:b/>
                <w:bCs/>
                <w:color w:val="auto"/>
                <w:sz w:val="18"/>
                <w:szCs w:val="10"/>
                <w:highlight w:val="none"/>
              </w:rPr>
            </w:pPr>
          </w:p>
        </w:tc>
        <w:tc>
          <w:tcPr>
            <w:tcW w:w="427" w:type="pct"/>
            <w:vMerge w:val="continue"/>
            <w:shd w:val="clear" w:color="auto" w:fill="auto"/>
            <w:vAlign w:val="center"/>
          </w:tcPr>
          <w:p w14:paraId="51B75394">
            <w:pPr>
              <w:jc w:val="left"/>
              <w:rPr>
                <w:rFonts w:ascii="宋体" w:hAnsi="宋体" w:cs="宋体"/>
                <w:b/>
                <w:bCs/>
                <w:color w:val="auto"/>
                <w:sz w:val="18"/>
                <w:szCs w:val="10"/>
                <w:highlight w:val="none"/>
              </w:rPr>
            </w:pPr>
          </w:p>
        </w:tc>
        <w:tc>
          <w:tcPr>
            <w:tcW w:w="460" w:type="pct"/>
            <w:vMerge w:val="continue"/>
            <w:shd w:val="clear" w:color="auto" w:fill="auto"/>
          </w:tcPr>
          <w:p w14:paraId="7B311422">
            <w:pPr>
              <w:jc w:val="left"/>
              <w:rPr>
                <w:rFonts w:ascii="宋体" w:hAnsi="宋体" w:cs="宋体"/>
                <w:b/>
                <w:bCs/>
                <w:color w:val="auto"/>
                <w:sz w:val="18"/>
                <w:szCs w:val="10"/>
                <w:highlight w:val="none"/>
              </w:rPr>
            </w:pPr>
          </w:p>
        </w:tc>
        <w:tc>
          <w:tcPr>
            <w:tcW w:w="3541" w:type="pct"/>
            <w:gridSpan w:val="4"/>
            <w:shd w:val="clear" w:color="auto" w:fill="auto"/>
          </w:tcPr>
          <w:p w14:paraId="103CFC60">
            <w:pPr>
              <w:rPr>
                <w:color w:val="auto"/>
                <w:sz w:val="18"/>
                <w:szCs w:val="8"/>
                <w:highlight w:val="none"/>
              </w:rPr>
            </w:pPr>
            <w:r>
              <w:rPr>
                <w:rFonts w:hint="eastAsia"/>
                <w:color w:val="auto"/>
                <w:sz w:val="18"/>
                <w:szCs w:val="8"/>
                <w:highlight w:val="none"/>
              </w:rPr>
              <w:t>12.产品特性 :中心夹紧</w:t>
            </w:r>
          </w:p>
        </w:tc>
        <w:tc>
          <w:tcPr>
            <w:tcW w:w="404" w:type="pct"/>
            <w:gridSpan w:val="2"/>
            <w:vMerge w:val="continue"/>
            <w:shd w:val="clear" w:color="auto" w:fill="auto"/>
            <w:vAlign w:val="center"/>
          </w:tcPr>
          <w:p w14:paraId="4AC659A9">
            <w:pPr>
              <w:jc w:val="left"/>
              <w:rPr>
                <w:rFonts w:ascii="宋体" w:hAnsi="宋体" w:cs="宋体"/>
                <w:b/>
                <w:bCs/>
                <w:color w:val="auto"/>
                <w:sz w:val="18"/>
                <w:szCs w:val="10"/>
                <w:highlight w:val="none"/>
              </w:rPr>
            </w:pPr>
          </w:p>
        </w:tc>
      </w:tr>
      <w:tr w14:paraId="6C98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 w:hRule="atLeast"/>
          <w:jc w:val="center"/>
        </w:trPr>
        <w:tc>
          <w:tcPr>
            <w:tcW w:w="157" w:type="pct"/>
            <w:vMerge w:val="continue"/>
            <w:shd w:val="clear" w:color="auto" w:fill="auto"/>
            <w:vAlign w:val="center"/>
          </w:tcPr>
          <w:p w14:paraId="6E0E6234">
            <w:pPr>
              <w:jc w:val="left"/>
              <w:rPr>
                <w:color w:val="auto"/>
                <w:sz w:val="18"/>
                <w:szCs w:val="8"/>
                <w:highlight w:val="none"/>
              </w:rPr>
            </w:pPr>
          </w:p>
        </w:tc>
        <w:tc>
          <w:tcPr>
            <w:tcW w:w="427" w:type="pct"/>
            <w:vMerge w:val="continue"/>
            <w:shd w:val="clear" w:color="auto" w:fill="auto"/>
            <w:vAlign w:val="center"/>
          </w:tcPr>
          <w:p w14:paraId="30E163DC">
            <w:pPr>
              <w:jc w:val="left"/>
              <w:rPr>
                <w:color w:val="auto"/>
                <w:sz w:val="18"/>
                <w:szCs w:val="8"/>
                <w:highlight w:val="none"/>
              </w:rPr>
            </w:pPr>
          </w:p>
        </w:tc>
        <w:tc>
          <w:tcPr>
            <w:tcW w:w="460" w:type="pct"/>
            <w:shd w:val="clear" w:color="auto" w:fill="auto"/>
          </w:tcPr>
          <w:p w14:paraId="060960C1">
            <w:pPr>
              <w:rPr>
                <w:color w:val="auto"/>
                <w:sz w:val="18"/>
                <w:szCs w:val="8"/>
                <w:highlight w:val="none"/>
              </w:rPr>
            </w:pPr>
            <w:r>
              <w:rPr>
                <w:rFonts w:hint="eastAsia"/>
                <w:color w:val="auto"/>
                <w:sz w:val="18"/>
                <w:szCs w:val="8"/>
                <w:highlight w:val="none"/>
              </w:rPr>
              <w:t>2.2双开自动门</w:t>
            </w:r>
          </w:p>
        </w:tc>
        <w:tc>
          <w:tcPr>
            <w:tcW w:w="3541" w:type="pct"/>
            <w:gridSpan w:val="4"/>
            <w:shd w:val="clear" w:color="auto" w:fill="auto"/>
            <w:vAlign w:val="center"/>
          </w:tcPr>
          <w:p w14:paraId="16E8FC56">
            <w:pPr>
              <w:jc w:val="left"/>
              <w:rPr>
                <w:color w:val="auto"/>
                <w:sz w:val="18"/>
                <w:szCs w:val="8"/>
                <w:highlight w:val="none"/>
              </w:rPr>
            </w:pPr>
            <w:r>
              <w:rPr>
                <w:rFonts w:hint="eastAsia"/>
                <w:color w:val="auto"/>
                <w:sz w:val="18"/>
                <w:szCs w:val="8"/>
                <w:highlight w:val="none"/>
              </w:rPr>
              <w:t>1.配不少于2个气缸导轨（缸径20），气缸导轨行程≥450/600mm</w:t>
            </w:r>
          </w:p>
        </w:tc>
        <w:tc>
          <w:tcPr>
            <w:tcW w:w="404" w:type="pct"/>
            <w:gridSpan w:val="2"/>
            <w:vMerge w:val="continue"/>
            <w:shd w:val="clear" w:color="auto" w:fill="auto"/>
            <w:vAlign w:val="center"/>
          </w:tcPr>
          <w:p w14:paraId="2DFB42E5">
            <w:pPr>
              <w:jc w:val="left"/>
              <w:rPr>
                <w:color w:val="auto"/>
                <w:sz w:val="18"/>
                <w:szCs w:val="8"/>
                <w:highlight w:val="none"/>
              </w:rPr>
            </w:pPr>
          </w:p>
        </w:tc>
      </w:tr>
      <w:tr w14:paraId="5E54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52" w:hRule="atLeast"/>
          <w:jc w:val="center"/>
        </w:trPr>
        <w:tc>
          <w:tcPr>
            <w:tcW w:w="157" w:type="pct"/>
            <w:vMerge w:val="continue"/>
            <w:shd w:val="clear" w:color="auto" w:fill="auto"/>
            <w:vAlign w:val="center"/>
          </w:tcPr>
          <w:p w14:paraId="28EBC2E7">
            <w:pPr>
              <w:jc w:val="left"/>
              <w:rPr>
                <w:color w:val="auto"/>
                <w:sz w:val="18"/>
                <w:szCs w:val="8"/>
                <w:highlight w:val="none"/>
              </w:rPr>
            </w:pPr>
          </w:p>
        </w:tc>
        <w:tc>
          <w:tcPr>
            <w:tcW w:w="427" w:type="pct"/>
            <w:vMerge w:val="continue"/>
            <w:shd w:val="clear" w:color="auto" w:fill="auto"/>
            <w:vAlign w:val="center"/>
          </w:tcPr>
          <w:p w14:paraId="20B7C801">
            <w:pPr>
              <w:jc w:val="left"/>
              <w:rPr>
                <w:color w:val="auto"/>
                <w:sz w:val="18"/>
                <w:szCs w:val="8"/>
                <w:highlight w:val="none"/>
              </w:rPr>
            </w:pPr>
          </w:p>
        </w:tc>
        <w:tc>
          <w:tcPr>
            <w:tcW w:w="460" w:type="pct"/>
            <w:vMerge w:val="restart"/>
            <w:shd w:val="clear" w:color="auto" w:fill="auto"/>
          </w:tcPr>
          <w:p w14:paraId="48CF115E">
            <w:pPr>
              <w:rPr>
                <w:color w:val="auto"/>
                <w:sz w:val="18"/>
                <w:szCs w:val="8"/>
                <w:highlight w:val="none"/>
              </w:rPr>
            </w:pPr>
            <w:r>
              <w:rPr>
                <w:rFonts w:hint="eastAsia"/>
                <w:color w:val="auto"/>
                <w:sz w:val="18"/>
                <w:szCs w:val="8"/>
                <w:highlight w:val="none"/>
              </w:rPr>
              <w:t>2.3协同控制器</w:t>
            </w:r>
          </w:p>
        </w:tc>
        <w:tc>
          <w:tcPr>
            <w:tcW w:w="3541" w:type="pct"/>
            <w:gridSpan w:val="4"/>
            <w:shd w:val="clear" w:color="auto" w:fill="auto"/>
          </w:tcPr>
          <w:p w14:paraId="2ADFA964">
            <w:pPr>
              <w:rPr>
                <w:rFonts w:hint="eastAsia"/>
                <w:color w:val="auto"/>
                <w:sz w:val="18"/>
                <w:szCs w:val="8"/>
                <w:highlight w:val="none"/>
              </w:rPr>
            </w:pPr>
            <w:r>
              <w:rPr>
                <w:rFonts w:hint="eastAsia"/>
                <w:color w:val="auto"/>
                <w:sz w:val="18"/>
                <w:szCs w:val="8"/>
                <w:highlight w:val="none"/>
                <w:lang w:val="en-US" w:eastAsia="zh-CN"/>
              </w:rPr>
              <w:t>1.</w:t>
            </w:r>
            <w:r>
              <w:rPr>
                <w:rFonts w:hint="eastAsia"/>
                <w:color w:val="auto"/>
                <w:sz w:val="18"/>
                <w:szCs w:val="8"/>
                <w:highlight w:val="none"/>
              </w:rPr>
              <w:t>通过IO或TCP/IP接入机床的控制系统，实现设备物联网功能，通过组网使机床能与机器人进行基本的信号连通，包括但不限于：自动门开关及到位信号检测、启动机床加工程序、打开关闭虎钳、设备间急停联动等功能。</w:t>
            </w:r>
          </w:p>
        </w:tc>
        <w:tc>
          <w:tcPr>
            <w:tcW w:w="404" w:type="pct"/>
            <w:gridSpan w:val="2"/>
            <w:vMerge w:val="continue"/>
            <w:shd w:val="clear" w:color="auto" w:fill="auto"/>
            <w:vAlign w:val="center"/>
          </w:tcPr>
          <w:p w14:paraId="1F68B9A1">
            <w:pPr>
              <w:jc w:val="left"/>
              <w:rPr>
                <w:color w:val="auto"/>
                <w:sz w:val="18"/>
                <w:szCs w:val="8"/>
                <w:highlight w:val="none"/>
              </w:rPr>
            </w:pPr>
          </w:p>
        </w:tc>
      </w:tr>
      <w:tr w14:paraId="7E49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jc w:val="center"/>
        </w:trPr>
        <w:tc>
          <w:tcPr>
            <w:tcW w:w="157" w:type="pct"/>
            <w:vMerge w:val="continue"/>
            <w:shd w:val="clear" w:color="auto" w:fill="auto"/>
            <w:vAlign w:val="center"/>
          </w:tcPr>
          <w:p w14:paraId="26CA25CA">
            <w:pPr>
              <w:rPr>
                <w:color w:val="auto"/>
                <w:highlight w:val="none"/>
              </w:rPr>
            </w:pPr>
          </w:p>
        </w:tc>
        <w:tc>
          <w:tcPr>
            <w:tcW w:w="427" w:type="pct"/>
            <w:vMerge w:val="continue"/>
            <w:shd w:val="clear" w:color="auto" w:fill="auto"/>
            <w:vAlign w:val="center"/>
          </w:tcPr>
          <w:p w14:paraId="0E3A5939">
            <w:pPr>
              <w:rPr>
                <w:color w:val="auto"/>
                <w:highlight w:val="none"/>
              </w:rPr>
            </w:pPr>
          </w:p>
        </w:tc>
        <w:tc>
          <w:tcPr>
            <w:tcW w:w="460" w:type="pct"/>
            <w:vMerge w:val="continue"/>
            <w:shd w:val="clear" w:color="auto" w:fill="auto"/>
          </w:tcPr>
          <w:p w14:paraId="135C81D4">
            <w:pPr>
              <w:rPr>
                <w:color w:val="auto"/>
                <w:highlight w:val="none"/>
              </w:rPr>
            </w:pPr>
          </w:p>
        </w:tc>
        <w:tc>
          <w:tcPr>
            <w:tcW w:w="3541" w:type="pct"/>
            <w:gridSpan w:val="4"/>
            <w:shd w:val="clear" w:color="auto" w:fill="auto"/>
          </w:tcPr>
          <w:p w14:paraId="2D6C0B4E">
            <w:pPr>
              <w:rPr>
                <w:rFonts w:hint="eastAsia"/>
                <w:color w:val="auto"/>
                <w:sz w:val="18"/>
                <w:szCs w:val="8"/>
                <w:highlight w:val="none"/>
              </w:rPr>
            </w:pPr>
            <w:r>
              <w:rPr>
                <w:rFonts w:hint="eastAsia"/>
                <w:color w:val="auto"/>
                <w:sz w:val="18"/>
                <w:szCs w:val="8"/>
                <w:highlight w:val="none"/>
                <w:lang w:val="en-US" w:eastAsia="zh-CN"/>
              </w:rPr>
              <w:t>2.</w:t>
            </w:r>
            <w:r>
              <w:rPr>
                <w:rFonts w:hint="eastAsia"/>
                <w:color w:val="auto"/>
                <w:sz w:val="18"/>
                <w:szCs w:val="8"/>
                <w:highlight w:val="none"/>
              </w:rPr>
              <w:t>支持modbus通讯，io通讯,TCP/IP协议</w:t>
            </w:r>
          </w:p>
        </w:tc>
        <w:tc>
          <w:tcPr>
            <w:tcW w:w="404" w:type="pct"/>
            <w:gridSpan w:val="2"/>
            <w:vMerge w:val="continue"/>
            <w:shd w:val="clear" w:color="auto" w:fill="auto"/>
            <w:vAlign w:val="center"/>
          </w:tcPr>
          <w:p w14:paraId="4D43511E">
            <w:pPr>
              <w:rPr>
                <w:rFonts w:hint="eastAsia"/>
                <w:color w:val="auto"/>
                <w:sz w:val="18"/>
                <w:szCs w:val="8"/>
                <w:highlight w:val="none"/>
              </w:rPr>
            </w:pPr>
          </w:p>
        </w:tc>
      </w:tr>
      <w:tr w14:paraId="44FB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10D1472B">
            <w:pPr>
              <w:rPr>
                <w:color w:val="auto"/>
                <w:highlight w:val="none"/>
              </w:rPr>
            </w:pPr>
          </w:p>
        </w:tc>
        <w:tc>
          <w:tcPr>
            <w:tcW w:w="427" w:type="pct"/>
            <w:vMerge w:val="continue"/>
            <w:shd w:val="clear" w:color="auto" w:fill="auto"/>
            <w:vAlign w:val="center"/>
          </w:tcPr>
          <w:p w14:paraId="5EF9257E">
            <w:pPr>
              <w:rPr>
                <w:color w:val="auto"/>
                <w:highlight w:val="none"/>
              </w:rPr>
            </w:pPr>
          </w:p>
        </w:tc>
        <w:tc>
          <w:tcPr>
            <w:tcW w:w="460" w:type="pct"/>
            <w:vMerge w:val="continue"/>
            <w:shd w:val="clear" w:color="auto" w:fill="auto"/>
          </w:tcPr>
          <w:p w14:paraId="2531BA77">
            <w:pPr>
              <w:rPr>
                <w:color w:val="auto"/>
                <w:highlight w:val="none"/>
              </w:rPr>
            </w:pPr>
          </w:p>
        </w:tc>
        <w:tc>
          <w:tcPr>
            <w:tcW w:w="3541" w:type="pct"/>
            <w:gridSpan w:val="4"/>
            <w:shd w:val="clear" w:color="auto" w:fill="auto"/>
          </w:tcPr>
          <w:p w14:paraId="129AA26A">
            <w:pPr>
              <w:rPr>
                <w:rFonts w:hint="eastAsia"/>
                <w:color w:val="auto"/>
                <w:sz w:val="18"/>
                <w:szCs w:val="8"/>
                <w:highlight w:val="none"/>
              </w:rPr>
            </w:pPr>
            <w:r>
              <w:rPr>
                <w:rFonts w:hint="eastAsia"/>
                <w:color w:val="auto"/>
                <w:sz w:val="18"/>
                <w:szCs w:val="8"/>
                <w:highlight w:val="none"/>
                <w:lang w:val="en-US" w:eastAsia="zh-CN"/>
              </w:rPr>
              <w:t>3.</w:t>
            </w:r>
            <w:r>
              <w:rPr>
                <w:rFonts w:hint="eastAsia"/>
                <w:color w:val="auto"/>
                <w:sz w:val="18"/>
                <w:szCs w:val="8"/>
                <w:highlight w:val="none"/>
              </w:rPr>
              <w:t>支持输出气压自动调节</w:t>
            </w:r>
          </w:p>
        </w:tc>
        <w:tc>
          <w:tcPr>
            <w:tcW w:w="404" w:type="pct"/>
            <w:gridSpan w:val="2"/>
            <w:vMerge w:val="continue"/>
            <w:shd w:val="clear" w:color="auto" w:fill="auto"/>
            <w:vAlign w:val="center"/>
          </w:tcPr>
          <w:p w14:paraId="1E838ACA">
            <w:pPr>
              <w:rPr>
                <w:rFonts w:hint="eastAsia"/>
                <w:color w:val="auto"/>
                <w:sz w:val="18"/>
                <w:szCs w:val="8"/>
                <w:highlight w:val="none"/>
              </w:rPr>
            </w:pPr>
          </w:p>
        </w:tc>
      </w:tr>
      <w:tr w14:paraId="4DE2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4B420C8B">
            <w:pPr>
              <w:rPr>
                <w:rFonts w:hint="eastAsia"/>
                <w:color w:val="auto"/>
                <w:sz w:val="18"/>
                <w:szCs w:val="8"/>
                <w:highlight w:val="none"/>
              </w:rPr>
            </w:pPr>
          </w:p>
        </w:tc>
        <w:tc>
          <w:tcPr>
            <w:tcW w:w="427" w:type="pct"/>
            <w:vMerge w:val="continue"/>
            <w:shd w:val="clear" w:color="auto" w:fill="auto"/>
            <w:vAlign w:val="center"/>
          </w:tcPr>
          <w:p w14:paraId="69E19AC1">
            <w:pPr>
              <w:rPr>
                <w:rFonts w:hint="eastAsia"/>
                <w:color w:val="auto"/>
                <w:sz w:val="18"/>
                <w:szCs w:val="8"/>
                <w:highlight w:val="none"/>
              </w:rPr>
            </w:pPr>
          </w:p>
        </w:tc>
        <w:tc>
          <w:tcPr>
            <w:tcW w:w="460" w:type="pct"/>
            <w:vMerge w:val="continue"/>
            <w:shd w:val="clear" w:color="auto" w:fill="auto"/>
          </w:tcPr>
          <w:p w14:paraId="42E006F7">
            <w:pPr>
              <w:rPr>
                <w:rFonts w:hint="eastAsia"/>
                <w:color w:val="auto"/>
                <w:sz w:val="18"/>
                <w:szCs w:val="8"/>
                <w:highlight w:val="none"/>
              </w:rPr>
            </w:pPr>
          </w:p>
        </w:tc>
        <w:tc>
          <w:tcPr>
            <w:tcW w:w="3541" w:type="pct"/>
            <w:gridSpan w:val="4"/>
            <w:shd w:val="clear" w:color="auto" w:fill="auto"/>
          </w:tcPr>
          <w:p w14:paraId="2A7B4EAB">
            <w:pPr>
              <w:rPr>
                <w:rFonts w:hint="eastAsia"/>
                <w:color w:val="auto"/>
                <w:sz w:val="18"/>
                <w:szCs w:val="8"/>
                <w:highlight w:val="none"/>
              </w:rPr>
            </w:pPr>
            <w:r>
              <w:rPr>
                <w:rFonts w:hint="eastAsia"/>
                <w:color w:val="auto"/>
                <w:sz w:val="18"/>
                <w:szCs w:val="8"/>
                <w:highlight w:val="none"/>
                <w:lang w:val="en-US" w:eastAsia="zh-CN"/>
              </w:rPr>
              <w:t>4.</w:t>
            </w:r>
            <w:r>
              <w:rPr>
                <w:rFonts w:hint="eastAsia"/>
                <w:color w:val="auto"/>
                <w:sz w:val="18"/>
                <w:szCs w:val="8"/>
                <w:highlight w:val="none"/>
              </w:rPr>
              <w:t>支持虎钳行程检测</w:t>
            </w:r>
          </w:p>
        </w:tc>
        <w:tc>
          <w:tcPr>
            <w:tcW w:w="404" w:type="pct"/>
            <w:gridSpan w:val="2"/>
            <w:vMerge w:val="continue"/>
            <w:shd w:val="clear" w:color="auto" w:fill="auto"/>
            <w:vAlign w:val="center"/>
          </w:tcPr>
          <w:p w14:paraId="0E5EDA7E">
            <w:pPr>
              <w:rPr>
                <w:rFonts w:hint="eastAsia"/>
                <w:color w:val="auto"/>
                <w:sz w:val="18"/>
                <w:szCs w:val="8"/>
                <w:highlight w:val="none"/>
              </w:rPr>
            </w:pPr>
          </w:p>
        </w:tc>
      </w:tr>
      <w:tr w14:paraId="5D22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5496E6F8">
            <w:pPr>
              <w:rPr>
                <w:rFonts w:hint="eastAsia"/>
                <w:color w:val="auto"/>
                <w:sz w:val="18"/>
                <w:szCs w:val="8"/>
                <w:highlight w:val="none"/>
              </w:rPr>
            </w:pPr>
          </w:p>
        </w:tc>
        <w:tc>
          <w:tcPr>
            <w:tcW w:w="427" w:type="pct"/>
            <w:vMerge w:val="continue"/>
            <w:shd w:val="clear" w:color="auto" w:fill="auto"/>
            <w:vAlign w:val="center"/>
          </w:tcPr>
          <w:p w14:paraId="48A8A939">
            <w:pPr>
              <w:rPr>
                <w:rFonts w:hint="eastAsia"/>
                <w:color w:val="auto"/>
                <w:sz w:val="18"/>
                <w:szCs w:val="8"/>
                <w:highlight w:val="none"/>
              </w:rPr>
            </w:pPr>
          </w:p>
        </w:tc>
        <w:tc>
          <w:tcPr>
            <w:tcW w:w="460" w:type="pct"/>
            <w:vMerge w:val="continue"/>
            <w:shd w:val="clear" w:color="auto" w:fill="auto"/>
          </w:tcPr>
          <w:p w14:paraId="1F169624">
            <w:pPr>
              <w:rPr>
                <w:rFonts w:hint="eastAsia"/>
                <w:color w:val="auto"/>
                <w:sz w:val="18"/>
                <w:szCs w:val="8"/>
                <w:highlight w:val="none"/>
              </w:rPr>
            </w:pPr>
          </w:p>
        </w:tc>
        <w:tc>
          <w:tcPr>
            <w:tcW w:w="3541" w:type="pct"/>
            <w:gridSpan w:val="4"/>
            <w:shd w:val="clear" w:color="auto" w:fill="auto"/>
          </w:tcPr>
          <w:p w14:paraId="7026242E">
            <w:pPr>
              <w:rPr>
                <w:rFonts w:hint="eastAsia"/>
                <w:color w:val="auto"/>
                <w:sz w:val="18"/>
                <w:szCs w:val="8"/>
                <w:highlight w:val="none"/>
              </w:rPr>
            </w:pPr>
            <w:r>
              <w:rPr>
                <w:rFonts w:hint="eastAsia"/>
                <w:color w:val="auto"/>
                <w:sz w:val="18"/>
                <w:szCs w:val="8"/>
                <w:highlight w:val="none"/>
                <w:lang w:val="en-US" w:eastAsia="zh-CN"/>
              </w:rPr>
              <w:t>5.</w:t>
            </w:r>
            <w:r>
              <w:rPr>
                <w:rFonts w:hint="eastAsia"/>
                <w:color w:val="auto"/>
                <w:sz w:val="18"/>
                <w:szCs w:val="8"/>
                <w:highlight w:val="none"/>
              </w:rPr>
              <w:t>支持模拟量输入</w:t>
            </w:r>
          </w:p>
        </w:tc>
        <w:tc>
          <w:tcPr>
            <w:tcW w:w="404" w:type="pct"/>
            <w:gridSpan w:val="2"/>
            <w:vMerge w:val="continue"/>
            <w:shd w:val="clear" w:color="auto" w:fill="auto"/>
            <w:vAlign w:val="center"/>
          </w:tcPr>
          <w:p w14:paraId="4CACF4A1">
            <w:pPr>
              <w:rPr>
                <w:rFonts w:hint="eastAsia"/>
                <w:color w:val="auto"/>
                <w:sz w:val="18"/>
                <w:szCs w:val="8"/>
                <w:highlight w:val="none"/>
              </w:rPr>
            </w:pPr>
          </w:p>
        </w:tc>
      </w:tr>
      <w:tr w14:paraId="2239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7644FDAB">
            <w:pPr>
              <w:rPr>
                <w:rFonts w:hint="eastAsia"/>
                <w:color w:val="auto"/>
                <w:sz w:val="18"/>
                <w:szCs w:val="8"/>
                <w:highlight w:val="none"/>
              </w:rPr>
            </w:pPr>
          </w:p>
        </w:tc>
        <w:tc>
          <w:tcPr>
            <w:tcW w:w="427" w:type="pct"/>
            <w:vMerge w:val="continue"/>
            <w:shd w:val="clear" w:color="auto" w:fill="auto"/>
            <w:vAlign w:val="center"/>
          </w:tcPr>
          <w:p w14:paraId="1ED7E8B4">
            <w:pPr>
              <w:rPr>
                <w:rFonts w:hint="eastAsia"/>
                <w:color w:val="auto"/>
                <w:sz w:val="18"/>
                <w:szCs w:val="8"/>
                <w:highlight w:val="none"/>
              </w:rPr>
            </w:pPr>
          </w:p>
        </w:tc>
        <w:tc>
          <w:tcPr>
            <w:tcW w:w="460" w:type="pct"/>
            <w:vMerge w:val="continue"/>
            <w:shd w:val="clear" w:color="auto" w:fill="auto"/>
          </w:tcPr>
          <w:p w14:paraId="6CA1AE33">
            <w:pPr>
              <w:rPr>
                <w:rFonts w:hint="eastAsia"/>
                <w:color w:val="auto"/>
                <w:sz w:val="18"/>
                <w:szCs w:val="8"/>
                <w:highlight w:val="none"/>
              </w:rPr>
            </w:pPr>
          </w:p>
        </w:tc>
        <w:tc>
          <w:tcPr>
            <w:tcW w:w="3541" w:type="pct"/>
            <w:gridSpan w:val="4"/>
            <w:shd w:val="clear" w:color="auto" w:fill="auto"/>
          </w:tcPr>
          <w:p w14:paraId="64C8F377">
            <w:pPr>
              <w:rPr>
                <w:rFonts w:hint="eastAsia"/>
                <w:color w:val="auto"/>
                <w:sz w:val="18"/>
                <w:szCs w:val="8"/>
                <w:highlight w:val="none"/>
              </w:rPr>
            </w:pPr>
            <w:r>
              <w:rPr>
                <w:rFonts w:hint="eastAsia"/>
                <w:color w:val="auto"/>
                <w:sz w:val="18"/>
                <w:szCs w:val="8"/>
                <w:highlight w:val="none"/>
                <w:lang w:val="en-US" w:eastAsia="zh-CN"/>
              </w:rPr>
              <w:t>6.</w:t>
            </w:r>
            <w:r>
              <w:rPr>
                <w:rFonts w:hint="eastAsia"/>
                <w:color w:val="auto"/>
                <w:sz w:val="18"/>
                <w:szCs w:val="8"/>
                <w:highlight w:val="none"/>
              </w:rPr>
              <w:t>信号检测IO数量≥4位</w:t>
            </w:r>
          </w:p>
        </w:tc>
        <w:tc>
          <w:tcPr>
            <w:tcW w:w="404" w:type="pct"/>
            <w:gridSpan w:val="2"/>
            <w:vMerge w:val="continue"/>
            <w:shd w:val="clear" w:color="auto" w:fill="auto"/>
            <w:vAlign w:val="center"/>
          </w:tcPr>
          <w:p w14:paraId="3C014CE3">
            <w:pPr>
              <w:rPr>
                <w:rFonts w:hint="eastAsia"/>
                <w:color w:val="auto"/>
                <w:sz w:val="18"/>
                <w:szCs w:val="8"/>
                <w:highlight w:val="none"/>
              </w:rPr>
            </w:pPr>
          </w:p>
        </w:tc>
      </w:tr>
      <w:tr w14:paraId="32AB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5" w:hRule="atLeast"/>
          <w:jc w:val="center"/>
        </w:trPr>
        <w:tc>
          <w:tcPr>
            <w:tcW w:w="157" w:type="pct"/>
            <w:vMerge w:val="continue"/>
            <w:shd w:val="clear" w:color="auto" w:fill="auto"/>
            <w:vAlign w:val="center"/>
          </w:tcPr>
          <w:p w14:paraId="239A5CA2">
            <w:pPr>
              <w:jc w:val="left"/>
              <w:rPr>
                <w:color w:val="auto"/>
                <w:sz w:val="18"/>
                <w:szCs w:val="8"/>
                <w:highlight w:val="none"/>
              </w:rPr>
            </w:pPr>
          </w:p>
        </w:tc>
        <w:tc>
          <w:tcPr>
            <w:tcW w:w="427" w:type="pct"/>
            <w:vMerge w:val="continue"/>
            <w:shd w:val="clear" w:color="auto" w:fill="auto"/>
            <w:vAlign w:val="center"/>
          </w:tcPr>
          <w:p w14:paraId="11ACF4DD">
            <w:pPr>
              <w:jc w:val="left"/>
              <w:rPr>
                <w:color w:val="auto"/>
                <w:sz w:val="18"/>
                <w:szCs w:val="8"/>
                <w:highlight w:val="none"/>
              </w:rPr>
            </w:pPr>
          </w:p>
        </w:tc>
        <w:tc>
          <w:tcPr>
            <w:tcW w:w="460" w:type="pct"/>
            <w:vMerge w:val="continue"/>
            <w:shd w:val="clear" w:color="auto" w:fill="auto"/>
          </w:tcPr>
          <w:p w14:paraId="16681F59">
            <w:pPr>
              <w:jc w:val="left"/>
              <w:rPr>
                <w:color w:val="auto"/>
                <w:sz w:val="18"/>
                <w:szCs w:val="8"/>
                <w:highlight w:val="none"/>
              </w:rPr>
            </w:pPr>
          </w:p>
        </w:tc>
        <w:tc>
          <w:tcPr>
            <w:tcW w:w="3541" w:type="pct"/>
            <w:gridSpan w:val="4"/>
            <w:shd w:val="clear" w:color="auto" w:fill="auto"/>
          </w:tcPr>
          <w:p w14:paraId="5EABAFE5">
            <w:pPr>
              <w:rPr>
                <w:color w:val="auto"/>
                <w:sz w:val="18"/>
                <w:szCs w:val="8"/>
                <w:highlight w:val="none"/>
              </w:rPr>
            </w:pPr>
            <w:r>
              <w:rPr>
                <w:rFonts w:hint="eastAsia"/>
                <w:color w:val="auto"/>
                <w:sz w:val="18"/>
                <w:szCs w:val="8"/>
                <w:highlight w:val="none"/>
                <w:lang w:val="en-US" w:eastAsia="zh-CN"/>
              </w:rPr>
              <w:t>7.</w:t>
            </w:r>
            <w:r>
              <w:rPr>
                <w:rFonts w:hint="eastAsia"/>
                <w:color w:val="auto"/>
                <w:sz w:val="18"/>
                <w:szCs w:val="8"/>
                <w:highlight w:val="none"/>
              </w:rPr>
              <w:t>支持气路控制4路</w:t>
            </w:r>
          </w:p>
        </w:tc>
        <w:tc>
          <w:tcPr>
            <w:tcW w:w="404" w:type="pct"/>
            <w:gridSpan w:val="2"/>
            <w:vMerge w:val="continue"/>
            <w:shd w:val="clear" w:color="auto" w:fill="auto"/>
            <w:vAlign w:val="center"/>
          </w:tcPr>
          <w:p w14:paraId="72A98B78">
            <w:pPr>
              <w:jc w:val="left"/>
              <w:rPr>
                <w:color w:val="auto"/>
                <w:sz w:val="18"/>
                <w:szCs w:val="8"/>
                <w:highlight w:val="none"/>
              </w:rPr>
            </w:pPr>
          </w:p>
        </w:tc>
      </w:tr>
      <w:tr w14:paraId="1433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5" w:hRule="atLeast"/>
          <w:jc w:val="center"/>
        </w:trPr>
        <w:tc>
          <w:tcPr>
            <w:tcW w:w="157" w:type="pct"/>
            <w:vMerge w:val="continue"/>
            <w:shd w:val="clear" w:color="auto" w:fill="auto"/>
            <w:vAlign w:val="center"/>
          </w:tcPr>
          <w:p w14:paraId="6AAF8C4B">
            <w:pPr>
              <w:jc w:val="left"/>
              <w:rPr>
                <w:color w:val="auto"/>
                <w:sz w:val="18"/>
                <w:szCs w:val="8"/>
                <w:highlight w:val="none"/>
              </w:rPr>
            </w:pPr>
          </w:p>
        </w:tc>
        <w:tc>
          <w:tcPr>
            <w:tcW w:w="427" w:type="pct"/>
            <w:vMerge w:val="continue"/>
            <w:shd w:val="clear" w:color="auto" w:fill="auto"/>
            <w:vAlign w:val="center"/>
          </w:tcPr>
          <w:p w14:paraId="0A9746DE">
            <w:pPr>
              <w:jc w:val="left"/>
              <w:rPr>
                <w:color w:val="auto"/>
                <w:sz w:val="18"/>
                <w:szCs w:val="8"/>
                <w:highlight w:val="none"/>
              </w:rPr>
            </w:pPr>
          </w:p>
        </w:tc>
        <w:tc>
          <w:tcPr>
            <w:tcW w:w="460" w:type="pct"/>
            <w:vMerge w:val="continue"/>
            <w:shd w:val="clear" w:color="auto" w:fill="auto"/>
          </w:tcPr>
          <w:p w14:paraId="183CDF93">
            <w:pPr>
              <w:jc w:val="left"/>
              <w:rPr>
                <w:color w:val="auto"/>
                <w:sz w:val="18"/>
                <w:szCs w:val="8"/>
                <w:highlight w:val="none"/>
              </w:rPr>
            </w:pPr>
          </w:p>
        </w:tc>
        <w:tc>
          <w:tcPr>
            <w:tcW w:w="3541" w:type="pct"/>
            <w:gridSpan w:val="4"/>
            <w:shd w:val="clear" w:color="auto" w:fill="auto"/>
          </w:tcPr>
          <w:p w14:paraId="5673038D">
            <w:pPr>
              <w:rPr>
                <w:rFonts w:hint="default" w:eastAsia="宋体"/>
                <w:color w:val="auto"/>
                <w:sz w:val="18"/>
                <w:szCs w:val="8"/>
                <w:highlight w:val="none"/>
                <w:lang w:val="en-US" w:eastAsia="zh-CN"/>
              </w:rPr>
            </w:pPr>
            <w:r>
              <w:rPr>
                <w:rFonts w:hint="eastAsia"/>
                <w:color w:val="auto"/>
                <w:sz w:val="18"/>
                <w:szCs w:val="8"/>
                <w:highlight w:val="none"/>
                <w:lang w:val="en-US" w:eastAsia="zh-CN"/>
              </w:rPr>
              <w:t>8.</w:t>
            </w:r>
            <w:r>
              <w:rPr>
                <w:rFonts w:hint="eastAsia"/>
                <w:color w:val="auto"/>
                <w:sz w:val="18"/>
                <w:szCs w:val="8"/>
                <w:highlight w:val="none"/>
              </w:rPr>
              <w:t>协同控制器</w:t>
            </w:r>
            <w:r>
              <w:rPr>
                <w:rFonts w:hint="eastAsia"/>
                <w:color w:val="auto"/>
                <w:sz w:val="18"/>
                <w:szCs w:val="8"/>
                <w:highlight w:val="none"/>
                <w:lang w:val="en-US" w:eastAsia="zh-CN"/>
              </w:rPr>
              <w:t>不少于8套</w:t>
            </w:r>
          </w:p>
        </w:tc>
        <w:tc>
          <w:tcPr>
            <w:tcW w:w="404" w:type="pct"/>
            <w:gridSpan w:val="2"/>
            <w:vMerge w:val="continue"/>
            <w:shd w:val="clear" w:color="auto" w:fill="auto"/>
            <w:vAlign w:val="center"/>
          </w:tcPr>
          <w:p w14:paraId="77CC2191">
            <w:pPr>
              <w:jc w:val="left"/>
              <w:rPr>
                <w:color w:val="auto"/>
                <w:sz w:val="18"/>
                <w:szCs w:val="8"/>
                <w:highlight w:val="none"/>
              </w:rPr>
            </w:pPr>
          </w:p>
        </w:tc>
      </w:tr>
      <w:tr w14:paraId="11E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04" w:hRule="atLeast"/>
          <w:jc w:val="center"/>
        </w:trPr>
        <w:tc>
          <w:tcPr>
            <w:tcW w:w="157" w:type="pct"/>
            <w:vMerge w:val="continue"/>
            <w:shd w:val="clear" w:color="auto" w:fill="auto"/>
            <w:vAlign w:val="center"/>
          </w:tcPr>
          <w:p w14:paraId="407F6A09">
            <w:pPr>
              <w:jc w:val="left"/>
              <w:rPr>
                <w:color w:val="auto"/>
                <w:sz w:val="18"/>
                <w:szCs w:val="8"/>
                <w:highlight w:val="none"/>
              </w:rPr>
            </w:pPr>
          </w:p>
        </w:tc>
        <w:tc>
          <w:tcPr>
            <w:tcW w:w="427" w:type="pct"/>
            <w:vMerge w:val="continue"/>
            <w:shd w:val="clear" w:color="auto" w:fill="auto"/>
            <w:vAlign w:val="center"/>
          </w:tcPr>
          <w:p w14:paraId="671FAFBE">
            <w:pPr>
              <w:jc w:val="left"/>
              <w:rPr>
                <w:color w:val="auto"/>
                <w:sz w:val="18"/>
                <w:szCs w:val="8"/>
                <w:highlight w:val="none"/>
              </w:rPr>
            </w:pPr>
          </w:p>
        </w:tc>
        <w:tc>
          <w:tcPr>
            <w:tcW w:w="460" w:type="pct"/>
            <w:vMerge w:val="restart"/>
            <w:shd w:val="clear" w:color="auto" w:fill="auto"/>
          </w:tcPr>
          <w:p w14:paraId="6B7DA4E3">
            <w:pPr>
              <w:rPr>
                <w:color w:val="auto"/>
                <w:sz w:val="18"/>
                <w:szCs w:val="8"/>
                <w:highlight w:val="none"/>
              </w:rPr>
            </w:pPr>
            <w:r>
              <w:rPr>
                <w:rFonts w:hint="eastAsia"/>
                <w:color w:val="auto"/>
                <w:sz w:val="18"/>
                <w:szCs w:val="8"/>
                <w:highlight w:val="none"/>
              </w:rPr>
              <w:t>2.4电动工具快换装置</w:t>
            </w:r>
            <w:r>
              <w:rPr>
                <w:rFonts w:hint="eastAsia"/>
                <w:color w:val="auto"/>
                <w:sz w:val="18"/>
                <w:szCs w:val="8"/>
                <w:highlight w:val="none"/>
              </w:rPr>
              <w:tab/>
            </w:r>
          </w:p>
        </w:tc>
        <w:tc>
          <w:tcPr>
            <w:tcW w:w="3541" w:type="pct"/>
            <w:gridSpan w:val="4"/>
            <w:shd w:val="clear" w:color="auto" w:fill="auto"/>
          </w:tcPr>
          <w:p w14:paraId="4A456B8F">
            <w:pPr>
              <w:rPr>
                <w:color w:val="auto"/>
                <w:sz w:val="18"/>
                <w:szCs w:val="8"/>
                <w:highlight w:val="none"/>
              </w:rPr>
            </w:pPr>
            <w:r>
              <w:rPr>
                <w:rFonts w:hint="eastAsia"/>
                <w:color w:val="auto"/>
                <w:sz w:val="18"/>
                <w:szCs w:val="8"/>
                <w:highlight w:val="none"/>
              </w:rPr>
              <w:t>1.主体含主盘（机器人端模块）</w:t>
            </w:r>
          </w:p>
        </w:tc>
        <w:tc>
          <w:tcPr>
            <w:tcW w:w="404" w:type="pct"/>
            <w:gridSpan w:val="2"/>
            <w:vMerge w:val="continue"/>
            <w:shd w:val="clear" w:color="auto" w:fill="auto"/>
            <w:vAlign w:val="center"/>
          </w:tcPr>
          <w:p w14:paraId="71D5DE05">
            <w:pPr>
              <w:jc w:val="left"/>
              <w:rPr>
                <w:color w:val="auto"/>
                <w:sz w:val="18"/>
                <w:szCs w:val="8"/>
                <w:highlight w:val="none"/>
              </w:rPr>
            </w:pPr>
          </w:p>
        </w:tc>
      </w:tr>
      <w:tr w14:paraId="6CDE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04" w:hRule="atLeast"/>
          <w:jc w:val="center"/>
        </w:trPr>
        <w:tc>
          <w:tcPr>
            <w:tcW w:w="157" w:type="pct"/>
            <w:vMerge w:val="continue"/>
            <w:shd w:val="clear" w:color="auto" w:fill="auto"/>
            <w:vAlign w:val="center"/>
          </w:tcPr>
          <w:p w14:paraId="57A83B6A">
            <w:pPr>
              <w:jc w:val="left"/>
              <w:rPr>
                <w:color w:val="auto"/>
                <w:sz w:val="18"/>
                <w:szCs w:val="8"/>
                <w:highlight w:val="none"/>
              </w:rPr>
            </w:pPr>
          </w:p>
        </w:tc>
        <w:tc>
          <w:tcPr>
            <w:tcW w:w="427" w:type="pct"/>
            <w:vMerge w:val="continue"/>
            <w:shd w:val="clear" w:color="auto" w:fill="auto"/>
            <w:vAlign w:val="center"/>
          </w:tcPr>
          <w:p w14:paraId="31F18A42">
            <w:pPr>
              <w:jc w:val="left"/>
              <w:rPr>
                <w:color w:val="auto"/>
                <w:sz w:val="18"/>
                <w:szCs w:val="8"/>
                <w:highlight w:val="none"/>
              </w:rPr>
            </w:pPr>
          </w:p>
        </w:tc>
        <w:tc>
          <w:tcPr>
            <w:tcW w:w="460" w:type="pct"/>
            <w:vMerge w:val="continue"/>
            <w:shd w:val="clear" w:color="auto" w:fill="auto"/>
          </w:tcPr>
          <w:p w14:paraId="448E9D3A">
            <w:pPr>
              <w:jc w:val="left"/>
              <w:rPr>
                <w:color w:val="auto"/>
                <w:sz w:val="18"/>
                <w:szCs w:val="8"/>
                <w:highlight w:val="none"/>
              </w:rPr>
            </w:pPr>
          </w:p>
        </w:tc>
        <w:tc>
          <w:tcPr>
            <w:tcW w:w="3541" w:type="pct"/>
            <w:gridSpan w:val="4"/>
            <w:shd w:val="clear" w:color="auto" w:fill="auto"/>
          </w:tcPr>
          <w:p w14:paraId="074DB0F9">
            <w:pPr>
              <w:rPr>
                <w:color w:val="auto"/>
                <w:sz w:val="18"/>
                <w:szCs w:val="8"/>
                <w:highlight w:val="none"/>
              </w:rPr>
            </w:pPr>
            <w:r>
              <w:rPr>
                <w:rFonts w:hint="eastAsia"/>
                <w:color w:val="auto"/>
                <w:sz w:val="18"/>
                <w:szCs w:val="8"/>
                <w:highlight w:val="none"/>
              </w:rPr>
              <w:t>2.含子盘不少于2套</w:t>
            </w:r>
          </w:p>
        </w:tc>
        <w:tc>
          <w:tcPr>
            <w:tcW w:w="404" w:type="pct"/>
            <w:gridSpan w:val="2"/>
            <w:vMerge w:val="continue"/>
            <w:shd w:val="clear" w:color="auto" w:fill="auto"/>
            <w:vAlign w:val="center"/>
          </w:tcPr>
          <w:p w14:paraId="007C9458">
            <w:pPr>
              <w:jc w:val="left"/>
              <w:rPr>
                <w:color w:val="auto"/>
                <w:sz w:val="18"/>
                <w:szCs w:val="8"/>
                <w:highlight w:val="none"/>
              </w:rPr>
            </w:pPr>
          </w:p>
        </w:tc>
      </w:tr>
      <w:tr w14:paraId="170C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10" w:hRule="atLeast"/>
          <w:jc w:val="center"/>
        </w:trPr>
        <w:tc>
          <w:tcPr>
            <w:tcW w:w="157" w:type="pct"/>
            <w:vMerge w:val="continue"/>
            <w:shd w:val="clear" w:color="auto" w:fill="auto"/>
            <w:vAlign w:val="center"/>
          </w:tcPr>
          <w:p w14:paraId="425ADDD7">
            <w:pPr>
              <w:jc w:val="left"/>
              <w:rPr>
                <w:color w:val="auto"/>
                <w:sz w:val="18"/>
                <w:szCs w:val="8"/>
                <w:highlight w:val="none"/>
              </w:rPr>
            </w:pPr>
          </w:p>
        </w:tc>
        <w:tc>
          <w:tcPr>
            <w:tcW w:w="427" w:type="pct"/>
            <w:vMerge w:val="continue"/>
            <w:shd w:val="clear" w:color="auto" w:fill="auto"/>
            <w:vAlign w:val="center"/>
          </w:tcPr>
          <w:p w14:paraId="62AADD39">
            <w:pPr>
              <w:jc w:val="left"/>
              <w:rPr>
                <w:color w:val="auto"/>
                <w:sz w:val="18"/>
                <w:szCs w:val="8"/>
                <w:highlight w:val="none"/>
              </w:rPr>
            </w:pPr>
          </w:p>
        </w:tc>
        <w:tc>
          <w:tcPr>
            <w:tcW w:w="460" w:type="pct"/>
            <w:vMerge w:val="continue"/>
            <w:shd w:val="clear" w:color="auto" w:fill="auto"/>
          </w:tcPr>
          <w:p w14:paraId="6F419E08">
            <w:pPr>
              <w:jc w:val="left"/>
              <w:rPr>
                <w:color w:val="auto"/>
                <w:sz w:val="18"/>
                <w:szCs w:val="8"/>
                <w:highlight w:val="none"/>
              </w:rPr>
            </w:pPr>
          </w:p>
        </w:tc>
        <w:tc>
          <w:tcPr>
            <w:tcW w:w="3541" w:type="pct"/>
            <w:gridSpan w:val="4"/>
            <w:shd w:val="clear" w:color="auto" w:fill="auto"/>
          </w:tcPr>
          <w:p w14:paraId="343ACB86">
            <w:pPr>
              <w:rPr>
                <w:color w:val="auto"/>
                <w:sz w:val="18"/>
                <w:szCs w:val="8"/>
                <w:highlight w:val="none"/>
              </w:rPr>
            </w:pPr>
            <w:r>
              <w:rPr>
                <w:rFonts w:hint="eastAsia"/>
                <w:color w:val="auto"/>
                <w:sz w:val="18"/>
                <w:szCs w:val="8"/>
                <w:highlight w:val="none"/>
              </w:rPr>
              <w:t>3.含控制盒不少于1套</w:t>
            </w:r>
          </w:p>
        </w:tc>
        <w:tc>
          <w:tcPr>
            <w:tcW w:w="404" w:type="pct"/>
            <w:gridSpan w:val="2"/>
            <w:vMerge w:val="continue"/>
            <w:shd w:val="clear" w:color="auto" w:fill="auto"/>
            <w:vAlign w:val="center"/>
          </w:tcPr>
          <w:p w14:paraId="583ABCF9">
            <w:pPr>
              <w:jc w:val="left"/>
              <w:rPr>
                <w:color w:val="auto"/>
                <w:sz w:val="18"/>
                <w:szCs w:val="8"/>
                <w:highlight w:val="none"/>
              </w:rPr>
            </w:pPr>
          </w:p>
        </w:tc>
      </w:tr>
      <w:tr w14:paraId="567A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35A3A4C0">
            <w:pPr>
              <w:jc w:val="left"/>
              <w:rPr>
                <w:color w:val="auto"/>
                <w:sz w:val="18"/>
                <w:szCs w:val="8"/>
                <w:highlight w:val="none"/>
              </w:rPr>
            </w:pPr>
          </w:p>
        </w:tc>
        <w:tc>
          <w:tcPr>
            <w:tcW w:w="427" w:type="pct"/>
            <w:vMerge w:val="continue"/>
            <w:shd w:val="clear" w:color="auto" w:fill="auto"/>
            <w:vAlign w:val="center"/>
          </w:tcPr>
          <w:p w14:paraId="026A04BC">
            <w:pPr>
              <w:jc w:val="left"/>
              <w:rPr>
                <w:color w:val="auto"/>
                <w:sz w:val="18"/>
                <w:szCs w:val="8"/>
                <w:highlight w:val="none"/>
              </w:rPr>
            </w:pPr>
          </w:p>
        </w:tc>
        <w:tc>
          <w:tcPr>
            <w:tcW w:w="460" w:type="pct"/>
            <w:vMerge w:val="restart"/>
            <w:shd w:val="clear" w:color="auto" w:fill="auto"/>
          </w:tcPr>
          <w:p w14:paraId="18CA8290">
            <w:pPr>
              <w:rPr>
                <w:color w:val="auto"/>
                <w:sz w:val="18"/>
                <w:szCs w:val="8"/>
                <w:highlight w:val="none"/>
              </w:rPr>
            </w:pPr>
            <w:r>
              <w:rPr>
                <w:rFonts w:hint="eastAsia"/>
                <w:color w:val="auto"/>
                <w:sz w:val="18"/>
                <w:szCs w:val="8"/>
                <w:highlight w:val="none"/>
              </w:rPr>
              <w:t>2.5快换支架</w:t>
            </w:r>
          </w:p>
        </w:tc>
        <w:tc>
          <w:tcPr>
            <w:tcW w:w="3541" w:type="pct"/>
            <w:gridSpan w:val="4"/>
            <w:shd w:val="clear" w:color="auto" w:fill="auto"/>
          </w:tcPr>
          <w:p w14:paraId="764BEF01">
            <w:pPr>
              <w:rPr>
                <w:color w:val="auto"/>
                <w:sz w:val="18"/>
                <w:szCs w:val="8"/>
                <w:highlight w:val="none"/>
              </w:rPr>
            </w:pPr>
            <w:r>
              <w:rPr>
                <w:rFonts w:hint="eastAsia"/>
                <w:color w:val="auto"/>
                <w:sz w:val="18"/>
                <w:szCs w:val="8"/>
                <w:highlight w:val="none"/>
              </w:rPr>
              <w:t>1.控制类型: 机械</w:t>
            </w:r>
          </w:p>
        </w:tc>
        <w:tc>
          <w:tcPr>
            <w:tcW w:w="404" w:type="pct"/>
            <w:gridSpan w:val="2"/>
            <w:vMerge w:val="continue"/>
            <w:shd w:val="clear" w:color="auto" w:fill="auto"/>
            <w:vAlign w:val="center"/>
          </w:tcPr>
          <w:p w14:paraId="17251B00">
            <w:pPr>
              <w:jc w:val="left"/>
              <w:rPr>
                <w:color w:val="auto"/>
                <w:sz w:val="18"/>
                <w:szCs w:val="8"/>
                <w:highlight w:val="none"/>
              </w:rPr>
            </w:pPr>
          </w:p>
        </w:tc>
      </w:tr>
      <w:tr w14:paraId="434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6A6D3823">
            <w:pPr>
              <w:jc w:val="left"/>
              <w:rPr>
                <w:color w:val="auto"/>
                <w:sz w:val="18"/>
                <w:szCs w:val="8"/>
                <w:highlight w:val="none"/>
              </w:rPr>
            </w:pPr>
          </w:p>
        </w:tc>
        <w:tc>
          <w:tcPr>
            <w:tcW w:w="427" w:type="pct"/>
            <w:vMerge w:val="continue"/>
            <w:shd w:val="clear" w:color="auto" w:fill="auto"/>
            <w:vAlign w:val="center"/>
          </w:tcPr>
          <w:p w14:paraId="102F7501">
            <w:pPr>
              <w:jc w:val="left"/>
              <w:rPr>
                <w:color w:val="auto"/>
                <w:sz w:val="18"/>
                <w:szCs w:val="8"/>
                <w:highlight w:val="none"/>
              </w:rPr>
            </w:pPr>
          </w:p>
        </w:tc>
        <w:tc>
          <w:tcPr>
            <w:tcW w:w="460" w:type="pct"/>
            <w:vMerge w:val="continue"/>
            <w:shd w:val="clear" w:color="auto" w:fill="auto"/>
          </w:tcPr>
          <w:p w14:paraId="33D579E5">
            <w:pPr>
              <w:jc w:val="left"/>
              <w:rPr>
                <w:color w:val="auto"/>
                <w:sz w:val="18"/>
                <w:szCs w:val="8"/>
                <w:highlight w:val="none"/>
              </w:rPr>
            </w:pPr>
          </w:p>
        </w:tc>
        <w:tc>
          <w:tcPr>
            <w:tcW w:w="3541" w:type="pct"/>
            <w:gridSpan w:val="4"/>
            <w:shd w:val="clear" w:color="auto" w:fill="auto"/>
          </w:tcPr>
          <w:p w14:paraId="0189FA8A">
            <w:pPr>
              <w:rPr>
                <w:color w:val="auto"/>
                <w:sz w:val="18"/>
                <w:szCs w:val="8"/>
                <w:highlight w:val="none"/>
              </w:rPr>
            </w:pPr>
            <w:r>
              <w:rPr>
                <w:rFonts w:hint="eastAsia"/>
                <w:color w:val="auto"/>
                <w:sz w:val="18"/>
                <w:szCs w:val="8"/>
                <w:highlight w:val="none"/>
              </w:rPr>
              <w:t>2.负载: ≥50kg</w:t>
            </w:r>
          </w:p>
        </w:tc>
        <w:tc>
          <w:tcPr>
            <w:tcW w:w="404" w:type="pct"/>
            <w:gridSpan w:val="2"/>
            <w:vMerge w:val="continue"/>
            <w:shd w:val="clear" w:color="auto" w:fill="auto"/>
            <w:vAlign w:val="center"/>
          </w:tcPr>
          <w:p w14:paraId="285006B4">
            <w:pPr>
              <w:jc w:val="left"/>
              <w:rPr>
                <w:color w:val="auto"/>
                <w:sz w:val="18"/>
                <w:szCs w:val="8"/>
                <w:highlight w:val="none"/>
              </w:rPr>
            </w:pPr>
          </w:p>
        </w:tc>
      </w:tr>
      <w:tr w14:paraId="2C8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66AFA436">
            <w:pPr>
              <w:jc w:val="left"/>
              <w:rPr>
                <w:color w:val="auto"/>
                <w:sz w:val="18"/>
                <w:szCs w:val="8"/>
                <w:highlight w:val="none"/>
              </w:rPr>
            </w:pPr>
          </w:p>
        </w:tc>
        <w:tc>
          <w:tcPr>
            <w:tcW w:w="427" w:type="pct"/>
            <w:vMerge w:val="continue"/>
            <w:shd w:val="clear" w:color="auto" w:fill="auto"/>
            <w:vAlign w:val="center"/>
          </w:tcPr>
          <w:p w14:paraId="4E2E301C">
            <w:pPr>
              <w:jc w:val="left"/>
              <w:rPr>
                <w:color w:val="auto"/>
                <w:sz w:val="18"/>
                <w:szCs w:val="8"/>
                <w:highlight w:val="none"/>
              </w:rPr>
            </w:pPr>
          </w:p>
        </w:tc>
        <w:tc>
          <w:tcPr>
            <w:tcW w:w="460" w:type="pct"/>
            <w:vMerge w:val="continue"/>
            <w:shd w:val="clear" w:color="auto" w:fill="auto"/>
          </w:tcPr>
          <w:p w14:paraId="24C28ABB">
            <w:pPr>
              <w:jc w:val="left"/>
              <w:rPr>
                <w:color w:val="auto"/>
                <w:sz w:val="18"/>
                <w:szCs w:val="8"/>
                <w:highlight w:val="none"/>
              </w:rPr>
            </w:pPr>
          </w:p>
        </w:tc>
        <w:tc>
          <w:tcPr>
            <w:tcW w:w="3541" w:type="pct"/>
            <w:gridSpan w:val="4"/>
            <w:shd w:val="clear" w:color="auto" w:fill="auto"/>
          </w:tcPr>
          <w:p w14:paraId="656C142B">
            <w:pPr>
              <w:rPr>
                <w:color w:val="auto"/>
                <w:sz w:val="18"/>
                <w:szCs w:val="8"/>
                <w:highlight w:val="none"/>
              </w:rPr>
            </w:pPr>
            <w:r>
              <w:rPr>
                <w:rFonts w:hint="eastAsia"/>
                <w:color w:val="auto"/>
                <w:sz w:val="18"/>
                <w:szCs w:val="8"/>
                <w:highlight w:val="none"/>
              </w:rPr>
              <w:t>3.材质: 优于或等于航空铝材（表面硬质氧化）</w:t>
            </w:r>
          </w:p>
        </w:tc>
        <w:tc>
          <w:tcPr>
            <w:tcW w:w="404" w:type="pct"/>
            <w:gridSpan w:val="2"/>
            <w:vMerge w:val="continue"/>
            <w:shd w:val="clear" w:color="auto" w:fill="auto"/>
            <w:vAlign w:val="center"/>
          </w:tcPr>
          <w:p w14:paraId="13E9563D">
            <w:pPr>
              <w:jc w:val="left"/>
              <w:rPr>
                <w:color w:val="auto"/>
                <w:sz w:val="18"/>
                <w:szCs w:val="8"/>
                <w:highlight w:val="none"/>
              </w:rPr>
            </w:pPr>
          </w:p>
        </w:tc>
      </w:tr>
      <w:tr w14:paraId="311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13CD6691">
            <w:pPr>
              <w:jc w:val="left"/>
              <w:rPr>
                <w:color w:val="auto"/>
                <w:sz w:val="18"/>
                <w:szCs w:val="8"/>
                <w:highlight w:val="none"/>
              </w:rPr>
            </w:pPr>
          </w:p>
        </w:tc>
        <w:tc>
          <w:tcPr>
            <w:tcW w:w="427" w:type="pct"/>
            <w:vMerge w:val="continue"/>
            <w:shd w:val="clear" w:color="auto" w:fill="auto"/>
            <w:vAlign w:val="center"/>
          </w:tcPr>
          <w:p w14:paraId="2801520B">
            <w:pPr>
              <w:jc w:val="left"/>
              <w:rPr>
                <w:color w:val="auto"/>
                <w:sz w:val="18"/>
                <w:szCs w:val="8"/>
                <w:highlight w:val="none"/>
              </w:rPr>
            </w:pPr>
          </w:p>
        </w:tc>
        <w:tc>
          <w:tcPr>
            <w:tcW w:w="460" w:type="pct"/>
            <w:vMerge w:val="continue"/>
            <w:shd w:val="clear" w:color="auto" w:fill="auto"/>
          </w:tcPr>
          <w:p w14:paraId="725B0F3B">
            <w:pPr>
              <w:jc w:val="left"/>
              <w:rPr>
                <w:color w:val="auto"/>
                <w:sz w:val="18"/>
                <w:szCs w:val="8"/>
                <w:highlight w:val="none"/>
              </w:rPr>
            </w:pPr>
          </w:p>
        </w:tc>
        <w:tc>
          <w:tcPr>
            <w:tcW w:w="3541" w:type="pct"/>
            <w:gridSpan w:val="4"/>
            <w:shd w:val="clear" w:color="auto" w:fill="auto"/>
          </w:tcPr>
          <w:p w14:paraId="5D936B1D">
            <w:pPr>
              <w:rPr>
                <w:color w:val="auto"/>
                <w:sz w:val="18"/>
                <w:szCs w:val="8"/>
                <w:highlight w:val="none"/>
              </w:rPr>
            </w:pPr>
            <w:r>
              <w:rPr>
                <w:rFonts w:hint="eastAsia"/>
                <w:color w:val="auto"/>
                <w:sz w:val="18"/>
                <w:szCs w:val="8"/>
                <w:highlight w:val="none"/>
              </w:rPr>
              <w:t>4.重量:主盘 ≥0.34kg;工具盘≥ 0.59kg;工具盘支架≥ 0.43kg</w:t>
            </w:r>
          </w:p>
        </w:tc>
        <w:tc>
          <w:tcPr>
            <w:tcW w:w="404" w:type="pct"/>
            <w:gridSpan w:val="2"/>
            <w:vMerge w:val="continue"/>
            <w:shd w:val="clear" w:color="auto" w:fill="auto"/>
            <w:vAlign w:val="center"/>
          </w:tcPr>
          <w:p w14:paraId="0D589704">
            <w:pPr>
              <w:jc w:val="left"/>
              <w:rPr>
                <w:color w:val="auto"/>
                <w:sz w:val="18"/>
                <w:szCs w:val="8"/>
                <w:highlight w:val="none"/>
              </w:rPr>
            </w:pPr>
          </w:p>
        </w:tc>
      </w:tr>
      <w:tr w14:paraId="455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53395B38">
            <w:pPr>
              <w:jc w:val="left"/>
              <w:rPr>
                <w:color w:val="auto"/>
                <w:sz w:val="18"/>
                <w:szCs w:val="8"/>
                <w:highlight w:val="none"/>
              </w:rPr>
            </w:pPr>
          </w:p>
        </w:tc>
        <w:tc>
          <w:tcPr>
            <w:tcW w:w="427" w:type="pct"/>
            <w:vMerge w:val="continue"/>
            <w:shd w:val="clear" w:color="auto" w:fill="auto"/>
            <w:vAlign w:val="center"/>
          </w:tcPr>
          <w:p w14:paraId="42B91685">
            <w:pPr>
              <w:jc w:val="left"/>
              <w:rPr>
                <w:color w:val="auto"/>
                <w:sz w:val="18"/>
                <w:szCs w:val="8"/>
                <w:highlight w:val="none"/>
              </w:rPr>
            </w:pPr>
          </w:p>
        </w:tc>
        <w:tc>
          <w:tcPr>
            <w:tcW w:w="460" w:type="pct"/>
            <w:vMerge w:val="continue"/>
            <w:shd w:val="clear" w:color="auto" w:fill="auto"/>
          </w:tcPr>
          <w:p w14:paraId="36FD28F7">
            <w:pPr>
              <w:jc w:val="left"/>
              <w:rPr>
                <w:color w:val="auto"/>
                <w:sz w:val="18"/>
                <w:szCs w:val="8"/>
                <w:highlight w:val="none"/>
              </w:rPr>
            </w:pPr>
          </w:p>
        </w:tc>
        <w:tc>
          <w:tcPr>
            <w:tcW w:w="3541" w:type="pct"/>
            <w:gridSpan w:val="4"/>
            <w:shd w:val="clear" w:color="auto" w:fill="auto"/>
          </w:tcPr>
          <w:p w14:paraId="65E2B16F">
            <w:pPr>
              <w:rPr>
                <w:color w:val="auto"/>
                <w:sz w:val="18"/>
                <w:szCs w:val="8"/>
                <w:highlight w:val="none"/>
              </w:rPr>
            </w:pPr>
            <w:r>
              <w:rPr>
                <w:rFonts w:hint="eastAsia"/>
                <w:color w:val="auto"/>
                <w:sz w:val="18"/>
                <w:szCs w:val="8"/>
                <w:highlight w:val="none"/>
              </w:rPr>
              <w:t>5.尺寸:主盘 高：≥32.1mm，直径：≥104mm;工具盘 高：≥26mm，直径：104mm;工具盘支架 长：≥118mm，宽：≥162mm，高：≥4.5mm</w:t>
            </w:r>
          </w:p>
        </w:tc>
        <w:tc>
          <w:tcPr>
            <w:tcW w:w="404" w:type="pct"/>
            <w:gridSpan w:val="2"/>
            <w:vMerge w:val="continue"/>
            <w:shd w:val="clear" w:color="auto" w:fill="auto"/>
            <w:vAlign w:val="center"/>
          </w:tcPr>
          <w:p w14:paraId="2273EE38">
            <w:pPr>
              <w:jc w:val="left"/>
              <w:rPr>
                <w:color w:val="auto"/>
                <w:sz w:val="18"/>
                <w:szCs w:val="8"/>
                <w:highlight w:val="none"/>
              </w:rPr>
            </w:pPr>
          </w:p>
        </w:tc>
      </w:tr>
      <w:tr w14:paraId="4D4F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471212F8">
            <w:pPr>
              <w:jc w:val="left"/>
              <w:rPr>
                <w:color w:val="auto"/>
                <w:sz w:val="18"/>
                <w:szCs w:val="8"/>
                <w:highlight w:val="none"/>
              </w:rPr>
            </w:pPr>
          </w:p>
        </w:tc>
        <w:tc>
          <w:tcPr>
            <w:tcW w:w="427" w:type="pct"/>
            <w:vMerge w:val="continue"/>
            <w:shd w:val="clear" w:color="auto" w:fill="auto"/>
            <w:vAlign w:val="center"/>
          </w:tcPr>
          <w:p w14:paraId="5BE4EA28">
            <w:pPr>
              <w:jc w:val="left"/>
              <w:rPr>
                <w:color w:val="auto"/>
                <w:sz w:val="18"/>
                <w:szCs w:val="8"/>
                <w:highlight w:val="none"/>
              </w:rPr>
            </w:pPr>
          </w:p>
        </w:tc>
        <w:tc>
          <w:tcPr>
            <w:tcW w:w="460" w:type="pct"/>
            <w:vMerge w:val="continue"/>
            <w:shd w:val="clear" w:color="auto" w:fill="auto"/>
          </w:tcPr>
          <w:p w14:paraId="7ABBE911">
            <w:pPr>
              <w:jc w:val="left"/>
              <w:rPr>
                <w:color w:val="auto"/>
                <w:sz w:val="18"/>
                <w:szCs w:val="8"/>
                <w:highlight w:val="none"/>
              </w:rPr>
            </w:pPr>
          </w:p>
        </w:tc>
        <w:tc>
          <w:tcPr>
            <w:tcW w:w="3541" w:type="pct"/>
            <w:gridSpan w:val="4"/>
            <w:shd w:val="clear" w:color="auto" w:fill="auto"/>
          </w:tcPr>
          <w:p w14:paraId="354371B1">
            <w:pPr>
              <w:rPr>
                <w:color w:val="auto"/>
                <w:sz w:val="18"/>
                <w:szCs w:val="8"/>
                <w:highlight w:val="none"/>
              </w:rPr>
            </w:pPr>
            <w:r>
              <w:rPr>
                <w:rFonts w:hint="eastAsia"/>
                <w:color w:val="auto"/>
                <w:sz w:val="18"/>
                <w:szCs w:val="8"/>
                <w:highlight w:val="none"/>
              </w:rPr>
              <w:t>6.重复精度 :≤±0.04mm</w:t>
            </w:r>
          </w:p>
        </w:tc>
        <w:tc>
          <w:tcPr>
            <w:tcW w:w="404" w:type="pct"/>
            <w:gridSpan w:val="2"/>
            <w:vMerge w:val="continue"/>
            <w:shd w:val="clear" w:color="auto" w:fill="auto"/>
            <w:vAlign w:val="center"/>
          </w:tcPr>
          <w:p w14:paraId="72D8BC28">
            <w:pPr>
              <w:jc w:val="left"/>
              <w:rPr>
                <w:color w:val="auto"/>
                <w:sz w:val="18"/>
                <w:szCs w:val="8"/>
                <w:highlight w:val="none"/>
              </w:rPr>
            </w:pPr>
          </w:p>
        </w:tc>
      </w:tr>
      <w:tr w14:paraId="69E2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0E8AB04A">
            <w:pPr>
              <w:jc w:val="left"/>
              <w:rPr>
                <w:color w:val="auto"/>
                <w:sz w:val="18"/>
                <w:szCs w:val="8"/>
                <w:highlight w:val="none"/>
              </w:rPr>
            </w:pPr>
          </w:p>
        </w:tc>
        <w:tc>
          <w:tcPr>
            <w:tcW w:w="427" w:type="pct"/>
            <w:vMerge w:val="continue"/>
            <w:shd w:val="clear" w:color="auto" w:fill="auto"/>
            <w:vAlign w:val="center"/>
          </w:tcPr>
          <w:p w14:paraId="2CC3F2B0">
            <w:pPr>
              <w:jc w:val="left"/>
              <w:rPr>
                <w:color w:val="auto"/>
                <w:sz w:val="18"/>
                <w:szCs w:val="8"/>
                <w:highlight w:val="none"/>
              </w:rPr>
            </w:pPr>
          </w:p>
        </w:tc>
        <w:tc>
          <w:tcPr>
            <w:tcW w:w="460" w:type="pct"/>
            <w:vMerge w:val="continue"/>
            <w:shd w:val="clear" w:color="auto" w:fill="auto"/>
          </w:tcPr>
          <w:p w14:paraId="656F5764">
            <w:pPr>
              <w:jc w:val="left"/>
              <w:rPr>
                <w:color w:val="auto"/>
                <w:sz w:val="18"/>
                <w:szCs w:val="8"/>
                <w:highlight w:val="none"/>
              </w:rPr>
            </w:pPr>
          </w:p>
        </w:tc>
        <w:tc>
          <w:tcPr>
            <w:tcW w:w="3541" w:type="pct"/>
            <w:gridSpan w:val="4"/>
            <w:shd w:val="clear" w:color="auto" w:fill="auto"/>
          </w:tcPr>
          <w:p w14:paraId="16687F0E">
            <w:pPr>
              <w:rPr>
                <w:color w:val="auto"/>
                <w:sz w:val="18"/>
                <w:szCs w:val="8"/>
                <w:highlight w:val="none"/>
              </w:rPr>
            </w:pPr>
            <w:r>
              <w:rPr>
                <w:rFonts w:hint="eastAsia"/>
                <w:color w:val="auto"/>
                <w:sz w:val="18"/>
                <w:szCs w:val="8"/>
                <w:highlight w:val="none"/>
              </w:rPr>
              <w:t>7.耦合/退耦时间 :≤1s</w:t>
            </w:r>
          </w:p>
        </w:tc>
        <w:tc>
          <w:tcPr>
            <w:tcW w:w="404" w:type="pct"/>
            <w:gridSpan w:val="2"/>
            <w:vMerge w:val="continue"/>
            <w:shd w:val="clear" w:color="auto" w:fill="auto"/>
            <w:vAlign w:val="center"/>
          </w:tcPr>
          <w:p w14:paraId="7FB68799">
            <w:pPr>
              <w:jc w:val="left"/>
              <w:rPr>
                <w:color w:val="auto"/>
                <w:sz w:val="18"/>
                <w:szCs w:val="8"/>
                <w:highlight w:val="none"/>
              </w:rPr>
            </w:pPr>
          </w:p>
        </w:tc>
      </w:tr>
      <w:tr w14:paraId="528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544B1509">
            <w:pPr>
              <w:jc w:val="left"/>
              <w:rPr>
                <w:color w:val="auto"/>
                <w:sz w:val="18"/>
                <w:szCs w:val="8"/>
                <w:highlight w:val="none"/>
              </w:rPr>
            </w:pPr>
          </w:p>
        </w:tc>
        <w:tc>
          <w:tcPr>
            <w:tcW w:w="427" w:type="pct"/>
            <w:vMerge w:val="continue"/>
            <w:shd w:val="clear" w:color="auto" w:fill="auto"/>
            <w:vAlign w:val="center"/>
          </w:tcPr>
          <w:p w14:paraId="77635AAF">
            <w:pPr>
              <w:jc w:val="left"/>
              <w:rPr>
                <w:color w:val="auto"/>
                <w:sz w:val="18"/>
                <w:szCs w:val="8"/>
                <w:highlight w:val="none"/>
              </w:rPr>
            </w:pPr>
          </w:p>
        </w:tc>
        <w:tc>
          <w:tcPr>
            <w:tcW w:w="460" w:type="pct"/>
            <w:vMerge w:val="continue"/>
            <w:shd w:val="clear" w:color="auto" w:fill="auto"/>
          </w:tcPr>
          <w:p w14:paraId="09591755">
            <w:pPr>
              <w:jc w:val="left"/>
              <w:rPr>
                <w:color w:val="auto"/>
                <w:sz w:val="18"/>
                <w:szCs w:val="8"/>
                <w:highlight w:val="none"/>
              </w:rPr>
            </w:pPr>
          </w:p>
        </w:tc>
        <w:tc>
          <w:tcPr>
            <w:tcW w:w="3541" w:type="pct"/>
            <w:gridSpan w:val="4"/>
            <w:shd w:val="clear" w:color="auto" w:fill="auto"/>
          </w:tcPr>
          <w:p w14:paraId="44161032">
            <w:pPr>
              <w:rPr>
                <w:color w:val="auto"/>
                <w:sz w:val="18"/>
                <w:szCs w:val="8"/>
                <w:highlight w:val="none"/>
              </w:rPr>
            </w:pPr>
            <w:r>
              <w:rPr>
                <w:rFonts w:hint="eastAsia"/>
                <w:color w:val="auto"/>
                <w:sz w:val="18"/>
                <w:szCs w:val="8"/>
                <w:highlight w:val="none"/>
              </w:rPr>
              <w:t>8.耦合距离 :≥5mm</w:t>
            </w:r>
          </w:p>
        </w:tc>
        <w:tc>
          <w:tcPr>
            <w:tcW w:w="404" w:type="pct"/>
            <w:gridSpan w:val="2"/>
            <w:vMerge w:val="continue"/>
            <w:shd w:val="clear" w:color="auto" w:fill="auto"/>
            <w:vAlign w:val="center"/>
          </w:tcPr>
          <w:p w14:paraId="024F244C">
            <w:pPr>
              <w:jc w:val="left"/>
              <w:rPr>
                <w:color w:val="auto"/>
                <w:sz w:val="18"/>
                <w:szCs w:val="8"/>
                <w:highlight w:val="none"/>
              </w:rPr>
            </w:pPr>
          </w:p>
        </w:tc>
      </w:tr>
      <w:tr w14:paraId="7C17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38A85C2F">
            <w:pPr>
              <w:jc w:val="left"/>
              <w:rPr>
                <w:color w:val="auto"/>
                <w:sz w:val="18"/>
                <w:szCs w:val="8"/>
                <w:highlight w:val="none"/>
              </w:rPr>
            </w:pPr>
          </w:p>
        </w:tc>
        <w:tc>
          <w:tcPr>
            <w:tcW w:w="427" w:type="pct"/>
            <w:vMerge w:val="continue"/>
            <w:shd w:val="clear" w:color="auto" w:fill="auto"/>
            <w:vAlign w:val="center"/>
          </w:tcPr>
          <w:p w14:paraId="098AF2F0">
            <w:pPr>
              <w:jc w:val="left"/>
              <w:rPr>
                <w:color w:val="auto"/>
                <w:sz w:val="18"/>
                <w:szCs w:val="8"/>
                <w:highlight w:val="none"/>
              </w:rPr>
            </w:pPr>
          </w:p>
        </w:tc>
        <w:tc>
          <w:tcPr>
            <w:tcW w:w="460" w:type="pct"/>
            <w:vMerge w:val="continue"/>
            <w:shd w:val="clear" w:color="auto" w:fill="auto"/>
          </w:tcPr>
          <w:p w14:paraId="5DF02126">
            <w:pPr>
              <w:jc w:val="left"/>
              <w:rPr>
                <w:color w:val="auto"/>
                <w:sz w:val="18"/>
                <w:szCs w:val="8"/>
                <w:highlight w:val="none"/>
              </w:rPr>
            </w:pPr>
          </w:p>
        </w:tc>
        <w:tc>
          <w:tcPr>
            <w:tcW w:w="3541" w:type="pct"/>
            <w:gridSpan w:val="4"/>
            <w:shd w:val="clear" w:color="auto" w:fill="auto"/>
          </w:tcPr>
          <w:p w14:paraId="414D9925">
            <w:pPr>
              <w:rPr>
                <w:color w:val="auto"/>
                <w:sz w:val="18"/>
                <w:szCs w:val="8"/>
                <w:highlight w:val="none"/>
              </w:rPr>
            </w:pPr>
            <w:r>
              <w:rPr>
                <w:rFonts w:hint="eastAsia"/>
                <w:color w:val="auto"/>
                <w:sz w:val="18"/>
                <w:szCs w:val="8"/>
                <w:highlight w:val="none"/>
              </w:rPr>
              <w:t>9.静态容许力矩 :≥45Nm</w:t>
            </w:r>
          </w:p>
        </w:tc>
        <w:tc>
          <w:tcPr>
            <w:tcW w:w="404" w:type="pct"/>
            <w:gridSpan w:val="2"/>
            <w:vMerge w:val="continue"/>
            <w:shd w:val="clear" w:color="auto" w:fill="auto"/>
            <w:vAlign w:val="center"/>
          </w:tcPr>
          <w:p w14:paraId="2CC4EC5B">
            <w:pPr>
              <w:jc w:val="left"/>
              <w:rPr>
                <w:color w:val="auto"/>
                <w:sz w:val="18"/>
                <w:szCs w:val="8"/>
                <w:highlight w:val="none"/>
              </w:rPr>
            </w:pPr>
          </w:p>
        </w:tc>
      </w:tr>
      <w:tr w14:paraId="36D7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78F7FC46">
            <w:pPr>
              <w:jc w:val="left"/>
              <w:rPr>
                <w:color w:val="auto"/>
                <w:sz w:val="18"/>
                <w:szCs w:val="8"/>
                <w:highlight w:val="none"/>
              </w:rPr>
            </w:pPr>
          </w:p>
        </w:tc>
        <w:tc>
          <w:tcPr>
            <w:tcW w:w="427" w:type="pct"/>
            <w:vMerge w:val="continue"/>
            <w:shd w:val="clear" w:color="auto" w:fill="auto"/>
            <w:vAlign w:val="center"/>
          </w:tcPr>
          <w:p w14:paraId="2A3BE8CD">
            <w:pPr>
              <w:jc w:val="left"/>
              <w:rPr>
                <w:color w:val="auto"/>
                <w:sz w:val="18"/>
                <w:szCs w:val="8"/>
                <w:highlight w:val="none"/>
              </w:rPr>
            </w:pPr>
          </w:p>
        </w:tc>
        <w:tc>
          <w:tcPr>
            <w:tcW w:w="460" w:type="pct"/>
            <w:vMerge w:val="continue"/>
            <w:shd w:val="clear" w:color="auto" w:fill="auto"/>
          </w:tcPr>
          <w:p w14:paraId="37493B13">
            <w:pPr>
              <w:jc w:val="left"/>
              <w:rPr>
                <w:color w:val="auto"/>
                <w:sz w:val="18"/>
                <w:szCs w:val="8"/>
                <w:highlight w:val="none"/>
              </w:rPr>
            </w:pPr>
          </w:p>
        </w:tc>
        <w:tc>
          <w:tcPr>
            <w:tcW w:w="3541" w:type="pct"/>
            <w:gridSpan w:val="4"/>
            <w:shd w:val="clear" w:color="auto" w:fill="auto"/>
          </w:tcPr>
          <w:p w14:paraId="15C98407">
            <w:pPr>
              <w:rPr>
                <w:color w:val="auto"/>
                <w:sz w:val="18"/>
                <w:szCs w:val="8"/>
                <w:highlight w:val="none"/>
              </w:rPr>
            </w:pPr>
            <w:r>
              <w:rPr>
                <w:rFonts w:hint="eastAsia"/>
                <w:color w:val="auto"/>
                <w:sz w:val="18"/>
                <w:szCs w:val="8"/>
                <w:highlight w:val="none"/>
              </w:rPr>
              <w:t>10.静态容许扭矩: ≥45Nm</w:t>
            </w:r>
          </w:p>
        </w:tc>
        <w:tc>
          <w:tcPr>
            <w:tcW w:w="404" w:type="pct"/>
            <w:gridSpan w:val="2"/>
            <w:vMerge w:val="continue"/>
            <w:shd w:val="clear" w:color="auto" w:fill="auto"/>
            <w:vAlign w:val="center"/>
          </w:tcPr>
          <w:p w14:paraId="265856C3">
            <w:pPr>
              <w:jc w:val="left"/>
              <w:rPr>
                <w:color w:val="auto"/>
                <w:sz w:val="18"/>
                <w:szCs w:val="8"/>
                <w:highlight w:val="none"/>
              </w:rPr>
            </w:pPr>
          </w:p>
        </w:tc>
      </w:tr>
      <w:tr w14:paraId="3E7E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727D8BA9">
            <w:pPr>
              <w:jc w:val="left"/>
              <w:rPr>
                <w:color w:val="auto"/>
                <w:sz w:val="18"/>
                <w:szCs w:val="8"/>
                <w:highlight w:val="none"/>
              </w:rPr>
            </w:pPr>
          </w:p>
        </w:tc>
        <w:tc>
          <w:tcPr>
            <w:tcW w:w="427" w:type="pct"/>
            <w:vMerge w:val="continue"/>
            <w:shd w:val="clear" w:color="auto" w:fill="auto"/>
            <w:vAlign w:val="center"/>
          </w:tcPr>
          <w:p w14:paraId="220EBE5E">
            <w:pPr>
              <w:jc w:val="left"/>
              <w:rPr>
                <w:color w:val="auto"/>
                <w:sz w:val="18"/>
                <w:szCs w:val="8"/>
                <w:highlight w:val="none"/>
              </w:rPr>
            </w:pPr>
          </w:p>
        </w:tc>
        <w:tc>
          <w:tcPr>
            <w:tcW w:w="460" w:type="pct"/>
            <w:vMerge w:val="continue"/>
            <w:shd w:val="clear" w:color="auto" w:fill="auto"/>
          </w:tcPr>
          <w:p w14:paraId="7C5FB9D2">
            <w:pPr>
              <w:jc w:val="left"/>
              <w:rPr>
                <w:color w:val="auto"/>
                <w:sz w:val="18"/>
                <w:szCs w:val="8"/>
                <w:highlight w:val="none"/>
              </w:rPr>
            </w:pPr>
          </w:p>
        </w:tc>
        <w:tc>
          <w:tcPr>
            <w:tcW w:w="3541" w:type="pct"/>
            <w:gridSpan w:val="4"/>
            <w:shd w:val="clear" w:color="auto" w:fill="auto"/>
          </w:tcPr>
          <w:p w14:paraId="5897C39C">
            <w:pPr>
              <w:rPr>
                <w:color w:val="auto"/>
                <w:sz w:val="18"/>
                <w:szCs w:val="8"/>
                <w:highlight w:val="none"/>
              </w:rPr>
            </w:pPr>
            <w:r>
              <w:rPr>
                <w:rFonts w:hint="eastAsia"/>
                <w:color w:val="auto"/>
                <w:sz w:val="18"/>
                <w:szCs w:val="8"/>
                <w:highlight w:val="none"/>
              </w:rPr>
              <w:t>11.防护等级 :不低于IP54</w:t>
            </w:r>
          </w:p>
        </w:tc>
        <w:tc>
          <w:tcPr>
            <w:tcW w:w="404" w:type="pct"/>
            <w:gridSpan w:val="2"/>
            <w:vMerge w:val="continue"/>
            <w:shd w:val="clear" w:color="auto" w:fill="auto"/>
            <w:vAlign w:val="center"/>
          </w:tcPr>
          <w:p w14:paraId="086C3EFC">
            <w:pPr>
              <w:jc w:val="left"/>
              <w:rPr>
                <w:color w:val="auto"/>
                <w:sz w:val="18"/>
                <w:szCs w:val="8"/>
                <w:highlight w:val="none"/>
              </w:rPr>
            </w:pPr>
          </w:p>
        </w:tc>
      </w:tr>
      <w:tr w14:paraId="52E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35400DC5">
            <w:pPr>
              <w:jc w:val="left"/>
              <w:rPr>
                <w:color w:val="auto"/>
                <w:sz w:val="18"/>
                <w:szCs w:val="8"/>
                <w:highlight w:val="none"/>
              </w:rPr>
            </w:pPr>
          </w:p>
        </w:tc>
        <w:tc>
          <w:tcPr>
            <w:tcW w:w="427" w:type="pct"/>
            <w:vMerge w:val="continue"/>
            <w:shd w:val="clear" w:color="auto" w:fill="auto"/>
            <w:vAlign w:val="center"/>
          </w:tcPr>
          <w:p w14:paraId="54442E77">
            <w:pPr>
              <w:jc w:val="left"/>
              <w:rPr>
                <w:color w:val="auto"/>
                <w:sz w:val="18"/>
                <w:szCs w:val="8"/>
                <w:highlight w:val="none"/>
              </w:rPr>
            </w:pPr>
          </w:p>
        </w:tc>
        <w:tc>
          <w:tcPr>
            <w:tcW w:w="460" w:type="pct"/>
            <w:vMerge w:val="continue"/>
            <w:shd w:val="clear" w:color="auto" w:fill="auto"/>
          </w:tcPr>
          <w:p w14:paraId="77893DE7">
            <w:pPr>
              <w:jc w:val="left"/>
              <w:rPr>
                <w:color w:val="auto"/>
                <w:sz w:val="18"/>
                <w:szCs w:val="8"/>
                <w:highlight w:val="none"/>
              </w:rPr>
            </w:pPr>
          </w:p>
        </w:tc>
        <w:tc>
          <w:tcPr>
            <w:tcW w:w="3541" w:type="pct"/>
            <w:gridSpan w:val="4"/>
            <w:shd w:val="clear" w:color="auto" w:fill="auto"/>
          </w:tcPr>
          <w:p w14:paraId="41A636C6">
            <w:pPr>
              <w:rPr>
                <w:color w:val="auto"/>
                <w:sz w:val="18"/>
                <w:szCs w:val="8"/>
                <w:highlight w:val="none"/>
              </w:rPr>
            </w:pPr>
            <w:r>
              <w:rPr>
                <w:rFonts w:hint="eastAsia"/>
                <w:color w:val="auto"/>
                <w:sz w:val="18"/>
                <w:szCs w:val="8"/>
                <w:highlight w:val="none"/>
              </w:rPr>
              <w:t>12.电路模块</w:t>
            </w:r>
          </w:p>
        </w:tc>
        <w:tc>
          <w:tcPr>
            <w:tcW w:w="404" w:type="pct"/>
            <w:gridSpan w:val="2"/>
            <w:vMerge w:val="continue"/>
            <w:shd w:val="clear" w:color="auto" w:fill="auto"/>
            <w:vAlign w:val="center"/>
          </w:tcPr>
          <w:p w14:paraId="725BFBF3">
            <w:pPr>
              <w:jc w:val="left"/>
              <w:rPr>
                <w:color w:val="auto"/>
                <w:sz w:val="18"/>
                <w:szCs w:val="8"/>
                <w:highlight w:val="none"/>
              </w:rPr>
            </w:pPr>
          </w:p>
        </w:tc>
      </w:tr>
      <w:tr w14:paraId="1A43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3B9C6F5E">
            <w:pPr>
              <w:jc w:val="left"/>
              <w:rPr>
                <w:color w:val="auto"/>
                <w:sz w:val="18"/>
                <w:szCs w:val="8"/>
                <w:highlight w:val="none"/>
              </w:rPr>
            </w:pPr>
          </w:p>
        </w:tc>
        <w:tc>
          <w:tcPr>
            <w:tcW w:w="427" w:type="pct"/>
            <w:vMerge w:val="continue"/>
            <w:shd w:val="clear" w:color="auto" w:fill="auto"/>
            <w:vAlign w:val="center"/>
          </w:tcPr>
          <w:p w14:paraId="2CF15451">
            <w:pPr>
              <w:jc w:val="left"/>
              <w:rPr>
                <w:color w:val="auto"/>
                <w:sz w:val="18"/>
                <w:szCs w:val="8"/>
                <w:highlight w:val="none"/>
              </w:rPr>
            </w:pPr>
          </w:p>
        </w:tc>
        <w:tc>
          <w:tcPr>
            <w:tcW w:w="460" w:type="pct"/>
            <w:vMerge w:val="continue"/>
            <w:shd w:val="clear" w:color="auto" w:fill="auto"/>
          </w:tcPr>
          <w:p w14:paraId="588D0990">
            <w:pPr>
              <w:jc w:val="left"/>
              <w:rPr>
                <w:color w:val="auto"/>
                <w:sz w:val="18"/>
                <w:szCs w:val="8"/>
                <w:highlight w:val="none"/>
              </w:rPr>
            </w:pPr>
          </w:p>
        </w:tc>
        <w:tc>
          <w:tcPr>
            <w:tcW w:w="3541" w:type="pct"/>
            <w:gridSpan w:val="4"/>
            <w:shd w:val="clear" w:color="auto" w:fill="auto"/>
          </w:tcPr>
          <w:p w14:paraId="57B72AE1">
            <w:pPr>
              <w:rPr>
                <w:color w:val="auto"/>
                <w:sz w:val="18"/>
                <w:szCs w:val="8"/>
                <w:highlight w:val="none"/>
              </w:rPr>
            </w:pPr>
            <w:r>
              <w:rPr>
                <w:rFonts w:hint="eastAsia"/>
                <w:color w:val="auto"/>
                <w:sz w:val="18"/>
                <w:szCs w:val="8"/>
                <w:highlight w:val="none"/>
              </w:rPr>
              <w:t>13.数量: 标配不少于1组，可拓展不少于3组</w:t>
            </w:r>
          </w:p>
        </w:tc>
        <w:tc>
          <w:tcPr>
            <w:tcW w:w="404" w:type="pct"/>
            <w:gridSpan w:val="2"/>
            <w:vMerge w:val="continue"/>
            <w:shd w:val="clear" w:color="auto" w:fill="auto"/>
            <w:vAlign w:val="center"/>
          </w:tcPr>
          <w:p w14:paraId="46E32FE3">
            <w:pPr>
              <w:jc w:val="left"/>
              <w:rPr>
                <w:color w:val="auto"/>
                <w:sz w:val="18"/>
                <w:szCs w:val="8"/>
                <w:highlight w:val="none"/>
              </w:rPr>
            </w:pPr>
          </w:p>
        </w:tc>
      </w:tr>
      <w:tr w14:paraId="26C8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0BE64406">
            <w:pPr>
              <w:jc w:val="left"/>
              <w:rPr>
                <w:color w:val="auto"/>
                <w:sz w:val="18"/>
                <w:szCs w:val="8"/>
                <w:highlight w:val="none"/>
              </w:rPr>
            </w:pPr>
          </w:p>
        </w:tc>
        <w:tc>
          <w:tcPr>
            <w:tcW w:w="427" w:type="pct"/>
            <w:vMerge w:val="continue"/>
            <w:shd w:val="clear" w:color="auto" w:fill="auto"/>
            <w:vAlign w:val="center"/>
          </w:tcPr>
          <w:p w14:paraId="4C8E801F">
            <w:pPr>
              <w:jc w:val="left"/>
              <w:rPr>
                <w:color w:val="auto"/>
                <w:sz w:val="18"/>
                <w:szCs w:val="8"/>
                <w:highlight w:val="none"/>
              </w:rPr>
            </w:pPr>
          </w:p>
        </w:tc>
        <w:tc>
          <w:tcPr>
            <w:tcW w:w="460" w:type="pct"/>
            <w:vMerge w:val="continue"/>
            <w:shd w:val="clear" w:color="auto" w:fill="auto"/>
          </w:tcPr>
          <w:p w14:paraId="00C5E41E">
            <w:pPr>
              <w:jc w:val="left"/>
              <w:rPr>
                <w:color w:val="auto"/>
                <w:sz w:val="18"/>
                <w:szCs w:val="8"/>
                <w:highlight w:val="none"/>
              </w:rPr>
            </w:pPr>
          </w:p>
        </w:tc>
        <w:tc>
          <w:tcPr>
            <w:tcW w:w="3541" w:type="pct"/>
            <w:gridSpan w:val="4"/>
            <w:shd w:val="clear" w:color="auto" w:fill="auto"/>
          </w:tcPr>
          <w:p w14:paraId="451AA177">
            <w:pPr>
              <w:rPr>
                <w:color w:val="auto"/>
                <w:sz w:val="18"/>
                <w:szCs w:val="8"/>
                <w:highlight w:val="none"/>
              </w:rPr>
            </w:pPr>
            <w:r>
              <w:rPr>
                <w:rFonts w:hint="eastAsia"/>
                <w:color w:val="auto"/>
                <w:sz w:val="18"/>
                <w:szCs w:val="8"/>
                <w:highlight w:val="none"/>
              </w:rPr>
              <w:t>14.电路通道: ≥M12/ 8pins</w:t>
            </w:r>
          </w:p>
        </w:tc>
        <w:tc>
          <w:tcPr>
            <w:tcW w:w="404" w:type="pct"/>
            <w:gridSpan w:val="2"/>
            <w:vMerge w:val="continue"/>
            <w:shd w:val="clear" w:color="auto" w:fill="auto"/>
            <w:vAlign w:val="center"/>
          </w:tcPr>
          <w:p w14:paraId="3BE10BC1">
            <w:pPr>
              <w:jc w:val="left"/>
              <w:rPr>
                <w:color w:val="auto"/>
                <w:sz w:val="18"/>
                <w:szCs w:val="8"/>
                <w:highlight w:val="none"/>
              </w:rPr>
            </w:pPr>
          </w:p>
        </w:tc>
      </w:tr>
      <w:tr w14:paraId="54E8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6E6A71E0">
            <w:pPr>
              <w:jc w:val="left"/>
              <w:rPr>
                <w:color w:val="auto"/>
                <w:sz w:val="18"/>
                <w:szCs w:val="8"/>
                <w:highlight w:val="none"/>
              </w:rPr>
            </w:pPr>
          </w:p>
        </w:tc>
        <w:tc>
          <w:tcPr>
            <w:tcW w:w="427" w:type="pct"/>
            <w:vMerge w:val="continue"/>
            <w:shd w:val="clear" w:color="auto" w:fill="auto"/>
            <w:vAlign w:val="center"/>
          </w:tcPr>
          <w:p w14:paraId="55BBB570">
            <w:pPr>
              <w:jc w:val="left"/>
              <w:rPr>
                <w:color w:val="auto"/>
                <w:sz w:val="18"/>
                <w:szCs w:val="8"/>
                <w:highlight w:val="none"/>
              </w:rPr>
            </w:pPr>
          </w:p>
        </w:tc>
        <w:tc>
          <w:tcPr>
            <w:tcW w:w="460" w:type="pct"/>
            <w:vMerge w:val="continue"/>
            <w:shd w:val="clear" w:color="auto" w:fill="auto"/>
          </w:tcPr>
          <w:p w14:paraId="3A5ADE1C">
            <w:pPr>
              <w:jc w:val="left"/>
              <w:rPr>
                <w:color w:val="auto"/>
                <w:sz w:val="18"/>
                <w:szCs w:val="8"/>
                <w:highlight w:val="none"/>
              </w:rPr>
            </w:pPr>
          </w:p>
        </w:tc>
        <w:tc>
          <w:tcPr>
            <w:tcW w:w="3541" w:type="pct"/>
            <w:gridSpan w:val="4"/>
            <w:shd w:val="clear" w:color="auto" w:fill="auto"/>
          </w:tcPr>
          <w:p w14:paraId="286D78CA">
            <w:pPr>
              <w:rPr>
                <w:color w:val="auto"/>
                <w:sz w:val="18"/>
                <w:szCs w:val="8"/>
                <w:highlight w:val="none"/>
              </w:rPr>
            </w:pPr>
            <w:r>
              <w:rPr>
                <w:rFonts w:hint="eastAsia"/>
                <w:color w:val="auto"/>
                <w:sz w:val="18"/>
                <w:szCs w:val="8"/>
                <w:highlight w:val="none"/>
              </w:rPr>
              <w:t>15.最大输入电流:≥ 2.0A</w:t>
            </w:r>
          </w:p>
        </w:tc>
        <w:tc>
          <w:tcPr>
            <w:tcW w:w="404" w:type="pct"/>
            <w:gridSpan w:val="2"/>
            <w:vMerge w:val="continue"/>
            <w:shd w:val="clear" w:color="auto" w:fill="auto"/>
            <w:vAlign w:val="center"/>
          </w:tcPr>
          <w:p w14:paraId="4D37EAF8">
            <w:pPr>
              <w:jc w:val="left"/>
              <w:rPr>
                <w:color w:val="auto"/>
                <w:sz w:val="18"/>
                <w:szCs w:val="8"/>
                <w:highlight w:val="none"/>
              </w:rPr>
            </w:pPr>
          </w:p>
        </w:tc>
      </w:tr>
      <w:tr w14:paraId="3181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57D0BD9E">
            <w:pPr>
              <w:jc w:val="left"/>
              <w:rPr>
                <w:color w:val="auto"/>
                <w:sz w:val="18"/>
                <w:szCs w:val="8"/>
                <w:highlight w:val="none"/>
              </w:rPr>
            </w:pPr>
          </w:p>
        </w:tc>
        <w:tc>
          <w:tcPr>
            <w:tcW w:w="427" w:type="pct"/>
            <w:vMerge w:val="continue"/>
            <w:shd w:val="clear" w:color="auto" w:fill="auto"/>
            <w:vAlign w:val="center"/>
          </w:tcPr>
          <w:p w14:paraId="7212188B">
            <w:pPr>
              <w:jc w:val="left"/>
              <w:rPr>
                <w:color w:val="auto"/>
                <w:sz w:val="18"/>
                <w:szCs w:val="8"/>
                <w:highlight w:val="none"/>
              </w:rPr>
            </w:pPr>
          </w:p>
        </w:tc>
        <w:tc>
          <w:tcPr>
            <w:tcW w:w="460" w:type="pct"/>
            <w:vMerge w:val="continue"/>
            <w:shd w:val="clear" w:color="auto" w:fill="auto"/>
          </w:tcPr>
          <w:p w14:paraId="6EB724EA">
            <w:pPr>
              <w:jc w:val="left"/>
              <w:rPr>
                <w:color w:val="auto"/>
                <w:sz w:val="18"/>
                <w:szCs w:val="8"/>
                <w:highlight w:val="none"/>
              </w:rPr>
            </w:pPr>
          </w:p>
        </w:tc>
        <w:tc>
          <w:tcPr>
            <w:tcW w:w="3541" w:type="pct"/>
            <w:gridSpan w:val="4"/>
            <w:shd w:val="clear" w:color="auto" w:fill="auto"/>
          </w:tcPr>
          <w:p w14:paraId="4AD06355">
            <w:pPr>
              <w:rPr>
                <w:color w:val="auto"/>
                <w:sz w:val="18"/>
                <w:szCs w:val="8"/>
                <w:highlight w:val="none"/>
              </w:rPr>
            </w:pPr>
            <w:r>
              <w:rPr>
                <w:rFonts w:hint="eastAsia"/>
                <w:color w:val="auto"/>
                <w:sz w:val="18"/>
                <w:szCs w:val="8"/>
                <w:highlight w:val="none"/>
              </w:rPr>
              <w:t>16.额定电压: ≥48V</w:t>
            </w:r>
          </w:p>
        </w:tc>
        <w:tc>
          <w:tcPr>
            <w:tcW w:w="404" w:type="pct"/>
            <w:gridSpan w:val="2"/>
            <w:vMerge w:val="continue"/>
            <w:shd w:val="clear" w:color="auto" w:fill="auto"/>
            <w:vAlign w:val="center"/>
          </w:tcPr>
          <w:p w14:paraId="4DF31FAB">
            <w:pPr>
              <w:jc w:val="left"/>
              <w:rPr>
                <w:color w:val="auto"/>
                <w:sz w:val="18"/>
                <w:szCs w:val="8"/>
                <w:highlight w:val="none"/>
              </w:rPr>
            </w:pPr>
          </w:p>
        </w:tc>
      </w:tr>
      <w:tr w14:paraId="1D92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1DECBE4C">
            <w:pPr>
              <w:jc w:val="left"/>
              <w:rPr>
                <w:color w:val="auto"/>
                <w:sz w:val="18"/>
                <w:szCs w:val="8"/>
                <w:highlight w:val="none"/>
              </w:rPr>
            </w:pPr>
          </w:p>
        </w:tc>
        <w:tc>
          <w:tcPr>
            <w:tcW w:w="427" w:type="pct"/>
            <w:vMerge w:val="continue"/>
            <w:shd w:val="clear" w:color="auto" w:fill="auto"/>
            <w:vAlign w:val="center"/>
          </w:tcPr>
          <w:p w14:paraId="3EDA93E4">
            <w:pPr>
              <w:jc w:val="left"/>
              <w:rPr>
                <w:color w:val="auto"/>
                <w:sz w:val="18"/>
                <w:szCs w:val="8"/>
                <w:highlight w:val="none"/>
              </w:rPr>
            </w:pPr>
          </w:p>
        </w:tc>
        <w:tc>
          <w:tcPr>
            <w:tcW w:w="460" w:type="pct"/>
            <w:vMerge w:val="continue"/>
            <w:shd w:val="clear" w:color="auto" w:fill="auto"/>
          </w:tcPr>
          <w:p w14:paraId="63EF9337">
            <w:pPr>
              <w:jc w:val="left"/>
              <w:rPr>
                <w:color w:val="auto"/>
                <w:sz w:val="18"/>
                <w:szCs w:val="8"/>
                <w:highlight w:val="none"/>
              </w:rPr>
            </w:pPr>
          </w:p>
        </w:tc>
        <w:tc>
          <w:tcPr>
            <w:tcW w:w="3541" w:type="pct"/>
            <w:gridSpan w:val="4"/>
            <w:shd w:val="clear" w:color="auto" w:fill="auto"/>
          </w:tcPr>
          <w:p w14:paraId="6F3CADCE">
            <w:pPr>
              <w:rPr>
                <w:color w:val="auto"/>
                <w:sz w:val="18"/>
                <w:szCs w:val="8"/>
                <w:highlight w:val="none"/>
              </w:rPr>
            </w:pPr>
            <w:r>
              <w:rPr>
                <w:rFonts w:hint="eastAsia"/>
                <w:color w:val="auto"/>
                <w:sz w:val="18"/>
                <w:szCs w:val="8"/>
                <w:highlight w:val="none"/>
              </w:rPr>
              <w:t>17.具备锁紧或解锁检测</w:t>
            </w:r>
          </w:p>
        </w:tc>
        <w:tc>
          <w:tcPr>
            <w:tcW w:w="404" w:type="pct"/>
            <w:gridSpan w:val="2"/>
            <w:vMerge w:val="continue"/>
            <w:shd w:val="clear" w:color="auto" w:fill="auto"/>
            <w:vAlign w:val="center"/>
          </w:tcPr>
          <w:p w14:paraId="2513688E">
            <w:pPr>
              <w:jc w:val="left"/>
              <w:rPr>
                <w:color w:val="auto"/>
                <w:sz w:val="18"/>
                <w:szCs w:val="8"/>
                <w:highlight w:val="none"/>
              </w:rPr>
            </w:pPr>
          </w:p>
        </w:tc>
      </w:tr>
      <w:tr w14:paraId="64DB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24767519">
            <w:pPr>
              <w:jc w:val="left"/>
              <w:rPr>
                <w:color w:val="auto"/>
                <w:sz w:val="18"/>
                <w:szCs w:val="8"/>
                <w:highlight w:val="none"/>
              </w:rPr>
            </w:pPr>
          </w:p>
        </w:tc>
        <w:tc>
          <w:tcPr>
            <w:tcW w:w="427" w:type="pct"/>
            <w:vMerge w:val="continue"/>
            <w:shd w:val="clear" w:color="auto" w:fill="auto"/>
            <w:vAlign w:val="center"/>
          </w:tcPr>
          <w:p w14:paraId="2F7F0766">
            <w:pPr>
              <w:jc w:val="left"/>
              <w:rPr>
                <w:color w:val="auto"/>
                <w:sz w:val="18"/>
                <w:szCs w:val="8"/>
                <w:highlight w:val="none"/>
              </w:rPr>
            </w:pPr>
          </w:p>
        </w:tc>
        <w:tc>
          <w:tcPr>
            <w:tcW w:w="460" w:type="pct"/>
            <w:vMerge w:val="continue"/>
            <w:shd w:val="clear" w:color="auto" w:fill="auto"/>
          </w:tcPr>
          <w:p w14:paraId="500697B6">
            <w:pPr>
              <w:jc w:val="left"/>
              <w:rPr>
                <w:color w:val="auto"/>
                <w:sz w:val="18"/>
                <w:szCs w:val="8"/>
                <w:highlight w:val="none"/>
              </w:rPr>
            </w:pPr>
          </w:p>
        </w:tc>
        <w:tc>
          <w:tcPr>
            <w:tcW w:w="3541" w:type="pct"/>
            <w:gridSpan w:val="4"/>
            <w:shd w:val="clear" w:color="auto" w:fill="auto"/>
          </w:tcPr>
          <w:p w14:paraId="37836B08">
            <w:pPr>
              <w:rPr>
                <w:color w:val="auto"/>
                <w:sz w:val="18"/>
                <w:szCs w:val="8"/>
                <w:highlight w:val="none"/>
              </w:rPr>
            </w:pPr>
            <w:r>
              <w:rPr>
                <w:rFonts w:hint="eastAsia"/>
                <w:color w:val="auto"/>
                <w:sz w:val="18"/>
                <w:szCs w:val="8"/>
                <w:highlight w:val="none"/>
              </w:rPr>
              <w:t>18.适配末端执行器: 所有品牌的电爪、电动吸盘、 电动螺丝刀、电动打磨机</w:t>
            </w:r>
          </w:p>
        </w:tc>
        <w:tc>
          <w:tcPr>
            <w:tcW w:w="404" w:type="pct"/>
            <w:gridSpan w:val="2"/>
            <w:vMerge w:val="continue"/>
            <w:shd w:val="clear" w:color="auto" w:fill="auto"/>
            <w:vAlign w:val="center"/>
          </w:tcPr>
          <w:p w14:paraId="7E3B234E">
            <w:pPr>
              <w:jc w:val="left"/>
              <w:rPr>
                <w:color w:val="auto"/>
                <w:sz w:val="18"/>
                <w:szCs w:val="8"/>
                <w:highlight w:val="none"/>
              </w:rPr>
            </w:pPr>
          </w:p>
        </w:tc>
      </w:tr>
      <w:tr w14:paraId="491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08F03D80">
            <w:pPr>
              <w:jc w:val="left"/>
              <w:rPr>
                <w:color w:val="auto"/>
                <w:sz w:val="18"/>
                <w:szCs w:val="8"/>
                <w:highlight w:val="none"/>
              </w:rPr>
            </w:pPr>
          </w:p>
        </w:tc>
        <w:tc>
          <w:tcPr>
            <w:tcW w:w="427" w:type="pct"/>
            <w:vMerge w:val="continue"/>
            <w:shd w:val="clear" w:color="auto" w:fill="auto"/>
            <w:vAlign w:val="center"/>
          </w:tcPr>
          <w:p w14:paraId="7E3C1EA2">
            <w:pPr>
              <w:jc w:val="left"/>
              <w:rPr>
                <w:color w:val="auto"/>
                <w:sz w:val="18"/>
                <w:szCs w:val="8"/>
                <w:highlight w:val="none"/>
              </w:rPr>
            </w:pPr>
          </w:p>
        </w:tc>
        <w:tc>
          <w:tcPr>
            <w:tcW w:w="460" w:type="pct"/>
            <w:vMerge w:val="continue"/>
            <w:shd w:val="clear" w:color="auto" w:fill="auto"/>
          </w:tcPr>
          <w:p w14:paraId="12E5A458">
            <w:pPr>
              <w:jc w:val="left"/>
              <w:rPr>
                <w:color w:val="auto"/>
                <w:sz w:val="18"/>
                <w:szCs w:val="8"/>
                <w:highlight w:val="none"/>
              </w:rPr>
            </w:pPr>
          </w:p>
        </w:tc>
        <w:tc>
          <w:tcPr>
            <w:tcW w:w="3541" w:type="pct"/>
            <w:gridSpan w:val="4"/>
            <w:shd w:val="clear" w:color="auto" w:fill="auto"/>
          </w:tcPr>
          <w:p w14:paraId="3CDA1149">
            <w:pPr>
              <w:rPr>
                <w:color w:val="auto"/>
                <w:sz w:val="18"/>
                <w:szCs w:val="8"/>
                <w:highlight w:val="none"/>
              </w:rPr>
            </w:pPr>
            <w:r>
              <w:rPr>
                <w:rFonts w:hint="eastAsia"/>
                <w:color w:val="auto"/>
                <w:sz w:val="18"/>
                <w:szCs w:val="8"/>
                <w:highlight w:val="none"/>
              </w:rPr>
              <w:t>19.适配机器人: 负载 ≥5-50kg 的协作机器人及工业机器人</w:t>
            </w:r>
          </w:p>
        </w:tc>
        <w:tc>
          <w:tcPr>
            <w:tcW w:w="404" w:type="pct"/>
            <w:gridSpan w:val="2"/>
            <w:vMerge w:val="continue"/>
            <w:shd w:val="clear" w:color="auto" w:fill="auto"/>
            <w:vAlign w:val="center"/>
          </w:tcPr>
          <w:p w14:paraId="669ED61C">
            <w:pPr>
              <w:jc w:val="left"/>
              <w:rPr>
                <w:color w:val="auto"/>
                <w:sz w:val="18"/>
                <w:szCs w:val="8"/>
                <w:highlight w:val="none"/>
              </w:rPr>
            </w:pPr>
          </w:p>
        </w:tc>
      </w:tr>
      <w:tr w14:paraId="0F2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2DC4ECEC">
            <w:pPr>
              <w:jc w:val="left"/>
              <w:rPr>
                <w:color w:val="auto"/>
                <w:sz w:val="18"/>
                <w:szCs w:val="8"/>
                <w:highlight w:val="none"/>
              </w:rPr>
            </w:pPr>
          </w:p>
        </w:tc>
        <w:tc>
          <w:tcPr>
            <w:tcW w:w="427" w:type="pct"/>
            <w:vMerge w:val="continue"/>
            <w:shd w:val="clear" w:color="auto" w:fill="auto"/>
            <w:vAlign w:val="center"/>
          </w:tcPr>
          <w:p w14:paraId="144CFB1F">
            <w:pPr>
              <w:jc w:val="left"/>
              <w:rPr>
                <w:color w:val="auto"/>
                <w:sz w:val="18"/>
                <w:szCs w:val="8"/>
                <w:highlight w:val="none"/>
              </w:rPr>
            </w:pPr>
          </w:p>
        </w:tc>
        <w:tc>
          <w:tcPr>
            <w:tcW w:w="460" w:type="pct"/>
            <w:vMerge w:val="restart"/>
            <w:shd w:val="clear" w:color="auto" w:fill="auto"/>
          </w:tcPr>
          <w:p w14:paraId="30786F83">
            <w:pPr>
              <w:rPr>
                <w:color w:val="auto"/>
                <w:sz w:val="18"/>
                <w:szCs w:val="8"/>
                <w:highlight w:val="none"/>
              </w:rPr>
            </w:pPr>
            <w:r>
              <w:rPr>
                <w:rFonts w:hint="eastAsia"/>
                <w:color w:val="auto"/>
                <w:sz w:val="18"/>
                <w:szCs w:val="8"/>
                <w:highlight w:val="none"/>
              </w:rPr>
              <w:t>2.6末端执行器</w:t>
            </w:r>
          </w:p>
        </w:tc>
        <w:tc>
          <w:tcPr>
            <w:tcW w:w="3541" w:type="pct"/>
            <w:gridSpan w:val="4"/>
            <w:shd w:val="clear" w:color="auto" w:fill="auto"/>
            <w:vAlign w:val="center"/>
          </w:tcPr>
          <w:p w14:paraId="12C8019F">
            <w:pPr>
              <w:jc w:val="left"/>
              <w:rPr>
                <w:color w:val="auto"/>
                <w:sz w:val="18"/>
                <w:szCs w:val="8"/>
                <w:highlight w:val="none"/>
              </w:rPr>
            </w:pPr>
            <w:r>
              <w:rPr>
                <w:rFonts w:hint="eastAsia"/>
                <w:color w:val="auto"/>
                <w:sz w:val="18"/>
                <w:szCs w:val="8"/>
                <w:highlight w:val="none"/>
              </w:rPr>
              <w:t>1.含电爪安装座</w:t>
            </w:r>
          </w:p>
        </w:tc>
        <w:tc>
          <w:tcPr>
            <w:tcW w:w="404" w:type="pct"/>
            <w:gridSpan w:val="2"/>
            <w:vMerge w:val="continue"/>
            <w:shd w:val="clear" w:color="auto" w:fill="auto"/>
            <w:vAlign w:val="center"/>
          </w:tcPr>
          <w:p w14:paraId="793A1F52">
            <w:pPr>
              <w:jc w:val="left"/>
              <w:rPr>
                <w:color w:val="auto"/>
                <w:sz w:val="18"/>
                <w:szCs w:val="8"/>
                <w:highlight w:val="none"/>
              </w:rPr>
            </w:pPr>
          </w:p>
        </w:tc>
      </w:tr>
      <w:tr w14:paraId="7974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0D560360">
            <w:pPr>
              <w:jc w:val="left"/>
              <w:rPr>
                <w:color w:val="auto"/>
                <w:sz w:val="18"/>
                <w:szCs w:val="8"/>
                <w:highlight w:val="none"/>
              </w:rPr>
            </w:pPr>
          </w:p>
        </w:tc>
        <w:tc>
          <w:tcPr>
            <w:tcW w:w="427" w:type="pct"/>
            <w:vMerge w:val="continue"/>
            <w:shd w:val="clear" w:color="auto" w:fill="auto"/>
            <w:vAlign w:val="center"/>
          </w:tcPr>
          <w:p w14:paraId="5D757098">
            <w:pPr>
              <w:jc w:val="left"/>
              <w:rPr>
                <w:color w:val="auto"/>
                <w:sz w:val="18"/>
                <w:szCs w:val="8"/>
                <w:highlight w:val="none"/>
              </w:rPr>
            </w:pPr>
          </w:p>
        </w:tc>
        <w:tc>
          <w:tcPr>
            <w:tcW w:w="460" w:type="pct"/>
            <w:vMerge w:val="continue"/>
            <w:shd w:val="clear" w:color="auto" w:fill="auto"/>
          </w:tcPr>
          <w:p w14:paraId="3F292157">
            <w:pPr>
              <w:jc w:val="left"/>
              <w:rPr>
                <w:color w:val="auto"/>
                <w:sz w:val="18"/>
                <w:szCs w:val="8"/>
                <w:highlight w:val="none"/>
              </w:rPr>
            </w:pPr>
          </w:p>
        </w:tc>
        <w:tc>
          <w:tcPr>
            <w:tcW w:w="3541" w:type="pct"/>
            <w:gridSpan w:val="4"/>
            <w:shd w:val="clear" w:color="auto" w:fill="auto"/>
            <w:vAlign w:val="center"/>
          </w:tcPr>
          <w:p w14:paraId="26E94B4D">
            <w:pPr>
              <w:jc w:val="left"/>
              <w:rPr>
                <w:color w:val="auto"/>
                <w:sz w:val="18"/>
                <w:szCs w:val="8"/>
                <w:highlight w:val="none"/>
              </w:rPr>
            </w:pPr>
            <w:r>
              <w:rPr>
                <w:rFonts w:hint="eastAsia"/>
                <w:color w:val="auto"/>
                <w:sz w:val="18"/>
                <w:szCs w:val="8"/>
                <w:highlight w:val="none"/>
              </w:rPr>
              <w:t>2.最大夹持力：≥450N</w:t>
            </w:r>
          </w:p>
        </w:tc>
        <w:tc>
          <w:tcPr>
            <w:tcW w:w="404" w:type="pct"/>
            <w:gridSpan w:val="2"/>
            <w:vMerge w:val="continue"/>
            <w:shd w:val="clear" w:color="auto" w:fill="auto"/>
            <w:vAlign w:val="center"/>
          </w:tcPr>
          <w:p w14:paraId="673799F6">
            <w:pPr>
              <w:jc w:val="left"/>
              <w:rPr>
                <w:color w:val="auto"/>
                <w:sz w:val="18"/>
                <w:szCs w:val="8"/>
                <w:highlight w:val="none"/>
              </w:rPr>
            </w:pPr>
          </w:p>
        </w:tc>
      </w:tr>
      <w:tr w14:paraId="6B01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724B59AD">
            <w:pPr>
              <w:jc w:val="left"/>
              <w:rPr>
                <w:color w:val="auto"/>
                <w:sz w:val="18"/>
                <w:szCs w:val="8"/>
                <w:highlight w:val="none"/>
              </w:rPr>
            </w:pPr>
          </w:p>
        </w:tc>
        <w:tc>
          <w:tcPr>
            <w:tcW w:w="427" w:type="pct"/>
            <w:vMerge w:val="continue"/>
            <w:shd w:val="clear" w:color="auto" w:fill="auto"/>
            <w:vAlign w:val="center"/>
          </w:tcPr>
          <w:p w14:paraId="0EF71A8B">
            <w:pPr>
              <w:jc w:val="left"/>
              <w:rPr>
                <w:color w:val="auto"/>
                <w:sz w:val="18"/>
                <w:szCs w:val="8"/>
                <w:highlight w:val="none"/>
              </w:rPr>
            </w:pPr>
          </w:p>
        </w:tc>
        <w:tc>
          <w:tcPr>
            <w:tcW w:w="460" w:type="pct"/>
            <w:vMerge w:val="continue"/>
            <w:shd w:val="clear" w:color="auto" w:fill="auto"/>
          </w:tcPr>
          <w:p w14:paraId="195096A9">
            <w:pPr>
              <w:jc w:val="left"/>
              <w:rPr>
                <w:color w:val="auto"/>
                <w:sz w:val="18"/>
                <w:szCs w:val="8"/>
                <w:highlight w:val="none"/>
              </w:rPr>
            </w:pPr>
          </w:p>
        </w:tc>
        <w:tc>
          <w:tcPr>
            <w:tcW w:w="3541" w:type="pct"/>
            <w:gridSpan w:val="4"/>
            <w:shd w:val="clear" w:color="auto" w:fill="auto"/>
            <w:vAlign w:val="center"/>
          </w:tcPr>
          <w:p w14:paraId="05921DCC">
            <w:pPr>
              <w:jc w:val="left"/>
              <w:rPr>
                <w:color w:val="auto"/>
                <w:sz w:val="18"/>
                <w:szCs w:val="8"/>
                <w:highlight w:val="none"/>
              </w:rPr>
            </w:pPr>
            <w:r>
              <w:rPr>
                <w:rFonts w:hint="eastAsia"/>
                <w:color w:val="auto"/>
                <w:sz w:val="18"/>
                <w:szCs w:val="8"/>
                <w:highlight w:val="none"/>
              </w:rPr>
              <w:t>3.单指行程：≥16mm</w:t>
            </w:r>
          </w:p>
        </w:tc>
        <w:tc>
          <w:tcPr>
            <w:tcW w:w="404" w:type="pct"/>
            <w:gridSpan w:val="2"/>
            <w:vMerge w:val="continue"/>
            <w:shd w:val="clear" w:color="auto" w:fill="auto"/>
            <w:vAlign w:val="center"/>
          </w:tcPr>
          <w:p w14:paraId="364D5597">
            <w:pPr>
              <w:jc w:val="left"/>
              <w:rPr>
                <w:color w:val="auto"/>
                <w:sz w:val="18"/>
                <w:szCs w:val="8"/>
                <w:highlight w:val="none"/>
              </w:rPr>
            </w:pPr>
          </w:p>
        </w:tc>
      </w:tr>
      <w:tr w14:paraId="14DD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1B2998FB">
            <w:pPr>
              <w:jc w:val="left"/>
              <w:rPr>
                <w:color w:val="auto"/>
                <w:sz w:val="18"/>
                <w:szCs w:val="8"/>
                <w:highlight w:val="none"/>
              </w:rPr>
            </w:pPr>
          </w:p>
        </w:tc>
        <w:tc>
          <w:tcPr>
            <w:tcW w:w="427" w:type="pct"/>
            <w:vMerge w:val="continue"/>
            <w:shd w:val="clear" w:color="auto" w:fill="auto"/>
            <w:vAlign w:val="center"/>
          </w:tcPr>
          <w:p w14:paraId="5E55E8A3">
            <w:pPr>
              <w:jc w:val="left"/>
              <w:rPr>
                <w:color w:val="auto"/>
                <w:sz w:val="18"/>
                <w:szCs w:val="8"/>
                <w:highlight w:val="none"/>
              </w:rPr>
            </w:pPr>
          </w:p>
        </w:tc>
        <w:tc>
          <w:tcPr>
            <w:tcW w:w="460" w:type="pct"/>
            <w:vMerge w:val="continue"/>
            <w:shd w:val="clear" w:color="auto" w:fill="auto"/>
          </w:tcPr>
          <w:p w14:paraId="64D00D32">
            <w:pPr>
              <w:jc w:val="left"/>
              <w:rPr>
                <w:color w:val="auto"/>
                <w:sz w:val="18"/>
                <w:szCs w:val="8"/>
                <w:highlight w:val="none"/>
              </w:rPr>
            </w:pPr>
          </w:p>
        </w:tc>
        <w:tc>
          <w:tcPr>
            <w:tcW w:w="3541" w:type="pct"/>
            <w:gridSpan w:val="4"/>
            <w:shd w:val="clear" w:color="auto" w:fill="auto"/>
            <w:vAlign w:val="center"/>
          </w:tcPr>
          <w:p w14:paraId="32B9C800">
            <w:pPr>
              <w:jc w:val="left"/>
              <w:rPr>
                <w:color w:val="auto"/>
                <w:sz w:val="18"/>
                <w:szCs w:val="8"/>
                <w:highlight w:val="none"/>
              </w:rPr>
            </w:pPr>
            <w:r>
              <w:rPr>
                <w:rFonts w:hint="eastAsia"/>
                <w:color w:val="auto"/>
                <w:sz w:val="18"/>
                <w:szCs w:val="8"/>
                <w:highlight w:val="none"/>
              </w:rPr>
              <w:t>4.重复精度：≤0.01mm</w:t>
            </w:r>
          </w:p>
        </w:tc>
        <w:tc>
          <w:tcPr>
            <w:tcW w:w="404" w:type="pct"/>
            <w:gridSpan w:val="2"/>
            <w:vMerge w:val="continue"/>
            <w:shd w:val="clear" w:color="auto" w:fill="auto"/>
            <w:vAlign w:val="center"/>
          </w:tcPr>
          <w:p w14:paraId="5157F66D">
            <w:pPr>
              <w:jc w:val="left"/>
              <w:rPr>
                <w:color w:val="auto"/>
                <w:sz w:val="18"/>
                <w:szCs w:val="8"/>
                <w:highlight w:val="none"/>
              </w:rPr>
            </w:pPr>
          </w:p>
        </w:tc>
      </w:tr>
      <w:tr w14:paraId="6516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31A8B6A2">
            <w:pPr>
              <w:jc w:val="left"/>
              <w:rPr>
                <w:color w:val="auto"/>
                <w:sz w:val="18"/>
                <w:szCs w:val="8"/>
                <w:highlight w:val="none"/>
              </w:rPr>
            </w:pPr>
          </w:p>
        </w:tc>
        <w:tc>
          <w:tcPr>
            <w:tcW w:w="427" w:type="pct"/>
            <w:vMerge w:val="continue"/>
            <w:shd w:val="clear" w:color="auto" w:fill="auto"/>
            <w:vAlign w:val="center"/>
          </w:tcPr>
          <w:p w14:paraId="55202D97">
            <w:pPr>
              <w:jc w:val="left"/>
              <w:rPr>
                <w:color w:val="auto"/>
                <w:sz w:val="18"/>
                <w:szCs w:val="8"/>
                <w:highlight w:val="none"/>
              </w:rPr>
            </w:pPr>
          </w:p>
        </w:tc>
        <w:tc>
          <w:tcPr>
            <w:tcW w:w="460" w:type="pct"/>
            <w:vMerge w:val="continue"/>
            <w:shd w:val="clear" w:color="auto" w:fill="auto"/>
          </w:tcPr>
          <w:p w14:paraId="6BA48128">
            <w:pPr>
              <w:jc w:val="left"/>
              <w:rPr>
                <w:color w:val="auto"/>
                <w:sz w:val="18"/>
                <w:szCs w:val="8"/>
                <w:highlight w:val="none"/>
              </w:rPr>
            </w:pPr>
          </w:p>
        </w:tc>
        <w:tc>
          <w:tcPr>
            <w:tcW w:w="3541" w:type="pct"/>
            <w:gridSpan w:val="4"/>
            <w:shd w:val="clear" w:color="auto" w:fill="auto"/>
            <w:vAlign w:val="center"/>
          </w:tcPr>
          <w:p w14:paraId="21ED7F81">
            <w:pPr>
              <w:jc w:val="left"/>
              <w:rPr>
                <w:color w:val="auto"/>
                <w:sz w:val="18"/>
                <w:szCs w:val="8"/>
                <w:highlight w:val="none"/>
              </w:rPr>
            </w:pPr>
            <w:r>
              <w:rPr>
                <w:rFonts w:hint="eastAsia"/>
                <w:color w:val="auto"/>
                <w:sz w:val="18"/>
                <w:szCs w:val="8"/>
                <w:highlight w:val="none"/>
              </w:rPr>
              <w:t>5.自重：≥0.9kg</w:t>
            </w:r>
          </w:p>
        </w:tc>
        <w:tc>
          <w:tcPr>
            <w:tcW w:w="404" w:type="pct"/>
            <w:gridSpan w:val="2"/>
            <w:vMerge w:val="continue"/>
            <w:shd w:val="clear" w:color="auto" w:fill="auto"/>
            <w:vAlign w:val="center"/>
          </w:tcPr>
          <w:p w14:paraId="292BE420">
            <w:pPr>
              <w:jc w:val="left"/>
              <w:rPr>
                <w:color w:val="auto"/>
                <w:sz w:val="18"/>
                <w:szCs w:val="8"/>
                <w:highlight w:val="none"/>
              </w:rPr>
            </w:pPr>
          </w:p>
        </w:tc>
      </w:tr>
      <w:tr w14:paraId="53E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731A0498">
            <w:pPr>
              <w:jc w:val="left"/>
              <w:rPr>
                <w:color w:val="auto"/>
                <w:sz w:val="18"/>
                <w:szCs w:val="8"/>
                <w:highlight w:val="none"/>
              </w:rPr>
            </w:pPr>
          </w:p>
        </w:tc>
        <w:tc>
          <w:tcPr>
            <w:tcW w:w="427" w:type="pct"/>
            <w:vMerge w:val="continue"/>
            <w:shd w:val="clear" w:color="auto" w:fill="auto"/>
            <w:vAlign w:val="center"/>
          </w:tcPr>
          <w:p w14:paraId="29DEBF2E">
            <w:pPr>
              <w:jc w:val="left"/>
              <w:rPr>
                <w:color w:val="auto"/>
                <w:sz w:val="18"/>
                <w:szCs w:val="8"/>
                <w:highlight w:val="none"/>
              </w:rPr>
            </w:pPr>
          </w:p>
        </w:tc>
        <w:tc>
          <w:tcPr>
            <w:tcW w:w="460" w:type="pct"/>
            <w:vMerge w:val="continue"/>
            <w:shd w:val="clear" w:color="auto" w:fill="auto"/>
          </w:tcPr>
          <w:p w14:paraId="59FDCECB">
            <w:pPr>
              <w:jc w:val="left"/>
              <w:rPr>
                <w:color w:val="auto"/>
                <w:sz w:val="18"/>
                <w:szCs w:val="8"/>
                <w:highlight w:val="none"/>
              </w:rPr>
            </w:pPr>
          </w:p>
        </w:tc>
        <w:tc>
          <w:tcPr>
            <w:tcW w:w="3541" w:type="pct"/>
            <w:gridSpan w:val="4"/>
            <w:shd w:val="clear" w:color="auto" w:fill="auto"/>
            <w:vAlign w:val="center"/>
          </w:tcPr>
          <w:p w14:paraId="20F5D513">
            <w:pPr>
              <w:jc w:val="left"/>
              <w:rPr>
                <w:color w:val="auto"/>
                <w:sz w:val="18"/>
                <w:szCs w:val="8"/>
                <w:highlight w:val="none"/>
              </w:rPr>
            </w:pPr>
            <w:r>
              <w:rPr>
                <w:rFonts w:hint="eastAsia"/>
                <w:color w:val="auto"/>
                <w:sz w:val="18"/>
                <w:szCs w:val="8"/>
                <w:highlight w:val="none"/>
              </w:rPr>
              <w:t>6.尺寸：≥L148*W80*H39mm</w:t>
            </w:r>
          </w:p>
        </w:tc>
        <w:tc>
          <w:tcPr>
            <w:tcW w:w="404" w:type="pct"/>
            <w:gridSpan w:val="2"/>
            <w:vMerge w:val="continue"/>
            <w:shd w:val="clear" w:color="auto" w:fill="auto"/>
            <w:vAlign w:val="center"/>
          </w:tcPr>
          <w:p w14:paraId="08BE718D">
            <w:pPr>
              <w:jc w:val="left"/>
              <w:rPr>
                <w:color w:val="auto"/>
                <w:sz w:val="18"/>
                <w:szCs w:val="8"/>
                <w:highlight w:val="none"/>
              </w:rPr>
            </w:pPr>
          </w:p>
        </w:tc>
      </w:tr>
      <w:tr w14:paraId="677B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07" w:hRule="atLeast"/>
          <w:jc w:val="center"/>
        </w:trPr>
        <w:tc>
          <w:tcPr>
            <w:tcW w:w="157" w:type="pct"/>
            <w:vMerge w:val="continue"/>
            <w:shd w:val="clear" w:color="auto" w:fill="auto"/>
            <w:vAlign w:val="center"/>
          </w:tcPr>
          <w:p w14:paraId="1DAE067B">
            <w:pPr>
              <w:jc w:val="left"/>
              <w:rPr>
                <w:color w:val="auto"/>
                <w:sz w:val="18"/>
                <w:szCs w:val="8"/>
                <w:highlight w:val="none"/>
              </w:rPr>
            </w:pPr>
          </w:p>
        </w:tc>
        <w:tc>
          <w:tcPr>
            <w:tcW w:w="427" w:type="pct"/>
            <w:vMerge w:val="continue"/>
            <w:shd w:val="clear" w:color="auto" w:fill="auto"/>
            <w:vAlign w:val="center"/>
          </w:tcPr>
          <w:p w14:paraId="63A1F78E">
            <w:pPr>
              <w:jc w:val="left"/>
              <w:rPr>
                <w:color w:val="auto"/>
                <w:sz w:val="18"/>
                <w:szCs w:val="8"/>
                <w:highlight w:val="none"/>
              </w:rPr>
            </w:pPr>
          </w:p>
        </w:tc>
        <w:tc>
          <w:tcPr>
            <w:tcW w:w="460" w:type="pct"/>
            <w:vMerge w:val="restart"/>
            <w:shd w:val="clear" w:color="auto" w:fill="auto"/>
          </w:tcPr>
          <w:p w14:paraId="5A575D4A">
            <w:pPr>
              <w:rPr>
                <w:color w:val="auto"/>
                <w:sz w:val="18"/>
                <w:szCs w:val="8"/>
                <w:highlight w:val="none"/>
              </w:rPr>
            </w:pPr>
            <w:r>
              <w:rPr>
                <w:rFonts w:hint="eastAsia"/>
                <w:color w:val="auto"/>
                <w:sz w:val="18"/>
                <w:szCs w:val="8"/>
                <w:highlight w:val="none"/>
              </w:rPr>
              <w:t>2.7落地料仓</w:t>
            </w:r>
            <w:r>
              <w:rPr>
                <w:rFonts w:hint="eastAsia"/>
                <w:color w:val="auto"/>
                <w:sz w:val="18"/>
                <w:szCs w:val="8"/>
                <w:highlight w:val="none"/>
              </w:rPr>
              <w:tab/>
            </w:r>
          </w:p>
        </w:tc>
        <w:tc>
          <w:tcPr>
            <w:tcW w:w="3541" w:type="pct"/>
            <w:gridSpan w:val="4"/>
            <w:shd w:val="clear" w:color="auto" w:fill="auto"/>
            <w:vAlign w:val="center"/>
          </w:tcPr>
          <w:p w14:paraId="2AB63986">
            <w:pPr>
              <w:jc w:val="left"/>
              <w:rPr>
                <w:color w:val="auto"/>
                <w:sz w:val="18"/>
                <w:szCs w:val="8"/>
                <w:highlight w:val="none"/>
              </w:rPr>
            </w:pPr>
            <w:r>
              <w:rPr>
                <w:rFonts w:hint="eastAsia"/>
                <w:color w:val="auto"/>
                <w:sz w:val="18"/>
                <w:szCs w:val="8"/>
                <w:highlight w:val="none"/>
              </w:rPr>
              <w:t>1.▲方形工件：工件长度：≥0-140mm;工件宽度：≥0-150mm;工件高度：≥0-85mm</w:t>
            </w:r>
          </w:p>
        </w:tc>
        <w:tc>
          <w:tcPr>
            <w:tcW w:w="404" w:type="pct"/>
            <w:gridSpan w:val="2"/>
            <w:vMerge w:val="continue"/>
            <w:shd w:val="clear" w:color="auto" w:fill="auto"/>
            <w:vAlign w:val="center"/>
          </w:tcPr>
          <w:p w14:paraId="0602906A">
            <w:pPr>
              <w:jc w:val="left"/>
              <w:rPr>
                <w:color w:val="auto"/>
                <w:sz w:val="18"/>
                <w:szCs w:val="8"/>
                <w:highlight w:val="none"/>
              </w:rPr>
            </w:pPr>
          </w:p>
        </w:tc>
      </w:tr>
      <w:tr w14:paraId="348B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07" w:hRule="atLeast"/>
          <w:jc w:val="center"/>
        </w:trPr>
        <w:tc>
          <w:tcPr>
            <w:tcW w:w="157" w:type="pct"/>
            <w:vMerge w:val="continue"/>
            <w:shd w:val="clear" w:color="auto" w:fill="auto"/>
            <w:vAlign w:val="center"/>
          </w:tcPr>
          <w:p w14:paraId="33437CB9">
            <w:pPr>
              <w:jc w:val="left"/>
              <w:rPr>
                <w:color w:val="auto"/>
                <w:sz w:val="18"/>
                <w:szCs w:val="8"/>
                <w:highlight w:val="none"/>
              </w:rPr>
            </w:pPr>
          </w:p>
        </w:tc>
        <w:tc>
          <w:tcPr>
            <w:tcW w:w="427" w:type="pct"/>
            <w:vMerge w:val="continue"/>
            <w:shd w:val="clear" w:color="auto" w:fill="auto"/>
            <w:vAlign w:val="center"/>
          </w:tcPr>
          <w:p w14:paraId="093F7BED">
            <w:pPr>
              <w:jc w:val="left"/>
              <w:rPr>
                <w:color w:val="auto"/>
                <w:sz w:val="18"/>
                <w:szCs w:val="8"/>
                <w:highlight w:val="none"/>
              </w:rPr>
            </w:pPr>
          </w:p>
        </w:tc>
        <w:tc>
          <w:tcPr>
            <w:tcW w:w="460" w:type="pct"/>
            <w:vMerge w:val="continue"/>
            <w:shd w:val="clear" w:color="auto" w:fill="auto"/>
          </w:tcPr>
          <w:p w14:paraId="1F8FEE03">
            <w:pPr>
              <w:jc w:val="left"/>
              <w:rPr>
                <w:color w:val="auto"/>
                <w:sz w:val="18"/>
                <w:szCs w:val="8"/>
                <w:highlight w:val="none"/>
              </w:rPr>
            </w:pPr>
          </w:p>
        </w:tc>
        <w:tc>
          <w:tcPr>
            <w:tcW w:w="3541" w:type="pct"/>
            <w:gridSpan w:val="4"/>
            <w:shd w:val="clear" w:color="auto" w:fill="auto"/>
            <w:vAlign w:val="center"/>
          </w:tcPr>
          <w:p w14:paraId="1D4DFC6C">
            <w:pPr>
              <w:jc w:val="left"/>
              <w:rPr>
                <w:color w:val="auto"/>
                <w:sz w:val="18"/>
                <w:szCs w:val="8"/>
                <w:highlight w:val="none"/>
              </w:rPr>
            </w:pPr>
            <w:r>
              <w:rPr>
                <w:rFonts w:hint="eastAsia"/>
                <w:color w:val="auto"/>
                <w:sz w:val="18"/>
                <w:szCs w:val="8"/>
                <w:highlight w:val="none"/>
              </w:rPr>
              <w:t>2.圆形工件：工件直径：≥0-Φ140</w:t>
            </w:r>
            <w:r>
              <w:rPr>
                <w:rFonts w:hint="eastAsia"/>
                <w:color w:val="auto"/>
                <w:sz w:val="18"/>
                <w:szCs w:val="8"/>
                <w:highlight w:val="none"/>
                <w:lang w:val="en-US" w:eastAsia="zh-CN"/>
              </w:rPr>
              <w:t>mm</w:t>
            </w:r>
            <w:r>
              <w:rPr>
                <w:rFonts w:hint="eastAsia"/>
                <w:color w:val="auto"/>
                <w:sz w:val="18"/>
                <w:szCs w:val="8"/>
                <w:highlight w:val="none"/>
              </w:rPr>
              <w:t>;工件长度：≥0-85mm</w:t>
            </w:r>
          </w:p>
        </w:tc>
        <w:tc>
          <w:tcPr>
            <w:tcW w:w="404" w:type="pct"/>
            <w:gridSpan w:val="2"/>
            <w:vMerge w:val="continue"/>
            <w:shd w:val="clear" w:color="auto" w:fill="auto"/>
            <w:vAlign w:val="center"/>
          </w:tcPr>
          <w:p w14:paraId="24E2AD95">
            <w:pPr>
              <w:jc w:val="left"/>
              <w:rPr>
                <w:color w:val="auto"/>
                <w:sz w:val="18"/>
                <w:szCs w:val="8"/>
                <w:highlight w:val="none"/>
              </w:rPr>
            </w:pPr>
          </w:p>
        </w:tc>
      </w:tr>
      <w:tr w14:paraId="3CFC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7325C098">
            <w:pPr>
              <w:jc w:val="left"/>
              <w:rPr>
                <w:color w:val="auto"/>
                <w:sz w:val="18"/>
                <w:szCs w:val="8"/>
                <w:highlight w:val="none"/>
              </w:rPr>
            </w:pPr>
          </w:p>
        </w:tc>
        <w:tc>
          <w:tcPr>
            <w:tcW w:w="427" w:type="pct"/>
            <w:vMerge w:val="continue"/>
            <w:shd w:val="clear" w:color="auto" w:fill="auto"/>
            <w:vAlign w:val="center"/>
          </w:tcPr>
          <w:p w14:paraId="0D2FF0DA">
            <w:pPr>
              <w:jc w:val="left"/>
              <w:rPr>
                <w:color w:val="auto"/>
                <w:sz w:val="18"/>
                <w:szCs w:val="8"/>
                <w:highlight w:val="none"/>
              </w:rPr>
            </w:pPr>
          </w:p>
        </w:tc>
        <w:tc>
          <w:tcPr>
            <w:tcW w:w="460" w:type="pct"/>
            <w:vMerge w:val="restart"/>
            <w:shd w:val="clear" w:color="auto" w:fill="auto"/>
          </w:tcPr>
          <w:p w14:paraId="5D54B724">
            <w:pPr>
              <w:rPr>
                <w:color w:val="auto"/>
                <w:sz w:val="18"/>
                <w:szCs w:val="8"/>
                <w:highlight w:val="none"/>
              </w:rPr>
            </w:pPr>
            <w:r>
              <w:rPr>
                <w:rFonts w:hint="eastAsia"/>
                <w:color w:val="auto"/>
                <w:sz w:val="18"/>
                <w:szCs w:val="8"/>
                <w:highlight w:val="none"/>
              </w:rPr>
              <w:t>2.8落地式特征组件</w:t>
            </w:r>
            <w:r>
              <w:rPr>
                <w:rFonts w:hint="eastAsia"/>
                <w:color w:val="auto"/>
                <w:sz w:val="18"/>
                <w:szCs w:val="8"/>
                <w:highlight w:val="none"/>
              </w:rPr>
              <w:tab/>
            </w:r>
          </w:p>
        </w:tc>
        <w:tc>
          <w:tcPr>
            <w:tcW w:w="3541" w:type="pct"/>
            <w:gridSpan w:val="4"/>
            <w:shd w:val="clear" w:color="auto" w:fill="auto"/>
            <w:vAlign w:val="center"/>
          </w:tcPr>
          <w:p w14:paraId="51338182">
            <w:pPr>
              <w:jc w:val="left"/>
              <w:rPr>
                <w:color w:val="auto"/>
                <w:sz w:val="18"/>
                <w:szCs w:val="8"/>
                <w:highlight w:val="none"/>
              </w:rPr>
            </w:pPr>
            <w:r>
              <w:rPr>
                <w:rFonts w:hint="eastAsia"/>
                <w:color w:val="auto"/>
                <w:sz w:val="18"/>
                <w:szCs w:val="8"/>
                <w:highlight w:val="none"/>
              </w:rPr>
              <w:t>1.尺寸LxWxH: ≥450</w:t>
            </w:r>
            <w:r>
              <w:rPr>
                <w:rFonts w:hint="eastAsia"/>
                <w:color w:val="auto"/>
                <w:sz w:val="18"/>
                <w:szCs w:val="8"/>
                <w:highlight w:val="none"/>
                <w:lang w:val="en-US" w:eastAsia="zh-CN"/>
              </w:rPr>
              <w:t>mm</w:t>
            </w:r>
            <w:r>
              <w:rPr>
                <w:rFonts w:hint="eastAsia"/>
                <w:color w:val="auto"/>
                <w:sz w:val="18"/>
                <w:szCs w:val="8"/>
                <w:highlight w:val="none"/>
              </w:rPr>
              <w:t>x200</w:t>
            </w:r>
            <w:r>
              <w:rPr>
                <w:rFonts w:hint="eastAsia"/>
                <w:color w:val="auto"/>
                <w:sz w:val="18"/>
                <w:szCs w:val="8"/>
                <w:highlight w:val="none"/>
                <w:lang w:val="en-US" w:eastAsia="zh-CN"/>
              </w:rPr>
              <w:t>mm</w:t>
            </w:r>
            <w:r>
              <w:rPr>
                <w:rFonts w:hint="eastAsia"/>
                <w:color w:val="auto"/>
                <w:sz w:val="18"/>
                <w:szCs w:val="8"/>
                <w:highlight w:val="none"/>
              </w:rPr>
              <w:t>x75</w:t>
            </w:r>
            <w:r>
              <w:rPr>
                <w:rFonts w:hint="eastAsia"/>
                <w:color w:val="auto"/>
                <w:sz w:val="18"/>
                <w:szCs w:val="8"/>
                <w:highlight w:val="none"/>
                <w:lang w:val="en-US" w:eastAsia="zh-CN"/>
              </w:rPr>
              <w:t>mm</w:t>
            </w:r>
          </w:p>
        </w:tc>
        <w:tc>
          <w:tcPr>
            <w:tcW w:w="404" w:type="pct"/>
            <w:gridSpan w:val="2"/>
            <w:vMerge w:val="continue"/>
            <w:shd w:val="clear" w:color="auto" w:fill="auto"/>
            <w:vAlign w:val="center"/>
          </w:tcPr>
          <w:p w14:paraId="086B2B7E">
            <w:pPr>
              <w:jc w:val="left"/>
              <w:rPr>
                <w:color w:val="auto"/>
                <w:sz w:val="18"/>
                <w:szCs w:val="8"/>
                <w:highlight w:val="none"/>
              </w:rPr>
            </w:pPr>
          </w:p>
        </w:tc>
      </w:tr>
      <w:tr w14:paraId="43C32E15">
        <w:tblPrEx>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5FA95A4C">
            <w:pPr>
              <w:jc w:val="left"/>
              <w:rPr>
                <w:color w:val="auto"/>
                <w:highlight w:val="none"/>
              </w:rPr>
            </w:pPr>
          </w:p>
        </w:tc>
        <w:tc>
          <w:tcPr>
            <w:tcW w:w="427" w:type="pct"/>
            <w:vMerge w:val="continue"/>
            <w:shd w:val="clear" w:color="auto" w:fill="auto"/>
            <w:vAlign w:val="center"/>
          </w:tcPr>
          <w:p w14:paraId="340C1F44">
            <w:pPr>
              <w:jc w:val="left"/>
              <w:rPr>
                <w:color w:val="auto"/>
                <w:highlight w:val="none"/>
              </w:rPr>
            </w:pPr>
          </w:p>
        </w:tc>
        <w:tc>
          <w:tcPr>
            <w:tcW w:w="460" w:type="pct"/>
            <w:vMerge w:val="continue"/>
            <w:shd w:val="clear" w:color="auto" w:fill="auto"/>
          </w:tcPr>
          <w:p w14:paraId="79586F3A">
            <w:pPr>
              <w:jc w:val="left"/>
              <w:rPr>
                <w:color w:val="auto"/>
                <w:highlight w:val="none"/>
              </w:rPr>
            </w:pPr>
          </w:p>
        </w:tc>
        <w:tc>
          <w:tcPr>
            <w:tcW w:w="3541" w:type="pct"/>
            <w:gridSpan w:val="4"/>
            <w:shd w:val="clear" w:color="auto" w:fill="auto"/>
            <w:vAlign w:val="center"/>
          </w:tcPr>
          <w:p w14:paraId="666CACA8">
            <w:pPr>
              <w:jc w:val="left"/>
              <w:rPr>
                <w:rFonts w:hint="default" w:eastAsia="宋体"/>
                <w:color w:val="auto"/>
                <w:sz w:val="18"/>
                <w:szCs w:val="8"/>
                <w:highlight w:val="none"/>
                <w:lang w:val="en-US" w:eastAsia="zh-CN"/>
              </w:rPr>
            </w:pPr>
            <w:r>
              <w:rPr>
                <w:rFonts w:hint="eastAsia"/>
                <w:color w:val="auto"/>
                <w:sz w:val="18"/>
                <w:szCs w:val="8"/>
                <w:highlight w:val="none"/>
                <w:lang w:val="en-US" w:eastAsia="zh-CN"/>
              </w:rPr>
              <w:t>2.V形设计的特征组件用于移动机器人进行激光引导</w:t>
            </w:r>
          </w:p>
        </w:tc>
        <w:tc>
          <w:tcPr>
            <w:tcW w:w="404" w:type="pct"/>
            <w:gridSpan w:val="2"/>
            <w:vMerge w:val="continue"/>
            <w:shd w:val="clear" w:color="auto" w:fill="auto"/>
            <w:vAlign w:val="center"/>
          </w:tcPr>
          <w:p w14:paraId="27189A9E">
            <w:pPr>
              <w:jc w:val="left"/>
              <w:rPr>
                <w:rFonts w:hint="eastAsia"/>
                <w:color w:val="auto"/>
                <w:sz w:val="18"/>
                <w:szCs w:val="8"/>
                <w:highlight w:val="none"/>
              </w:rPr>
            </w:pPr>
          </w:p>
        </w:tc>
      </w:tr>
      <w:tr w14:paraId="7ABA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35637314">
            <w:pPr>
              <w:jc w:val="left"/>
              <w:rPr>
                <w:rFonts w:hint="eastAsia"/>
                <w:color w:val="auto"/>
                <w:sz w:val="18"/>
                <w:szCs w:val="8"/>
                <w:highlight w:val="none"/>
              </w:rPr>
            </w:pPr>
          </w:p>
        </w:tc>
        <w:tc>
          <w:tcPr>
            <w:tcW w:w="427" w:type="pct"/>
            <w:vMerge w:val="continue"/>
            <w:shd w:val="clear" w:color="auto" w:fill="auto"/>
            <w:vAlign w:val="center"/>
          </w:tcPr>
          <w:p w14:paraId="45DA594A">
            <w:pPr>
              <w:jc w:val="left"/>
              <w:rPr>
                <w:rFonts w:hint="eastAsia"/>
                <w:color w:val="auto"/>
                <w:sz w:val="18"/>
                <w:szCs w:val="8"/>
                <w:highlight w:val="none"/>
              </w:rPr>
            </w:pPr>
          </w:p>
        </w:tc>
        <w:tc>
          <w:tcPr>
            <w:tcW w:w="460" w:type="pct"/>
            <w:vMerge w:val="continue"/>
            <w:shd w:val="clear" w:color="auto" w:fill="auto"/>
          </w:tcPr>
          <w:p w14:paraId="2235A37A">
            <w:pPr>
              <w:jc w:val="left"/>
              <w:rPr>
                <w:rFonts w:hint="eastAsia"/>
                <w:color w:val="auto"/>
                <w:sz w:val="18"/>
                <w:szCs w:val="8"/>
                <w:highlight w:val="none"/>
              </w:rPr>
            </w:pPr>
          </w:p>
        </w:tc>
        <w:tc>
          <w:tcPr>
            <w:tcW w:w="3541" w:type="pct"/>
            <w:gridSpan w:val="4"/>
            <w:shd w:val="clear" w:color="auto" w:fill="auto"/>
            <w:vAlign w:val="center"/>
          </w:tcPr>
          <w:p w14:paraId="4EAAD55C">
            <w:pPr>
              <w:jc w:val="left"/>
              <w:rPr>
                <w:rFonts w:hint="default" w:eastAsia="宋体"/>
                <w:color w:val="auto"/>
                <w:sz w:val="18"/>
                <w:szCs w:val="8"/>
                <w:highlight w:val="none"/>
                <w:lang w:val="en-US" w:eastAsia="zh-CN"/>
              </w:rPr>
            </w:pPr>
            <w:r>
              <w:rPr>
                <w:rFonts w:hint="eastAsia"/>
                <w:color w:val="auto"/>
                <w:sz w:val="18"/>
                <w:szCs w:val="8"/>
                <w:highlight w:val="none"/>
                <w:lang w:val="en-US" w:eastAsia="zh-CN"/>
              </w:rPr>
              <w:t>3.手动调整高度适配不同类型复合移动机器人，调整范围</w:t>
            </w:r>
            <w:r>
              <w:rPr>
                <w:rFonts w:hint="eastAsia"/>
                <w:color w:val="auto"/>
                <w:sz w:val="18"/>
                <w:szCs w:val="8"/>
                <w:highlight w:val="none"/>
              </w:rPr>
              <w:t>≥</w:t>
            </w:r>
            <w:r>
              <w:rPr>
                <w:rFonts w:hint="eastAsia"/>
                <w:color w:val="auto"/>
                <w:sz w:val="18"/>
                <w:szCs w:val="8"/>
                <w:highlight w:val="none"/>
                <w:lang w:val="en-US" w:eastAsia="zh-CN"/>
              </w:rPr>
              <w:t>50mm</w:t>
            </w:r>
          </w:p>
        </w:tc>
        <w:tc>
          <w:tcPr>
            <w:tcW w:w="404" w:type="pct"/>
            <w:gridSpan w:val="2"/>
            <w:vMerge w:val="continue"/>
            <w:shd w:val="clear" w:color="auto" w:fill="auto"/>
            <w:vAlign w:val="center"/>
          </w:tcPr>
          <w:p w14:paraId="29484A17">
            <w:pPr>
              <w:jc w:val="left"/>
              <w:rPr>
                <w:rFonts w:hint="eastAsia"/>
                <w:color w:val="auto"/>
                <w:sz w:val="18"/>
                <w:szCs w:val="8"/>
                <w:highlight w:val="none"/>
              </w:rPr>
            </w:pPr>
          </w:p>
        </w:tc>
      </w:tr>
      <w:tr w14:paraId="6EC5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0C2743B8">
            <w:pPr>
              <w:jc w:val="left"/>
              <w:rPr>
                <w:rFonts w:hint="eastAsia"/>
                <w:color w:val="auto"/>
                <w:sz w:val="18"/>
                <w:szCs w:val="8"/>
                <w:highlight w:val="none"/>
              </w:rPr>
            </w:pPr>
          </w:p>
        </w:tc>
        <w:tc>
          <w:tcPr>
            <w:tcW w:w="427" w:type="pct"/>
            <w:vMerge w:val="continue"/>
            <w:shd w:val="clear" w:color="auto" w:fill="auto"/>
            <w:vAlign w:val="center"/>
          </w:tcPr>
          <w:p w14:paraId="357A65D6">
            <w:pPr>
              <w:jc w:val="left"/>
              <w:rPr>
                <w:rFonts w:hint="eastAsia"/>
                <w:color w:val="auto"/>
                <w:sz w:val="18"/>
                <w:szCs w:val="8"/>
                <w:highlight w:val="none"/>
              </w:rPr>
            </w:pPr>
          </w:p>
        </w:tc>
        <w:tc>
          <w:tcPr>
            <w:tcW w:w="460" w:type="pct"/>
            <w:vMerge w:val="continue"/>
            <w:shd w:val="clear" w:color="auto" w:fill="auto"/>
          </w:tcPr>
          <w:p w14:paraId="5EF333B6">
            <w:pPr>
              <w:jc w:val="left"/>
              <w:rPr>
                <w:rFonts w:hint="eastAsia"/>
                <w:color w:val="auto"/>
                <w:sz w:val="18"/>
                <w:szCs w:val="8"/>
                <w:highlight w:val="none"/>
              </w:rPr>
            </w:pPr>
          </w:p>
        </w:tc>
        <w:tc>
          <w:tcPr>
            <w:tcW w:w="3541" w:type="pct"/>
            <w:gridSpan w:val="4"/>
            <w:shd w:val="clear" w:color="auto" w:fill="auto"/>
            <w:vAlign w:val="center"/>
          </w:tcPr>
          <w:p w14:paraId="12E95462">
            <w:pPr>
              <w:jc w:val="left"/>
              <w:rPr>
                <w:rFonts w:hint="default" w:eastAsia="宋体"/>
                <w:color w:val="auto"/>
                <w:sz w:val="18"/>
                <w:szCs w:val="8"/>
                <w:highlight w:val="none"/>
                <w:lang w:val="en-US" w:eastAsia="zh-CN"/>
              </w:rPr>
            </w:pPr>
            <w:r>
              <w:rPr>
                <w:rFonts w:hint="eastAsia"/>
                <w:color w:val="auto"/>
                <w:sz w:val="18"/>
                <w:szCs w:val="8"/>
                <w:highlight w:val="none"/>
                <w:lang w:val="en-US" w:eastAsia="zh-CN"/>
              </w:rPr>
              <w:t>4.</w:t>
            </w:r>
            <w:r>
              <w:rPr>
                <w:rFonts w:hint="eastAsia"/>
                <w:color w:val="auto"/>
                <w:sz w:val="18"/>
                <w:szCs w:val="8"/>
                <w:highlight w:val="none"/>
              </w:rPr>
              <w:t>含二维码标签贴纸不少于1套</w:t>
            </w:r>
          </w:p>
        </w:tc>
        <w:tc>
          <w:tcPr>
            <w:tcW w:w="404" w:type="pct"/>
            <w:gridSpan w:val="2"/>
            <w:vMerge w:val="continue"/>
            <w:shd w:val="clear" w:color="auto" w:fill="auto"/>
            <w:vAlign w:val="center"/>
          </w:tcPr>
          <w:p w14:paraId="380B9CDD">
            <w:pPr>
              <w:jc w:val="left"/>
              <w:rPr>
                <w:rFonts w:hint="eastAsia"/>
                <w:color w:val="auto"/>
                <w:sz w:val="18"/>
                <w:szCs w:val="8"/>
                <w:highlight w:val="none"/>
              </w:rPr>
            </w:pPr>
          </w:p>
        </w:tc>
      </w:tr>
      <w:tr w14:paraId="0E6B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574DDBF4">
            <w:pPr>
              <w:jc w:val="left"/>
              <w:rPr>
                <w:color w:val="auto"/>
                <w:sz w:val="18"/>
                <w:szCs w:val="8"/>
                <w:highlight w:val="none"/>
              </w:rPr>
            </w:pPr>
          </w:p>
        </w:tc>
        <w:tc>
          <w:tcPr>
            <w:tcW w:w="427" w:type="pct"/>
            <w:vMerge w:val="continue"/>
            <w:shd w:val="clear" w:color="auto" w:fill="auto"/>
            <w:vAlign w:val="center"/>
          </w:tcPr>
          <w:p w14:paraId="7EE3D457">
            <w:pPr>
              <w:jc w:val="left"/>
              <w:rPr>
                <w:color w:val="auto"/>
                <w:sz w:val="18"/>
                <w:szCs w:val="8"/>
                <w:highlight w:val="none"/>
              </w:rPr>
            </w:pPr>
          </w:p>
        </w:tc>
        <w:tc>
          <w:tcPr>
            <w:tcW w:w="460" w:type="pct"/>
            <w:vMerge w:val="restart"/>
            <w:shd w:val="clear" w:color="auto" w:fill="auto"/>
          </w:tcPr>
          <w:p w14:paraId="11FBA1EF">
            <w:pPr>
              <w:rPr>
                <w:color w:val="auto"/>
                <w:sz w:val="18"/>
                <w:szCs w:val="8"/>
                <w:highlight w:val="none"/>
              </w:rPr>
            </w:pPr>
            <w:r>
              <w:rPr>
                <w:rFonts w:hint="eastAsia"/>
                <w:color w:val="auto"/>
                <w:sz w:val="18"/>
                <w:szCs w:val="8"/>
                <w:highlight w:val="none"/>
              </w:rPr>
              <w:t>2.9充电桩</w:t>
            </w:r>
            <w:r>
              <w:rPr>
                <w:rFonts w:hint="eastAsia"/>
                <w:color w:val="auto"/>
                <w:sz w:val="18"/>
                <w:szCs w:val="8"/>
                <w:highlight w:val="none"/>
              </w:rPr>
              <w:tab/>
            </w:r>
          </w:p>
        </w:tc>
        <w:tc>
          <w:tcPr>
            <w:tcW w:w="3541" w:type="pct"/>
            <w:gridSpan w:val="4"/>
            <w:shd w:val="clear" w:color="auto" w:fill="auto"/>
            <w:vAlign w:val="center"/>
          </w:tcPr>
          <w:p w14:paraId="1C80B48A">
            <w:pPr>
              <w:jc w:val="left"/>
              <w:rPr>
                <w:color w:val="auto"/>
                <w:sz w:val="18"/>
                <w:szCs w:val="8"/>
                <w:highlight w:val="none"/>
              </w:rPr>
            </w:pPr>
            <w:r>
              <w:rPr>
                <w:rFonts w:hint="eastAsia"/>
                <w:color w:val="auto"/>
                <w:sz w:val="18"/>
                <w:szCs w:val="8"/>
                <w:highlight w:val="none"/>
              </w:rPr>
              <w:t xml:space="preserve">1.通信: 无线，2.4 GHz 802.11 g/n 或 5 GHz 802.11 a/n/ac </w:t>
            </w:r>
          </w:p>
        </w:tc>
        <w:tc>
          <w:tcPr>
            <w:tcW w:w="404" w:type="pct"/>
            <w:gridSpan w:val="2"/>
            <w:vMerge w:val="continue"/>
            <w:shd w:val="clear" w:color="auto" w:fill="auto"/>
            <w:vAlign w:val="center"/>
          </w:tcPr>
          <w:p w14:paraId="07424A5A">
            <w:pPr>
              <w:jc w:val="left"/>
              <w:rPr>
                <w:color w:val="auto"/>
                <w:sz w:val="18"/>
                <w:szCs w:val="8"/>
                <w:highlight w:val="none"/>
              </w:rPr>
            </w:pPr>
          </w:p>
        </w:tc>
      </w:tr>
      <w:tr w14:paraId="74DE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7441D20">
            <w:pPr>
              <w:jc w:val="left"/>
              <w:rPr>
                <w:color w:val="auto"/>
                <w:sz w:val="18"/>
                <w:szCs w:val="8"/>
                <w:highlight w:val="none"/>
              </w:rPr>
            </w:pPr>
          </w:p>
        </w:tc>
        <w:tc>
          <w:tcPr>
            <w:tcW w:w="427" w:type="pct"/>
            <w:vMerge w:val="continue"/>
            <w:shd w:val="clear" w:color="auto" w:fill="auto"/>
            <w:vAlign w:val="center"/>
          </w:tcPr>
          <w:p w14:paraId="7059F29F">
            <w:pPr>
              <w:jc w:val="left"/>
              <w:rPr>
                <w:color w:val="auto"/>
                <w:sz w:val="18"/>
                <w:szCs w:val="8"/>
                <w:highlight w:val="none"/>
              </w:rPr>
            </w:pPr>
          </w:p>
        </w:tc>
        <w:tc>
          <w:tcPr>
            <w:tcW w:w="460" w:type="pct"/>
            <w:vMerge w:val="continue"/>
            <w:shd w:val="clear" w:color="auto" w:fill="auto"/>
          </w:tcPr>
          <w:p w14:paraId="6BA7F033">
            <w:pPr>
              <w:jc w:val="left"/>
              <w:rPr>
                <w:color w:val="auto"/>
                <w:sz w:val="18"/>
                <w:szCs w:val="8"/>
                <w:highlight w:val="none"/>
              </w:rPr>
            </w:pPr>
          </w:p>
        </w:tc>
        <w:tc>
          <w:tcPr>
            <w:tcW w:w="3541" w:type="pct"/>
            <w:gridSpan w:val="4"/>
            <w:shd w:val="clear" w:color="auto" w:fill="auto"/>
            <w:vAlign w:val="center"/>
          </w:tcPr>
          <w:p w14:paraId="53037F61">
            <w:pPr>
              <w:jc w:val="left"/>
              <w:rPr>
                <w:color w:val="auto"/>
                <w:sz w:val="18"/>
                <w:szCs w:val="8"/>
                <w:highlight w:val="none"/>
              </w:rPr>
            </w:pPr>
            <w:r>
              <w:rPr>
                <w:rFonts w:hint="eastAsia"/>
                <w:color w:val="auto"/>
                <w:sz w:val="18"/>
                <w:szCs w:val="8"/>
                <w:highlight w:val="none"/>
              </w:rPr>
              <w:t xml:space="preserve">2.尺寸（长*宽*高）: ≥633 mm *324 mm *470mm </w:t>
            </w:r>
          </w:p>
        </w:tc>
        <w:tc>
          <w:tcPr>
            <w:tcW w:w="404" w:type="pct"/>
            <w:gridSpan w:val="2"/>
            <w:vMerge w:val="continue"/>
            <w:shd w:val="clear" w:color="auto" w:fill="auto"/>
            <w:vAlign w:val="center"/>
          </w:tcPr>
          <w:p w14:paraId="6C04DBC6">
            <w:pPr>
              <w:jc w:val="left"/>
              <w:rPr>
                <w:color w:val="auto"/>
                <w:sz w:val="18"/>
                <w:szCs w:val="8"/>
                <w:highlight w:val="none"/>
              </w:rPr>
            </w:pPr>
          </w:p>
        </w:tc>
      </w:tr>
      <w:tr w14:paraId="109A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C4F1268">
            <w:pPr>
              <w:jc w:val="left"/>
              <w:rPr>
                <w:color w:val="auto"/>
                <w:sz w:val="18"/>
                <w:szCs w:val="8"/>
                <w:highlight w:val="none"/>
              </w:rPr>
            </w:pPr>
          </w:p>
        </w:tc>
        <w:tc>
          <w:tcPr>
            <w:tcW w:w="427" w:type="pct"/>
            <w:vMerge w:val="continue"/>
            <w:shd w:val="clear" w:color="auto" w:fill="auto"/>
            <w:vAlign w:val="center"/>
          </w:tcPr>
          <w:p w14:paraId="4942E8B0">
            <w:pPr>
              <w:jc w:val="left"/>
              <w:rPr>
                <w:color w:val="auto"/>
                <w:sz w:val="18"/>
                <w:szCs w:val="8"/>
                <w:highlight w:val="none"/>
              </w:rPr>
            </w:pPr>
          </w:p>
        </w:tc>
        <w:tc>
          <w:tcPr>
            <w:tcW w:w="460" w:type="pct"/>
            <w:vMerge w:val="continue"/>
            <w:shd w:val="clear" w:color="auto" w:fill="auto"/>
          </w:tcPr>
          <w:p w14:paraId="6EF5BB55">
            <w:pPr>
              <w:jc w:val="left"/>
              <w:rPr>
                <w:color w:val="auto"/>
                <w:sz w:val="18"/>
                <w:szCs w:val="8"/>
                <w:highlight w:val="none"/>
              </w:rPr>
            </w:pPr>
          </w:p>
        </w:tc>
        <w:tc>
          <w:tcPr>
            <w:tcW w:w="3541" w:type="pct"/>
            <w:gridSpan w:val="4"/>
            <w:shd w:val="clear" w:color="auto" w:fill="auto"/>
            <w:vAlign w:val="center"/>
          </w:tcPr>
          <w:p w14:paraId="0B0756C6">
            <w:pPr>
              <w:jc w:val="left"/>
              <w:rPr>
                <w:color w:val="auto"/>
                <w:sz w:val="18"/>
                <w:szCs w:val="8"/>
                <w:highlight w:val="none"/>
              </w:rPr>
            </w:pPr>
            <w:r>
              <w:rPr>
                <w:rFonts w:hint="eastAsia"/>
                <w:color w:val="auto"/>
                <w:sz w:val="18"/>
                <w:szCs w:val="8"/>
                <w:highlight w:val="none"/>
              </w:rPr>
              <w:t xml:space="preserve">3.自重: ≥17.5 kg </w:t>
            </w:r>
          </w:p>
        </w:tc>
        <w:tc>
          <w:tcPr>
            <w:tcW w:w="404" w:type="pct"/>
            <w:gridSpan w:val="2"/>
            <w:vMerge w:val="continue"/>
            <w:shd w:val="clear" w:color="auto" w:fill="auto"/>
            <w:vAlign w:val="center"/>
          </w:tcPr>
          <w:p w14:paraId="6D1D89DD">
            <w:pPr>
              <w:jc w:val="left"/>
              <w:rPr>
                <w:color w:val="auto"/>
                <w:sz w:val="18"/>
                <w:szCs w:val="8"/>
                <w:highlight w:val="none"/>
              </w:rPr>
            </w:pPr>
          </w:p>
        </w:tc>
      </w:tr>
      <w:tr w14:paraId="1FA6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29EDC4D1">
            <w:pPr>
              <w:jc w:val="left"/>
              <w:rPr>
                <w:color w:val="auto"/>
                <w:sz w:val="18"/>
                <w:szCs w:val="8"/>
                <w:highlight w:val="none"/>
              </w:rPr>
            </w:pPr>
          </w:p>
        </w:tc>
        <w:tc>
          <w:tcPr>
            <w:tcW w:w="427" w:type="pct"/>
            <w:vMerge w:val="continue"/>
            <w:shd w:val="clear" w:color="auto" w:fill="auto"/>
            <w:vAlign w:val="center"/>
          </w:tcPr>
          <w:p w14:paraId="13C142FD">
            <w:pPr>
              <w:jc w:val="left"/>
              <w:rPr>
                <w:color w:val="auto"/>
                <w:sz w:val="18"/>
                <w:szCs w:val="8"/>
                <w:highlight w:val="none"/>
              </w:rPr>
            </w:pPr>
          </w:p>
        </w:tc>
        <w:tc>
          <w:tcPr>
            <w:tcW w:w="460" w:type="pct"/>
            <w:vMerge w:val="continue"/>
            <w:shd w:val="clear" w:color="auto" w:fill="auto"/>
          </w:tcPr>
          <w:p w14:paraId="65A0B618">
            <w:pPr>
              <w:jc w:val="left"/>
              <w:rPr>
                <w:color w:val="auto"/>
                <w:sz w:val="18"/>
                <w:szCs w:val="8"/>
                <w:highlight w:val="none"/>
              </w:rPr>
            </w:pPr>
          </w:p>
        </w:tc>
        <w:tc>
          <w:tcPr>
            <w:tcW w:w="3541" w:type="pct"/>
            <w:gridSpan w:val="4"/>
            <w:shd w:val="clear" w:color="auto" w:fill="auto"/>
            <w:vAlign w:val="center"/>
          </w:tcPr>
          <w:p w14:paraId="3835C45E">
            <w:pPr>
              <w:jc w:val="left"/>
              <w:rPr>
                <w:color w:val="auto"/>
                <w:sz w:val="18"/>
                <w:szCs w:val="8"/>
                <w:highlight w:val="none"/>
              </w:rPr>
            </w:pPr>
            <w:r>
              <w:rPr>
                <w:rFonts w:hint="eastAsia"/>
                <w:color w:val="auto"/>
                <w:sz w:val="18"/>
                <w:szCs w:val="8"/>
                <w:highlight w:val="none"/>
              </w:rPr>
              <w:t xml:space="preserve">4.使用环境 :仅限室内使用，在无过多灰尘和无腐蚀性气体的环境中运行 </w:t>
            </w:r>
          </w:p>
        </w:tc>
        <w:tc>
          <w:tcPr>
            <w:tcW w:w="404" w:type="pct"/>
            <w:gridSpan w:val="2"/>
            <w:vMerge w:val="continue"/>
            <w:shd w:val="clear" w:color="auto" w:fill="auto"/>
            <w:vAlign w:val="center"/>
          </w:tcPr>
          <w:p w14:paraId="0CA4EC2D">
            <w:pPr>
              <w:jc w:val="left"/>
              <w:rPr>
                <w:color w:val="auto"/>
                <w:sz w:val="18"/>
                <w:szCs w:val="8"/>
                <w:highlight w:val="none"/>
              </w:rPr>
            </w:pPr>
          </w:p>
        </w:tc>
      </w:tr>
      <w:tr w14:paraId="0703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EBE3667">
            <w:pPr>
              <w:jc w:val="left"/>
              <w:rPr>
                <w:color w:val="auto"/>
                <w:sz w:val="18"/>
                <w:szCs w:val="8"/>
                <w:highlight w:val="none"/>
              </w:rPr>
            </w:pPr>
          </w:p>
        </w:tc>
        <w:tc>
          <w:tcPr>
            <w:tcW w:w="427" w:type="pct"/>
            <w:vMerge w:val="continue"/>
            <w:shd w:val="clear" w:color="auto" w:fill="auto"/>
            <w:vAlign w:val="center"/>
          </w:tcPr>
          <w:p w14:paraId="12C63FC5">
            <w:pPr>
              <w:jc w:val="left"/>
              <w:rPr>
                <w:color w:val="auto"/>
                <w:sz w:val="18"/>
                <w:szCs w:val="8"/>
                <w:highlight w:val="none"/>
              </w:rPr>
            </w:pPr>
          </w:p>
        </w:tc>
        <w:tc>
          <w:tcPr>
            <w:tcW w:w="460" w:type="pct"/>
            <w:vMerge w:val="continue"/>
            <w:shd w:val="clear" w:color="auto" w:fill="auto"/>
          </w:tcPr>
          <w:p w14:paraId="5A192E0D">
            <w:pPr>
              <w:jc w:val="left"/>
              <w:rPr>
                <w:color w:val="auto"/>
                <w:sz w:val="18"/>
                <w:szCs w:val="8"/>
                <w:highlight w:val="none"/>
              </w:rPr>
            </w:pPr>
          </w:p>
        </w:tc>
        <w:tc>
          <w:tcPr>
            <w:tcW w:w="3541" w:type="pct"/>
            <w:gridSpan w:val="4"/>
            <w:shd w:val="clear" w:color="auto" w:fill="auto"/>
            <w:vAlign w:val="center"/>
          </w:tcPr>
          <w:p w14:paraId="044F0F5B">
            <w:pPr>
              <w:jc w:val="left"/>
              <w:rPr>
                <w:color w:val="auto"/>
                <w:sz w:val="18"/>
                <w:szCs w:val="8"/>
                <w:highlight w:val="none"/>
              </w:rPr>
            </w:pPr>
            <w:r>
              <w:rPr>
                <w:rFonts w:hint="eastAsia"/>
                <w:color w:val="auto"/>
                <w:sz w:val="18"/>
                <w:szCs w:val="8"/>
                <w:highlight w:val="none"/>
              </w:rPr>
              <w:t xml:space="preserve">5.工作温度: 5-40°C 工作湿度 10-95%，无压缩冷凝 </w:t>
            </w:r>
          </w:p>
        </w:tc>
        <w:tc>
          <w:tcPr>
            <w:tcW w:w="404" w:type="pct"/>
            <w:gridSpan w:val="2"/>
            <w:vMerge w:val="continue"/>
            <w:shd w:val="clear" w:color="auto" w:fill="auto"/>
            <w:vAlign w:val="center"/>
          </w:tcPr>
          <w:p w14:paraId="32A74C13">
            <w:pPr>
              <w:jc w:val="left"/>
              <w:rPr>
                <w:color w:val="auto"/>
                <w:sz w:val="18"/>
                <w:szCs w:val="8"/>
                <w:highlight w:val="none"/>
              </w:rPr>
            </w:pPr>
          </w:p>
        </w:tc>
      </w:tr>
      <w:tr w14:paraId="022D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12ED8F95">
            <w:pPr>
              <w:jc w:val="left"/>
              <w:rPr>
                <w:color w:val="auto"/>
                <w:sz w:val="18"/>
                <w:szCs w:val="8"/>
                <w:highlight w:val="none"/>
              </w:rPr>
            </w:pPr>
          </w:p>
        </w:tc>
        <w:tc>
          <w:tcPr>
            <w:tcW w:w="427" w:type="pct"/>
            <w:vMerge w:val="continue"/>
            <w:shd w:val="clear" w:color="auto" w:fill="auto"/>
            <w:vAlign w:val="center"/>
          </w:tcPr>
          <w:p w14:paraId="16940DFC">
            <w:pPr>
              <w:jc w:val="left"/>
              <w:rPr>
                <w:color w:val="auto"/>
                <w:sz w:val="18"/>
                <w:szCs w:val="8"/>
                <w:highlight w:val="none"/>
              </w:rPr>
            </w:pPr>
          </w:p>
        </w:tc>
        <w:tc>
          <w:tcPr>
            <w:tcW w:w="460" w:type="pct"/>
            <w:vMerge w:val="continue"/>
            <w:shd w:val="clear" w:color="auto" w:fill="auto"/>
          </w:tcPr>
          <w:p w14:paraId="28FE2667">
            <w:pPr>
              <w:jc w:val="left"/>
              <w:rPr>
                <w:color w:val="auto"/>
                <w:sz w:val="18"/>
                <w:szCs w:val="8"/>
                <w:highlight w:val="none"/>
              </w:rPr>
            </w:pPr>
          </w:p>
        </w:tc>
        <w:tc>
          <w:tcPr>
            <w:tcW w:w="3541" w:type="pct"/>
            <w:gridSpan w:val="4"/>
            <w:shd w:val="clear" w:color="auto" w:fill="auto"/>
            <w:vAlign w:val="center"/>
          </w:tcPr>
          <w:p w14:paraId="26B1BBF4">
            <w:pPr>
              <w:jc w:val="left"/>
              <w:rPr>
                <w:color w:val="auto"/>
                <w:sz w:val="18"/>
                <w:szCs w:val="8"/>
                <w:highlight w:val="none"/>
              </w:rPr>
            </w:pPr>
            <w:r>
              <w:rPr>
                <w:rFonts w:hint="eastAsia"/>
                <w:color w:val="auto"/>
                <w:sz w:val="18"/>
                <w:szCs w:val="8"/>
                <w:highlight w:val="none"/>
              </w:rPr>
              <w:t xml:space="preserve">6.存储温度: 5-40°C 存储湿度 10-95%，无压缩冷凝 </w:t>
            </w:r>
          </w:p>
        </w:tc>
        <w:tc>
          <w:tcPr>
            <w:tcW w:w="404" w:type="pct"/>
            <w:gridSpan w:val="2"/>
            <w:vMerge w:val="continue"/>
            <w:shd w:val="clear" w:color="auto" w:fill="auto"/>
            <w:vAlign w:val="center"/>
          </w:tcPr>
          <w:p w14:paraId="78BAE96F">
            <w:pPr>
              <w:jc w:val="left"/>
              <w:rPr>
                <w:color w:val="auto"/>
                <w:sz w:val="18"/>
                <w:szCs w:val="8"/>
                <w:highlight w:val="none"/>
              </w:rPr>
            </w:pPr>
          </w:p>
        </w:tc>
      </w:tr>
      <w:tr w14:paraId="6663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F4F1F4D">
            <w:pPr>
              <w:jc w:val="left"/>
              <w:rPr>
                <w:color w:val="auto"/>
                <w:sz w:val="18"/>
                <w:szCs w:val="8"/>
                <w:highlight w:val="none"/>
              </w:rPr>
            </w:pPr>
          </w:p>
        </w:tc>
        <w:tc>
          <w:tcPr>
            <w:tcW w:w="427" w:type="pct"/>
            <w:vMerge w:val="continue"/>
            <w:shd w:val="clear" w:color="auto" w:fill="auto"/>
            <w:vAlign w:val="center"/>
          </w:tcPr>
          <w:p w14:paraId="3685C8C5">
            <w:pPr>
              <w:jc w:val="left"/>
              <w:rPr>
                <w:color w:val="auto"/>
                <w:sz w:val="18"/>
                <w:szCs w:val="8"/>
                <w:highlight w:val="none"/>
              </w:rPr>
            </w:pPr>
          </w:p>
        </w:tc>
        <w:tc>
          <w:tcPr>
            <w:tcW w:w="460" w:type="pct"/>
            <w:vMerge w:val="continue"/>
            <w:shd w:val="clear" w:color="auto" w:fill="auto"/>
          </w:tcPr>
          <w:p w14:paraId="04F5F6AC">
            <w:pPr>
              <w:jc w:val="left"/>
              <w:rPr>
                <w:color w:val="auto"/>
                <w:sz w:val="18"/>
                <w:szCs w:val="8"/>
                <w:highlight w:val="none"/>
              </w:rPr>
            </w:pPr>
          </w:p>
        </w:tc>
        <w:tc>
          <w:tcPr>
            <w:tcW w:w="3541" w:type="pct"/>
            <w:gridSpan w:val="4"/>
            <w:shd w:val="clear" w:color="auto" w:fill="auto"/>
            <w:vAlign w:val="center"/>
          </w:tcPr>
          <w:p w14:paraId="2E15BDDA">
            <w:pPr>
              <w:jc w:val="left"/>
              <w:rPr>
                <w:color w:val="auto"/>
                <w:sz w:val="18"/>
                <w:szCs w:val="8"/>
                <w:highlight w:val="none"/>
              </w:rPr>
            </w:pPr>
            <w:r>
              <w:rPr>
                <w:rFonts w:hint="eastAsia"/>
                <w:color w:val="auto"/>
                <w:sz w:val="18"/>
                <w:szCs w:val="8"/>
                <w:highlight w:val="none"/>
              </w:rPr>
              <w:t xml:space="preserve">7.输入电压: 200-240 V AC </w:t>
            </w:r>
          </w:p>
        </w:tc>
        <w:tc>
          <w:tcPr>
            <w:tcW w:w="404" w:type="pct"/>
            <w:gridSpan w:val="2"/>
            <w:vMerge w:val="continue"/>
            <w:shd w:val="clear" w:color="auto" w:fill="auto"/>
            <w:vAlign w:val="center"/>
          </w:tcPr>
          <w:p w14:paraId="31009B31">
            <w:pPr>
              <w:jc w:val="left"/>
              <w:rPr>
                <w:color w:val="auto"/>
                <w:sz w:val="18"/>
                <w:szCs w:val="8"/>
                <w:highlight w:val="none"/>
              </w:rPr>
            </w:pPr>
          </w:p>
        </w:tc>
      </w:tr>
      <w:tr w14:paraId="34C0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5EC7E0FC">
            <w:pPr>
              <w:jc w:val="left"/>
              <w:rPr>
                <w:color w:val="auto"/>
                <w:sz w:val="18"/>
                <w:szCs w:val="8"/>
                <w:highlight w:val="none"/>
              </w:rPr>
            </w:pPr>
          </w:p>
        </w:tc>
        <w:tc>
          <w:tcPr>
            <w:tcW w:w="427" w:type="pct"/>
            <w:vMerge w:val="continue"/>
            <w:shd w:val="clear" w:color="auto" w:fill="auto"/>
            <w:vAlign w:val="center"/>
          </w:tcPr>
          <w:p w14:paraId="68E73A32">
            <w:pPr>
              <w:jc w:val="left"/>
              <w:rPr>
                <w:color w:val="auto"/>
                <w:sz w:val="18"/>
                <w:szCs w:val="8"/>
                <w:highlight w:val="none"/>
              </w:rPr>
            </w:pPr>
          </w:p>
        </w:tc>
        <w:tc>
          <w:tcPr>
            <w:tcW w:w="460" w:type="pct"/>
            <w:vMerge w:val="continue"/>
            <w:shd w:val="clear" w:color="auto" w:fill="auto"/>
          </w:tcPr>
          <w:p w14:paraId="5C72A535">
            <w:pPr>
              <w:jc w:val="left"/>
              <w:rPr>
                <w:color w:val="auto"/>
                <w:sz w:val="18"/>
                <w:szCs w:val="8"/>
                <w:highlight w:val="none"/>
              </w:rPr>
            </w:pPr>
          </w:p>
        </w:tc>
        <w:tc>
          <w:tcPr>
            <w:tcW w:w="3541" w:type="pct"/>
            <w:gridSpan w:val="4"/>
            <w:shd w:val="clear" w:color="auto" w:fill="auto"/>
            <w:vAlign w:val="center"/>
          </w:tcPr>
          <w:p w14:paraId="443DB9CA">
            <w:pPr>
              <w:jc w:val="left"/>
              <w:rPr>
                <w:color w:val="auto"/>
                <w:sz w:val="18"/>
                <w:szCs w:val="8"/>
                <w:highlight w:val="none"/>
              </w:rPr>
            </w:pPr>
            <w:r>
              <w:rPr>
                <w:rFonts w:hint="eastAsia"/>
                <w:color w:val="auto"/>
                <w:sz w:val="18"/>
                <w:szCs w:val="8"/>
                <w:highlight w:val="none"/>
              </w:rPr>
              <w:t xml:space="preserve">8.输出电压: 54.5 V DC </w:t>
            </w:r>
          </w:p>
        </w:tc>
        <w:tc>
          <w:tcPr>
            <w:tcW w:w="404" w:type="pct"/>
            <w:gridSpan w:val="2"/>
            <w:vMerge w:val="continue"/>
            <w:shd w:val="clear" w:color="auto" w:fill="auto"/>
            <w:vAlign w:val="center"/>
          </w:tcPr>
          <w:p w14:paraId="5555A418">
            <w:pPr>
              <w:jc w:val="left"/>
              <w:rPr>
                <w:color w:val="auto"/>
                <w:sz w:val="18"/>
                <w:szCs w:val="8"/>
                <w:highlight w:val="none"/>
              </w:rPr>
            </w:pPr>
          </w:p>
        </w:tc>
      </w:tr>
      <w:tr w14:paraId="1961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10" w:hRule="atLeast"/>
          <w:jc w:val="center"/>
        </w:trPr>
        <w:tc>
          <w:tcPr>
            <w:tcW w:w="157" w:type="pct"/>
            <w:vMerge w:val="continue"/>
            <w:shd w:val="clear" w:color="auto" w:fill="auto"/>
            <w:vAlign w:val="center"/>
          </w:tcPr>
          <w:p w14:paraId="70A289C1">
            <w:pPr>
              <w:jc w:val="left"/>
              <w:rPr>
                <w:color w:val="auto"/>
                <w:sz w:val="18"/>
                <w:szCs w:val="8"/>
                <w:highlight w:val="none"/>
              </w:rPr>
            </w:pPr>
          </w:p>
        </w:tc>
        <w:tc>
          <w:tcPr>
            <w:tcW w:w="427" w:type="pct"/>
            <w:vMerge w:val="continue"/>
            <w:shd w:val="clear" w:color="auto" w:fill="auto"/>
            <w:vAlign w:val="center"/>
          </w:tcPr>
          <w:p w14:paraId="7E0ECFA3">
            <w:pPr>
              <w:jc w:val="left"/>
              <w:rPr>
                <w:color w:val="auto"/>
                <w:sz w:val="18"/>
                <w:szCs w:val="8"/>
                <w:highlight w:val="none"/>
              </w:rPr>
            </w:pPr>
          </w:p>
        </w:tc>
        <w:tc>
          <w:tcPr>
            <w:tcW w:w="460" w:type="pct"/>
            <w:vMerge w:val="continue"/>
            <w:shd w:val="clear" w:color="auto" w:fill="auto"/>
          </w:tcPr>
          <w:p w14:paraId="17AC2015">
            <w:pPr>
              <w:jc w:val="left"/>
              <w:rPr>
                <w:color w:val="auto"/>
                <w:sz w:val="18"/>
                <w:szCs w:val="8"/>
                <w:highlight w:val="none"/>
              </w:rPr>
            </w:pPr>
          </w:p>
        </w:tc>
        <w:tc>
          <w:tcPr>
            <w:tcW w:w="3541" w:type="pct"/>
            <w:gridSpan w:val="4"/>
            <w:shd w:val="clear" w:color="auto" w:fill="auto"/>
            <w:vAlign w:val="center"/>
          </w:tcPr>
          <w:p w14:paraId="04CD4471">
            <w:pPr>
              <w:jc w:val="left"/>
              <w:rPr>
                <w:color w:val="auto"/>
                <w:sz w:val="18"/>
                <w:szCs w:val="8"/>
                <w:highlight w:val="none"/>
              </w:rPr>
            </w:pPr>
            <w:r>
              <w:rPr>
                <w:rFonts w:hint="eastAsia"/>
                <w:color w:val="auto"/>
                <w:sz w:val="18"/>
                <w:szCs w:val="8"/>
                <w:highlight w:val="none"/>
              </w:rPr>
              <w:t xml:space="preserve">9.交流输入频率: 50-60 Hz </w:t>
            </w:r>
          </w:p>
        </w:tc>
        <w:tc>
          <w:tcPr>
            <w:tcW w:w="404" w:type="pct"/>
            <w:gridSpan w:val="2"/>
            <w:vMerge w:val="continue"/>
            <w:shd w:val="clear" w:color="auto" w:fill="auto"/>
            <w:vAlign w:val="center"/>
          </w:tcPr>
          <w:p w14:paraId="0CC06E18">
            <w:pPr>
              <w:jc w:val="left"/>
              <w:rPr>
                <w:color w:val="auto"/>
                <w:sz w:val="18"/>
                <w:szCs w:val="8"/>
                <w:highlight w:val="none"/>
              </w:rPr>
            </w:pPr>
          </w:p>
        </w:tc>
      </w:tr>
      <w:tr w14:paraId="5F25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7A6ADD70">
            <w:pPr>
              <w:jc w:val="left"/>
              <w:rPr>
                <w:color w:val="auto"/>
                <w:sz w:val="18"/>
                <w:szCs w:val="8"/>
                <w:highlight w:val="none"/>
              </w:rPr>
            </w:pPr>
          </w:p>
        </w:tc>
        <w:tc>
          <w:tcPr>
            <w:tcW w:w="427" w:type="pct"/>
            <w:vMerge w:val="continue"/>
            <w:shd w:val="clear" w:color="auto" w:fill="auto"/>
            <w:vAlign w:val="center"/>
          </w:tcPr>
          <w:p w14:paraId="62DA9C08">
            <w:pPr>
              <w:jc w:val="left"/>
              <w:rPr>
                <w:color w:val="auto"/>
                <w:sz w:val="18"/>
                <w:szCs w:val="8"/>
                <w:highlight w:val="none"/>
              </w:rPr>
            </w:pPr>
          </w:p>
        </w:tc>
        <w:tc>
          <w:tcPr>
            <w:tcW w:w="460" w:type="pct"/>
            <w:vMerge w:val="continue"/>
            <w:shd w:val="clear" w:color="auto" w:fill="auto"/>
          </w:tcPr>
          <w:p w14:paraId="48122310">
            <w:pPr>
              <w:jc w:val="left"/>
              <w:rPr>
                <w:color w:val="auto"/>
                <w:sz w:val="18"/>
                <w:szCs w:val="8"/>
                <w:highlight w:val="none"/>
              </w:rPr>
            </w:pPr>
          </w:p>
        </w:tc>
        <w:tc>
          <w:tcPr>
            <w:tcW w:w="3541" w:type="pct"/>
            <w:gridSpan w:val="4"/>
            <w:shd w:val="clear" w:color="auto" w:fill="auto"/>
            <w:vAlign w:val="center"/>
          </w:tcPr>
          <w:p w14:paraId="3CBA01CC">
            <w:pPr>
              <w:jc w:val="left"/>
              <w:rPr>
                <w:color w:val="auto"/>
                <w:sz w:val="18"/>
                <w:szCs w:val="8"/>
                <w:highlight w:val="none"/>
              </w:rPr>
            </w:pPr>
            <w:r>
              <w:rPr>
                <w:rFonts w:hint="eastAsia"/>
                <w:color w:val="auto"/>
                <w:sz w:val="18"/>
                <w:szCs w:val="8"/>
                <w:highlight w:val="none"/>
              </w:rPr>
              <w:t>10.额定输入功率: 1200 W</w:t>
            </w:r>
          </w:p>
        </w:tc>
        <w:tc>
          <w:tcPr>
            <w:tcW w:w="404" w:type="pct"/>
            <w:gridSpan w:val="2"/>
            <w:vMerge w:val="continue"/>
            <w:shd w:val="clear" w:color="auto" w:fill="auto"/>
            <w:vAlign w:val="center"/>
          </w:tcPr>
          <w:p w14:paraId="29FBE094">
            <w:pPr>
              <w:jc w:val="left"/>
              <w:rPr>
                <w:color w:val="auto"/>
                <w:sz w:val="18"/>
                <w:szCs w:val="8"/>
                <w:highlight w:val="none"/>
              </w:rPr>
            </w:pPr>
          </w:p>
        </w:tc>
      </w:tr>
      <w:tr w14:paraId="660C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95B78DD">
            <w:pPr>
              <w:jc w:val="left"/>
              <w:rPr>
                <w:color w:val="auto"/>
                <w:sz w:val="18"/>
                <w:szCs w:val="8"/>
                <w:highlight w:val="none"/>
              </w:rPr>
            </w:pPr>
          </w:p>
        </w:tc>
        <w:tc>
          <w:tcPr>
            <w:tcW w:w="427" w:type="pct"/>
            <w:vMerge w:val="continue"/>
            <w:shd w:val="clear" w:color="auto" w:fill="auto"/>
            <w:vAlign w:val="center"/>
          </w:tcPr>
          <w:p w14:paraId="6BABE3F0">
            <w:pPr>
              <w:jc w:val="left"/>
              <w:rPr>
                <w:color w:val="auto"/>
                <w:sz w:val="18"/>
                <w:szCs w:val="8"/>
                <w:highlight w:val="none"/>
              </w:rPr>
            </w:pPr>
          </w:p>
        </w:tc>
        <w:tc>
          <w:tcPr>
            <w:tcW w:w="460" w:type="pct"/>
            <w:vMerge w:val="restart"/>
            <w:shd w:val="clear" w:color="auto" w:fill="auto"/>
          </w:tcPr>
          <w:p w14:paraId="4197B86F">
            <w:pPr>
              <w:rPr>
                <w:color w:val="auto"/>
                <w:sz w:val="18"/>
                <w:szCs w:val="8"/>
                <w:highlight w:val="none"/>
              </w:rPr>
            </w:pPr>
            <w:r>
              <w:rPr>
                <w:rFonts w:hint="eastAsia"/>
                <w:color w:val="auto"/>
                <w:sz w:val="18"/>
                <w:szCs w:val="8"/>
                <w:highlight w:val="none"/>
              </w:rPr>
              <w:t>2.10网络AP</w:t>
            </w:r>
            <w:r>
              <w:rPr>
                <w:rFonts w:hint="eastAsia"/>
                <w:color w:val="auto"/>
                <w:sz w:val="18"/>
                <w:szCs w:val="8"/>
                <w:highlight w:val="none"/>
              </w:rPr>
              <w:tab/>
            </w:r>
          </w:p>
        </w:tc>
        <w:tc>
          <w:tcPr>
            <w:tcW w:w="3541" w:type="pct"/>
            <w:gridSpan w:val="4"/>
            <w:shd w:val="clear" w:color="auto" w:fill="auto"/>
            <w:vAlign w:val="center"/>
          </w:tcPr>
          <w:p w14:paraId="23573AC4">
            <w:pPr>
              <w:jc w:val="left"/>
              <w:rPr>
                <w:color w:val="auto"/>
                <w:sz w:val="18"/>
                <w:szCs w:val="8"/>
                <w:highlight w:val="none"/>
              </w:rPr>
            </w:pPr>
            <w:r>
              <w:rPr>
                <w:rFonts w:hint="eastAsia"/>
                <w:color w:val="auto"/>
                <w:sz w:val="18"/>
                <w:szCs w:val="8"/>
                <w:highlight w:val="none"/>
              </w:rPr>
              <w:t>1.发射功率：≥500mw</w:t>
            </w:r>
          </w:p>
        </w:tc>
        <w:tc>
          <w:tcPr>
            <w:tcW w:w="404" w:type="pct"/>
            <w:gridSpan w:val="2"/>
            <w:vMerge w:val="continue"/>
            <w:shd w:val="clear" w:color="auto" w:fill="auto"/>
            <w:vAlign w:val="center"/>
          </w:tcPr>
          <w:p w14:paraId="060E1D59">
            <w:pPr>
              <w:jc w:val="left"/>
              <w:rPr>
                <w:color w:val="auto"/>
                <w:sz w:val="18"/>
                <w:szCs w:val="8"/>
                <w:highlight w:val="none"/>
              </w:rPr>
            </w:pPr>
          </w:p>
        </w:tc>
      </w:tr>
      <w:tr w14:paraId="787F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CD7DD4C">
            <w:pPr>
              <w:jc w:val="left"/>
              <w:rPr>
                <w:color w:val="auto"/>
                <w:sz w:val="18"/>
                <w:szCs w:val="8"/>
                <w:highlight w:val="none"/>
              </w:rPr>
            </w:pPr>
          </w:p>
        </w:tc>
        <w:tc>
          <w:tcPr>
            <w:tcW w:w="427" w:type="pct"/>
            <w:vMerge w:val="continue"/>
            <w:shd w:val="clear" w:color="auto" w:fill="auto"/>
            <w:vAlign w:val="center"/>
          </w:tcPr>
          <w:p w14:paraId="7F1D7D6D">
            <w:pPr>
              <w:jc w:val="left"/>
              <w:rPr>
                <w:color w:val="auto"/>
                <w:sz w:val="18"/>
                <w:szCs w:val="8"/>
                <w:highlight w:val="none"/>
              </w:rPr>
            </w:pPr>
          </w:p>
        </w:tc>
        <w:tc>
          <w:tcPr>
            <w:tcW w:w="460" w:type="pct"/>
            <w:vMerge w:val="continue"/>
            <w:shd w:val="clear" w:color="auto" w:fill="auto"/>
          </w:tcPr>
          <w:p w14:paraId="3F673961">
            <w:pPr>
              <w:jc w:val="left"/>
              <w:rPr>
                <w:color w:val="auto"/>
                <w:sz w:val="18"/>
                <w:szCs w:val="8"/>
                <w:highlight w:val="none"/>
              </w:rPr>
            </w:pPr>
          </w:p>
        </w:tc>
        <w:tc>
          <w:tcPr>
            <w:tcW w:w="3541" w:type="pct"/>
            <w:gridSpan w:val="4"/>
            <w:shd w:val="clear" w:color="auto" w:fill="auto"/>
            <w:vAlign w:val="center"/>
          </w:tcPr>
          <w:p w14:paraId="3536A6A4">
            <w:pPr>
              <w:jc w:val="left"/>
              <w:rPr>
                <w:color w:val="auto"/>
                <w:sz w:val="18"/>
                <w:szCs w:val="8"/>
                <w:highlight w:val="none"/>
              </w:rPr>
            </w:pPr>
            <w:r>
              <w:rPr>
                <w:rFonts w:hint="eastAsia"/>
                <w:color w:val="auto"/>
                <w:sz w:val="18"/>
                <w:szCs w:val="8"/>
                <w:highlight w:val="none"/>
              </w:rPr>
              <w:t>2.模式：802.11A/N 5.8Ghz 300Mbps</w:t>
            </w:r>
          </w:p>
        </w:tc>
        <w:tc>
          <w:tcPr>
            <w:tcW w:w="404" w:type="pct"/>
            <w:gridSpan w:val="2"/>
            <w:vMerge w:val="continue"/>
            <w:shd w:val="clear" w:color="auto" w:fill="auto"/>
            <w:vAlign w:val="center"/>
          </w:tcPr>
          <w:p w14:paraId="06D9AC95">
            <w:pPr>
              <w:jc w:val="left"/>
              <w:rPr>
                <w:color w:val="auto"/>
                <w:sz w:val="18"/>
                <w:szCs w:val="8"/>
                <w:highlight w:val="none"/>
              </w:rPr>
            </w:pPr>
          </w:p>
        </w:tc>
      </w:tr>
      <w:tr w14:paraId="0BA2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19EB3D6">
            <w:pPr>
              <w:jc w:val="left"/>
              <w:rPr>
                <w:color w:val="auto"/>
                <w:sz w:val="18"/>
                <w:szCs w:val="8"/>
                <w:highlight w:val="none"/>
              </w:rPr>
            </w:pPr>
          </w:p>
        </w:tc>
        <w:tc>
          <w:tcPr>
            <w:tcW w:w="427" w:type="pct"/>
            <w:vMerge w:val="continue"/>
            <w:shd w:val="clear" w:color="auto" w:fill="auto"/>
            <w:vAlign w:val="center"/>
          </w:tcPr>
          <w:p w14:paraId="750186BC">
            <w:pPr>
              <w:jc w:val="left"/>
              <w:rPr>
                <w:color w:val="auto"/>
                <w:sz w:val="18"/>
                <w:szCs w:val="8"/>
                <w:highlight w:val="none"/>
              </w:rPr>
            </w:pPr>
          </w:p>
        </w:tc>
        <w:tc>
          <w:tcPr>
            <w:tcW w:w="460" w:type="pct"/>
            <w:vMerge w:val="continue"/>
            <w:shd w:val="clear" w:color="auto" w:fill="auto"/>
          </w:tcPr>
          <w:p w14:paraId="1C2303ED">
            <w:pPr>
              <w:jc w:val="left"/>
              <w:rPr>
                <w:color w:val="auto"/>
                <w:sz w:val="18"/>
                <w:szCs w:val="8"/>
                <w:highlight w:val="none"/>
              </w:rPr>
            </w:pPr>
          </w:p>
        </w:tc>
        <w:tc>
          <w:tcPr>
            <w:tcW w:w="3541" w:type="pct"/>
            <w:gridSpan w:val="4"/>
            <w:shd w:val="clear" w:color="auto" w:fill="auto"/>
            <w:vAlign w:val="center"/>
          </w:tcPr>
          <w:p w14:paraId="3755EC29">
            <w:pPr>
              <w:jc w:val="left"/>
              <w:rPr>
                <w:color w:val="auto"/>
                <w:sz w:val="18"/>
                <w:szCs w:val="8"/>
                <w:highlight w:val="none"/>
              </w:rPr>
            </w:pPr>
            <w:r>
              <w:rPr>
                <w:rFonts w:hint="eastAsia"/>
                <w:color w:val="auto"/>
                <w:sz w:val="18"/>
                <w:szCs w:val="8"/>
                <w:highlight w:val="none"/>
              </w:rPr>
              <w:t>3.天线：集成一体化15dB 60°双极化扇区天线</w:t>
            </w:r>
          </w:p>
        </w:tc>
        <w:tc>
          <w:tcPr>
            <w:tcW w:w="404" w:type="pct"/>
            <w:gridSpan w:val="2"/>
            <w:vMerge w:val="continue"/>
            <w:shd w:val="clear" w:color="auto" w:fill="auto"/>
            <w:vAlign w:val="center"/>
          </w:tcPr>
          <w:p w14:paraId="2D23C80F">
            <w:pPr>
              <w:jc w:val="left"/>
              <w:rPr>
                <w:color w:val="auto"/>
                <w:sz w:val="18"/>
                <w:szCs w:val="8"/>
                <w:highlight w:val="none"/>
              </w:rPr>
            </w:pPr>
          </w:p>
        </w:tc>
      </w:tr>
      <w:tr w14:paraId="6BD2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3104084">
            <w:pPr>
              <w:jc w:val="left"/>
              <w:rPr>
                <w:color w:val="auto"/>
                <w:sz w:val="18"/>
                <w:szCs w:val="8"/>
                <w:highlight w:val="none"/>
              </w:rPr>
            </w:pPr>
          </w:p>
        </w:tc>
        <w:tc>
          <w:tcPr>
            <w:tcW w:w="427" w:type="pct"/>
            <w:vMerge w:val="continue"/>
            <w:shd w:val="clear" w:color="auto" w:fill="auto"/>
            <w:vAlign w:val="center"/>
          </w:tcPr>
          <w:p w14:paraId="6867FFB4">
            <w:pPr>
              <w:jc w:val="left"/>
              <w:rPr>
                <w:color w:val="auto"/>
                <w:sz w:val="18"/>
                <w:szCs w:val="8"/>
                <w:highlight w:val="none"/>
              </w:rPr>
            </w:pPr>
          </w:p>
        </w:tc>
        <w:tc>
          <w:tcPr>
            <w:tcW w:w="460" w:type="pct"/>
            <w:vMerge w:val="continue"/>
            <w:shd w:val="clear" w:color="auto" w:fill="auto"/>
          </w:tcPr>
          <w:p w14:paraId="0E6B1E2F">
            <w:pPr>
              <w:jc w:val="left"/>
              <w:rPr>
                <w:color w:val="auto"/>
                <w:sz w:val="18"/>
                <w:szCs w:val="8"/>
                <w:highlight w:val="none"/>
              </w:rPr>
            </w:pPr>
          </w:p>
        </w:tc>
        <w:tc>
          <w:tcPr>
            <w:tcW w:w="3541" w:type="pct"/>
            <w:gridSpan w:val="4"/>
            <w:shd w:val="clear" w:color="auto" w:fill="auto"/>
            <w:vAlign w:val="center"/>
          </w:tcPr>
          <w:p w14:paraId="6F4ACEB2">
            <w:pPr>
              <w:jc w:val="left"/>
              <w:rPr>
                <w:color w:val="auto"/>
                <w:sz w:val="18"/>
                <w:szCs w:val="8"/>
                <w:highlight w:val="none"/>
              </w:rPr>
            </w:pPr>
            <w:r>
              <w:rPr>
                <w:rFonts w:hint="eastAsia"/>
                <w:color w:val="auto"/>
                <w:sz w:val="18"/>
                <w:szCs w:val="8"/>
                <w:highlight w:val="none"/>
              </w:rPr>
              <w:t>4.-用于窄范围的区间</w:t>
            </w:r>
          </w:p>
        </w:tc>
        <w:tc>
          <w:tcPr>
            <w:tcW w:w="404" w:type="pct"/>
            <w:gridSpan w:val="2"/>
            <w:vMerge w:val="continue"/>
            <w:shd w:val="clear" w:color="auto" w:fill="auto"/>
            <w:vAlign w:val="center"/>
          </w:tcPr>
          <w:p w14:paraId="5AC3E70F">
            <w:pPr>
              <w:jc w:val="left"/>
              <w:rPr>
                <w:color w:val="auto"/>
                <w:sz w:val="18"/>
                <w:szCs w:val="8"/>
                <w:highlight w:val="none"/>
              </w:rPr>
            </w:pPr>
          </w:p>
        </w:tc>
      </w:tr>
      <w:tr w14:paraId="237F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8E47EEE">
            <w:pPr>
              <w:jc w:val="left"/>
              <w:rPr>
                <w:color w:val="auto"/>
                <w:sz w:val="18"/>
                <w:szCs w:val="8"/>
                <w:highlight w:val="none"/>
              </w:rPr>
            </w:pPr>
          </w:p>
        </w:tc>
        <w:tc>
          <w:tcPr>
            <w:tcW w:w="427" w:type="pct"/>
            <w:vMerge w:val="continue"/>
            <w:shd w:val="clear" w:color="auto" w:fill="auto"/>
            <w:vAlign w:val="center"/>
          </w:tcPr>
          <w:p w14:paraId="00A09C80">
            <w:pPr>
              <w:jc w:val="left"/>
              <w:rPr>
                <w:color w:val="auto"/>
                <w:sz w:val="18"/>
                <w:szCs w:val="8"/>
                <w:highlight w:val="none"/>
              </w:rPr>
            </w:pPr>
          </w:p>
        </w:tc>
        <w:tc>
          <w:tcPr>
            <w:tcW w:w="460" w:type="pct"/>
            <w:vMerge w:val="continue"/>
            <w:shd w:val="clear" w:color="auto" w:fill="auto"/>
          </w:tcPr>
          <w:p w14:paraId="1F4E5536">
            <w:pPr>
              <w:jc w:val="left"/>
              <w:rPr>
                <w:color w:val="auto"/>
                <w:sz w:val="18"/>
                <w:szCs w:val="8"/>
                <w:highlight w:val="none"/>
              </w:rPr>
            </w:pPr>
          </w:p>
        </w:tc>
        <w:tc>
          <w:tcPr>
            <w:tcW w:w="3541" w:type="pct"/>
            <w:gridSpan w:val="4"/>
            <w:shd w:val="clear" w:color="auto" w:fill="auto"/>
            <w:vAlign w:val="center"/>
          </w:tcPr>
          <w:p w14:paraId="64E60CC0">
            <w:pPr>
              <w:jc w:val="left"/>
              <w:rPr>
                <w:color w:val="auto"/>
                <w:sz w:val="18"/>
                <w:szCs w:val="8"/>
                <w:highlight w:val="none"/>
              </w:rPr>
            </w:pPr>
            <w:r>
              <w:rPr>
                <w:rFonts w:hint="eastAsia"/>
                <w:color w:val="auto"/>
                <w:sz w:val="18"/>
                <w:szCs w:val="8"/>
                <w:highlight w:val="none"/>
              </w:rPr>
              <w:t>5.含网络安装</w:t>
            </w:r>
          </w:p>
        </w:tc>
        <w:tc>
          <w:tcPr>
            <w:tcW w:w="404" w:type="pct"/>
            <w:gridSpan w:val="2"/>
            <w:vMerge w:val="continue"/>
            <w:shd w:val="clear" w:color="auto" w:fill="auto"/>
            <w:vAlign w:val="center"/>
          </w:tcPr>
          <w:p w14:paraId="4AA34B2D">
            <w:pPr>
              <w:jc w:val="left"/>
              <w:rPr>
                <w:color w:val="auto"/>
                <w:sz w:val="18"/>
                <w:szCs w:val="8"/>
                <w:highlight w:val="none"/>
              </w:rPr>
            </w:pPr>
          </w:p>
        </w:tc>
      </w:tr>
      <w:tr w14:paraId="518D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 w:hRule="atLeast"/>
          <w:jc w:val="center"/>
        </w:trPr>
        <w:tc>
          <w:tcPr>
            <w:tcW w:w="157" w:type="pct"/>
            <w:vMerge w:val="continue"/>
            <w:shd w:val="clear" w:color="auto" w:fill="auto"/>
            <w:vAlign w:val="center"/>
          </w:tcPr>
          <w:p w14:paraId="28A1AD90">
            <w:pPr>
              <w:jc w:val="left"/>
              <w:rPr>
                <w:color w:val="auto"/>
                <w:sz w:val="18"/>
                <w:szCs w:val="8"/>
                <w:highlight w:val="none"/>
              </w:rPr>
            </w:pPr>
          </w:p>
        </w:tc>
        <w:tc>
          <w:tcPr>
            <w:tcW w:w="427" w:type="pct"/>
            <w:vMerge w:val="continue"/>
            <w:shd w:val="clear" w:color="auto" w:fill="auto"/>
            <w:vAlign w:val="center"/>
          </w:tcPr>
          <w:p w14:paraId="4451A116">
            <w:pPr>
              <w:jc w:val="left"/>
              <w:rPr>
                <w:color w:val="auto"/>
                <w:sz w:val="18"/>
                <w:szCs w:val="8"/>
                <w:highlight w:val="none"/>
              </w:rPr>
            </w:pPr>
          </w:p>
        </w:tc>
        <w:tc>
          <w:tcPr>
            <w:tcW w:w="4001" w:type="pct"/>
            <w:gridSpan w:val="5"/>
            <w:shd w:val="clear" w:color="auto" w:fill="auto"/>
          </w:tcPr>
          <w:p w14:paraId="0DAAFCF1">
            <w:pPr>
              <w:jc w:val="left"/>
              <w:rPr>
                <w:color w:val="auto"/>
                <w:sz w:val="18"/>
                <w:szCs w:val="8"/>
                <w:highlight w:val="none"/>
              </w:rPr>
            </w:pPr>
            <w:r>
              <w:rPr>
                <w:rFonts w:hint="eastAsia"/>
                <w:color w:val="auto"/>
                <w:sz w:val="18"/>
                <w:szCs w:val="8"/>
                <w:highlight w:val="none"/>
              </w:rPr>
              <w:t xml:space="preserve">2.11精密虎钳 ≥1台 </w:t>
            </w:r>
          </w:p>
        </w:tc>
        <w:tc>
          <w:tcPr>
            <w:tcW w:w="404" w:type="pct"/>
            <w:gridSpan w:val="2"/>
            <w:vMerge w:val="continue"/>
            <w:shd w:val="clear" w:color="auto" w:fill="auto"/>
            <w:vAlign w:val="center"/>
          </w:tcPr>
          <w:p w14:paraId="794A4CDE">
            <w:pPr>
              <w:jc w:val="left"/>
              <w:rPr>
                <w:color w:val="auto"/>
                <w:sz w:val="18"/>
                <w:szCs w:val="8"/>
                <w:highlight w:val="none"/>
              </w:rPr>
            </w:pPr>
          </w:p>
        </w:tc>
      </w:tr>
      <w:tr w14:paraId="226B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87" w:hRule="atLeast"/>
          <w:jc w:val="center"/>
        </w:trPr>
        <w:tc>
          <w:tcPr>
            <w:tcW w:w="157" w:type="pct"/>
            <w:vMerge w:val="continue"/>
            <w:shd w:val="clear" w:color="auto" w:fill="auto"/>
            <w:vAlign w:val="center"/>
          </w:tcPr>
          <w:p w14:paraId="2AA53BA5">
            <w:pPr>
              <w:jc w:val="left"/>
              <w:rPr>
                <w:color w:val="auto"/>
                <w:sz w:val="18"/>
                <w:szCs w:val="8"/>
                <w:highlight w:val="none"/>
              </w:rPr>
            </w:pPr>
          </w:p>
        </w:tc>
        <w:tc>
          <w:tcPr>
            <w:tcW w:w="427" w:type="pct"/>
            <w:vMerge w:val="continue"/>
            <w:shd w:val="clear" w:color="auto" w:fill="auto"/>
            <w:vAlign w:val="center"/>
          </w:tcPr>
          <w:p w14:paraId="15774322">
            <w:pPr>
              <w:jc w:val="left"/>
              <w:rPr>
                <w:color w:val="auto"/>
                <w:sz w:val="18"/>
                <w:szCs w:val="8"/>
                <w:highlight w:val="none"/>
              </w:rPr>
            </w:pPr>
          </w:p>
        </w:tc>
        <w:tc>
          <w:tcPr>
            <w:tcW w:w="4001" w:type="pct"/>
            <w:gridSpan w:val="5"/>
            <w:shd w:val="clear" w:color="auto" w:fill="auto"/>
          </w:tcPr>
          <w:p w14:paraId="6B6B34C7">
            <w:pPr>
              <w:jc w:val="left"/>
              <w:rPr>
                <w:color w:val="auto"/>
                <w:sz w:val="18"/>
                <w:szCs w:val="8"/>
                <w:highlight w:val="none"/>
              </w:rPr>
            </w:pPr>
            <w:r>
              <w:rPr>
                <w:rFonts w:hint="eastAsia"/>
                <w:color w:val="auto"/>
                <w:sz w:val="18"/>
                <w:szCs w:val="8"/>
                <w:highlight w:val="none"/>
              </w:rPr>
              <w:t xml:space="preserve">2.12自定心虎钳≥ 1台 </w:t>
            </w:r>
          </w:p>
        </w:tc>
        <w:tc>
          <w:tcPr>
            <w:tcW w:w="404" w:type="pct"/>
            <w:gridSpan w:val="2"/>
            <w:vMerge w:val="continue"/>
            <w:shd w:val="clear" w:color="auto" w:fill="auto"/>
            <w:vAlign w:val="center"/>
          </w:tcPr>
          <w:p w14:paraId="385EDB2D">
            <w:pPr>
              <w:jc w:val="left"/>
              <w:rPr>
                <w:color w:val="auto"/>
                <w:sz w:val="18"/>
                <w:szCs w:val="8"/>
                <w:highlight w:val="none"/>
              </w:rPr>
            </w:pPr>
          </w:p>
        </w:tc>
      </w:tr>
      <w:tr w14:paraId="15ED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restart"/>
            <w:shd w:val="clear" w:color="auto" w:fill="auto"/>
            <w:vAlign w:val="center"/>
          </w:tcPr>
          <w:p w14:paraId="57BA3BCB">
            <w:pPr>
              <w:jc w:val="center"/>
              <w:rPr>
                <w:rFonts w:ascii="宋体" w:hAnsi="宋体" w:cs="宋体"/>
                <w:color w:val="auto"/>
                <w:sz w:val="18"/>
                <w:szCs w:val="10"/>
                <w:highlight w:val="none"/>
              </w:rPr>
            </w:pPr>
            <w:r>
              <w:rPr>
                <w:rFonts w:hint="eastAsia" w:ascii="宋体" w:hAnsi="宋体" w:cs="宋体"/>
                <w:color w:val="auto"/>
                <w:sz w:val="18"/>
                <w:szCs w:val="10"/>
                <w:highlight w:val="none"/>
              </w:rPr>
              <w:t>2</w:t>
            </w:r>
          </w:p>
        </w:tc>
        <w:tc>
          <w:tcPr>
            <w:tcW w:w="427" w:type="pct"/>
            <w:vMerge w:val="restart"/>
            <w:shd w:val="clear" w:color="auto" w:fill="auto"/>
            <w:vAlign w:val="center"/>
          </w:tcPr>
          <w:p w14:paraId="6F0FAEEF">
            <w:pPr>
              <w:widowControl/>
              <w:jc w:val="center"/>
              <w:textAlignment w:val="center"/>
              <w:rPr>
                <w:rFonts w:ascii="宋体" w:hAnsi="宋体" w:cs="宋体"/>
                <w:color w:val="auto"/>
                <w:sz w:val="18"/>
                <w:szCs w:val="10"/>
                <w:highlight w:val="none"/>
              </w:rPr>
            </w:pPr>
            <w:r>
              <w:rPr>
                <w:rFonts w:hint="eastAsia" w:ascii="宋体" w:hAnsi="宋体" w:cs="宋体"/>
                <w:color w:val="auto"/>
                <w:kern w:val="0"/>
                <w:sz w:val="18"/>
                <w:szCs w:val="10"/>
                <w:highlight w:val="none"/>
                <w:lang w:bidi="ar"/>
              </w:rPr>
              <w:t>机床刀具、刀柄及辅材</w:t>
            </w:r>
          </w:p>
        </w:tc>
        <w:tc>
          <w:tcPr>
            <w:tcW w:w="4001" w:type="pct"/>
            <w:gridSpan w:val="5"/>
            <w:shd w:val="clear" w:color="auto" w:fill="auto"/>
            <w:vAlign w:val="center"/>
          </w:tcPr>
          <w:p w14:paraId="1EF5AB0C">
            <w:pPr>
              <w:rPr>
                <w:rFonts w:ascii="宋体" w:hAnsi="宋体" w:cs="宋体"/>
                <w:color w:val="auto"/>
                <w:sz w:val="18"/>
                <w:szCs w:val="10"/>
                <w:highlight w:val="none"/>
              </w:rPr>
            </w:pPr>
            <w:r>
              <w:rPr>
                <w:rFonts w:hint="eastAsia"/>
                <w:color w:val="auto"/>
                <w:sz w:val="18"/>
                <w:szCs w:val="8"/>
                <w:highlight w:val="none"/>
              </w:rPr>
              <w:t>一、项目特征</w:t>
            </w:r>
          </w:p>
        </w:tc>
        <w:tc>
          <w:tcPr>
            <w:tcW w:w="404" w:type="pct"/>
            <w:gridSpan w:val="2"/>
            <w:vMerge w:val="restart"/>
            <w:shd w:val="clear" w:color="auto" w:fill="auto"/>
            <w:vAlign w:val="center"/>
          </w:tcPr>
          <w:p w14:paraId="06AD5865">
            <w:pPr>
              <w:jc w:val="center"/>
              <w:rPr>
                <w:rFonts w:ascii="宋体" w:hAnsi="宋体" w:cs="宋体"/>
                <w:color w:val="auto"/>
                <w:sz w:val="18"/>
                <w:szCs w:val="10"/>
                <w:highlight w:val="none"/>
              </w:rPr>
            </w:pPr>
            <w:r>
              <w:rPr>
                <w:rFonts w:hint="eastAsia" w:ascii="宋体" w:hAnsi="宋体" w:cs="宋体"/>
                <w:b/>
                <w:bCs/>
                <w:color w:val="auto"/>
                <w:sz w:val="18"/>
                <w:szCs w:val="10"/>
                <w:highlight w:val="none"/>
              </w:rPr>
              <w:t>1套</w:t>
            </w:r>
          </w:p>
        </w:tc>
      </w:tr>
      <w:tr w14:paraId="2A05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44574E49">
            <w:pPr>
              <w:jc w:val="center"/>
              <w:rPr>
                <w:rFonts w:ascii="宋体" w:hAnsi="宋体" w:cs="宋体"/>
                <w:color w:val="auto"/>
                <w:sz w:val="18"/>
                <w:szCs w:val="10"/>
                <w:highlight w:val="none"/>
              </w:rPr>
            </w:pPr>
          </w:p>
        </w:tc>
        <w:tc>
          <w:tcPr>
            <w:tcW w:w="427" w:type="pct"/>
            <w:vMerge w:val="continue"/>
            <w:shd w:val="clear" w:color="auto" w:fill="auto"/>
            <w:vAlign w:val="center"/>
          </w:tcPr>
          <w:p w14:paraId="1AECF4E8">
            <w:pPr>
              <w:widowControl/>
              <w:jc w:val="center"/>
              <w:textAlignment w:val="center"/>
              <w:rPr>
                <w:rFonts w:ascii="宋体" w:hAnsi="宋体" w:cs="宋体"/>
                <w:color w:val="auto"/>
                <w:kern w:val="0"/>
                <w:sz w:val="18"/>
                <w:szCs w:val="10"/>
                <w:highlight w:val="none"/>
                <w:lang w:bidi="ar"/>
              </w:rPr>
            </w:pPr>
          </w:p>
        </w:tc>
        <w:tc>
          <w:tcPr>
            <w:tcW w:w="4001" w:type="pct"/>
            <w:gridSpan w:val="5"/>
            <w:shd w:val="clear" w:color="auto" w:fill="auto"/>
            <w:vAlign w:val="center"/>
          </w:tcPr>
          <w:p w14:paraId="6432D3C8">
            <w:pPr>
              <w:rPr>
                <w:rFonts w:ascii="宋体" w:hAnsi="宋体" w:cs="宋体"/>
                <w:color w:val="auto"/>
                <w:sz w:val="18"/>
                <w:szCs w:val="10"/>
                <w:highlight w:val="none"/>
              </w:rPr>
            </w:pPr>
            <w:r>
              <w:rPr>
                <w:rFonts w:hint="eastAsia"/>
                <w:color w:val="auto"/>
                <w:sz w:val="18"/>
                <w:szCs w:val="8"/>
                <w:highlight w:val="none"/>
              </w:rPr>
              <w:t>1.名称:机床刀具、刀柄及辅材</w:t>
            </w:r>
          </w:p>
        </w:tc>
        <w:tc>
          <w:tcPr>
            <w:tcW w:w="404" w:type="pct"/>
            <w:gridSpan w:val="2"/>
            <w:vMerge w:val="continue"/>
            <w:shd w:val="clear" w:color="auto" w:fill="auto"/>
            <w:vAlign w:val="center"/>
          </w:tcPr>
          <w:p w14:paraId="39E766EE">
            <w:pPr>
              <w:jc w:val="center"/>
              <w:rPr>
                <w:rFonts w:ascii="宋体" w:hAnsi="宋体" w:cs="宋体"/>
                <w:b/>
                <w:bCs/>
                <w:color w:val="auto"/>
                <w:sz w:val="18"/>
                <w:szCs w:val="10"/>
                <w:highlight w:val="none"/>
              </w:rPr>
            </w:pPr>
          </w:p>
        </w:tc>
      </w:tr>
      <w:tr w14:paraId="281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75D540AA">
            <w:pPr>
              <w:jc w:val="center"/>
              <w:rPr>
                <w:rFonts w:ascii="宋体" w:hAnsi="宋体" w:cs="宋体"/>
                <w:color w:val="auto"/>
                <w:sz w:val="18"/>
                <w:szCs w:val="10"/>
                <w:highlight w:val="none"/>
              </w:rPr>
            </w:pPr>
          </w:p>
        </w:tc>
        <w:tc>
          <w:tcPr>
            <w:tcW w:w="427" w:type="pct"/>
            <w:vMerge w:val="continue"/>
            <w:shd w:val="clear" w:color="auto" w:fill="auto"/>
            <w:vAlign w:val="center"/>
          </w:tcPr>
          <w:p w14:paraId="7BD5E230">
            <w:pPr>
              <w:widowControl/>
              <w:jc w:val="center"/>
              <w:textAlignment w:val="center"/>
              <w:rPr>
                <w:rFonts w:ascii="宋体" w:hAnsi="宋体" w:cs="宋体"/>
                <w:color w:val="auto"/>
                <w:kern w:val="0"/>
                <w:sz w:val="18"/>
                <w:szCs w:val="10"/>
                <w:highlight w:val="none"/>
                <w:lang w:bidi="ar"/>
              </w:rPr>
            </w:pPr>
          </w:p>
        </w:tc>
        <w:tc>
          <w:tcPr>
            <w:tcW w:w="4001" w:type="pct"/>
            <w:gridSpan w:val="5"/>
            <w:shd w:val="clear" w:color="auto" w:fill="auto"/>
            <w:vAlign w:val="center"/>
          </w:tcPr>
          <w:p w14:paraId="61C90DD5">
            <w:pPr>
              <w:rPr>
                <w:rFonts w:ascii="宋体" w:hAnsi="宋体" w:cs="宋体"/>
                <w:color w:val="auto"/>
                <w:sz w:val="18"/>
                <w:szCs w:val="10"/>
                <w:highlight w:val="none"/>
              </w:rPr>
            </w:pPr>
            <w:r>
              <w:rPr>
                <w:rFonts w:hint="eastAsia"/>
                <w:color w:val="auto"/>
                <w:sz w:val="18"/>
                <w:szCs w:val="8"/>
                <w:highlight w:val="none"/>
              </w:rPr>
              <w:t>2.参数</w:t>
            </w:r>
          </w:p>
        </w:tc>
        <w:tc>
          <w:tcPr>
            <w:tcW w:w="404" w:type="pct"/>
            <w:gridSpan w:val="2"/>
            <w:vMerge w:val="continue"/>
            <w:shd w:val="clear" w:color="auto" w:fill="auto"/>
            <w:vAlign w:val="center"/>
          </w:tcPr>
          <w:p w14:paraId="0FC23027">
            <w:pPr>
              <w:jc w:val="center"/>
              <w:rPr>
                <w:rFonts w:ascii="宋体" w:hAnsi="宋体" w:cs="宋体"/>
                <w:b/>
                <w:bCs/>
                <w:color w:val="auto"/>
                <w:sz w:val="18"/>
                <w:szCs w:val="10"/>
                <w:highlight w:val="none"/>
              </w:rPr>
            </w:pPr>
          </w:p>
        </w:tc>
      </w:tr>
      <w:tr w14:paraId="2BCA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698AA14F">
            <w:pPr>
              <w:rPr>
                <w:color w:val="auto"/>
                <w:sz w:val="18"/>
                <w:szCs w:val="8"/>
                <w:highlight w:val="none"/>
              </w:rPr>
            </w:pPr>
          </w:p>
        </w:tc>
        <w:tc>
          <w:tcPr>
            <w:tcW w:w="427" w:type="pct"/>
            <w:vMerge w:val="continue"/>
            <w:shd w:val="clear" w:color="auto" w:fill="auto"/>
            <w:vAlign w:val="center"/>
          </w:tcPr>
          <w:p w14:paraId="72C0497E">
            <w:pPr>
              <w:rPr>
                <w:color w:val="auto"/>
                <w:sz w:val="18"/>
                <w:szCs w:val="8"/>
                <w:highlight w:val="none"/>
              </w:rPr>
            </w:pPr>
          </w:p>
        </w:tc>
        <w:tc>
          <w:tcPr>
            <w:tcW w:w="4001" w:type="pct"/>
            <w:gridSpan w:val="5"/>
            <w:shd w:val="clear" w:color="auto" w:fill="auto"/>
            <w:vAlign w:val="center"/>
          </w:tcPr>
          <w:p w14:paraId="470D34F6">
            <w:pPr>
              <w:rPr>
                <w:color w:val="auto"/>
                <w:sz w:val="18"/>
                <w:szCs w:val="8"/>
                <w:highlight w:val="none"/>
              </w:rPr>
            </w:pPr>
            <w:r>
              <w:rPr>
                <w:rFonts w:hint="eastAsia"/>
                <w:color w:val="auto"/>
                <w:sz w:val="18"/>
                <w:szCs w:val="8"/>
                <w:highlight w:val="none"/>
              </w:rPr>
              <w:t>1.钨钢纳米涂层立铣刀 STD-60HRC-D6*50L*4F ≥350支</w:t>
            </w:r>
          </w:p>
        </w:tc>
        <w:tc>
          <w:tcPr>
            <w:tcW w:w="404" w:type="pct"/>
            <w:gridSpan w:val="2"/>
            <w:vMerge w:val="continue"/>
            <w:shd w:val="clear" w:color="auto" w:fill="auto"/>
            <w:vAlign w:val="center"/>
          </w:tcPr>
          <w:p w14:paraId="55046065">
            <w:pPr>
              <w:rPr>
                <w:rFonts w:ascii="宋体" w:hAnsi="宋体" w:cs="宋体"/>
                <w:color w:val="auto"/>
                <w:sz w:val="18"/>
                <w:szCs w:val="10"/>
                <w:highlight w:val="none"/>
              </w:rPr>
            </w:pPr>
          </w:p>
        </w:tc>
      </w:tr>
      <w:tr w14:paraId="0430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7CD83B04">
            <w:pPr>
              <w:rPr>
                <w:color w:val="auto"/>
                <w:sz w:val="18"/>
                <w:szCs w:val="8"/>
                <w:highlight w:val="none"/>
              </w:rPr>
            </w:pPr>
          </w:p>
        </w:tc>
        <w:tc>
          <w:tcPr>
            <w:tcW w:w="427" w:type="pct"/>
            <w:vMerge w:val="continue"/>
            <w:shd w:val="clear" w:color="auto" w:fill="auto"/>
            <w:vAlign w:val="center"/>
          </w:tcPr>
          <w:p w14:paraId="2E5E3BC7">
            <w:pPr>
              <w:rPr>
                <w:color w:val="auto"/>
                <w:sz w:val="18"/>
                <w:szCs w:val="8"/>
                <w:highlight w:val="none"/>
              </w:rPr>
            </w:pPr>
          </w:p>
        </w:tc>
        <w:tc>
          <w:tcPr>
            <w:tcW w:w="4001" w:type="pct"/>
            <w:gridSpan w:val="5"/>
            <w:shd w:val="clear" w:color="auto" w:fill="auto"/>
            <w:vAlign w:val="center"/>
          </w:tcPr>
          <w:p w14:paraId="7383EA8E">
            <w:pPr>
              <w:rPr>
                <w:rFonts w:ascii="宋体" w:hAnsi="宋体" w:cs="宋体"/>
                <w:color w:val="auto"/>
                <w:sz w:val="18"/>
                <w:szCs w:val="10"/>
                <w:highlight w:val="none"/>
              </w:rPr>
            </w:pPr>
            <w:r>
              <w:rPr>
                <w:rFonts w:hint="eastAsia"/>
                <w:color w:val="auto"/>
                <w:sz w:val="18"/>
                <w:szCs w:val="8"/>
                <w:highlight w:val="none"/>
              </w:rPr>
              <w:t>2.钨钢纳米涂层立铣刀 STD-60HRC-D10*75L*4F ≥350支</w:t>
            </w:r>
          </w:p>
        </w:tc>
        <w:tc>
          <w:tcPr>
            <w:tcW w:w="404" w:type="pct"/>
            <w:gridSpan w:val="2"/>
            <w:vMerge w:val="continue"/>
            <w:shd w:val="clear" w:color="auto" w:fill="auto"/>
            <w:vAlign w:val="center"/>
          </w:tcPr>
          <w:p w14:paraId="0B66B853">
            <w:pPr>
              <w:rPr>
                <w:rFonts w:ascii="宋体" w:hAnsi="宋体" w:cs="宋体"/>
                <w:color w:val="auto"/>
                <w:sz w:val="18"/>
                <w:szCs w:val="10"/>
                <w:highlight w:val="none"/>
              </w:rPr>
            </w:pPr>
          </w:p>
        </w:tc>
      </w:tr>
      <w:tr w14:paraId="1873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0718D8AB">
            <w:pPr>
              <w:rPr>
                <w:rFonts w:ascii="宋体" w:hAnsi="宋体" w:cs="宋体"/>
                <w:color w:val="auto"/>
                <w:sz w:val="18"/>
                <w:szCs w:val="10"/>
                <w:highlight w:val="none"/>
              </w:rPr>
            </w:pPr>
          </w:p>
        </w:tc>
        <w:tc>
          <w:tcPr>
            <w:tcW w:w="427" w:type="pct"/>
            <w:vMerge w:val="continue"/>
            <w:shd w:val="clear" w:color="auto" w:fill="auto"/>
            <w:vAlign w:val="center"/>
          </w:tcPr>
          <w:p w14:paraId="634380B4">
            <w:pPr>
              <w:rPr>
                <w:rFonts w:ascii="宋体" w:hAnsi="宋体" w:cs="宋体"/>
                <w:color w:val="auto"/>
                <w:sz w:val="18"/>
                <w:szCs w:val="10"/>
                <w:highlight w:val="none"/>
              </w:rPr>
            </w:pPr>
          </w:p>
        </w:tc>
        <w:tc>
          <w:tcPr>
            <w:tcW w:w="4001" w:type="pct"/>
            <w:gridSpan w:val="5"/>
            <w:shd w:val="clear" w:color="auto" w:fill="auto"/>
            <w:vAlign w:val="center"/>
          </w:tcPr>
          <w:p w14:paraId="3B0B8BF6">
            <w:pPr>
              <w:rPr>
                <w:rFonts w:ascii="宋体" w:hAnsi="宋体" w:cs="宋体"/>
                <w:color w:val="auto"/>
                <w:sz w:val="18"/>
                <w:szCs w:val="10"/>
                <w:highlight w:val="none"/>
              </w:rPr>
            </w:pPr>
            <w:r>
              <w:rPr>
                <w:rFonts w:hint="eastAsia"/>
                <w:color w:val="auto"/>
                <w:sz w:val="18"/>
                <w:szCs w:val="8"/>
                <w:highlight w:val="none"/>
              </w:rPr>
              <w:t>3.钨钢纳米涂层立铣刀 STD-60HRC-D10*R1*75L*4F ≥350支</w:t>
            </w:r>
          </w:p>
        </w:tc>
        <w:tc>
          <w:tcPr>
            <w:tcW w:w="404" w:type="pct"/>
            <w:gridSpan w:val="2"/>
            <w:vMerge w:val="continue"/>
            <w:shd w:val="clear" w:color="auto" w:fill="auto"/>
            <w:vAlign w:val="center"/>
          </w:tcPr>
          <w:p w14:paraId="4D5E7576">
            <w:pPr>
              <w:rPr>
                <w:rFonts w:ascii="宋体" w:hAnsi="宋体" w:cs="宋体"/>
                <w:color w:val="auto"/>
                <w:sz w:val="18"/>
                <w:szCs w:val="10"/>
                <w:highlight w:val="none"/>
              </w:rPr>
            </w:pPr>
          </w:p>
        </w:tc>
      </w:tr>
      <w:tr w14:paraId="049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1C63200F">
            <w:pPr>
              <w:rPr>
                <w:rFonts w:ascii="宋体" w:hAnsi="宋体" w:cs="宋体"/>
                <w:color w:val="auto"/>
                <w:sz w:val="18"/>
                <w:szCs w:val="10"/>
                <w:highlight w:val="none"/>
              </w:rPr>
            </w:pPr>
          </w:p>
        </w:tc>
        <w:tc>
          <w:tcPr>
            <w:tcW w:w="427" w:type="pct"/>
            <w:vMerge w:val="continue"/>
            <w:shd w:val="clear" w:color="auto" w:fill="auto"/>
            <w:vAlign w:val="center"/>
          </w:tcPr>
          <w:p w14:paraId="509A883E">
            <w:pPr>
              <w:rPr>
                <w:rFonts w:ascii="宋体" w:hAnsi="宋体" w:cs="宋体"/>
                <w:color w:val="auto"/>
                <w:sz w:val="18"/>
                <w:szCs w:val="10"/>
                <w:highlight w:val="none"/>
              </w:rPr>
            </w:pPr>
          </w:p>
        </w:tc>
        <w:tc>
          <w:tcPr>
            <w:tcW w:w="4001" w:type="pct"/>
            <w:gridSpan w:val="5"/>
            <w:shd w:val="clear" w:color="auto" w:fill="auto"/>
            <w:vAlign w:val="center"/>
          </w:tcPr>
          <w:p w14:paraId="068CAE2A">
            <w:pPr>
              <w:rPr>
                <w:rFonts w:ascii="宋体" w:hAnsi="宋体" w:cs="宋体"/>
                <w:color w:val="auto"/>
                <w:sz w:val="18"/>
                <w:szCs w:val="10"/>
                <w:highlight w:val="none"/>
              </w:rPr>
            </w:pPr>
            <w:r>
              <w:rPr>
                <w:rFonts w:hint="eastAsia"/>
                <w:color w:val="auto"/>
                <w:sz w:val="18"/>
                <w:szCs w:val="8"/>
                <w:highlight w:val="none"/>
              </w:rPr>
              <w:t>4.超精加工系列钨钢铣刀/平底刀 5080-C ￠10*22*75L*4T ≥120支</w:t>
            </w:r>
          </w:p>
        </w:tc>
        <w:tc>
          <w:tcPr>
            <w:tcW w:w="404" w:type="pct"/>
            <w:gridSpan w:val="2"/>
            <w:vMerge w:val="continue"/>
            <w:shd w:val="clear" w:color="auto" w:fill="auto"/>
            <w:vAlign w:val="center"/>
          </w:tcPr>
          <w:p w14:paraId="5C722F0A">
            <w:pPr>
              <w:rPr>
                <w:rFonts w:ascii="宋体" w:hAnsi="宋体" w:cs="宋体"/>
                <w:color w:val="auto"/>
                <w:sz w:val="18"/>
                <w:szCs w:val="10"/>
                <w:highlight w:val="none"/>
              </w:rPr>
            </w:pPr>
          </w:p>
        </w:tc>
      </w:tr>
      <w:tr w14:paraId="0D64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4EA3F138">
            <w:pPr>
              <w:rPr>
                <w:rFonts w:ascii="宋体" w:hAnsi="宋体" w:cs="宋体"/>
                <w:color w:val="auto"/>
                <w:sz w:val="18"/>
                <w:szCs w:val="10"/>
                <w:highlight w:val="none"/>
              </w:rPr>
            </w:pPr>
          </w:p>
        </w:tc>
        <w:tc>
          <w:tcPr>
            <w:tcW w:w="427" w:type="pct"/>
            <w:vMerge w:val="continue"/>
            <w:shd w:val="clear" w:color="auto" w:fill="auto"/>
            <w:vAlign w:val="center"/>
          </w:tcPr>
          <w:p w14:paraId="6A4C63C6">
            <w:pPr>
              <w:rPr>
                <w:rFonts w:ascii="宋体" w:hAnsi="宋体" w:cs="宋体"/>
                <w:color w:val="auto"/>
                <w:sz w:val="18"/>
                <w:szCs w:val="10"/>
                <w:highlight w:val="none"/>
              </w:rPr>
            </w:pPr>
          </w:p>
        </w:tc>
        <w:tc>
          <w:tcPr>
            <w:tcW w:w="4001" w:type="pct"/>
            <w:gridSpan w:val="5"/>
            <w:shd w:val="clear" w:color="auto" w:fill="auto"/>
            <w:vAlign w:val="center"/>
          </w:tcPr>
          <w:p w14:paraId="1D551491">
            <w:pPr>
              <w:rPr>
                <w:rFonts w:ascii="宋体" w:hAnsi="宋体" w:cs="宋体"/>
                <w:color w:val="auto"/>
                <w:sz w:val="18"/>
                <w:szCs w:val="10"/>
                <w:highlight w:val="none"/>
              </w:rPr>
            </w:pPr>
            <w:r>
              <w:rPr>
                <w:rFonts w:hint="eastAsia"/>
                <w:color w:val="auto"/>
                <w:sz w:val="18"/>
                <w:szCs w:val="8"/>
                <w:highlight w:val="none"/>
              </w:rPr>
              <w:t>5.超精加工系列钨钢铣刀/平底刀 5080-C ￠6*16*50L*4T  ≥120支</w:t>
            </w:r>
          </w:p>
        </w:tc>
        <w:tc>
          <w:tcPr>
            <w:tcW w:w="404" w:type="pct"/>
            <w:gridSpan w:val="2"/>
            <w:vMerge w:val="continue"/>
            <w:shd w:val="clear" w:color="auto" w:fill="auto"/>
            <w:vAlign w:val="center"/>
          </w:tcPr>
          <w:p w14:paraId="412E416E">
            <w:pPr>
              <w:rPr>
                <w:rFonts w:ascii="宋体" w:hAnsi="宋体" w:cs="宋体"/>
                <w:color w:val="auto"/>
                <w:sz w:val="18"/>
                <w:szCs w:val="10"/>
                <w:highlight w:val="none"/>
              </w:rPr>
            </w:pPr>
          </w:p>
        </w:tc>
      </w:tr>
      <w:tr w14:paraId="0E4E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1D24FBFC">
            <w:pPr>
              <w:rPr>
                <w:rFonts w:ascii="宋体" w:hAnsi="宋体" w:cs="宋体"/>
                <w:color w:val="auto"/>
                <w:sz w:val="18"/>
                <w:szCs w:val="10"/>
                <w:highlight w:val="none"/>
              </w:rPr>
            </w:pPr>
          </w:p>
        </w:tc>
        <w:tc>
          <w:tcPr>
            <w:tcW w:w="427" w:type="pct"/>
            <w:vMerge w:val="continue"/>
            <w:shd w:val="clear" w:color="auto" w:fill="auto"/>
            <w:vAlign w:val="center"/>
          </w:tcPr>
          <w:p w14:paraId="189D5CC4">
            <w:pPr>
              <w:rPr>
                <w:rFonts w:ascii="宋体" w:hAnsi="宋体" w:cs="宋体"/>
                <w:color w:val="auto"/>
                <w:sz w:val="18"/>
                <w:szCs w:val="10"/>
                <w:highlight w:val="none"/>
              </w:rPr>
            </w:pPr>
          </w:p>
        </w:tc>
        <w:tc>
          <w:tcPr>
            <w:tcW w:w="4001" w:type="pct"/>
            <w:gridSpan w:val="5"/>
            <w:shd w:val="clear" w:color="auto" w:fill="auto"/>
            <w:vAlign w:val="center"/>
          </w:tcPr>
          <w:p w14:paraId="1ACA1D4E">
            <w:pPr>
              <w:rPr>
                <w:rFonts w:ascii="宋体" w:hAnsi="宋体" w:cs="宋体"/>
                <w:color w:val="auto"/>
                <w:sz w:val="18"/>
                <w:szCs w:val="10"/>
                <w:highlight w:val="none"/>
              </w:rPr>
            </w:pPr>
            <w:r>
              <w:rPr>
                <w:rFonts w:hint="eastAsia"/>
                <w:color w:val="auto"/>
                <w:sz w:val="18"/>
                <w:szCs w:val="8"/>
                <w:highlight w:val="none"/>
              </w:rPr>
              <w:t>6.高精密液压刀柄 ≥4把 HSK63A-DEP20-1</w:t>
            </w:r>
          </w:p>
        </w:tc>
        <w:tc>
          <w:tcPr>
            <w:tcW w:w="404" w:type="pct"/>
            <w:gridSpan w:val="2"/>
            <w:vMerge w:val="continue"/>
            <w:shd w:val="clear" w:color="auto" w:fill="auto"/>
            <w:vAlign w:val="center"/>
          </w:tcPr>
          <w:p w14:paraId="28220CCD">
            <w:pPr>
              <w:rPr>
                <w:rFonts w:ascii="宋体" w:hAnsi="宋体" w:cs="宋体"/>
                <w:color w:val="auto"/>
                <w:sz w:val="18"/>
                <w:szCs w:val="10"/>
                <w:highlight w:val="none"/>
              </w:rPr>
            </w:pPr>
          </w:p>
        </w:tc>
      </w:tr>
      <w:tr w14:paraId="65FB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19" w:hRule="atLeast"/>
          <w:jc w:val="center"/>
        </w:trPr>
        <w:tc>
          <w:tcPr>
            <w:tcW w:w="157" w:type="pct"/>
            <w:vMerge w:val="continue"/>
            <w:shd w:val="clear" w:color="auto" w:fill="auto"/>
            <w:vAlign w:val="center"/>
          </w:tcPr>
          <w:p w14:paraId="5001963E">
            <w:pPr>
              <w:rPr>
                <w:rFonts w:ascii="宋体" w:hAnsi="宋体" w:cs="宋体"/>
                <w:color w:val="auto"/>
                <w:sz w:val="18"/>
                <w:szCs w:val="10"/>
                <w:highlight w:val="none"/>
              </w:rPr>
            </w:pPr>
          </w:p>
        </w:tc>
        <w:tc>
          <w:tcPr>
            <w:tcW w:w="427" w:type="pct"/>
            <w:vMerge w:val="continue"/>
            <w:shd w:val="clear" w:color="auto" w:fill="auto"/>
            <w:vAlign w:val="center"/>
          </w:tcPr>
          <w:p w14:paraId="60243B4A">
            <w:pPr>
              <w:rPr>
                <w:rFonts w:ascii="宋体" w:hAnsi="宋体" w:cs="宋体"/>
                <w:color w:val="auto"/>
                <w:sz w:val="18"/>
                <w:szCs w:val="10"/>
                <w:highlight w:val="none"/>
              </w:rPr>
            </w:pPr>
          </w:p>
        </w:tc>
        <w:tc>
          <w:tcPr>
            <w:tcW w:w="4001" w:type="pct"/>
            <w:gridSpan w:val="5"/>
            <w:shd w:val="clear" w:color="auto" w:fill="auto"/>
            <w:vAlign w:val="center"/>
          </w:tcPr>
          <w:p w14:paraId="15F41807">
            <w:pPr>
              <w:rPr>
                <w:rFonts w:ascii="宋体" w:hAnsi="宋体" w:cs="宋体"/>
                <w:color w:val="auto"/>
                <w:sz w:val="18"/>
                <w:szCs w:val="10"/>
                <w:highlight w:val="none"/>
              </w:rPr>
            </w:pPr>
            <w:r>
              <w:rPr>
                <w:rFonts w:hint="eastAsia"/>
                <w:color w:val="auto"/>
                <w:sz w:val="18"/>
                <w:szCs w:val="8"/>
                <w:highlight w:val="none"/>
              </w:rPr>
              <w:t>7.液压筒夹  DEP20-04、DEP20-6、DEP20-10 各≥4个</w:t>
            </w:r>
          </w:p>
        </w:tc>
        <w:tc>
          <w:tcPr>
            <w:tcW w:w="404" w:type="pct"/>
            <w:gridSpan w:val="2"/>
            <w:vMerge w:val="continue"/>
            <w:shd w:val="clear" w:color="auto" w:fill="auto"/>
            <w:vAlign w:val="center"/>
          </w:tcPr>
          <w:p w14:paraId="000CFE43">
            <w:pPr>
              <w:rPr>
                <w:rFonts w:ascii="宋体" w:hAnsi="宋体" w:cs="宋体"/>
                <w:color w:val="auto"/>
                <w:sz w:val="18"/>
                <w:szCs w:val="10"/>
                <w:highlight w:val="none"/>
              </w:rPr>
            </w:pPr>
          </w:p>
        </w:tc>
      </w:tr>
      <w:tr w14:paraId="5F85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restart"/>
            <w:shd w:val="clear" w:color="auto" w:fill="auto"/>
            <w:vAlign w:val="center"/>
          </w:tcPr>
          <w:p w14:paraId="3AA525EA">
            <w:pPr>
              <w:jc w:val="center"/>
              <w:rPr>
                <w:rFonts w:ascii="宋体" w:hAnsi="宋体" w:cs="宋体"/>
                <w:color w:val="auto"/>
                <w:sz w:val="18"/>
                <w:szCs w:val="10"/>
                <w:highlight w:val="none"/>
              </w:rPr>
            </w:pPr>
            <w:r>
              <w:rPr>
                <w:rFonts w:hint="eastAsia" w:ascii="宋体" w:hAnsi="宋体" w:cs="宋体"/>
                <w:color w:val="auto"/>
                <w:sz w:val="18"/>
                <w:szCs w:val="10"/>
                <w:highlight w:val="none"/>
              </w:rPr>
              <w:t>3</w:t>
            </w:r>
          </w:p>
        </w:tc>
        <w:tc>
          <w:tcPr>
            <w:tcW w:w="427" w:type="pct"/>
            <w:vMerge w:val="restart"/>
            <w:shd w:val="clear" w:color="auto" w:fill="auto"/>
            <w:vAlign w:val="center"/>
          </w:tcPr>
          <w:p w14:paraId="40A4F9E1">
            <w:pPr>
              <w:widowControl/>
              <w:jc w:val="center"/>
              <w:textAlignment w:val="center"/>
              <w:rPr>
                <w:rFonts w:ascii="宋体" w:hAnsi="宋体" w:cs="宋体"/>
                <w:color w:val="auto"/>
                <w:sz w:val="18"/>
                <w:szCs w:val="10"/>
                <w:highlight w:val="none"/>
              </w:rPr>
            </w:pPr>
            <w:r>
              <w:rPr>
                <w:rFonts w:hint="eastAsia" w:ascii="宋体" w:hAnsi="宋体" w:cs="宋体"/>
                <w:color w:val="auto"/>
                <w:kern w:val="0"/>
                <w:sz w:val="18"/>
                <w:szCs w:val="10"/>
                <w:highlight w:val="none"/>
                <w:lang w:bidi="ar"/>
              </w:rPr>
              <w:t>多轴CAM编程仿真及后处理软件</w:t>
            </w:r>
          </w:p>
        </w:tc>
        <w:tc>
          <w:tcPr>
            <w:tcW w:w="4001" w:type="pct"/>
            <w:gridSpan w:val="5"/>
            <w:shd w:val="clear" w:color="auto" w:fill="auto"/>
            <w:vAlign w:val="center"/>
          </w:tcPr>
          <w:p w14:paraId="135FEC66">
            <w:pPr>
              <w:ind w:firstLine="360" w:firstLineChars="200"/>
              <w:rPr>
                <w:rFonts w:hint="eastAsia"/>
                <w:color w:val="auto"/>
                <w:sz w:val="18"/>
                <w:szCs w:val="8"/>
                <w:highlight w:val="none"/>
              </w:rPr>
            </w:pPr>
            <w:r>
              <w:rPr>
                <w:rFonts w:hint="eastAsia"/>
                <w:color w:val="auto"/>
                <w:sz w:val="18"/>
                <w:szCs w:val="8"/>
                <w:highlight w:val="none"/>
                <w:lang w:val="en-US" w:eastAsia="zh-CN"/>
              </w:rPr>
              <w:t>能</w:t>
            </w:r>
            <w:r>
              <w:rPr>
                <w:rFonts w:hint="eastAsia"/>
                <w:color w:val="auto"/>
                <w:sz w:val="18"/>
                <w:szCs w:val="8"/>
                <w:highlight w:val="none"/>
              </w:rPr>
              <w:t>配合五轴加工中心</w:t>
            </w:r>
            <w:r>
              <w:rPr>
                <w:rFonts w:hint="eastAsia"/>
                <w:color w:val="auto"/>
                <w:sz w:val="18"/>
                <w:szCs w:val="8"/>
                <w:highlight w:val="none"/>
                <w:lang w:eastAsia="zh-CN"/>
              </w:rPr>
              <w:t>（</w:t>
            </w:r>
            <w:r>
              <w:rPr>
                <w:rFonts w:hint="eastAsia"/>
                <w:color w:val="auto"/>
                <w:sz w:val="18"/>
                <w:szCs w:val="8"/>
                <w:highlight w:val="none"/>
                <w:lang w:val="en-US" w:eastAsia="zh-CN"/>
              </w:rPr>
              <w:t>型号：DMU50</w:t>
            </w:r>
            <w:r>
              <w:rPr>
                <w:rFonts w:hint="eastAsia"/>
                <w:color w:val="auto"/>
                <w:sz w:val="18"/>
                <w:szCs w:val="8"/>
                <w:highlight w:val="none"/>
                <w:lang w:eastAsia="zh-CN"/>
              </w:rPr>
              <w:t>）</w:t>
            </w:r>
            <w:r>
              <w:rPr>
                <w:rFonts w:hint="eastAsia"/>
                <w:color w:val="auto"/>
                <w:sz w:val="18"/>
                <w:szCs w:val="8"/>
                <w:highlight w:val="none"/>
              </w:rPr>
              <w:t>，车铣复合机床</w:t>
            </w:r>
            <w:r>
              <w:rPr>
                <w:rFonts w:hint="eastAsia"/>
                <w:color w:val="auto"/>
                <w:sz w:val="18"/>
                <w:szCs w:val="8"/>
                <w:highlight w:val="none"/>
                <w:lang w:val="en-US" w:eastAsia="zh-CN"/>
              </w:rPr>
              <w:t>(型号：DMU350）</w:t>
            </w:r>
            <w:r>
              <w:rPr>
                <w:rFonts w:hint="eastAsia"/>
                <w:color w:val="auto"/>
                <w:sz w:val="18"/>
                <w:szCs w:val="8"/>
                <w:highlight w:val="none"/>
              </w:rPr>
              <w:t>执行一系列关键任务，</w:t>
            </w:r>
            <w:r>
              <w:rPr>
                <w:rFonts w:hint="eastAsia"/>
                <w:color w:val="auto"/>
                <w:sz w:val="18"/>
                <w:szCs w:val="8"/>
                <w:highlight w:val="none"/>
                <w:lang w:val="en-US" w:eastAsia="zh-CN"/>
              </w:rPr>
              <w:t>可</w:t>
            </w:r>
            <w:r>
              <w:rPr>
                <w:rFonts w:hint="eastAsia"/>
                <w:color w:val="auto"/>
                <w:sz w:val="18"/>
                <w:szCs w:val="8"/>
                <w:highlight w:val="none"/>
              </w:rPr>
              <w:t>优化加工过程、提高加工精度和效率</w:t>
            </w:r>
          </w:p>
        </w:tc>
        <w:tc>
          <w:tcPr>
            <w:tcW w:w="404" w:type="pct"/>
            <w:gridSpan w:val="2"/>
            <w:shd w:val="clear" w:color="auto" w:fill="auto"/>
            <w:vAlign w:val="center"/>
          </w:tcPr>
          <w:p w14:paraId="43E29784">
            <w:pPr>
              <w:jc w:val="center"/>
              <w:rPr>
                <w:rFonts w:hint="eastAsia" w:ascii="宋体" w:hAnsi="宋体" w:cs="宋体"/>
                <w:b/>
                <w:bCs/>
                <w:color w:val="auto"/>
                <w:sz w:val="18"/>
                <w:szCs w:val="10"/>
                <w:highlight w:val="none"/>
              </w:rPr>
            </w:pPr>
          </w:p>
        </w:tc>
      </w:tr>
      <w:tr w14:paraId="3A28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4D3E5A2">
            <w:pPr>
              <w:jc w:val="center"/>
              <w:rPr>
                <w:rFonts w:ascii="宋体" w:hAnsi="宋体" w:cs="宋体"/>
                <w:color w:val="auto"/>
                <w:sz w:val="18"/>
                <w:szCs w:val="10"/>
                <w:highlight w:val="none"/>
              </w:rPr>
            </w:pPr>
          </w:p>
        </w:tc>
        <w:tc>
          <w:tcPr>
            <w:tcW w:w="427" w:type="pct"/>
            <w:vMerge w:val="continue"/>
            <w:shd w:val="clear" w:color="auto" w:fill="auto"/>
            <w:vAlign w:val="center"/>
          </w:tcPr>
          <w:p w14:paraId="57BA262D">
            <w:pPr>
              <w:widowControl/>
              <w:jc w:val="center"/>
              <w:textAlignment w:val="center"/>
              <w:rPr>
                <w:rFonts w:ascii="宋体" w:hAnsi="宋体" w:cs="宋体"/>
                <w:color w:val="auto"/>
                <w:sz w:val="18"/>
                <w:szCs w:val="10"/>
                <w:highlight w:val="none"/>
              </w:rPr>
            </w:pPr>
          </w:p>
        </w:tc>
        <w:tc>
          <w:tcPr>
            <w:tcW w:w="460" w:type="pct"/>
            <w:vMerge w:val="restart"/>
            <w:shd w:val="clear" w:color="auto" w:fill="auto"/>
            <w:vAlign w:val="center"/>
          </w:tcPr>
          <w:p w14:paraId="682F5C6F">
            <w:pPr>
              <w:rPr>
                <w:rFonts w:ascii="宋体" w:hAnsi="宋体" w:cs="宋体"/>
                <w:color w:val="auto"/>
                <w:sz w:val="18"/>
                <w:szCs w:val="10"/>
                <w:highlight w:val="none"/>
              </w:rPr>
            </w:pPr>
            <w:r>
              <w:rPr>
                <w:rFonts w:hint="eastAsia" w:ascii="宋体" w:hAnsi="宋体" w:cs="宋体"/>
                <w:color w:val="auto"/>
                <w:sz w:val="18"/>
                <w:szCs w:val="10"/>
                <w:highlight w:val="none"/>
              </w:rPr>
              <w:t>1. 软件基本功能</w:t>
            </w:r>
          </w:p>
        </w:tc>
        <w:tc>
          <w:tcPr>
            <w:tcW w:w="3541" w:type="pct"/>
            <w:gridSpan w:val="4"/>
            <w:shd w:val="clear" w:color="auto" w:fill="auto"/>
          </w:tcPr>
          <w:p w14:paraId="3B1394F3">
            <w:pPr>
              <w:rPr>
                <w:color w:val="auto"/>
                <w:sz w:val="18"/>
                <w:szCs w:val="8"/>
                <w:highlight w:val="none"/>
              </w:rPr>
            </w:pPr>
            <w:r>
              <w:rPr>
                <w:rFonts w:hint="eastAsia"/>
                <w:color w:val="auto"/>
                <w:sz w:val="18"/>
                <w:szCs w:val="8"/>
                <w:highlight w:val="none"/>
              </w:rPr>
              <w:t>1.1、提供CAD和CAM集成化网络版软件。</w:t>
            </w:r>
          </w:p>
        </w:tc>
        <w:tc>
          <w:tcPr>
            <w:tcW w:w="404" w:type="pct"/>
            <w:gridSpan w:val="2"/>
            <w:vMerge w:val="restart"/>
            <w:shd w:val="clear" w:color="auto" w:fill="auto"/>
            <w:vAlign w:val="center"/>
          </w:tcPr>
          <w:p w14:paraId="0A506F8B">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1套</w:t>
            </w:r>
          </w:p>
          <w:p w14:paraId="21497255">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（25点）</w:t>
            </w:r>
          </w:p>
        </w:tc>
      </w:tr>
      <w:tr w14:paraId="0F80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B6D7602">
            <w:pPr>
              <w:rPr>
                <w:color w:val="auto"/>
                <w:sz w:val="18"/>
                <w:szCs w:val="8"/>
                <w:highlight w:val="none"/>
              </w:rPr>
            </w:pPr>
          </w:p>
        </w:tc>
        <w:tc>
          <w:tcPr>
            <w:tcW w:w="427" w:type="pct"/>
            <w:vMerge w:val="continue"/>
            <w:shd w:val="clear" w:color="auto" w:fill="auto"/>
            <w:vAlign w:val="center"/>
          </w:tcPr>
          <w:p w14:paraId="228A6B8B">
            <w:pPr>
              <w:rPr>
                <w:color w:val="auto"/>
                <w:sz w:val="18"/>
                <w:szCs w:val="8"/>
                <w:highlight w:val="none"/>
              </w:rPr>
            </w:pPr>
          </w:p>
        </w:tc>
        <w:tc>
          <w:tcPr>
            <w:tcW w:w="460" w:type="pct"/>
            <w:vMerge w:val="continue"/>
            <w:shd w:val="clear" w:color="auto" w:fill="auto"/>
            <w:vAlign w:val="center"/>
          </w:tcPr>
          <w:p w14:paraId="4A9326FB">
            <w:pPr>
              <w:rPr>
                <w:color w:val="auto"/>
                <w:sz w:val="18"/>
                <w:szCs w:val="8"/>
                <w:highlight w:val="none"/>
              </w:rPr>
            </w:pPr>
          </w:p>
        </w:tc>
        <w:tc>
          <w:tcPr>
            <w:tcW w:w="3541" w:type="pct"/>
            <w:gridSpan w:val="4"/>
            <w:shd w:val="clear" w:color="auto" w:fill="auto"/>
          </w:tcPr>
          <w:p w14:paraId="3C201434">
            <w:pPr>
              <w:rPr>
                <w:color w:val="auto"/>
                <w:sz w:val="18"/>
                <w:szCs w:val="8"/>
                <w:highlight w:val="none"/>
              </w:rPr>
            </w:pPr>
            <w:r>
              <w:rPr>
                <w:rFonts w:hint="eastAsia"/>
                <w:color w:val="auto"/>
                <w:sz w:val="18"/>
                <w:szCs w:val="8"/>
                <w:highlight w:val="none"/>
              </w:rPr>
              <w:t>1.2、具有设计与加工一体化操作界面，软件采用中文界面，易于应用。可应用于PC/Intel Windows10，64位操作系统，提供最新版本软件；</w:t>
            </w:r>
          </w:p>
        </w:tc>
        <w:tc>
          <w:tcPr>
            <w:tcW w:w="404" w:type="pct"/>
            <w:gridSpan w:val="2"/>
            <w:vMerge w:val="continue"/>
            <w:shd w:val="clear" w:color="auto" w:fill="auto"/>
            <w:vAlign w:val="center"/>
          </w:tcPr>
          <w:p w14:paraId="7EF9F345">
            <w:pPr>
              <w:rPr>
                <w:rFonts w:ascii="宋体" w:hAnsi="宋体" w:cs="宋体"/>
                <w:color w:val="auto"/>
                <w:sz w:val="18"/>
                <w:szCs w:val="10"/>
                <w:highlight w:val="none"/>
              </w:rPr>
            </w:pPr>
          </w:p>
        </w:tc>
      </w:tr>
      <w:tr w14:paraId="136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BC01A0C">
            <w:pPr>
              <w:rPr>
                <w:rFonts w:ascii="宋体" w:hAnsi="宋体" w:cs="宋体"/>
                <w:color w:val="auto"/>
                <w:sz w:val="18"/>
                <w:szCs w:val="10"/>
                <w:highlight w:val="none"/>
              </w:rPr>
            </w:pPr>
          </w:p>
        </w:tc>
        <w:tc>
          <w:tcPr>
            <w:tcW w:w="427" w:type="pct"/>
            <w:vMerge w:val="continue"/>
            <w:shd w:val="clear" w:color="auto" w:fill="auto"/>
            <w:vAlign w:val="center"/>
          </w:tcPr>
          <w:p w14:paraId="15284B43">
            <w:pPr>
              <w:rPr>
                <w:rFonts w:ascii="宋体" w:hAnsi="宋体" w:cs="宋体"/>
                <w:color w:val="auto"/>
                <w:sz w:val="18"/>
                <w:szCs w:val="10"/>
                <w:highlight w:val="none"/>
              </w:rPr>
            </w:pPr>
          </w:p>
        </w:tc>
        <w:tc>
          <w:tcPr>
            <w:tcW w:w="460" w:type="pct"/>
            <w:vMerge w:val="continue"/>
            <w:shd w:val="clear" w:color="auto" w:fill="auto"/>
            <w:vAlign w:val="center"/>
          </w:tcPr>
          <w:p w14:paraId="0B762864">
            <w:pPr>
              <w:rPr>
                <w:rFonts w:ascii="宋体" w:hAnsi="宋体" w:cs="宋体"/>
                <w:color w:val="auto"/>
                <w:sz w:val="18"/>
                <w:szCs w:val="10"/>
                <w:highlight w:val="none"/>
              </w:rPr>
            </w:pPr>
          </w:p>
        </w:tc>
        <w:tc>
          <w:tcPr>
            <w:tcW w:w="3541" w:type="pct"/>
            <w:gridSpan w:val="4"/>
            <w:shd w:val="clear" w:color="auto" w:fill="auto"/>
          </w:tcPr>
          <w:p w14:paraId="233BBCF1">
            <w:pPr>
              <w:rPr>
                <w:color w:val="auto"/>
                <w:sz w:val="18"/>
                <w:szCs w:val="8"/>
                <w:highlight w:val="none"/>
              </w:rPr>
            </w:pPr>
            <w:r>
              <w:rPr>
                <w:rFonts w:hint="eastAsia"/>
                <w:color w:val="auto"/>
                <w:sz w:val="18"/>
                <w:szCs w:val="8"/>
                <w:highlight w:val="none"/>
              </w:rPr>
              <w:t>1.3、加工编程软件可应用于车间数控铣床产品的2轴、3轴、5轴产品加工编程以及模具加工编程；</w:t>
            </w:r>
          </w:p>
        </w:tc>
        <w:tc>
          <w:tcPr>
            <w:tcW w:w="404" w:type="pct"/>
            <w:gridSpan w:val="2"/>
            <w:vMerge w:val="continue"/>
            <w:shd w:val="clear" w:color="auto" w:fill="auto"/>
            <w:vAlign w:val="center"/>
          </w:tcPr>
          <w:p w14:paraId="049CD4B2">
            <w:pPr>
              <w:rPr>
                <w:rFonts w:ascii="宋体" w:hAnsi="宋体" w:cs="宋体"/>
                <w:color w:val="auto"/>
                <w:sz w:val="18"/>
                <w:szCs w:val="10"/>
                <w:highlight w:val="none"/>
              </w:rPr>
            </w:pPr>
          </w:p>
        </w:tc>
      </w:tr>
      <w:tr w14:paraId="6298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2D9C633">
            <w:pPr>
              <w:rPr>
                <w:rFonts w:ascii="宋体" w:hAnsi="宋体" w:cs="宋体"/>
                <w:color w:val="auto"/>
                <w:sz w:val="18"/>
                <w:szCs w:val="10"/>
                <w:highlight w:val="none"/>
              </w:rPr>
            </w:pPr>
          </w:p>
        </w:tc>
        <w:tc>
          <w:tcPr>
            <w:tcW w:w="427" w:type="pct"/>
            <w:vMerge w:val="continue"/>
            <w:shd w:val="clear" w:color="auto" w:fill="auto"/>
            <w:vAlign w:val="center"/>
          </w:tcPr>
          <w:p w14:paraId="34AB2C88">
            <w:pPr>
              <w:rPr>
                <w:rFonts w:ascii="宋体" w:hAnsi="宋体" w:cs="宋体"/>
                <w:color w:val="auto"/>
                <w:sz w:val="18"/>
                <w:szCs w:val="10"/>
                <w:highlight w:val="none"/>
              </w:rPr>
            </w:pPr>
          </w:p>
        </w:tc>
        <w:tc>
          <w:tcPr>
            <w:tcW w:w="460" w:type="pct"/>
            <w:vMerge w:val="continue"/>
            <w:shd w:val="clear" w:color="auto" w:fill="auto"/>
            <w:vAlign w:val="center"/>
          </w:tcPr>
          <w:p w14:paraId="1B5C4FD9">
            <w:pPr>
              <w:rPr>
                <w:rFonts w:ascii="宋体" w:hAnsi="宋体" w:cs="宋体"/>
                <w:color w:val="auto"/>
                <w:sz w:val="18"/>
                <w:szCs w:val="10"/>
                <w:highlight w:val="none"/>
              </w:rPr>
            </w:pPr>
          </w:p>
        </w:tc>
        <w:tc>
          <w:tcPr>
            <w:tcW w:w="3541" w:type="pct"/>
            <w:gridSpan w:val="4"/>
            <w:shd w:val="clear" w:color="auto" w:fill="auto"/>
          </w:tcPr>
          <w:p w14:paraId="1BBF4079">
            <w:pPr>
              <w:rPr>
                <w:color w:val="auto"/>
                <w:sz w:val="18"/>
                <w:szCs w:val="8"/>
                <w:highlight w:val="none"/>
              </w:rPr>
            </w:pPr>
            <w:r>
              <w:rPr>
                <w:rFonts w:hint="eastAsia"/>
                <w:color w:val="auto"/>
                <w:sz w:val="18"/>
                <w:szCs w:val="8"/>
                <w:highlight w:val="none"/>
              </w:rPr>
              <w:t>1.4、软件具有毛坯跟踪及管理，简单透晰地跟踪加工状态，毛坯跟踪功能会计算出任意的多个或单个整个工作列表的加工状态。保存的毛坯模型可以用于任意方向的参考坐标系用于限定加工范围。工作列表及毛坯跟踪的管理功能保证了极高的精确度和高效率的材料去除。毛坯将根据所有的铣削操作自动更新。毛坯可以采用CAD 通用的STL 格式进行存储。</w:t>
            </w:r>
          </w:p>
        </w:tc>
        <w:tc>
          <w:tcPr>
            <w:tcW w:w="404" w:type="pct"/>
            <w:gridSpan w:val="2"/>
            <w:vMerge w:val="continue"/>
            <w:shd w:val="clear" w:color="auto" w:fill="auto"/>
            <w:vAlign w:val="center"/>
          </w:tcPr>
          <w:p w14:paraId="3ECC4A1D">
            <w:pPr>
              <w:rPr>
                <w:rFonts w:ascii="宋体" w:hAnsi="宋体" w:cs="宋体"/>
                <w:color w:val="auto"/>
                <w:sz w:val="18"/>
                <w:szCs w:val="10"/>
                <w:highlight w:val="none"/>
              </w:rPr>
            </w:pPr>
          </w:p>
        </w:tc>
      </w:tr>
      <w:tr w14:paraId="7936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9E1129F">
            <w:pPr>
              <w:rPr>
                <w:rFonts w:ascii="宋体" w:hAnsi="宋体" w:cs="宋体"/>
                <w:color w:val="auto"/>
                <w:sz w:val="18"/>
                <w:szCs w:val="10"/>
                <w:highlight w:val="none"/>
              </w:rPr>
            </w:pPr>
          </w:p>
        </w:tc>
        <w:tc>
          <w:tcPr>
            <w:tcW w:w="427" w:type="pct"/>
            <w:vMerge w:val="continue"/>
            <w:shd w:val="clear" w:color="auto" w:fill="auto"/>
            <w:vAlign w:val="center"/>
          </w:tcPr>
          <w:p w14:paraId="0A5220E0">
            <w:pPr>
              <w:rPr>
                <w:rFonts w:ascii="宋体" w:hAnsi="宋体" w:cs="宋体"/>
                <w:color w:val="auto"/>
                <w:sz w:val="18"/>
                <w:szCs w:val="10"/>
                <w:highlight w:val="none"/>
              </w:rPr>
            </w:pPr>
          </w:p>
        </w:tc>
        <w:tc>
          <w:tcPr>
            <w:tcW w:w="460" w:type="pct"/>
            <w:vMerge w:val="continue"/>
            <w:shd w:val="clear" w:color="auto" w:fill="auto"/>
            <w:vAlign w:val="center"/>
          </w:tcPr>
          <w:p w14:paraId="2607C850">
            <w:pPr>
              <w:rPr>
                <w:rFonts w:ascii="宋体" w:hAnsi="宋体" w:cs="宋体"/>
                <w:color w:val="auto"/>
                <w:sz w:val="18"/>
                <w:szCs w:val="10"/>
                <w:highlight w:val="none"/>
              </w:rPr>
            </w:pPr>
          </w:p>
        </w:tc>
        <w:tc>
          <w:tcPr>
            <w:tcW w:w="940" w:type="pct"/>
            <w:vMerge w:val="restart"/>
            <w:shd w:val="clear" w:color="auto" w:fill="auto"/>
          </w:tcPr>
          <w:p w14:paraId="667B7A33">
            <w:pPr>
              <w:rPr>
                <w:color w:val="auto"/>
                <w:sz w:val="18"/>
                <w:szCs w:val="8"/>
                <w:highlight w:val="none"/>
              </w:rPr>
            </w:pPr>
            <w:r>
              <w:rPr>
                <w:rFonts w:hint="eastAsia"/>
                <w:color w:val="auto"/>
                <w:sz w:val="18"/>
                <w:szCs w:val="8"/>
                <w:highlight w:val="none"/>
              </w:rPr>
              <w:t>1.5、可优先选用具体的轴协调机床运动进行避免碰撞，考虑具体机床的运动结构。编程可以具体化，考虑机床的部件及具体的运动结，两根旋转轴选取具体哪一根优先防碰撞。提供了如下几个选择：</w:t>
            </w:r>
          </w:p>
        </w:tc>
        <w:tc>
          <w:tcPr>
            <w:tcW w:w="2601" w:type="pct"/>
            <w:gridSpan w:val="3"/>
            <w:shd w:val="clear" w:color="auto" w:fill="auto"/>
          </w:tcPr>
          <w:p w14:paraId="7BBF207D">
            <w:pPr>
              <w:rPr>
                <w:color w:val="auto"/>
                <w:sz w:val="18"/>
                <w:szCs w:val="8"/>
                <w:highlight w:val="none"/>
              </w:rPr>
            </w:pPr>
            <w:r>
              <w:rPr>
                <w:rFonts w:hint="eastAsia"/>
                <w:color w:val="auto"/>
                <w:sz w:val="18"/>
                <w:szCs w:val="8"/>
                <w:highlight w:val="none"/>
              </w:rPr>
              <w:t>1.5.1、 只有C 轴被使用--第五轴（A /B 摆动轴）用固定倾斜角</w:t>
            </w:r>
          </w:p>
        </w:tc>
        <w:tc>
          <w:tcPr>
            <w:tcW w:w="404" w:type="pct"/>
            <w:gridSpan w:val="2"/>
            <w:vMerge w:val="continue"/>
            <w:shd w:val="clear" w:color="auto" w:fill="auto"/>
            <w:vAlign w:val="center"/>
          </w:tcPr>
          <w:p w14:paraId="625F674D">
            <w:pPr>
              <w:rPr>
                <w:rFonts w:ascii="宋体" w:hAnsi="宋体" w:cs="宋体"/>
                <w:color w:val="auto"/>
                <w:sz w:val="18"/>
                <w:szCs w:val="10"/>
                <w:highlight w:val="none"/>
              </w:rPr>
            </w:pPr>
          </w:p>
        </w:tc>
      </w:tr>
      <w:tr w14:paraId="7039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CC6FB5C">
            <w:pPr>
              <w:rPr>
                <w:color w:val="auto"/>
                <w:sz w:val="18"/>
                <w:szCs w:val="8"/>
                <w:highlight w:val="none"/>
              </w:rPr>
            </w:pPr>
          </w:p>
        </w:tc>
        <w:tc>
          <w:tcPr>
            <w:tcW w:w="427" w:type="pct"/>
            <w:vMerge w:val="continue"/>
            <w:shd w:val="clear" w:color="auto" w:fill="auto"/>
            <w:vAlign w:val="center"/>
          </w:tcPr>
          <w:p w14:paraId="63776A3B">
            <w:pPr>
              <w:rPr>
                <w:color w:val="auto"/>
                <w:sz w:val="18"/>
                <w:szCs w:val="8"/>
                <w:highlight w:val="none"/>
              </w:rPr>
            </w:pPr>
          </w:p>
        </w:tc>
        <w:tc>
          <w:tcPr>
            <w:tcW w:w="460" w:type="pct"/>
            <w:vMerge w:val="continue"/>
            <w:shd w:val="clear" w:color="auto" w:fill="auto"/>
            <w:vAlign w:val="center"/>
          </w:tcPr>
          <w:p w14:paraId="212982EE">
            <w:pPr>
              <w:rPr>
                <w:color w:val="auto"/>
                <w:sz w:val="18"/>
                <w:szCs w:val="8"/>
                <w:highlight w:val="none"/>
              </w:rPr>
            </w:pPr>
          </w:p>
        </w:tc>
        <w:tc>
          <w:tcPr>
            <w:tcW w:w="940" w:type="pct"/>
            <w:vMerge w:val="continue"/>
            <w:shd w:val="clear" w:color="auto" w:fill="auto"/>
          </w:tcPr>
          <w:p w14:paraId="51F883A3">
            <w:pPr>
              <w:rPr>
                <w:color w:val="auto"/>
                <w:sz w:val="18"/>
                <w:szCs w:val="8"/>
                <w:highlight w:val="none"/>
              </w:rPr>
            </w:pPr>
          </w:p>
        </w:tc>
        <w:tc>
          <w:tcPr>
            <w:tcW w:w="2601" w:type="pct"/>
            <w:gridSpan w:val="3"/>
            <w:shd w:val="clear" w:color="auto" w:fill="auto"/>
          </w:tcPr>
          <w:p w14:paraId="458DCCCC">
            <w:pPr>
              <w:rPr>
                <w:color w:val="auto"/>
                <w:sz w:val="18"/>
                <w:szCs w:val="8"/>
                <w:highlight w:val="none"/>
              </w:rPr>
            </w:pPr>
            <w:r>
              <w:rPr>
                <w:rFonts w:hint="eastAsia"/>
                <w:color w:val="auto"/>
                <w:sz w:val="18"/>
                <w:szCs w:val="8"/>
                <w:highlight w:val="none"/>
              </w:rPr>
              <w:t>1.5.2、C 旋转轴相对A /B 轴优先考虑</w:t>
            </w:r>
          </w:p>
        </w:tc>
        <w:tc>
          <w:tcPr>
            <w:tcW w:w="404" w:type="pct"/>
            <w:gridSpan w:val="2"/>
            <w:vMerge w:val="continue"/>
            <w:shd w:val="clear" w:color="auto" w:fill="auto"/>
            <w:vAlign w:val="center"/>
          </w:tcPr>
          <w:p w14:paraId="48137B8B">
            <w:pPr>
              <w:rPr>
                <w:color w:val="auto"/>
                <w:sz w:val="18"/>
                <w:szCs w:val="8"/>
                <w:highlight w:val="none"/>
              </w:rPr>
            </w:pPr>
          </w:p>
        </w:tc>
      </w:tr>
      <w:tr w14:paraId="22D5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5B8451E">
            <w:pPr>
              <w:rPr>
                <w:color w:val="auto"/>
                <w:sz w:val="18"/>
                <w:szCs w:val="8"/>
                <w:highlight w:val="none"/>
              </w:rPr>
            </w:pPr>
          </w:p>
        </w:tc>
        <w:tc>
          <w:tcPr>
            <w:tcW w:w="427" w:type="pct"/>
            <w:vMerge w:val="continue"/>
            <w:shd w:val="clear" w:color="auto" w:fill="auto"/>
            <w:vAlign w:val="center"/>
          </w:tcPr>
          <w:p w14:paraId="06B10656">
            <w:pPr>
              <w:rPr>
                <w:color w:val="auto"/>
                <w:sz w:val="18"/>
                <w:szCs w:val="8"/>
                <w:highlight w:val="none"/>
              </w:rPr>
            </w:pPr>
          </w:p>
        </w:tc>
        <w:tc>
          <w:tcPr>
            <w:tcW w:w="460" w:type="pct"/>
            <w:vMerge w:val="continue"/>
            <w:shd w:val="clear" w:color="auto" w:fill="auto"/>
            <w:vAlign w:val="center"/>
          </w:tcPr>
          <w:p w14:paraId="4F1BA03F">
            <w:pPr>
              <w:rPr>
                <w:color w:val="auto"/>
                <w:sz w:val="18"/>
                <w:szCs w:val="8"/>
                <w:highlight w:val="none"/>
              </w:rPr>
            </w:pPr>
          </w:p>
        </w:tc>
        <w:tc>
          <w:tcPr>
            <w:tcW w:w="940" w:type="pct"/>
            <w:vMerge w:val="continue"/>
            <w:shd w:val="clear" w:color="auto" w:fill="auto"/>
          </w:tcPr>
          <w:p w14:paraId="68A54CA5">
            <w:pPr>
              <w:rPr>
                <w:color w:val="auto"/>
                <w:sz w:val="18"/>
                <w:szCs w:val="8"/>
                <w:highlight w:val="none"/>
              </w:rPr>
            </w:pPr>
          </w:p>
        </w:tc>
        <w:tc>
          <w:tcPr>
            <w:tcW w:w="2601" w:type="pct"/>
            <w:gridSpan w:val="3"/>
            <w:shd w:val="clear" w:color="auto" w:fill="auto"/>
          </w:tcPr>
          <w:p w14:paraId="24659EF7">
            <w:pPr>
              <w:rPr>
                <w:color w:val="auto"/>
                <w:sz w:val="18"/>
                <w:szCs w:val="8"/>
                <w:highlight w:val="none"/>
              </w:rPr>
            </w:pPr>
            <w:r>
              <w:rPr>
                <w:rFonts w:hint="eastAsia"/>
                <w:color w:val="auto"/>
                <w:sz w:val="18"/>
                <w:szCs w:val="8"/>
                <w:highlight w:val="none"/>
              </w:rPr>
              <w:t>1.5.3、只有A /B 轴被使用--刀具相对C 旋转轴上执行具体的前倾角</w:t>
            </w:r>
          </w:p>
        </w:tc>
        <w:tc>
          <w:tcPr>
            <w:tcW w:w="404" w:type="pct"/>
            <w:gridSpan w:val="2"/>
            <w:vMerge w:val="continue"/>
            <w:shd w:val="clear" w:color="auto" w:fill="auto"/>
            <w:vAlign w:val="center"/>
          </w:tcPr>
          <w:p w14:paraId="4E06A276">
            <w:pPr>
              <w:rPr>
                <w:color w:val="auto"/>
                <w:sz w:val="18"/>
                <w:szCs w:val="8"/>
                <w:highlight w:val="none"/>
              </w:rPr>
            </w:pPr>
          </w:p>
        </w:tc>
      </w:tr>
      <w:tr w14:paraId="578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83F7D03">
            <w:pPr>
              <w:rPr>
                <w:color w:val="auto"/>
                <w:sz w:val="18"/>
                <w:szCs w:val="8"/>
                <w:highlight w:val="none"/>
              </w:rPr>
            </w:pPr>
          </w:p>
        </w:tc>
        <w:tc>
          <w:tcPr>
            <w:tcW w:w="427" w:type="pct"/>
            <w:vMerge w:val="continue"/>
            <w:shd w:val="clear" w:color="auto" w:fill="auto"/>
            <w:vAlign w:val="center"/>
          </w:tcPr>
          <w:p w14:paraId="4334BDE6">
            <w:pPr>
              <w:rPr>
                <w:color w:val="auto"/>
                <w:sz w:val="18"/>
                <w:szCs w:val="8"/>
                <w:highlight w:val="none"/>
              </w:rPr>
            </w:pPr>
          </w:p>
        </w:tc>
        <w:tc>
          <w:tcPr>
            <w:tcW w:w="460" w:type="pct"/>
            <w:vMerge w:val="continue"/>
            <w:shd w:val="clear" w:color="auto" w:fill="auto"/>
            <w:vAlign w:val="center"/>
          </w:tcPr>
          <w:p w14:paraId="6FCFAC6D">
            <w:pPr>
              <w:rPr>
                <w:color w:val="auto"/>
                <w:sz w:val="18"/>
                <w:szCs w:val="8"/>
                <w:highlight w:val="none"/>
              </w:rPr>
            </w:pPr>
          </w:p>
        </w:tc>
        <w:tc>
          <w:tcPr>
            <w:tcW w:w="940" w:type="pct"/>
            <w:vMerge w:val="continue"/>
            <w:shd w:val="clear" w:color="auto" w:fill="auto"/>
          </w:tcPr>
          <w:p w14:paraId="07B301C0">
            <w:pPr>
              <w:rPr>
                <w:color w:val="auto"/>
                <w:sz w:val="18"/>
                <w:szCs w:val="8"/>
                <w:highlight w:val="none"/>
              </w:rPr>
            </w:pPr>
          </w:p>
        </w:tc>
        <w:tc>
          <w:tcPr>
            <w:tcW w:w="2601" w:type="pct"/>
            <w:gridSpan w:val="3"/>
            <w:shd w:val="clear" w:color="auto" w:fill="auto"/>
          </w:tcPr>
          <w:p w14:paraId="416A7EA9">
            <w:pPr>
              <w:rPr>
                <w:color w:val="auto"/>
                <w:sz w:val="18"/>
                <w:szCs w:val="8"/>
                <w:highlight w:val="none"/>
              </w:rPr>
            </w:pPr>
            <w:r>
              <w:rPr>
                <w:rFonts w:hint="eastAsia"/>
                <w:color w:val="auto"/>
                <w:sz w:val="18"/>
                <w:szCs w:val="8"/>
                <w:highlight w:val="none"/>
              </w:rPr>
              <w:t>1.5.4、A /B 摆动轴相对C 旋转轴优先考虑，除了简化编程和考虑机床的运动结构外，减少不必要的旋转轴运动使整个加工过程协调。</w:t>
            </w:r>
          </w:p>
        </w:tc>
        <w:tc>
          <w:tcPr>
            <w:tcW w:w="404" w:type="pct"/>
            <w:gridSpan w:val="2"/>
            <w:vMerge w:val="continue"/>
            <w:shd w:val="clear" w:color="auto" w:fill="auto"/>
            <w:vAlign w:val="center"/>
          </w:tcPr>
          <w:p w14:paraId="546DBF66">
            <w:pPr>
              <w:rPr>
                <w:color w:val="auto"/>
                <w:sz w:val="18"/>
                <w:szCs w:val="8"/>
                <w:highlight w:val="none"/>
              </w:rPr>
            </w:pPr>
          </w:p>
        </w:tc>
      </w:tr>
      <w:tr w14:paraId="0FF0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C4AC337">
            <w:pPr>
              <w:rPr>
                <w:rFonts w:ascii="宋体" w:hAnsi="宋体" w:cs="宋体"/>
                <w:color w:val="auto"/>
                <w:sz w:val="18"/>
                <w:szCs w:val="10"/>
                <w:highlight w:val="none"/>
              </w:rPr>
            </w:pPr>
          </w:p>
        </w:tc>
        <w:tc>
          <w:tcPr>
            <w:tcW w:w="427" w:type="pct"/>
            <w:vMerge w:val="continue"/>
            <w:shd w:val="clear" w:color="auto" w:fill="auto"/>
            <w:vAlign w:val="center"/>
          </w:tcPr>
          <w:p w14:paraId="29E587A8">
            <w:pPr>
              <w:rPr>
                <w:rFonts w:ascii="宋体" w:hAnsi="宋体" w:cs="宋体"/>
                <w:color w:val="auto"/>
                <w:sz w:val="18"/>
                <w:szCs w:val="10"/>
                <w:highlight w:val="none"/>
              </w:rPr>
            </w:pPr>
          </w:p>
        </w:tc>
        <w:tc>
          <w:tcPr>
            <w:tcW w:w="460" w:type="pct"/>
            <w:vMerge w:val="continue"/>
            <w:shd w:val="clear" w:color="auto" w:fill="auto"/>
            <w:vAlign w:val="center"/>
          </w:tcPr>
          <w:p w14:paraId="0168A552">
            <w:pPr>
              <w:rPr>
                <w:rFonts w:ascii="宋体" w:hAnsi="宋体" w:cs="宋体"/>
                <w:color w:val="auto"/>
                <w:sz w:val="18"/>
                <w:szCs w:val="10"/>
                <w:highlight w:val="none"/>
              </w:rPr>
            </w:pPr>
          </w:p>
        </w:tc>
        <w:tc>
          <w:tcPr>
            <w:tcW w:w="3541" w:type="pct"/>
            <w:gridSpan w:val="4"/>
            <w:shd w:val="clear" w:color="auto" w:fill="auto"/>
          </w:tcPr>
          <w:p w14:paraId="3F1FE3C2">
            <w:pPr>
              <w:rPr>
                <w:color w:val="auto"/>
                <w:sz w:val="18"/>
                <w:szCs w:val="8"/>
                <w:highlight w:val="none"/>
              </w:rPr>
            </w:pPr>
            <w:r>
              <w:rPr>
                <w:rFonts w:hint="eastAsia"/>
                <w:color w:val="auto"/>
                <w:sz w:val="18"/>
                <w:szCs w:val="8"/>
                <w:highlight w:val="none"/>
              </w:rPr>
              <w:t xml:space="preserve">1.6、2D加工策略中，可以设定3D模型进行干涉检查，在2D加工中保证100%的安全性； </w:t>
            </w:r>
          </w:p>
        </w:tc>
        <w:tc>
          <w:tcPr>
            <w:tcW w:w="404" w:type="pct"/>
            <w:gridSpan w:val="2"/>
            <w:vMerge w:val="continue"/>
            <w:shd w:val="clear" w:color="auto" w:fill="auto"/>
            <w:vAlign w:val="center"/>
          </w:tcPr>
          <w:p w14:paraId="12D8C32A">
            <w:pPr>
              <w:rPr>
                <w:rFonts w:ascii="宋体" w:hAnsi="宋体" w:cs="宋体"/>
                <w:color w:val="auto"/>
                <w:sz w:val="18"/>
                <w:szCs w:val="10"/>
                <w:highlight w:val="none"/>
              </w:rPr>
            </w:pPr>
          </w:p>
        </w:tc>
      </w:tr>
      <w:tr w14:paraId="5C28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6697B2F">
            <w:pPr>
              <w:rPr>
                <w:rFonts w:ascii="宋体" w:hAnsi="宋体" w:cs="宋体"/>
                <w:color w:val="auto"/>
                <w:sz w:val="18"/>
                <w:szCs w:val="10"/>
                <w:highlight w:val="none"/>
              </w:rPr>
            </w:pPr>
          </w:p>
        </w:tc>
        <w:tc>
          <w:tcPr>
            <w:tcW w:w="427" w:type="pct"/>
            <w:vMerge w:val="continue"/>
            <w:shd w:val="clear" w:color="auto" w:fill="auto"/>
            <w:vAlign w:val="center"/>
          </w:tcPr>
          <w:p w14:paraId="36237297">
            <w:pPr>
              <w:rPr>
                <w:rFonts w:ascii="宋体" w:hAnsi="宋体" w:cs="宋体"/>
                <w:color w:val="auto"/>
                <w:sz w:val="18"/>
                <w:szCs w:val="10"/>
                <w:highlight w:val="none"/>
              </w:rPr>
            </w:pPr>
          </w:p>
        </w:tc>
        <w:tc>
          <w:tcPr>
            <w:tcW w:w="460" w:type="pct"/>
            <w:vMerge w:val="continue"/>
            <w:shd w:val="clear" w:color="auto" w:fill="auto"/>
            <w:vAlign w:val="center"/>
          </w:tcPr>
          <w:p w14:paraId="13603F94">
            <w:pPr>
              <w:rPr>
                <w:rFonts w:ascii="宋体" w:hAnsi="宋体" w:cs="宋体"/>
                <w:color w:val="auto"/>
                <w:sz w:val="18"/>
                <w:szCs w:val="10"/>
                <w:highlight w:val="none"/>
              </w:rPr>
            </w:pPr>
          </w:p>
        </w:tc>
        <w:tc>
          <w:tcPr>
            <w:tcW w:w="3541" w:type="pct"/>
            <w:gridSpan w:val="4"/>
            <w:shd w:val="clear" w:color="auto" w:fill="auto"/>
          </w:tcPr>
          <w:p w14:paraId="23886CA5">
            <w:pPr>
              <w:rPr>
                <w:color w:val="auto"/>
                <w:sz w:val="18"/>
                <w:szCs w:val="8"/>
                <w:highlight w:val="none"/>
              </w:rPr>
            </w:pPr>
            <w:r>
              <w:rPr>
                <w:rFonts w:hint="eastAsia"/>
                <w:color w:val="auto"/>
                <w:sz w:val="18"/>
                <w:szCs w:val="8"/>
                <w:highlight w:val="none"/>
              </w:rPr>
              <w:t>1.7、软件应具有多任务批次运算能力， 可将所有的工作程序一次定义完成，再让系统自动批次运算；或是在实时计算时，可具有同时继续操作的能力，如动态旋转检查、继续定义下一个程序，甚至再新建新图档，同时进行下一个阶段的工作，以妥善分配时间，提高工作效率。</w:t>
            </w:r>
          </w:p>
        </w:tc>
        <w:tc>
          <w:tcPr>
            <w:tcW w:w="404" w:type="pct"/>
            <w:gridSpan w:val="2"/>
            <w:vMerge w:val="continue"/>
            <w:shd w:val="clear" w:color="auto" w:fill="auto"/>
            <w:vAlign w:val="center"/>
          </w:tcPr>
          <w:p w14:paraId="39C615F8">
            <w:pPr>
              <w:rPr>
                <w:rFonts w:ascii="宋体" w:hAnsi="宋体" w:cs="宋体"/>
                <w:color w:val="auto"/>
                <w:sz w:val="18"/>
                <w:szCs w:val="10"/>
                <w:highlight w:val="none"/>
              </w:rPr>
            </w:pPr>
          </w:p>
        </w:tc>
      </w:tr>
      <w:tr w14:paraId="6789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8840A2B">
            <w:pPr>
              <w:rPr>
                <w:color w:val="auto"/>
                <w:sz w:val="18"/>
                <w:szCs w:val="8"/>
                <w:highlight w:val="none"/>
              </w:rPr>
            </w:pPr>
          </w:p>
        </w:tc>
        <w:tc>
          <w:tcPr>
            <w:tcW w:w="427" w:type="pct"/>
            <w:vMerge w:val="continue"/>
            <w:shd w:val="clear" w:color="auto" w:fill="auto"/>
            <w:vAlign w:val="center"/>
          </w:tcPr>
          <w:p w14:paraId="5C205440">
            <w:pPr>
              <w:rPr>
                <w:color w:val="auto"/>
                <w:sz w:val="18"/>
                <w:szCs w:val="8"/>
                <w:highlight w:val="none"/>
              </w:rPr>
            </w:pPr>
          </w:p>
        </w:tc>
        <w:tc>
          <w:tcPr>
            <w:tcW w:w="460" w:type="pct"/>
            <w:vMerge w:val="restart"/>
            <w:shd w:val="clear" w:color="auto" w:fill="auto"/>
            <w:vAlign w:val="center"/>
          </w:tcPr>
          <w:p w14:paraId="4486E9C0">
            <w:pPr>
              <w:rPr>
                <w:color w:val="auto"/>
                <w:sz w:val="18"/>
                <w:szCs w:val="8"/>
                <w:highlight w:val="none"/>
              </w:rPr>
            </w:pPr>
            <w:r>
              <w:rPr>
                <w:rFonts w:hint="eastAsia"/>
                <w:color w:val="auto"/>
                <w:sz w:val="18"/>
                <w:szCs w:val="8"/>
                <w:highlight w:val="none"/>
              </w:rPr>
              <w:t>2. 软件设计功能</w:t>
            </w:r>
          </w:p>
        </w:tc>
        <w:tc>
          <w:tcPr>
            <w:tcW w:w="3541" w:type="pct"/>
            <w:gridSpan w:val="4"/>
            <w:shd w:val="clear" w:color="auto" w:fill="auto"/>
          </w:tcPr>
          <w:p w14:paraId="29C78ABF">
            <w:pPr>
              <w:rPr>
                <w:color w:val="auto"/>
                <w:sz w:val="18"/>
                <w:szCs w:val="8"/>
                <w:highlight w:val="none"/>
              </w:rPr>
            </w:pPr>
            <w:r>
              <w:rPr>
                <w:rFonts w:hint="eastAsia"/>
                <w:color w:val="auto"/>
                <w:sz w:val="18"/>
                <w:szCs w:val="8"/>
                <w:highlight w:val="none"/>
              </w:rPr>
              <w:t>2.1、曲线功能：直线、圆弧、2D倒角、2D圆角、样条曲线、拟合曲线、边界曲线、投影曲线、螺旋曲线、相交曲线、ISO参数曲线、混合曲线、合并曲线、偏移曲线、曲面偏移曲线、外形轮廓曲线、截面曲线、旋转轴线等；</w:t>
            </w:r>
          </w:p>
        </w:tc>
        <w:tc>
          <w:tcPr>
            <w:tcW w:w="404" w:type="pct"/>
            <w:gridSpan w:val="2"/>
            <w:vMerge w:val="continue"/>
            <w:shd w:val="clear" w:color="auto" w:fill="auto"/>
            <w:vAlign w:val="center"/>
          </w:tcPr>
          <w:p w14:paraId="31A87C71">
            <w:pPr>
              <w:rPr>
                <w:color w:val="auto"/>
                <w:sz w:val="18"/>
                <w:szCs w:val="8"/>
                <w:highlight w:val="none"/>
              </w:rPr>
            </w:pPr>
          </w:p>
        </w:tc>
      </w:tr>
      <w:tr w14:paraId="3118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A660853">
            <w:pPr>
              <w:rPr>
                <w:color w:val="auto"/>
                <w:sz w:val="18"/>
                <w:szCs w:val="8"/>
                <w:highlight w:val="none"/>
              </w:rPr>
            </w:pPr>
          </w:p>
        </w:tc>
        <w:tc>
          <w:tcPr>
            <w:tcW w:w="427" w:type="pct"/>
            <w:vMerge w:val="continue"/>
            <w:shd w:val="clear" w:color="auto" w:fill="auto"/>
            <w:vAlign w:val="center"/>
          </w:tcPr>
          <w:p w14:paraId="3E677723">
            <w:pPr>
              <w:rPr>
                <w:color w:val="auto"/>
                <w:sz w:val="18"/>
                <w:szCs w:val="8"/>
                <w:highlight w:val="none"/>
              </w:rPr>
            </w:pPr>
          </w:p>
        </w:tc>
        <w:tc>
          <w:tcPr>
            <w:tcW w:w="460" w:type="pct"/>
            <w:vMerge w:val="continue"/>
            <w:shd w:val="clear" w:color="auto" w:fill="auto"/>
            <w:vAlign w:val="center"/>
          </w:tcPr>
          <w:p w14:paraId="17B36203">
            <w:pPr>
              <w:rPr>
                <w:color w:val="auto"/>
                <w:sz w:val="18"/>
                <w:szCs w:val="8"/>
                <w:highlight w:val="none"/>
              </w:rPr>
            </w:pPr>
          </w:p>
        </w:tc>
        <w:tc>
          <w:tcPr>
            <w:tcW w:w="3541" w:type="pct"/>
            <w:gridSpan w:val="4"/>
            <w:shd w:val="clear" w:color="auto" w:fill="auto"/>
          </w:tcPr>
          <w:p w14:paraId="15A3874B">
            <w:pPr>
              <w:rPr>
                <w:color w:val="auto"/>
                <w:sz w:val="18"/>
                <w:szCs w:val="8"/>
                <w:highlight w:val="none"/>
              </w:rPr>
            </w:pPr>
            <w:r>
              <w:rPr>
                <w:rFonts w:hint="eastAsia"/>
                <w:color w:val="auto"/>
                <w:sz w:val="18"/>
                <w:szCs w:val="8"/>
                <w:highlight w:val="none"/>
              </w:rPr>
              <w:t>2.2、曲线修改：裁剪曲线、曲线延伸、曲线分割、曲线连续、修改曲线控制点等</w:t>
            </w:r>
          </w:p>
        </w:tc>
        <w:tc>
          <w:tcPr>
            <w:tcW w:w="404" w:type="pct"/>
            <w:gridSpan w:val="2"/>
            <w:vMerge w:val="continue"/>
            <w:shd w:val="clear" w:color="auto" w:fill="auto"/>
            <w:vAlign w:val="center"/>
          </w:tcPr>
          <w:p w14:paraId="77FB13D8">
            <w:pPr>
              <w:rPr>
                <w:color w:val="auto"/>
                <w:sz w:val="18"/>
                <w:szCs w:val="8"/>
                <w:highlight w:val="none"/>
              </w:rPr>
            </w:pPr>
          </w:p>
        </w:tc>
      </w:tr>
      <w:tr w14:paraId="3006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368B24D">
            <w:pPr>
              <w:rPr>
                <w:color w:val="auto"/>
                <w:sz w:val="18"/>
                <w:szCs w:val="8"/>
                <w:highlight w:val="none"/>
              </w:rPr>
            </w:pPr>
          </w:p>
        </w:tc>
        <w:tc>
          <w:tcPr>
            <w:tcW w:w="427" w:type="pct"/>
            <w:vMerge w:val="continue"/>
            <w:shd w:val="clear" w:color="auto" w:fill="auto"/>
            <w:vAlign w:val="center"/>
          </w:tcPr>
          <w:p w14:paraId="6C7E2F2E">
            <w:pPr>
              <w:rPr>
                <w:color w:val="auto"/>
                <w:sz w:val="18"/>
                <w:szCs w:val="8"/>
                <w:highlight w:val="none"/>
              </w:rPr>
            </w:pPr>
          </w:p>
        </w:tc>
        <w:tc>
          <w:tcPr>
            <w:tcW w:w="460" w:type="pct"/>
            <w:vMerge w:val="continue"/>
            <w:shd w:val="clear" w:color="auto" w:fill="auto"/>
            <w:vAlign w:val="center"/>
          </w:tcPr>
          <w:p w14:paraId="6FF6355A">
            <w:pPr>
              <w:rPr>
                <w:color w:val="auto"/>
                <w:sz w:val="18"/>
                <w:szCs w:val="8"/>
                <w:highlight w:val="none"/>
              </w:rPr>
            </w:pPr>
          </w:p>
        </w:tc>
        <w:tc>
          <w:tcPr>
            <w:tcW w:w="3541" w:type="pct"/>
            <w:gridSpan w:val="4"/>
            <w:shd w:val="clear" w:color="auto" w:fill="auto"/>
          </w:tcPr>
          <w:p w14:paraId="3C1CEA8C">
            <w:pPr>
              <w:rPr>
                <w:color w:val="auto"/>
                <w:sz w:val="18"/>
                <w:szCs w:val="8"/>
                <w:highlight w:val="none"/>
              </w:rPr>
            </w:pPr>
            <w:r>
              <w:rPr>
                <w:rFonts w:hint="eastAsia"/>
                <w:color w:val="auto"/>
                <w:sz w:val="18"/>
                <w:szCs w:val="8"/>
                <w:highlight w:val="none"/>
              </w:rPr>
              <w:t>2.3、曲面功能：平面、有界平面、线性曲面、旋转曲面、规则曲面、边界曲面、填充曲面、偏移曲面、截面曲面、沿导线曲面、混合曲面、合并曲面、圆角曲面、倒角曲面、侧刃曲面、封闭孔等；</w:t>
            </w:r>
          </w:p>
        </w:tc>
        <w:tc>
          <w:tcPr>
            <w:tcW w:w="404" w:type="pct"/>
            <w:gridSpan w:val="2"/>
            <w:vMerge w:val="continue"/>
            <w:shd w:val="clear" w:color="auto" w:fill="auto"/>
            <w:vAlign w:val="center"/>
          </w:tcPr>
          <w:p w14:paraId="712B5FED">
            <w:pPr>
              <w:rPr>
                <w:color w:val="auto"/>
                <w:sz w:val="18"/>
                <w:szCs w:val="8"/>
                <w:highlight w:val="none"/>
              </w:rPr>
            </w:pPr>
          </w:p>
        </w:tc>
      </w:tr>
      <w:tr w14:paraId="4CC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DE351DC">
            <w:pPr>
              <w:rPr>
                <w:color w:val="auto"/>
                <w:sz w:val="18"/>
                <w:szCs w:val="8"/>
                <w:highlight w:val="none"/>
              </w:rPr>
            </w:pPr>
          </w:p>
        </w:tc>
        <w:tc>
          <w:tcPr>
            <w:tcW w:w="427" w:type="pct"/>
            <w:vMerge w:val="continue"/>
            <w:shd w:val="clear" w:color="auto" w:fill="auto"/>
            <w:vAlign w:val="center"/>
          </w:tcPr>
          <w:p w14:paraId="089E19C3">
            <w:pPr>
              <w:rPr>
                <w:color w:val="auto"/>
                <w:sz w:val="18"/>
                <w:szCs w:val="8"/>
                <w:highlight w:val="none"/>
              </w:rPr>
            </w:pPr>
          </w:p>
        </w:tc>
        <w:tc>
          <w:tcPr>
            <w:tcW w:w="460" w:type="pct"/>
            <w:vMerge w:val="continue"/>
            <w:shd w:val="clear" w:color="auto" w:fill="auto"/>
            <w:vAlign w:val="center"/>
          </w:tcPr>
          <w:p w14:paraId="511ED0B6">
            <w:pPr>
              <w:rPr>
                <w:color w:val="auto"/>
                <w:sz w:val="18"/>
                <w:szCs w:val="8"/>
                <w:highlight w:val="none"/>
              </w:rPr>
            </w:pPr>
          </w:p>
        </w:tc>
        <w:tc>
          <w:tcPr>
            <w:tcW w:w="3541" w:type="pct"/>
            <w:gridSpan w:val="4"/>
            <w:shd w:val="clear" w:color="auto" w:fill="auto"/>
          </w:tcPr>
          <w:p w14:paraId="2369BF8B">
            <w:pPr>
              <w:rPr>
                <w:color w:val="auto"/>
                <w:sz w:val="18"/>
                <w:szCs w:val="8"/>
                <w:highlight w:val="none"/>
              </w:rPr>
            </w:pPr>
            <w:r>
              <w:rPr>
                <w:rFonts w:hint="eastAsia"/>
                <w:color w:val="auto"/>
                <w:sz w:val="18"/>
                <w:szCs w:val="8"/>
                <w:highlight w:val="none"/>
              </w:rPr>
              <w:t>2.4、曲面修改：裁剪曲面、取消裁剪曲面、延伸\缩短曲面、分割曲面、连续曲面、反转曲面方向、转化NURBS曲面</w:t>
            </w:r>
          </w:p>
        </w:tc>
        <w:tc>
          <w:tcPr>
            <w:tcW w:w="404" w:type="pct"/>
            <w:gridSpan w:val="2"/>
            <w:vMerge w:val="continue"/>
            <w:shd w:val="clear" w:color="auto" w:fill="auto"/>
            <w:vAlign w:val="center"/>
          </w:tcPr>
          <w:p w14:paraId="4ABA37FB">
            <w:pPr>
              <w:rPr>
                <w:color w:val="auto"/>
                <w:sz w:val="18"/>
                <w:szCs w:val="8"/>
                <w:highlight w:val="none"/>
              </w:rPr>
            </w:pPr>
          </w:p>
        </w:tc>
      </w:tr>
      <w:tr w14:paraId="225E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801D2C2">
            <w:pPr>
              <w:rPr>
                <w:color w:val="auto"/>
                <w:sz w:val="18"/>
                <w:szCs w:val="8"/>
                <w:highlight w:val="none"/>
              </w:rPr>
            </w:pPr>
          </w:p>
        </w:tc>
        <w:tc>
          <w:tcPr>
            <w:tcW w:w="427" w:type="pct"/>
            <w:vMerge w:val="continue"/>
            <w:shd w:val="clear" w:color="auto" w:fill="auto"/>
            <w:vAlign w:val="center"/>
          </w:tcPr>
          <w:p w14:paraId="0A5EB2DF">
            <w:pPr>
              <w:rPr>
                <w:color w:val="auto"/>
                <w:sz w:val="18"/>
                <w:szCs w:val="8"/>
                <w:highlight w:val="none"/>
              </w:rPr>
            </w:pPr>
          </w:p>
        </w:tc>
        <w:tc>
          <w:tcPr>
            <w:tcW w:w="460" w:type="pct"/>
            <w:vMerge w:val="continue"/>
            <w:shd w:val="clear" w:color="auto" w:fill="auto"/>
            <w:vAlign w:val="center"/>
          </w:tcPr>
          <w:p w14:paraId="65BAE6D3">
            <w:pPr>
              <w:rPr>
                <w:color w:val="auto"/>
                <w:sz w:val="18"/>
                <w:szCs w:val="8"/>
                <w:highlight w:val="none"/>
              </w:rPr>
            </w:pPr>
          </w:p>
        </w:tc>
        <w:tc>
          <w:tcPr>
            <w:tcW w:w="3541" w:type="pct"/>
            <w:gridSpan w:val="4"/>
            <w:shd w:val="clear" w:color="auto" w:fill="auto"/>
          </w:tcPr>
          <w:p w14:paraId="751571EB">
            <w:pPr>
              <w:rPr>
                <w:color w:val="auto"/>
                <w:sz w:val="18"/>
                <w:szCs w:val="8"/>
                <w:highlight w:val="none"/>
              </w:rPr>
            </w:pPr>
            <w:r>
              <w:rPr>
                <w:rFonts w:hint="eastAsia"/>
                <w:color w:val="auto"/>
                <w:sz w:val="18"/>
                <w:szCs w:val="8"/>
                <w:highlight w:val="none"/>
              </w:rPr>
              <w:t>2.5、Solid：实体功能：创建实体、线性实体、线性槽、旋转实体、旋转槽、孔、倒圆角、倒角、阵列等</w:t>
            </w:r>
          </w:p>
        </w:tc>
        <w:tc>
          <w:tcPr>
            <w:tcW w:w="404" w:type="pct"/>
            <w:gridSpan w:val="2"/>
            <w:vMerge w:val="continue"/>
            <w:shd w:val="clear" w:color="auto" w:fill="auto"/>
            <w:vAlign w:val="center"/>
          </w:tcPr>
          <w:p w14:paraId="509C372C">
            <w:pPr>
              <w:rPr>
                <w:color w:val="auto"/>
                <w:sz w:val="18"/>
                <w:szCs w:val="8"/>
                <w:highlight w:val="none"/>
              </w:rPr>
            </w:pPr>
          </w:p>
        </w:tc>
      </w:tr>
      <w:tr w14:paraId="4F08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A4240A5">
            <w:pPr>
              <w:rPr>
                <w:color w:val="auto"/>
                <w:sz w:val="18"/>
                <w:szCs w:val="8"/>
                <w:highlight w:val="none"/>
              </w:rPr>
            </w:pPr>
          </w:p>
        </w:tc>
        <w:tc>
          <w:tcPr>
            <w:tcW w:w="427" w:type="pct"/>
            <w:vMerge w:val="continue"/>
            <w:shd w:val="clear" w:color="auto" w:fill="auto"/>
            <w:vAlign w:val="center"/>
          </w:tcPr>
          <w:p w14:paraId="211E10C4">
            <w:pPr>
              <w:rPr>
                <w:color w:val="auto"/>
                <w:sz w:val="18"/>
                <w:szCs w:val="8"/>
                <w:highlight w:val="none"/>
              </w:rPr>
            </w:pPr>
          </w:p>
        </w:tc>
        <w:tc>
          <w:tcPr>
            <w:tcW w:w="460" w:type="pct"/>
            <w:vMerge w:val="continue"/>
            <w:shd w:val="clear" w:color="auto" w:fill="auto"/>
            <w:vAlign w:val="center"/>
          </w:tcPr>
          <w:p w14:paraId="3E644297">
            <w:pPr>
              <w:rPr>
                <w:color w:val="auto"/>
                <w:sz w:val="18"/>
                <w:szCs w:val="8"/>
                <w:highlight w:val="none"/>
              </w:rPr>
            </w:pPr>
          </w:p>
        </w:tc>
        <w:tc>
          <w:tcPr>
            <w:tcW w:w="3541" w:type="pct"/>
            <w:gridSpan w:val="4"/>
            <w:shd w:val="clear" w:color="auto" w:fill="auto"/>
          </w:tcPr>
          <w:p w14:paraId="3157F6BF">
            <w:pPr>
              <w:rPr>
                <w:color w:val="auto"/>
                <w:sz w:val="18"/>
                <w:szCs w:val="8"/>
                <w:highlight w:val="none"/>
              </w:rPr>
            </w:pPr>
            <w:r>
              <w:rPr>
                <w:rFonts w:hint="eastAsia"/>
                <w:color w:val="auto"/>
                <w:sz w:val="18"/>
                <w:szCs w:val="8"/>
                <w:highlight w:val="none"/>
              </w:rPr>
              <w:t>2.6、▲ Mesh：网格（STL文件）处理功能：分割网格、拆分网络、网格平滑、网格缩减、填充网格等（提供相关功能截图，并加盖投标人公章）</w:t>
            </w:r>
          </w:p>
        </w:tc>
        <w:tc>
          <w:tcPr>
            <w:tcW w:w="404" w:type="pct"/>
            <w:gridSpan w:val="2"/>
            <w:vMerge w:val="continue"/>
            <w:shd w:val="clear" w:color="auto" w:fill="auto"/>
            <w:vAlign w:val="center"/>
          </w:tcPr>
          <w:p w14:paraId="00A63519">
            <w:pPr>
              <w:rPr>
                <w:color w:val="auto"/>
                <w:sz w:val="18"/>
                <w:szCs w:val="8"/>
                <w:highlight w:val="none"/>
              </w:rPr>
            </w:pPr>
          </w:p>
        </w:tc>
      </w:tr>
      <w:tr w14:paraId="1D87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CA700D6">
            <w:pPr>
              <w:rPr>
                <w:color w:val="auto"/>
                <w:sz w:val="18"/>
                <w:szCs w:val="8"/>
                <w:highlight w:val="none"/>
              </w:rPr>
            </w:pPr>
          </w:p>
        </w:tc>
        <w:tc>
          <w:tcPr>
            <w:tcW w:w="427" w:type="pct"/>
            <w:vMerge w:val="continue"/>
            <w:shd w:val="clear" w:color="auto" w:fill="auto"/>
            <w:vAlign w:val="center"/>
          </w:tcPr>
          <w:p w14:paraId="2560D8EA">
            <w:pPr>
              <w:rPr>
                <w:color w:val="auto"/>
                <w:sz w:val="18"/>
                <w:szCs w:val="8"/>
                <w:highlight w:val="none"/>
              </w:rPr>
            </w:pPr>
          </w:p>
        </w:tc>
        <w:tc>
          <w:tcPr>
            <w:tcW w:w="460" w:type="pct"/>
            <w:vMerge w:val="restart"/>
            <w:shd w:val="clear" w:color="auto" w:fill="auto"/>
            <w:vAlign w:val="center"/>
          </w:tcPr>
          <w:p w14:paraId="3FC32EC8">
            <w:pPr>
              <w:rPr>
                <w:color w:val="auto"/>
                <w:sz w:val="18"/>
                <w:szCs w:val="8"/>
                <w:highlight w:val="none"/>
              </w:rPr>
            </w:pPr>
            <w:r>
              <w:rPr>
                <w:rFonts w:hint="eastAsia"/>
                <w:color w:val="auto"/>
                <w:sz w:val="18"/>
                <w:szCs w:val="8"/>
                <w:highlight w:val="none"/>
              </w:rPr>
              <w:t>3.软件三轴加工功能</w:t>
            </w:r>
          </w:p>
        </w:tc>
        <w:tc>
          <w:tcPr>
            <w:tcW w:w="3541" w:type="pct"/>
            <w:gridSpan w:val="4"/>
            <w:shd w:val="clear" w:color="auto" w:fill="auto"/>
          </w:tcPr>
          <w:p w14:paraId="286528AC">
            <w:pPr>
              <w:rPr>
                <w:color w:val="auto"/>
                <w:sz w:val="18"/>
                <w:szCs w:val="8"/>
                <w:highlight w:val="none"/>
              </w:rPr>
            </w:pPr>
            <w:r>
              <w:rPr>
                <w:rFonts w:hint="eastAsia"/>
                <w:color w:val="auto"/>
                <w:sz w:val="18"/>
                <w:szCs w:val="8"/>
                <w:highlight w:val="none"/>
              </w:rPr>
              <w:t>3.1、具有CAD设计功能，实体建模、曲面建模、曲线建模等功能；</w:t>
            </w:r>
          </w:p>
        </w:tc>
        <w:tc>
          <w:tcPr>
            <w:tcW w:w="404" w:type="pct"/>
            <w:gridSpan w:val="2"/>
            <w:vMerge w:val="continue"/>
            <w:shd w:val="clear" w:color="auto" w:fill="auto"/>
            <w:vAlign w:val="center"/>
          </w:tcPr>
          <w:p w14:paraId="37B1B99A">
            <w:pPr>
              <w:rPr>
                <w:color w:val="auto"/>
                <w:sz w:val="18"/>
                <w:szCs w:val="8"/>
                <w:highlight w:val="none"/>
              </w:rPr>
            </w:pPr>
          </w:p>
        </w:tc>
      </w:tr>
      <w:tr w14:paraId="4AE99BD3">
        <w:tblPrEx>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0E1C029">
            <w:pPr>
              <w:rPr>
                <w:color w:val="auto"/>
                <w:sz w:val="18"/>
                <w:szCs w:val="8"/>
                <w:highlight w:val="none"/>
              </w:rPr>
            </w:pPr>
          </w:p>
        </w:tc>
        <w:tc>
          <w:tcPr>
            <w:tcW w:w="427" w:type="pct"/>
            <w:vMerge w:val="continue"/>
            <w:shd w:val="clear" w:color="auto" w:fill="auto"/>
            <w:vAlign w:val="center"/>
          </w:tcPr>
          <w:p w14:paraId="3EB1E1F7">
            <w:pPr>
              <w:rPr>
                <w:color w:val="auto"/>
                <w:sz w:val="18"/>
                <w:szCs w:val="8"/>
                <w:highlight w:val="none"/>
              </w:rPr>
            </w:pPr>
          </w:p>
        </w:tc>
        <w:tc>
          <w:tcPr>
            <w:tcW w:w="460" w:type="pct"/>
            <w:vMerge w:val="continue"/>
            <w:shd w:val="clear" w:color="auto" w:fill="auto"/>
            <w:vAlign w:val="center"/>
          </w:tcPr>
          <w:p w14:paraId="4DE9A92B">
            <w:pPr>
              <w:rPr>
                <w:color w:val="auto"/>
                <w:sz w:val="18"/>
                <w:szCs w:val="8"/>
                <w:highlight w:val="none"/>
              </w:rPr>
            </w:pPr>
          </w:p>
        </w:tc>
        <w:tc>
          <w:tcPr>
            <w:tcW w:w="3541" w:type="pct"/>
            <w:gridSpan w:val="4"/>
            <w:shd w:val="clear" w:color="auto" w:fill="auto"/>
          </w:tcPr>
          <w:p w14:paraId="02E27830">
            <w:pPr>
              <w:rPr>
                <w:color w:val="auto"/>
                <w:sz w:val="18"/>
                <w:szCs w:val="8"/>
                <w:highlight w:val="none"/>
              </w:rPr>
            </w:pPr>
            <w:r>
              <w:rPr>
                <w:rFonts w:hint="eastAsia"/>
                <w:color w:val="auto"/>
                <w:sz w:val="18"/>
                <w:szCs w:val="8"/>
                <w:highlight w:val="none"/>
              </w:rPr>
              <w:t>3.2、二维轮廓加工；</w:t>
            </w:r>
          </w:p>
        </w:tc>
        <w:tc>
          <w:tcPr>
            <w:tcW w:w="404" w:type="pct"/>
            <w:gridSpan w:val="2"/>
            <w:vMerge w:val="continue"/>
            <w:shd w:val="clear" w:color="auto" w:fill="auto"/>
            <w:vAlign w:val="center"/>
          </w:tcPr>
          <w:p w14:paraId="36528F7F">
            <w:pPr>
              <w:rPr>
                <w:color w:val="auto"/>
                <w:sz w:val="18"/>
                <w:szCs w:val="8"/>
                <w:highlight w:val="none"/>
              </w:rPr>
            </w:pPr>
          </w:p>
        </w:tc>
      </w:tr>
      <w:tr w14:paraId="3224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E014C1D">
            <w:pPr>
              <w:rPr>
                <w:color w:val="auto"/>
                <w:sz w:val="18"/>
                <w:szCs w:val="8"/>
                <w:highlight w:val="none"/>
              </w:rPr>
            </w:pPr>
          </w:p>
        </w:tc>
        <w:tc>
          <w:tcPr>
            <w:tcW w:w="427" w:type="pct"/>
            <w:vMerge w:val="continue"/>
            <w:shd w:val="clear" w:color="auto" w:fill="auto"/>
            <w:vAlign w:val="center"/>
          </w:tcPr>
          <w:p w14:paraId="670AEE2C">
            <w:pPr>
              <w:rPr>
                <w:color w:val="auto"/>
                <w:sz w:val="18"/>
                <w:szCs w:val="8"/>
                <w:highlight w:val="none"/>
              </w:rPr>
            </w:pPr>
          </w:p>
        </w:tc>
        <w:tc>
          <w:tcPr>
            <w:tcW w:w="460" w:type="pct"/>
            <w:vMerge w:val="continue"/>
            <w:shd w:val="clear" w:color="auto" w:fill="auto"/>
            <w:vAlign w:val="center"/>
          </w:tcPr>
          <w:p w14:paraId="3FD479AF">
            <w:pPr>
              <w:rPr>
                <w:color w:val="auto"/>
                <w:sz w:val="18"/>
                <w:szCs w:val="8"/>
                <w:highlight w:val="none"/>
              </w:rPr>
            </w:pPr>
          </w:p>
        </w:tc>
        <w:tc>
          <w:tcPr>
            <w:tcW w:w="3541" w:type="pct"/>
            <w:gridSpan w:val="4"/>
            <w:shd w:val="clear" w:color="auto" w:fill="auto"/>
          </w:tcPr>
          <w:p w14:paraId="5A8DDF30">
            <w:pPr>
              <w:rPr>
                <w:color w:val="auto"/>
                <w:sz w:val="18"/>
                <w:szCs w:val="8"/>
                <w:highlight w:val="none"/>
              </w:rPr>
            </w:pPr>
            <w:r>
              <w:rPr>
                <w:rFonts w:hint="eastAsia"/>
                <w:color w:val="auto"/>
                <w:sz w:val="18"/>
                <w:szCs w:val="8"/>
                <w:highlight w:val="none"/>
              </w:rPr>
              <w:t>3.3、二维型腔加工；</w:t>
            </w:r>
          </w:p>
        </w:tc>
        <w:tc>
          <w:tcPr>
            <w:tcW w:w="404" w:type="pct"/>
            <w:gridSpan w:val="2"/>
            <w:vMerge w:val="continue"/>
            <w:shd w:val="clear" w:color="auto" w:fill="auto"/>
            <w:vAlign w:val="center"/>
          </w:tcPr>
          <w:p w14:paraId="7F69A61E">
            <w:pPr>
              <w:rPr>
                <w:color w:val="auto"/>
                <w:sz w:val="18"/>
                <w:szCs w:val="8"/>
                <w:highlight w:val="none"/>
              </w:rPr>
            </w:pPr>
          </w:p>
        </w:tc>
      </w:tr>
      <w:tr w14:paraId="74D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B303045">
            <w:pPr>
              <w:rPr>
                <w:color w:val="auto"/>
                <w:sz w:val="18"/>
                <w:szCs w:val="8"/>
                <w:highlight w:val="none"/>
              </w:rPr>
            </w:pPr>
          </w:p>
        </w:tc>
        <w:tc>
          <w:tcPr>
            <w:tcW w:w="427" w:type="pct"/>
            <w:vMerge w:val="continue"/>
            <w:shd w:val="clear" w:color="auto" w:fill="auto"/>
            <w:vAlign w:val="center"/>
          </w:tcPr>
          <w:p w14:paraId="337D5B7D">
            <w:pPr>
              <w:rPr>
                <w:color w:val="auto"/>
                <w:sz w:val="18"/>
                <w:szCs w:val="8"/>
                <w:highlight w:val="none"/>
              </w:rPr>
            </w:pPr>
          </w:p>
        </w:tc>
        <w:tc>
          <w:tcPr>
            <w:tcW w:w="460" w:type="pct"/>
            <w:vMerge w:val="continue"/>
            <w:shd w:val="clear" w:color="auto" w:fill="auto"/>
            <w:vAlign w:val="center"/>
          </w:tcPr>
          <w:p w14:paraId="2D8C1D78">
            <w:pPr>
              <w:rPr>
                <w:color w:val="auto"/>
                <w:sz w:val="18"/>
                <w:szCs w:val="8"/>
                <w:highlight w:val="none"/>
              </w:rPr>
            </w:pPr>
          </w:p>
        </w:tc>
        <w:tc>
          <w:tcPr>
            <w:tcW w:w="3541" w:type="pct"/>
            <w:gridSpan w:val="4"/>
            <w:shd w:val="clear" w:color="auto" w:fill="auto"/>
          </w:tcPr>
          <w:p w14:paraId="6069428E">
            <w:pPr>
              <w:rPr>
                <w:color w:val="auto"/>
                <w:sz w:val="18"/>
                <w:szCs w:val="8"/>
                <w:highlight w:val="none"/>
              </w:rPr>
            </w:pPr>
            <w:r>
              <w:rPr>
                <w:rFonts w:hint="eastAsia"/>
                <w:color w:val="auto"/>
                <w:sz w:val="18"/>
                <w:szCs w:val="8"/>
                <w:highlight w:val="none"/>
              </w:rPr>
              <w:t>3.4、二维槽类形状加工等；</w:t>
            </w:r>
          </w:p>
        </w:tc>
        <w:tc>
          <w:tcPr>
            <w:tcW w:w="404" w:type="pct"/>
            <w:gridSpan w:val="2"/>
            <w:vMerge w:val="continue"/>
            <w:shd w:val="clear" w:color="auto" w:fill="auto"/>
            <w:vAlign w:val="center"/>
          </w:tcPr>
          <w:p w14:paraId="30261E56">
            <w:pPr>
              <w:rPr>
                <w:color w:val="auto"/>
                <w:sz w:val="18"/>
                <w:szCs w:val="8"/>
                <w:highlight w:val="none"/>
              </w:rPr>
            </w:pPr>
          </w:p>
        </w:tc>
      </w:tr>
      <w:tr w14:paraId="5783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9816BC1">
            <w:pPr>
              <w:rPr>
                <w:color w:val="auto"/>
                <w:sz w:val="18"/>
                <w:szCs w:val="8"/>
                <w:highlight w:val="none"/>
              </w:rPr>
            </w:pPr>
          </w:p>
        </w:tc>
        <w:tc>
          <w:tcPr>
            <w:tcW w:w="427" w:type="pct"/>
            <w:vMerge w:val="continue"/>
            <w:shd w:val="clear" w:color="auto" w:fill="auto"/>
            <w:vAlign w:val="center"/>
          </w:tcPr>
          <w:p w14:paraId="21D3838B">
            <w:pPr>
              <w:rPr>
                <w:color w:val="auto"/>
                <w:sz w:val="18"/>
                <w:szCs w:val="8"/>
                <w:highlight w:val="none"/>
              </w:rPr>
            </w:pPr>
          </w:p>
        </w:tc>
        <w:tc>
          <w:tcPr>
            <w:tcW w:w="460" w:type="pct"/>
            <w:vMerge w:val="continue"/>
            <w:shd w:val="clear" w:color="auto" w:fill="auto"/>
            <w:vAlign w:val="center"/>
          </w:tcPr>
          <w:p w14:paraId="572C9A78">
            <w:pPr>
              <w:rPr>
                <w:color w:val="auto"/>
                <w:sz w:val="18"/>
                <w:szCs w:val="8"/>
                <w:highlight w:val="none"/>
              </w:rPr>
            </w:pPr>
          </w:p>
        </w:tc>
        <w:tc>
          <w:tcPr>
            <w:tcW w:w="3541" w:type="pct"/>
            <w:gridSpan w:val="4"/>
            <w:shd w:val="clear" w:color="auto" w:fill="auto"/>
          </w:tcPr>
          <w:p w14:paraId="10917D34">
            <w:pPr>
              <w:rPr>
                <w:color w:val="auto"/>
                <w:sz w:val="18"/>
                <w:szCs w:val="8"/>
                <w:highlight w:val="none"/>
              </w:rPr>
            </w:pPr>
            <w:r>
              <w:rPr>
                <w:rFonts w:hint="eastAsia"/>
                <w:color w:val="auto"/>
                <w:sz w:val="18"/>
                <w:szCs w:val="8"/>
                <w:highlight w:val="none"/>
              </w:rPr>
              <w:t>3.5、可根据加工模型自动进行三轴粗加工及精加工；</w:t>
            </w:r>
          </w:p>
        </w:tc>
        <w:tc>
          <w:tcPr>
            <w:tcW w:w="404" w:type="pct"/>
            <w:gridSpan w:val="2"/>
            <w:vMerge w:val="continue"/>
            <w:shd w:val="clear" w:color="auto" w:fill="auto"/>
            <w:vAlign w:val="center"/>
          </w:tcPr>
          <w:p w14:paraId="0FD8E34A">
            <w:pPr>
              <w:rPr>
                <w:color w:val="auto"/>
                <w:sz w:val="18"/>
                <w:szCs w:val="8"/>
                <w:highlight w:val="none"/>
              </w:rPr>
            </w:pPr>
          </w:p>
        </w:tc>
      </w:tr>
      <w:tr w14:paraId="039D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DC4E79F">
            <w:pPr>
              <w:rPr>
                <w:color w:val="auto"/>
                <w:sz w:val="18"/>
                <w:szCs w:val="8"/>
                <w:highlight w:val="none"/>
              </w:rPr>
            </w:pPr>
          </w:p>
        </w:tc>
        <w:tc>
          <w:tcPr>
            <w:tcW w:w="427" w:type="pct"/>
            <w:vMerge w:val="continue"/>
            <w:shd w:val="clear" w:color="auto" w:fill="auto"/>
            <w:vAlign w:val="center"/>
          </w:tcPr>
          <w:p w14:paraId="629D3E3B">
            <w:pPr>
              <w:rPr>
                <w:color w:val="auto"/>
                <w:sz w:val="18"/>
                <w:szCs w:val="8"/>
                <w:highlight w:val="none"/>
              </w:rPr>
            </w:pPr>
          </w:p>
        </w:tc>
        <w:tc>
          <w:tcPr>
            <w:tcW w:w="460" w:type="pct"/>
            <w:vMerge w:val="continue"/>
            <w:shd w:val="clear" w:color="auto" w:fill="auto"/>
            <w:vAlign w:val="center"/>
          </w:tcPr>
          <w:p w14:paraId="7AE0A318">
            <w:pPr>
              <w:rPr>
                <w:color w:val="auto"/>
                <w:sz w:val="18"/>
                <w:szCs w:val="8"/>
                <w:highlight w:val="none"/>
              </w:rPr>
            </w:pPr>
          </w:p>
        </w:tc>
        <w:tc>
          <w:tcPr>
            <w:tcW w:w="3541" w:type="pct"/>
            <w:gridSpan w:val="4"/>
            <w:shd w:val="clear" w:color="auto" w:fill="auto"/>
          </w:tcPr>
          <w:p w14:paraId="2F144C35">
            <w:pPr>
              <w:rPr>
                <w:color w:val="auto"/>
                <w:sz w:val="18"/>
                <w:szCs w:val="8"/>
                <w:highlight w:val="none"/>
              </w:rPr>
            </w:pPr>
            <w:r>
              <w:rPr>
                <w:rFonts w:hint="eastAsia"/>
                <w:color w:val="auto"/>
                <w:sz w:val="18"/>
                <w:szCs w:val="8"/>
                <w:highlight w:val="none"/>
              </w:rPr>
              <w:t>3.6、可针对STL数据模型直接加工，也可对实体、曲面、网格Mesh面混合模型进行加工；</w:t>
            </w:r>
          </w:p>
        </w:tc>
        <w:tc>
          <w:tcPr>
            <w:tcW w:w="404" w:type="pct"/>
            <w:gridSpan w:val="2"/>
            <w:vMerge w:val="continue"/>
            <w:shd w:val="clear" w:color="auto" w:fill="auto"/>
            <w:vAlign w:val="center"/>
          </w:tcPr>
          <w:p w14:paraId="4D44B3F5">
            <w:pPr>
              <w:rPr>
                <w:color w:val="auto"/>
                <w:sz w:val="18"/>
                <w:szCs w:val="8"/>
                <w:highlight w:val="none"/>
              </w:rPr>
            </w:pPr>
          </w:p>
        </w:tc>
      </w:tr>
      <w:tr w14:paraId="7F73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FE5C8F6">
            <w:pPr>
              <w:rPr>
                <w:color w:val="auto"/>
                <w:sz w:val="18"/>
                <w:szCs w:val="8"/>
                <w:highlight w:val="none"/>
              </w:rPr>
            </w:pPr>
          </w:p>
        </w:tc>
        <w:tc>
          <w:tcPr>
            <w:tcW w:w="427" w:type="pct"/>
            <w:vMerge w:val="continue"/>
            <w:shd w:val="clear" w:color="auto" w:fill="auto"/>
            <w:vAlign w:val="center"/>
          </w:tcPr>
          <w:p w14:paraId="76EE9DD5">
            <w:pPr>
              <w:rPr>
                <w:color w:val="auto"/>
                <w:sz w:val="18"/>
                <w:szCs w:val="8"/>
                <w:highlight w:val="none"/>
              </w:rPr>
            </w:pPr>
          </w:p>
        </w:tc>
        <w:tc>
          <w:tcPr>
            <w:tcW w:w="460" w:type="pct"/>
            <w:vMerge w:val="continue"/>
            <w:shd w:val="clear" w:color="auto" w:fill="auto"/>
            <w:vAlign w:val="center"/>
          </w:tcPr>
          <w:p w14:paraId="36289AB9">
            <w:pPr>
              <w:rPr>
                <w:color w:val="auto"/>
                <w:sz w:val="18"/>
                <w:szCs w:val="8"/>
                <w:highlight w:val="none"/>
              </w:rPr>
            </w:pPr>
          </w:p>
        </w:tc>
        <w:tc>
          <w:tcPr>
            <w:tcW w:w="3541" w:type="pct"/>
            <w:gridSpan w:val="4"/>
            <w:shd w:val="clear" w:color="auto" w:fill="auto"/>
          </w:tcPr>
          <w:p w14:paraId="0FBAEEE4">
            <w:pPr>
              <w:rPr>
                <w:color w:val="auto"/>
                <w:sz w:val="18"/>
                <w:szCs w:val="8"/>
                <w:highlight w:val="none"/>
              </w:rPr>
            </w:pPr>
            <w:r>
              <w:rPr>
                <w:rFonts w:hint="eastAsia"/>
                <w:color w:val="auto"/>
                <w:sz w:val="18"/>
                <w:szCs w:val="8"/>
                <w:highlight w:val="none"/>
              </w:rPr>
              <w:t>3.7、粗加工提供自动层切；</w:t>
            </w:r>
          </w:p>
        </w:tc>
        <w:tc>
          <w:tcPr>
            <w:tcW w:w="404" w:type="pct"/>
            <w:gridSpan w:val="2"/>
            <w:vMerge w:val="continue"/>
            <w:shd w:val="clear" w:color="auto" w:fill="auto"/>
            <w:vAlign w:val="center"/>
          </w:tcPr>
          <w:p w14:paraId="37AFB048">
            <w:pPr>
              <w:rPr>
                <w:color w:val="auto"/>
                <w:sz w:val="18"/>
                <w:szCs w:val="8"/>
                <w:highlight w:val="none"/>
              </w:rPr>
            </w:pPr>
          </w:p>
        </w:tc>
      </w:tr>
      <w:tr w14:paraId="13E4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0086632">
            <w:pPr>
              <w:rPr>
                <w:color w:val="auto"/>
                <w:sz w:val="18"/>
                <w:szCs w:val="8"/>
                <w:highlight w:val="none"/>
              </w:rPr>
            </w:pPr>
          </w:p>
        </w:tc>
        <w:tc>
          <w:tcPr>
            <w:tcW w:w="427" w:type="pct"/>
            <w:vMerge w:val="continue"/>
            <w:shd w:val="clear" w:color="auto" w:fill="auto"/>
            <w:vAlign w:val="center"/>
          </w:tcPr>
          <w:p w14:paraId="2AA98EF4">
            <w:pPr>
              <w:rPr>
                <w:color w:val="auto"/>
                <w:sz w:val="18"/>
                <w:szCs w:val="8"/>
                <w:highlight w:val="none"/>
              </w:rPr>
            </w:pPr>
          </w:p>
        </w:tc>
        <w:tc>
          <w:tcPr>
            <w:tcW w:w="460" w:type="pct"/>
            <w:vMerge w:val="continue"/>
            <w:shd w:val="clear" w:color="auto" w:fill="auto"/>
            <w:vAlign w:val="center"/>
          </w:tcPr>
          <w:p w14:paraId="24991F8E">
            <w:pPr>
              <w:rPr>
                <w:color w:val="auto"/>
                <w:sz w:val="18"/>
                <w:szCs w:val="8"/>
                <w:highlight w:val="none"/>
              </w:rPr>
            </w:pPr>
          </w:p>
        </w:tc>
        <w:tc>
          <w:tcPr>
            <w:tcW w:w="3541" w:type="pct"/>
            <w:gridSpan w:val="4"/>
            <w:shd w:val="clear" w:color="auto" w:fill="auto"/>
          </w:tcPr>
          <w:p w14:paraId="0C1A4CD7">
            <w:pPr>
              <w:rPr>
                <w:color w:val="auto"/>
                <w:sz w:val="18"/>
                <w:szCs w:val="8"/>
                <w:highlight w:val="none"/>
              </w:rPr>
            </w:pPr>
            <w:r>
              <w:rPr>
                <w:rFonts w:hint="eastAsia"/>
                <w:color w:val="auto"/>
                <w:sz w:val="18"/>
                <w:szCs w:val="8"/>
                <w:highlight w:val="none"/>
              </w:rPr>
              <w:t>3.8、按模型偏置加工；</w:t>
            </w:r>
          </w:p>
        </w:tc>
        <w:tc>
          <w:tcPr>
            <w:tcW w:w="404" w:type="pct"/>
            <w:gridSpan w:val="2"/>
            <w:vMerge w:val="continue"/>
            <w:shd w:val="clear" w:color="auto" w:fill="auto"/>
            <w:vAlign w:val="center"/>
          </w:tcPr>
          <w:p w14:paraId="03747CA8">
            <w:pPr>
              <w:rPr>
                <w:color w:val="auto"/>
                <w:sz w:val="18"/>
                <w:szCs w:val="8"/>
                <w:highlight w:val="none"/>
              </w:rPr>
            </w:pPr>
          </w:p>
        </w:tc>
      </w:tr>
      <w:tr w14:paraId="1F4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9988648">
            <w:pPr>
              <w:rPr>
                <w:color w:val="auto"/>
                <w:sz w:val="18"/>
                <w:szCs w:val="8"/>
                <w:highlight w:val="none"/>
              </w:rPr>
            </w:pPr>
          </w:p>
        </w:tc>
        <w:tc>
          <w:tcPr>
            <w:tcW w:w="427" w:type="pct"/>
            <w:vMerge w:val="continue"/>
            <w:shd w:val="clear" w:color="auto" w:fill="auto"/>
            <w:vAlign w:val="center"/>
          </w:tcPr>
          <w:p w14:paraId="377EE29B">
            <w:pPr>
              <w:rPr>
                <w:color w:val="auto"/>
                <w:sz w:val="18"/>
                <w:szCs w:val="8"/>
                <w:highlight w:val="none"/>
              </w:rPr>
            </w:pPr>
          </w:p>
        </w:tc>
        <w:tc>
          <w:tcPr>
            <w:tcW w:w="460" w:type="pct"/>
            <w:vMerge w:val="continue"/>
            <w:shd w:val="clear" w:color="auto" w:fill="auto"/>
            <w:vAlign w:val="center"/>
          </w:tcPr>
          <w:p w14:paraId="526BFBA9">
            <w:pPr>
              <w:rPr>
                <w:color w:val="auto"/>
                <w:sz w:val="18"/>
                <w:szCs w:val="8"/>
                <w:highlight w:val="none"/>
              </w:rPr>
            </w:pPr>
          </w:p>
        </w:tc>
        <w:tc>
          <w:tcPr>
            <w:tcW w:w="3541" w:type="pct"/>
            <w:gridSpan w:val="4"/>
            <w:shd w:val="clear" w:color="auto" w:fill="auto"/>
          </w:tcPr>
          <w:p w14:paraId="54DB63FC">
            <w:pPr>
              <w:rPr>
                <w:color w:val="auto"/>
                <w:sz w:val="18"/>
                <w:szCs w:val="8"/>
                <w:highlight w:val="none"/>
              </w:rPr>
            </w:pPr>
            <w:r>
              <w:rPr>
                <w:rFonts w:hint="eastAsia"/>
                <w:color w:val="auto"/>
                <w:sz w:val="18"/>
                <w:szCs w:val="8"/>
                <w:highlight w:val="none"/>
              </w:rPr>
              <w:t>3.9、模型3维轮廓加工；</w:t>
            </w:r>
          </w:p>
        </w:tc>
        <w:tc>
          <w:tcPr>
            <w:tcW w:w="404" w:type="pct"/>
            <w:gridSpan w:val="2"/>
            <w:vMerge w:val="continue"/>
            <w:shd w:val="clear" w:color="auto" w:fill="auto"/>
            <w:vAlign w:val="center"/>
          </w:tcPr>
          <w:p w14:paraId="4F12D947">
            <w:pPr>
              <w:rPr>
                <w:color w:val="auto"/>
                <w:sz w:val="18"/>
                <w:szCs w:val="8"/>
                <w:highlight w:val="none"/>
              </w:rPr>
            </w:pPr>
          </w:p>
        </w:tc>
      </w:tr>
      <w:tr w14:paraId="0DBD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C0EDE90">
            <w:pPr>
              <w:rPr>
                <w:color w:val="auto"/>
                <w:sz w:val="18"/>
                <w:szCs w:val="8"/>
                <w:highlight w:val="none"/>
              </w:rPr>
            </w:pPr>
          </w:p>
        </w:tc>
        <w:tc>
          <w:tcPr>
            <w:tcW w:w="427" w:type="pct"/>
            <w:vMerge w:val="continue"/>
            <w:shd w:val="clear" w:color="auto" w:fill="auto"/>
            <w:vAlign w:val="center"/>
          </w:tcPr>
          <w:p w14:paraId="50284107">
            <w:pPr>
              <w:rPr>
                <w:color w:val="auto"/>
                <w:sz w:val="18"/>
                <w:szCs w:val="8"/>
                <w:highlight w:val="none"/>
              </w:rPr>
            </w:pPr>
          </w:p>
        </w:tc>
        <w:tc>
          <w:tcPr>
            <w:tcW w:w="460" w:type="pct"/>
            <w:vMerge w:val="continue"/>
            <w:shd w:val="clear" w:color="auto" w:fill="auto"/>
            <w:vAlign w:val="center"/>
          </w:tcPr>
          <w:p w14:paraId="1BB3BB59">
            <w:pPr>
              <w:rPr>
                <w:color w:val="auto"/>
                <w:sz w:val="18"/>
                <w:szCs w:val="8"/>
                <w:highlight w:val="none"/>
              </w:rPr>
            </w:pPr>
          </w:p>
        </w:tc>
        <w:tc>
          <w:tcPr>
            <w:tcW w:w="3541" w:type="pct"/>
            <w:gridSpan w:val="4"/>
            <w:shd w:val="clear" w:color="auto" w:fill="auto"/>
          </w:tcPr>
          <w:p w14:paraId="39FD3332">
            <w:pPr>
              <w:rPr>
                <w:color w:val="auto"/>
                <w:sz w:val="18"/>
                <w:szCs w:val="8"/>
                <w:highlight w:val="none"/>
              </w:rPr>
            </w:pPr>
            <w:r>
              <w:rPr>
                <w:rFonts w:hint="eastAsia"/>
                <w:color w:val="auto"/>
                <w:sz w:val="18"/>
                <w:szCs w:val="8"/>
                <w:highlight w:val="none"/>
              </w:rPr>
              <w:t>3.10、提供材料残余量粗加工；</w:t>
            </w:r>
          </w:p>
        </w:tc>
        <w:tc>
          <w:tcPr>
            <w:tcW w:w="404" w:type="pct"/>
            <w:gridSpan w:val="2"/>
            <w:vMerge w:val="continue"/>
            <w:shd w:val="clear" w:color="auto" w:fill="auto"/>
            <w:vAlign w:val="center"/>
          </w:tcPr>
          <w:p w14:paraId="0F27469D">
            <w:pPr>
              <w:rPr>
                <w:color w:val="auto"/>
                <w:sz w:val="18"/>
                <w:szCs w:val="8"/>
                <w:highlight w:val="none"/>
              </w:rPr>
            </w:pPr>
          </w:p>
        </w:tc>
      </w:tr>
      <w:tr w14:paraId="737F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F07E134">
            <w:pPr>
              <w:rPr>
                <w:color w:val="auto"/>
                <w:sz w:val="18"/>
                <w:szCs w:val="8"/>
                <w:highlight w:val="none"/>
              </w:rPr>
            </w:pPr>
          </w:p>
        </w:tc>
        <w:tc>
          <w:tcPr>
            <w:tcW w:w="427" w:type="pct"/>
            <w:vMerge w:val="continue"/>
            <w:shd w:val="clear" w:color="auto" w:fill="auto"/>
            <w:vAlign w:val="center"/>
          </w:tcPr>
          <w:p w14:paraId="1730E5A6">
            <w:pPr>
              <w:rPr>
                <w:color w:val="auto"/>
                <w:sz w:val="18"/>
                <w:szCs w:val="8"/>
                <w:highlight w:val="none"/>
              </w:rPr>
            </w:pPr>
          </w:p>
        </w:tc>
        <w:tc>
          <w:tcPr>
            <w:tcW w:w="460" w:type="pct"/>
            <w:vMerge w:val="continue"/>
            <w:shd w:val="clear" w:color="auto" w:fill="auto"/>
            <w:vAlign w:val="center"/>
          </w:tcPr>
          <w:p w14:paraId="73185F78">
            <w:pPr>
              <w:rPr>
                <w:color w:val="auto"/>
                <w:sz w:val="18"/>
                <w:szCs w:val="8"/>
                <w:highlight w:val="none"/>
              </w:rPr>
            </w:pPr>
          </w:p>
        </w:tc>
        <w:tc>
          <w:tcPr>
            <w:tcW w:w="3541" w:type="pct"/>
            <w:gridSpan w:val="4"/>
            <w:shd w:val="clear" w:color="auto" w:fill="auto"/>
          </w:tcPr>
          <w:p w14:paraId="76137862">
            <w:pPr>
              <w:rPr>
                <w:color w:val="auto"/>
                <w:sz w:val="18"/>
                <w:szCs w:val="8"/>
                <w:highlight w:val="none"/>
              </w:rPr>
            </w:pPr>
            <w:r>
              <w:rPr>
                <w:rFonts w:hint="eastAsia"/>
                <w:color w:val="auto"/>
                <w:sz w:val="18"/>
                <w:szCs w:val="8"/>
                <w:highlight w:val="none"/>
              </w:rPr>
              <w:t>3.11、精加工提供等高精加工；</w:t>
            </w:r>
          </w:p>
        </w:tc>
        <w:tc>
          <w:tcPr>
            <w:tcW w:w="404" w:type="pct"/>
            <w:gridSpan w:val="2"/>
            <w:vMerge w:val="continue"/>
            <w:shd w:val="clear" w:color="auto" w:fill="auto"/>
            <w:vAlign w:val="center"/>
          </w:tcPr>
          <w:p w14:paraId="47229E21">
            <w:pPr>
              <w:rPr>
                <w:color w:val="auto"/>
                <w:sz w:val="18"/>
                <w:szCs w:val="8"/>
                <w:highlight w:val="none"/>
              </w:rPr>
            </w:pPr>
          </w:p>
        </w:tc>
      </w:tr>
      <w:tr w14:paraId="5C89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26FDA69">
            <w:pPr>
              <w:rPr>
                <w:color w:val="auto"/>
                <w:sz w:val="18"/>
                <w:szCs w:val="8"/>
                <w:highlight w:val="none"/>
              </w:rPr>
            </w:pPr>
          </w:p>
        </w:tc>
        <w:tc>
          <w:tcPr>
            <w:tcW w:w="427" w:type="pct"/>
            <w:vMerge w:val="continue"/>
            <w:shd w:val="clear" w:color="auto" w:fill="auto"/>
            <w:vAlign w:val="center"/>
          </w:tcPr>
          <w:p w14:paraId="33E4C8D0">
            <w:pPr>
              <w:rPr>
                <w:color w:val="auto"/>
                <w:sz w:val="18"/>
                <w:szCs w:val="8"/>
                <w:highlight w:val="none"/>
              </w:rPr>
            </w:pPr>
          </w:p>
        </w:tc>
        <w:tc>
          <w:tcPr>
            <w:tcW w:w="460" w:type="pct"/>
            <w:vMerge w:val="continue"/>
            <w:shd w:val="clear" w:color="auto" w:fill="auto"/>
            <w:vAlign w:val="center"/>
          </w:tcPr>
          <w:p w14:paraId="1E240192">
            <w:pPr>
              <w:rPr>
                <w:color w:val="auto"/>
                <w:sz w:val="18"/>
                <w:szCs w:val="8"/>
                <w:highlight w:val="none"/>
              </w:rPr>
            </w:pPr>
          </w:p>
        </w:tc>
        <w:tc>
          <w:tcPr>
            <w:tcW w:w="3541" w:type="pct"/>
            <w:gridSpan w:val="4"/>
            <w:shd w:val="clear" w:color="auto" w:fill="auto"/>
          </w:tcPr>
          <w:p w14:paraId="464A69F6">
            <w:pPr>
              <w:rPr>
                <w:color w:val="auto"/>
                <w:sz w:val="18"/>
                <w:szCs w:val="8"/>
                <w:highlight w:val="none"/>
              </w:rPr>
            </w:pPr>
            <w:r>
              <w:rPr>
                <w:rFonts w:hint="eastAsia"/>
                <w:color w:val="auto"/>
                <w:sz w:val="18"/>
                <w:szCs w:val="8"/>
                <w:highlight w:val="none"/>
              </w:rPr>
              <w:t>3.12、平行精加工；</w:t>
            </w:r>
          </w:p>
        </w:tc>
        <w:tc>
          <w:tcPr>
            <w:tcW w:w="404" w:type="pct"/>
            <w:gridSpan w:val="2"/>
            <w:vMerge w:val="continue"/>
            <w:shd w:val="clear" w:color="auto" w:fill="auto"/>
            <w:vAlign w:val="center"/>
          </w:tcPr>
          <w:p w14:paraId="60B6DB86">
            <w:pPr>
              <w:rPr>
                <w:color w:val="auto"/>
                <w:sz w:val="18"/>
                <w:szCs w:val="8"/>
                <w:highlight w:val="none"/>
              </w:rPr>
            </w:pPr>
          </w:p>
        </w:tc>
      </w:tr>
      <w:tr w14:paraId="60F9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10B253B">
            <w:pPr>
              <w:rPr>
                <w:color w:val="auto"/>
                <w:sz w:val="18"/>
                <w:szCs w:val="8"/>
                <w:highlight w:val="none"/>
              </w:rPr>
            </w:pPr>
          </w:p>
        </w:tc>
        <w:tc>
          <w:tcPr>
            <w:tcW w:w="427" w:type="pct"/>
            <w:vMerge w:val="continue"/>
            <w:shd w:val="clear" w:color="auto" w:fill="auto"/>
            <w:vAlign w:val="center"/>
          </w:tcPr>
          <w:p w14:paraId="5A3036F3">
            <w:pPr>
              <w:rPr>
                <w:color w:val="auto"/>
                <w:sz w:val="18"/>
                <w:szCs w:val="8"/>
                <w:highlight w:val="none"/>
              </w:rPr>
            </w:pPr>
          </w:p>
        </w:tc>
        <w:tc>
          <w:tcPr>
            <w:tcW w:w="460" w:type="pct"/>
            <w:vMerge w:val="continue"/>
            <w:shd w:val="clear" w:color="auto" w:fill="auto"/>
            <w:vAlign w:val="center"/>
          </w:tcPr>
          <w:p w14:paraId="7269D25D">
            <w:pPr>
              <w:rPr>
                <w:color w:val="auto"/>
                <w:sz w:val="18"/>
                <w:szCs w:val="8"/>
                <w:highlight w:val="none"/>
              </w:rPr>
            </w:pPr>
          </w:p>
        </w:tc>
        <w:tc>
          <w:tcPr>
            <w:tcW w:w="3541" w:type="pct"/>
            <w:gridSpan w:val="4"/>
            <w:shd w:val="clear" w:color="auto" w:fill="auto"/>
          </w:tcPr>
          <w:p w14:paraId="731F6BBB">
            <w:pPr>
              <w:rPr>
                <w:color w:val="auto"/>
                <w:sz w:val="18"/>
                <w:szCs w:val="8"/>
                <w:highlight w:val="none"/>
              </w:rPr>
            </w:pPr>
            <w:r>
              <w:rPr>
                <w:rFonts w:hint="eastAsia"/>
                <w:color w:val="auto"/>
                <w:sz w:val="18"/>
                <w:szCs w:val="8"/>
                <w:highlight w:val="none"/>
              </w:rPr>
              <w:t>3.13、环绕精加工；</w:t>
            </w:r>
          </w:p>
        </w:tc>
        <w:tc>
          <w:tcPr>
            <w:tcW w:w="404" w:type="pct"/>
            <w:gridSpan w:val="2"/>
            <w:vMerge w:val="continue"/>
            <w:shd w:val="clear" w:color="auto" w:fill="auto"/>
            <w:vAlign w:val="center"/>
          </w:tcPr>
          <w:p w14:paraId="4D5DBAE6">
            <w:pPr>
              <w:rPr>
                <w:color w:val="auto"/>
                <w:sz w:val="18"/>
                <w:szCs w:val="8"/>
                <w:highlight w:val="none"/>
              </w:rPr>
            </w:pPr>
          </w:p>
        </w:tc>
      </w:tr>
      <w:tr w14:paraId="27A2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jc w:val="center"/>
        </w:trPr>
        <w:tc>
          <w:tcPr>
            <w:tcW w:w="157" w:type="pct"/>
            <w:vMerge w:val="continue"/>
            <w:shd w:val="clear" w:color="auto" w:fill="auto"/>
            <w:vAlign w:val="center"/>
          </w:tcPr>
          <w:p w14:paraId="57204C84">
            <w:pPr>
              <w:rPr>
                <w:color w:val="auto"/>
                <w:sz w:val="18"/>
                <w:szCs w:val="8"/>
                <w:highlight w:val="none"/>
              </w:rPr>
            </w:pPr>
          </w:p>
        </w:tc>
        <w:tc>
          <w:tcPr>
            <w:tcW w:w="427" w:type="pct"/>
            <w:vMerge w:val="continue"/>
            <w:shd w:val="clear" w:color="auto" w:fill="auto"/>
            <w:vAlign w:val="center"/>
          </w:tcPr>
          <w:p w14:paraId="0818859D">
            <w:pPr>
              <w:rPr>
                <w:color w:val="auto"/>
                <w:sz w:val="18"/>
                <w:szCs w:val="8"/>
                <w:highlight w:val="none"/>
              </w:rPr>
            </w:pPr>
          </w:p>
        </w:tc>
        <w:tc>
          <w:tcPr>
            <w:tcW w:w="460" w:type="pct"/>
            <w:vMerge w:val="continue"/>
            <w:shd w:val="clear" w:color="auto" w:fill="auto"/>
            <w:vAlign w:val="center"/>
          </w:tcPr>
          <w:p w14:paraId="50DD94CC">
            <w:pPr>
              <w:rPr>
                <w:color w:val="auto"/>
                <w:sz w:val="18"/>
                <w:szCs w:val="8"/>
                <w:highlight w:val="none"/>
              </w:rPr>
            </w:pPr>
          </w:p>
        </w:tc>
        <w:tc>
          <w:tcPr>
            <w:tcW w:w="3541" w:type="pct"/>
            <w:gridSpan w:val="4"/>
            <w:shd w:val="clear" w:color="auto" w:fill="auto"/>
          </w:tcPr>
          <w:p w14:paraId="2B5FBFBC">
            <w:pPr>
              <w:rPr>
                <w:color w:val="auto"/>
                <w:sz w:val="18"/>
                <w:szCs w:val="8"/>
                <w:highlight w:val="none"/>
              </w:rPr>
            </w:pPr>
            <w:r>
              <w:rPr>
                <w:rFonts w:hint="eastAsia"/>
                <w:color w:val="auto"/>
                <w:sz w:val="18"/>
                <w:szCs w:val="8"/>
                <w:highlight w:val="none"/>
              </w:rPr>
              <w:t>3.14、三维偏置精加工及自动清根加工等功能；</w:t>
            </w:r>
          </w:p>
        </w:tc>
        <w:tc>
          <w:tcPr>
            <w:tcW w:w="404" w:type="pct"/>
            <w:gridSpan w:val="2"/>
            <w:vMerge w:val="continue"/>
            <w:shd w:val="clear" w:color="auto" w:fill="auto"/>
            <w:vAlign w:val="center"/>
          </w:tcPr>
          <w:p w14:paraId="734D1396">
            <w:pPr>
              <w:rPr>
                <w:color w:val="auto"/>
                <w:sz w:val="18"/>
                <w:szCs w:val="8"/>
                <w:highlight w:val="none"/>
              </w:rPr>
            </w:pPr>
          </w:p>
        </w:tc>
      </w:tr>
      <w:tr w14:paraId="401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8A98CC7">
            <w:pPr>
              <w:rPr>
                <w:color w:val="auto"/>
                <w:sz w:val="18"/>
                <w:szCs w:val="8"/>
                <w:highlight w:val="none"/>
              </w:rPr>
            </w:pPr>
          </w:p>
        </w:tc>
        <w:tc>
          <w:tcPr>
            <w:tcW w:w="427" w:type="pct"/>
            <w:vMerge w:val="continue"/>
            <w:shd w:val="clear" w:color="auto" w:fill="auto"/>
            <w:vAlign w:val="center"/>
          </w:tcPr>
          <w:p w14:paraId="330B9583">
            <w:pPr>
              <w:rPr>
                <w:color w:val="auto"/>
                <w:sz w:val="18"/>
                <w:szCs w:val="8"/>
                <w:highlight w:val="none"/>
              </w:rPr>
            </w:pPr>
          </w:p>
        </w:tc>
        <w:tc>
          <w:tcPr>
            <w:tcW w:w="460" w:type="pct"/>
            <w:vMerge w:val="continue"/>
            <w:shd w:val="clear" w:color="auto" w:fill="auto"/>
            <w:vAlign w:val="center"/>
          </w:tcPr>
          <w:p w14:paraId="1852F9DB">
            <w:pPr>
              <w:rPr>
                <w:color w:val="auto"/>
                <w:sz w:val="18"/>
                <w:szCs w:val="8"/>
                <w:highlight w:val="none"/>
              </w:rPr>
            </w:pPr>
          </w:p>
        </w:tc>
        <w:tc>
          <w:tcPr>
            <w:tcW w:w="3541" w:type="pct"/>
            <w:gridSpan w:val="4"/>
            <w:shd w:val="clear" w:color="auto" w:fill="auto"/>
          </w:tcPr>
          <w:p w14:paraId="21C8B462">
            <w:pPr>
              <w:rPr>
                <w:color w:val="auto"/>
                <w:sz w:val="18"/>
                <w:szCs w:val="8"/>
                <w:highlight w:val="none"/>
              </w:rPr>
            </w:pPr>
            <w:r>
              <w:rPr>
                <w:rFonts w:hint="eastAsia"/>
                <w:color w:val="auto"/>
                <w:sz w:val="18"/>
                <w:szCs w:val="8"/>
                <w:highlight w:val="none"/>
              </w:rPr>
              <w:t>3.15、▲ 具有回放功能：刀具路径可通过使用鼠标在模型上移动刀具来手动生成。定义后，软件将执行模型与刀具的碰撞检查。如果检测到碰撞，软件将修改刀具路径，将它们放置在模型的无碰撞点上。</w:t>
            </w:r>
          </w:p>
        </w:tc>
        <w:tc>
          <w:tcPr>
            <w:tcW w:w="404" w:type="pct"/>
            <w:gridSpan w:val="2"/>
            <w:vMerge w:val="continue"/>
            <w:shd w:val="clear" w:color="auto" w:fill="auto"/>
            <w:vAlign w:val="center"/>
          </w:tcPr>
          <w:p w14:paraId="36A4E782">
            <w:pPr>
              <w:rPr>
                <w:color w:val="auto"/>
                <w:sz w:val="18"/>
                <w:szCs w:val="8"/>
                <w:highlight w:val="none"/>
              </w:rPr>
            </w:pPr>
          </w:p>
        </w:tc>
      </w:tr>
      <w:tr w14:paraId="58FE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EEE1C69">
            <w:pPr>
              <w:rPr>
                <w:color w:val="auto"/>
                <w:sz w:val="18"/>
                <w:szCs w:val="8"/>
                <w:highlight w:val="none"/>
              </w:rPr>
            </w:pPr>
          </w:p>
        </w:tc>
        <w:tc>
          <w:tcPr>
            <w:tcW w:w="427" w:type="pct"/>
            <w:vMerge w:val="continue"/>
            <w:shd w:val="clear" w:color="auto" w:fill="auto"/>
            <w:vAlign w:val="center"/>
          </w:tcPr>
          <w:p w14:paraId="265CBBAC">
            <w:pPr>
              <w:rPr>
                <w:color w:val="auto"/>
                <w:sz w:val="18"/>
                <w:szCs w:val="8"/>
                <w:highlight w:val="none"/>
              </w:rPr>
            </w:pPr>
          </w:p>
        </w:tc>
        <w:tc>
          <w:tcPr>
            <w:tcW w:w="460" w:type="pct"/>
            <w:vMerge w:val="restart"/>
            <w:shd w:val="clear" w:color="auto" w:fill="auto"/>
            <w:vAlign w:val="center"/>
          </w:tcPr>
          <w:p w14:paraId="2A54C26C">
            <w:pPr>
              <w:rPr>
                <w:color w:val="auto"/>
                <w:sz w:val="18"/>
                <w:szCs w:val="8"/>
                <w:highlight w:val="none"/>
              </w:rPr>
            </w:pPr>
            <w:r>
              <w:rPr>
                <w:rFonts w:hint="eastAsia"/>
                <w:color w:val="auto"/>
                <w:sz w:val="18"/>
                <w:szCs w:val="8"/>
                <w:highlight w:val="none"/>
              </w:rPr>
              <w:t>4. 五轴加工功能要求</w:t>
            </w:r>
          </w:p>
        </w:tc>
        <w:tc>
          <w:tcPr>
            <w:tcW w:w="3541" w:type="pct"/>
            <w:gridSpan w:val="4"/>
            <w:shd w:val="clear" w:color="auto" w:fill="auto"/>
          </w:tcPr>
          <w:p w14:paraId="7298A779">
            <w:pPr>
              <w:rPr>
                <w:color w:val="auto"/>
                <w:sz w:val="18"/>
                <w:szCs w:val="8"/>
                <w:highlight w:val="none"/>
              </w:rPr>
            </w:pPr>
            <w:r>
              <w:rPr>
                <w:rFonts w:hint="eastAsia"/>
                <w:color w:val="auto"/>
                <w:sz w:val="18"/>
                <w:szCs w:val="8"/>
                <w:highlight w:val="none"/>
              </w:rPr>
              <w:t>4.1、对加工模型进行整体5轴加工, 支持球刀、平刀、牛鼻子刀等刀具进行加工策略计算，智能自动地调整最佳的刀具方位和配合，避免干涉碰撞，这样可以高效加工难达区域;</w:t>
            </w:r>
          </w:p>
        </w:tc>
        <w:tc>
          <w:tcPr>
            <w:tcW w:w="404" w:type="pct"/>
            <w:gridSpan w:val="2"/>
            <w:vMerge w:val="continue"/>
            <w:shd w:val="clear" w:color="auto" w:fill="auto"/>
            <w:vAlign w:val="center"/>
          </w:tcPr>
          <w:p w14:paraId="7D0159D4">
            <w:pPr>
              <w:rPr>
                <w:color w:val="auto"/>
                <w:sz w:val="18"/>
                <w:szCs w:val="8"/>
                <w:highlight w:val="none"/>
              </w:rPr>
            </w:pPr>
          </w:p>
        </w:tc>
      </w:tr>
      <w:tr w14:paraId="173D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5EB41DD">
            <w:pPr>
              <w:rPr>
                <w:color w:val="auto"/>
                <w:sz w:val="18"/>
                <w:szCs w:val="8"/>
                <w:highlight w:val="none"/>
              </w:rPr>
            </w:pPr>
          </w:p>
        </w:tc>
        <w:tc>
          <w:tcPr>
            <w:tcW w:w="427" w:type="pct"/>
            <w:vMerge w:val="continue"/>
            <w:shd w:val="clear" w:color="auto" w:fill="auto"/>
            <w:vAlign w:val="center"/>
          </w:tcPr>
          <w:p w14:paraId="50F44ADB">
            <w:pPr>
              <w:rPr>
                <w:color w:val="auto"/>
                <w:sz w:val="18"/>
                <w:szCs w:val="8"/>
                <w:highlight w:val="none"/>
              </w:rPr>
            </w:pPr>
          </w:p>
        </w:tc>
        <w:tc>
          <w:tcPr>
            <w:tcW w:w="460" w:type="pct"/>
            <w:vMerge w:val="continue"/>
            <w:shd w:val="clear" w:color="auto" w:fill="auto"/>
            <w:vAlign w:val="center"/>
          </w:tcPr>
          <w:p w14:paraId="29AD3843">
            <w:pPr>
              <w:rPr>
                <w:color w:val="auto"/>
                <w:sz w:val="18"/>
                <w:szCs w:val="8"/>
                <w:highlight w:val="none"/>
              </w:rPr>
            </w:pPr>
          </w:p>
        </w:tc>
        <w:tc>
          <w:tcPr>
            <w:tcW w:w="3541" w:type="pct"/>
            <w:gridSpan w:val="4"/>
            <w:shd w:val="clear" w:color="auto" w:fill="auto"/>
          </w:tcPr>
          <w:p w14:paraId="74960BAE">
            <w:pPr>
              <w:rPr>
                <w:color w:val="auto"/>
                <w:sz w:val="18"/>
                <w:szCs w:val="8"/>
                <w:highlight w:val="none"/>
              </w:rPr>
            </w:pPr>
            <w:r>
              <w:rPr>
                <w:rFonts w:hint="eastAsia"/>
                <w:color w:val="auto"/>
                <w:sz w:val="18"/>
                <w:szCs w:val="8"/>
                <w:highlight w:val="none"/>
              </w:rPr>
              <w:t>4.2、5轴侧刃加工，刀具的侧刃用于零件曲面的侧向铣削。刀具路径之间的较大间距减少了切削时间同时提高曲面的加工质量。多样的轴向和侧面进给让此策略也可适用于粗加工。通过定义停止曲面和加工曲面以及毛坯， 加工将更精确和简单。</w:t>
            </w:r>
          </w:p>
        </w:tc>
        <w:tc>
          <w:tcPr>
            <w:tcW w:w="404" w:type="pct"/>
            <w:gridSpan w:val="2"/>
            <w:vMerge w:val="continue"/>
            <w:shd w:val="clear" w:color="auto" w:fill="auto"/>
            <w:vAlign w:val="center"/>
          </w:tcPr>
          <w:p w14:paraId="677A20AB">
            <w:pPr>
              <w:rPr>
                <w:color w:val="auto"/>
                <w:sz w:val="18"/>
                <w:szCs w:val="8"/>
                <w:highlight w:val="none"/>
              </w:rPr>
            </w:pPr>
          </w:p>
        </w:tc>
      </w:tr>
      <w:tr w14:paraId="047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CE0E191">
            <w:pPr>
              <w:rPr>
                <w:color w:val="auto"/>
                <w:sz w:val="18"/>
                <w:szCs w:val="8"/>
                <w:highlight w:val="none"/>
              </w:rPr>
            </w:pPr>
          </w:p>
        </w:tc>
        <w:tc>
          <w:tcPr>
            <w:tcW w:w="427" w:type="pct"/>
            <w:vMerge w:val="continue"/>
            <w:shd w:val="clear" w:color="auto" w:fill="auto"/>
            <w:vAlign w:val="center"/>
          </w:tcPr>
          <w:p w14:paraId="18C073D5">
            <w:pPr>
              <w:rPr>
                <w:color w:val="auto"/>
                <w:sz w:val="18"/>
                <w:szCs w:val="8"/>
                <w:highlight w:val="none"/>
              </w:rPr>
            </w:pPr>
          </w:p>
        </w:tc>
        <w:tc>
          <w:tcPr>
            <w:tcW w:w="460" w:type="pct"/>
            <w:vMerge w:val="continue"/>
            <w:shd w:val="clear" w:color="auto" w:fill="auto"/>
            <w:vAlign w:val="center"/>
          </w:tcPr>
          <w:p w14:paraId="6B7E8713">
            <w:pPr>
              <w:rPr>
                <w:color w:val="auto"/>
                <w:sz w:val="18"/>
                <w:szCs w:val="8"/>
                <w:highlight w:val="none"/>
              </w:rPr>
            </w:pPr>
          </w:p>
        </w:tc>
        <w:tc>
          <w:tcPr>
            <w:tcW w:w="3541" w:type="pct"/>
            <w:gridSpan w:val="4"/>
            <w:shd w:val="clear" w:color="auto" w:fill="auto"/>
          </w:tcPr>
          <w:p w14:paraId="445F2499">
            <w:pPr>
              <w:rPr>
                <w:color w:val="auto"/>
                <w:sz w:val="18"/>
                <w:szCs w:val="8"/>
                <w:highlight w:val="none"/>
              </w:rPr>
            </w:pPr>
            <w:r>
              <w:rPr>
                <w:rFonts w:hint="eastAsia"/>
                <w:color w:val="auto"/>
                <w:sz w:val="18"/>
                <w:szCs w:val="8"/>
                <w:highlight w:val="none"/>
              </w:rPr>
              <w:t>4.3、▲ 可实现五轴再加工；可参考任意辅助刀轨，改变其刀轴方向（即将任意刀路变成曲线），从而达到最终合理的五轴刀路;（提供相关功能截图，并加盖投标人公章）</w:t>
            </w:r>
          </w:p>
        </w:tc>
        <w:tc>
          <w:tcPr>
            <w:tcW w:w="404" w:type="pct"/>
            <w:gridSpan w:val="2"/>
            <w:vMerge w:val="continue"/>
            <w:shd w:val="clear" w:color="auto" w:fill="auto"/>
            <w:vAlign w:val="center"/>
          </w:tcPr>
          <w:p w14:paraId="02FFC351">
            <w:pPr>
              <w:rPr>
                <w:color w:val="auto"/>
                <w:sz w:val="18"/>
                <w:szCs w:val="8"/>
                <w:highlight w:val="none"/>
              </w:rPr>
            </w:pPr>
          </w:p>
        </w:tc>
      </w:tr>
      <w:tr w14:paraId="32EB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CA5FE04">
            <w:pPr>
              <w:rPr>
                <w:color w:val="auto"/>
                <w:sz w:val="18"/>
                <w:szCs w:val="8"/>
                <w:highlight w:val="none"/>
              </w:rPr>
            </w:pPr>
          </w:p>
        </w:tc>
        <w:tc>
          <w:tcPr>
            <w:tcW w:w="427" w:type="pct"/>
            <w:vMerge w:val="continue"/>
            <w:shd w:val="clear" w:color="auto" w:fill="auto"/>
            <w:vAlign w:val="center"/>
          </w:tcPr>
          <w:p w14:paraId="29061361">
            <w:pPr>
              <w:rPr>
                <w:color w:val="auto"/>
                <w:sz w:val="18"/>
                <w:szCs w:val="8"/>
                <w:highlight w:val="none"/>
              </w:rPr>
            </w:pPr>
          </w:p>
        </w:tc>
        <w:tc>
          <w:tcPr>
            <w:tcW w:w="460" w:type="pct"/>
            <w:vMerge w:val="continue"/>
            <w:shd w:val="clear" w:color="auto" w:fill="auto"/>
            <w:vAlign w:val="center"/>
          </w:tcPr>
          <w:p w14:paraId="0FE0320A">
            <w:pPr>
              <w:rPr>
                <w:color w:val="auto"/>
                <w:sz w:val="18"/>
                <w:szCs w:val="8"/>
                <w:highlight w:val="none"/>
              </w:rPr>
            </w:pPr>
          </w:p>
        </w:tc>
        <w:tc>
          <w:tcPr>
            <w:tcW w:w="3541" w:type="pct"/>
            <w:gridSpan w:val="4"/>
            <w:shd w:val="clear" w:color="auto" w:fill="auto"/>
          </w:tcPr>
          <w:p w14:paraId="16A46A9A">
            <w:pPr>
              <w:rPr>
                <w:color w:val="auto"/>
                <w:sz w:val="18"/>
                <w:szCs w:val="8"/>
                <w:highlight w:val="none"/>
              </w:rPr>
            </w:pPr>
            <w:r>
              <w:rPr>
                <w:rFonts w:hint="eastAsia"/>
                <w:color w:val="auto"/>
                <w:sz w:val="18"/>
                <w:szCs w:val="8"/>
                <w:highlight w:val="none"/>
              </w:rPr>
              <w:t xml:space="preserve">4.4、可实现五轴轮廓加工； </w:t>
            </w:r>
          </w:p>
        </w:tc>
        <w:tc>
          <w:tcPr>
            <w:tcW w:w="404" w:type="pct"/>
            <w:gridSpan w:val="2"/>
            <w:vMerge w:val="continue"/>
            <w:shd w:val="clear" w:color="auto" w:fill="auto"/>
            <w:vAlign w:val="center"/>
          </w:tcPr>
          <w:p w14:paraId="51DA3268">
            <w:pPr>
              <w:rPr>
                <w:color w:val="auto"/>
                <w:sz w:val="18"/>
                <w:szCs w:val="8"/>
                <w:highlight w:val="none"/>
              </w:rPr>
            </w:pPr>
          </w:p>
        </w:tc>
      </w:tr>
      <w:tr w14:paraId="5809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87417C3">
            <w:pPr>
              <w:rPr>
                <w:color w:val="auto"/>
                <w:sz w:val="18"/>
                <w:szCs w:val="8"/>
                <w:highlight w:val="none"/>
              </w:rPr>
            </w:pPr>
          </w:p>
        </w:tc>
        <w:tc>
          <w:tcPr>
            <w:tcW w:w="427" w:type="pct"/>
            <w:vMerge w:val="continue"/>
            <w:shd w:val="clear" w:color="auto" w:fill="auto"/>
            <w:vAlign w:val="center"/>
          </w:tcPr>
          <w:p w14:paraId="7E936688">
            <w:pPr>
              <w:rPr>
                <w:color w:val="auto"/>
                <w:sz w:val="18"/>
                <w:szCs w:val="8"/>
                <w:highlight w:val="none"/>
              </w:rPr>
            </w:pPr>
          </w:p>
        </w:tc>
        <w:tc>
          <w:tcPr>
            <w:tcW w:w="460" w:type="pct"/>
            <w:vMerge w:val="continue"/>
            <w:shd w:val="clear" w:color="auto" w:fill="auto"/>
            <w:vAlign w:val="center"/>
          </w:tcPr>
          <w:p w14:paraId="43C12155">
            <w:pPr>
              <w:rPr>
                <w:color w:val="auto"/>
                <w:sz w:val="18"/>
                <w:szCs w:val="8"/>
                <w:highlight w:val="none"/>
              </w:rPr>
            </w:pPr>
          </w:p>
        </w:tc>
        <w:tc>
          <w:tcPr>
            <w:tcW w:w="3541" w:type="pct"/>
            <w:gridSpan w:val="4"/>
            <w:shd w:val="clear" w:color="auto" w:fill="auto"/>
          </w:tcPr>
          <w:p w14:paraId="5EF230CA">
            <w:pPr>
              <w:rPr>
                <w:color w:val="auto"/>
                <w:sz w:val="18"/>
                <w:szCs w:val="8"/>
                <w:highlight w:val="none"/>
              </w:rPr>
            </w:pPr>
            <w:r>
              <w:rPr>
                <w:rFonts w:hint="eastAsia"/>
                <w:color w:val="auto"/>
                <w:sz w:val="18"/>
                <w:szCs w:val="8"/>
                <w:highlight w:val="none"/>
              </w:rPr>
              <w:t>4.5、可实现5轴联动清根：可进行无干涉的5轴联动清根，也可在同一条刀路中进行多次自动定位清根，而无需人为调整干预；以减短刀具装夹长度、提高加工质量、降低加工时间；</w:t>
            </w:r>
          </w:p>
        </w:tc>
        <w:tc>
          <w:tcPr>
            <w:tcW w:w="404" w:type="pct"/>
            <w:gridSpan w:val="2"/>
            <w:vMerge w:val="continue"/>
            <w:shd w:val="clear" w:color="auto" w:fill="auto"/>
            <w:vAlign w:val="center"/>
          </w:tcPr>
          <w:p w14:paraId="34A7F07E">
            <w:pPr>
              <w:rPr>
                <w:color w:val="auto"/>
                <w:sz w:val="18"/>
                <w:szCs w:val="8"/>
                <w:highlight w:val="none"/>
              </w:rPr>
            </w:pPr>
          </w:p>
        </w:tc>
      </w:tr>
      <w:tr w14:paraId="2C3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5D17FFC">
            <w:pPr>
              <w:rPr>
                <w:color w:val="auto"/>
                <w:sz w:val="18"/>
                <w:szCs w:val="8"/>
                <w:highlight w:val="none"/>
              </w:rPr>
            </w:pPr>
          </w:p>
        </w:tc>
        <w:tc>
          <w:tcPr>
            <w:tcW w:w="427" w:type="pct"/>
            <w:vMerge w:val="continue"/>
            <w:shd w:val="clear" w:color="auto" w:fill="auto"/>
            <w:vAlign w:val="center"/>
          </w:tcPr>
          <w:p w14:paraId="6DEA306B">
            <w:pPr>
              <w:rPr>
                <w:color w:val="auto"/>
                <w:sz w:val="18"/>
                <w:szCs w:val="8"/>
                <w:highlight w:val="none"/>
              </w:rPr>
            </w:pPr>
          </w:p>
        </w:tc>
        <w:tc>
          <w:tcPr>
            <w:tcW w:w="460" w:type="pct"/>
            <w:vMerge w:val="continue"/>
            <w:shd w:val="clear" w:color="auto" w:fill="auto"/>
            <w:vAlign w:val="center"/>
          </w:tcPr>
          <w:p w14:paraId="01A1CC97">
            <w:pPr>
              <w:rPr>
                <w:color w:val="auto"/>
                <w:sz w:val="18"/>
                <w:szCs w:val="8"/>
                <w:highlight w:val="none"/>
              </w:rPr>
            </w:pPr>
          </w:p>
        </w:tc>
        <w:tc>
          <w:tcPr>
            <w:tcW w:w="3541" w:type="pct"/>
            <w:gridSpan w:val="4"/>
            <w:shd w:val="clear" w:color="auto" w:fill="auto"/>
          </w:tcPr>
          <w:p w14:paraId="358EA877">
            <w:pPr>
              <w:rPr>
                <w:color w:val="auto"/>
                <w:sz w:val="18"/>
                <w:szCs w:val="8"/>
                <w:highlight w:val="none"/>
              </w:rPr>
            </w:pPr>
            <w:r>
              <w:rPr>
                <w:rFonts w:hint="eastAsia"/>
                <w:color w:val="auto"/>
                <w:sz w:val="18"/>
                <w:szCs w:val="8"/>
                <w:highlight w:val="none"/>
              </w:rPr>
              <w:t>4.6、可实现5轴联动开粗加工；自动根据机床主轴、刀柄，无干涉时进行三轴加工，若三轴干涉时自动转化成5轴联动，进行混合式的等高粗加工。目的即让短刀具进行深腔粗加工，又提高加工效率；</w:t>
            </w:r>
          </w:p>
        </w:tc>
        <w:tc>
          <w:tcPr>
            <w:tcW w:w="404" w:type="pct"/>
            <w:gridSpan w:val="2"/>
            <w:vMerge w:val="continue"/>
            <w:shd w:val="clear" w:color="auto" w:fill="auto"/>
            <w:vAlign w:val="center"/>
          </w:tcPr>
          <w:p w14:paraId="46967CE8">
            <w:pPr>
              <w:rPr>
                <w:color w:val="auto"/>
                <w:sz w:val="18"/>
                <w:szCs w:val="8"/>
                <w:highlight w:val="none"/>
              </w:rPr>
            </w:pPr>
          </w:p>
        </w:tc>
      </w:tr>
      <w:tr w14:paraId="1FF8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078CCD3">
            <w:pPr>
              <w:rPr>
                <w:color w:val="auto"/>
                <w:sz w:val="18"/>
                <w:szCs w:val="8"/>
                <w:highlight w:val="none"/>
              </w:rPr>
            </w:pPr>
          </w:p>
        </w:tc>
        <w:tc>
          <w:tcPr>
            <w:tcW w:w="427" w:type="pct"/>
            <w:vMerge w:val="continue"/>
            <w:shd w:val="clear" w:color="auto" w:fill="auto"/>
            <w:vAlign w:val="center"/>
          </w:tcPr>
          <w:p w14:paraId="7DF39DD9">
            <w:pPr>
              <w:rPr>
                <w:color w:val="auto"/>
                <w:sz w:val="18"/>
                <w:szCs w:val="8"/>
                <w:highlight w:val="none"/>
              </w:rPr>
            </w:pPr>
          </w:p>
        </w:tc>
        <w:tc>
          <w:tcPr>
            <w:tcW w:w="460" w:type="pct"/>
            <w:vMerge w:val="continue"/>
            <w:shd w:val="clear" w:color="auto" w:fill="auto"/>
            <w:vAlign w:val="center"/>
          </w:tcPr>
          <w:p w14:paraId="1C05ED5B">
            <w:pPr>
              <w:rPr>
                <w:color w:val="auto"/>
                <w:sz w:val="18"/>
                <w:szCs w:val="8"/>
                <w:highlight w:val="none"/>
              </w:rPr>
            </w:pPr>
          </w:p>
        </w:tc>
        <w:tc>
          <w:tcPr>
            <w:tcW w:w="3541" w:type="pct"/>
            <w:gridSpan w:val="4"/>
            <w:shd w:val="clear" w:color="auto" w:fill="auto"/>
          </w:tcPr>
          <w:p w14:paraId="5357559D">
            <w:pPr>
              <w:rPr>
                <w:color w:val="auto"/>
                <w:sz w:val="18"/>
                <w:szCs w:val="8"/>
                <w:highlight w:val="none"/>
              </w:rPr>
            </w:pPr>
            <w:r>
              <w:rPr>
                <w:rFonts w:hint="eastAsia"/>
                <w:color w:val="auto"/>
                <w:sz w:val="18"/>
                <w:szCs w:val="8"/>
                <w:highlight w:val="none"/>
              </w:rPr>
              <w:t>4.7、▲ 五轴刀柄干涉避让：5轴联动中即使角度参数设定不适合，需要软件在计算过程中软件进行自动调整角度进行安全避让，无需人为调整；（提供相关功能截图，并加盖投标人公章）</w:t>
            </w:r>
          </w:p>
        </w:tc>
        <w:tc>
          <w:tcPr>
            <w:tcW w:w="404" w:type="pct"/>
            <w:gridSpan w:val="2"/>
            <w:vMerge w:val="continue"/>
            <w:shd w:val="clear" w:color="auto" w:fill="auto"/>
            <w:vAlign w:val="center"/>
          </w:tcPr>
          <w:p w14:paraId="2CA31456">
            <w:pPr>
              <w:rPr>
                <w:color w:val="auto"/>
                <w:sz w:val="18"/>
                <w:szCs w:val="8"/>
                <w:highlight w:val="none"/>
              </w:rPr>
            </w:pPr>
          </w:p>
        </w:tc>
      </w:tr>
      <w:tr w14:paraId="6BEB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69B0211">
            <w:pPr>
              <w:rPr>
                <w:color w:val="auto"/>
                <w:sz w:val="18"/>
                <w:szCs w:val="8"/>
                <w:highlight w:val="none"/>
              </w:rPr>
            </w:pPr>
          </w:p>
        </w:tc>
        <w:tc>
          <w:tcPr>
            <w:tcW w:w="427" w:type="pct"/>
            <w:vMerge w:val="continue"/>
            <w:shd w:val="clear" w:color="auto" w:fill="auto"/>
            <w:vAlign w:val="center"/>
          </w:tcPr>
          <w:p w14:paraId="62C0D5CD">
            <w:pPr>
              <w:rPr>
                <w:color w:val="auto"/>
                <w:sz w:val="18"/>
                <w:szCs w:val="8"/>
                <w:highlight w:val="none"/>
              </w:rPr>
            </w:pPr>
          </w:p>
        </w:tc>
        <w:tc>
          <w:tcPr>
            <w:tcW w:w="460" w:type="pct"/>
            <w:vMerge w:val="continue"/>
            <w:shd w:val="clear" w:color="auto" w:fill="auto"/>
            <w:vAlign w:val="center"/>
          </w:tcPr>
          <w:p w14:paraId="2BFF6B84">
            <w:pPr>
              <w:rPr>
                <w:color w:val="auto"/>
                <w:sz w:val="18"/>
                <w:szCs w:val="8"/>
                <w:highlight w:val="none"/>
              </w:rPr>
            </w:pPr>
          </w:p>
        </w:tc>
        <w:tc>
          <w:tcPr>
            <w:tcW w:w="3541" w:type="pct"/>
            <w:gridSpan w:val="4"/>
            <w:shd w:val="clear" w:color="auto" w:fill="auto"/>
          </w:tcPr>
          <w:p w14:paraId="1F46951E">
            <w:pPr>
              <w:rPr>
                <w:color w:val="auto"/>
                <w:sz w:val="18"/>
                <w:szCs w:val="8"/>
                <w:highlight w:val="none"/>
              </w:rPr>
            </w:pPr>
            <w:r>
              <w:rPr>
                <w:rFonts w:hint="eastAsia"/>
                <w:color w:val="auto"/>
                <w:sz w:val="18"/>
                <w:szCs w:val="8"/>
                <w:highlight w:val="none"/>
              </w:rPr>
              <w:t>4.8、五轴摆角自动光顺：需要软件在角度调整时具有预知能力，提前进行角度旋转，从而让旋转轴运动更平滑稳定，直线轴运动和旋转轴运动配合更融洽；</w:t>
            </w:r>
          </w:p>
        </w:tc>
        <w:tc>
          <w:tcPr>
            <w:tcW w:w="404" w:type="pct"/>
            <w:gridSpan w:val="2"/>
            <w:vMerge w:val="continue"/>
            <w:shd w:val="clear" w:color="auto" w:fill="auto"/>
            <w:vAlign w:val="center"/>
          </w:tcPr>
          <w:p w14:paraId="23E1F9CA">
            <w:pPr>
              <w:rPr>
                <w:color w:val="auto"/>
                <w:sz w:val="18"/>
                <w:szCs w:val="8"/>
                <w:highlight w:val="none"/>
              </w:rPr>
            </w:pPr>
          </w:p>
        </w:tc>
      </w:tr>
      <w:tr w14:paraId="5C62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0B04876">
            <w:pPr>
              <w:rPr>
                <w:color w:val="auto"/>
                <w:sz w:val="18"/>
                <w:szCs w:val="8"/>
                <w:highlight w:val="none"/>
              </w:rPr>
            </w:pPr>
          </w:p>
        </w:tc>
        <w:tc>
          <w:tcPr>
            <w:tcW w:w="427" w:type="pct"/>
            <w:vMerge w:val="continue"/>
            <w:shd w:val="clear" w:color="auto" w:fill="auto"/>
            <w:vAlign w:val="center"/>
          </w:tcPr>
          <w:p w14:paraId="5F2F3F14">
            <w:pPr>
              <w:rPr>
                <w:color w:val="auto"/>
                <w:sz w:val="18"/>
                <w:szCs w:val="8"/>
                <w:highlight w:val="none"/>
              </w:rPr>
            </w:pPr>
          </w:p>
        </w:tc>
        <w:tc>
          <w:tcPr>
            <w:tcW w:w="460" w:type="pct"/>
            <w:vMerge w:val="continue"/>
            <w:shd w:val="clear" w:color="auto" w:fill="auto"/>
            <w:vAlign w:val="center"/>
          </w:tcPr>
          <w:p w14:paraId="6E3249AF">
            <w:pPr>
              <w:rPr>
                <w:color w:val="auto"/>
                <w:sz w:val="18"/>
                <w:szCs w:val="8"/>
                <w:highlight w:val="none"/>
              </w:rPr>
            </w:pPr>
          </w:p>
        </w:tc>
        <w:tc>
          <w:tcPr>
            <w:tcW w:w="3541" w:type="pct"/>
            <w:gridSpan w:val="4"/>
            <w:shd w:val="clear" w:color="auto" w:fill="auto"/>
          </w:tcPr>
          <w:p w14:paraId="25B3EC86">
            <w:pPr>
              <w:rPr>
                <w:color w:val="auto"/>
                <w:sz w:val="18"/>
                <w:szCs w:val="8"/>
                <w:highlight w:val="none"/>
              </w:rPr>
            </w:pPr>
            <w:r>
              <w:rPr>
                <w:rFonts w:hint="eastAsia"/>
                <w:color w:val="auto"/>
                <w:sz w:val="18"/>
                <w:szCs w:val="8"/>
                <w:highlight w:val="none"/>
              </w:rPr>
              <w:t>4.9、五轴联动单曲面加工：能够自动分区域，如三轴刀路一样规整；刀轴基于曲面法线，可定义前倾角度；也可固定于某一坐标轴，从而进行4+1轴运动；</w:t>
            </w:r>
          </w:p>
        </w:tc>
        <w:tc>
          <w:tcPr>
            <w:tcW w:w="404" w:type="pct"/>
            <w:gridSpan w:val="2"/>
            <w:vMerge w:val="continue"/>
            <w:shd w:val="clear" w:color="auto" w:fill="auto"/>
            <w:vAlign w:val="center"/>
          </w:tcPr>
          <w:p w14:paraId="456BA619">
            <w:pPr>
              <w:rPr>
                <w:color w:val="auto"/>
                <w:sz w:val="18"/>
                <w:szCs w:val="8"/>
                <w:highlight w:val="none"/>
              </w:rPr>
            </w:pPr>
          </w:p>
        </w:tc>
      </w:tr>
      <w:tr w14:paraId="43E9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03260DE">
            <w:pPr>
              <w:rPr>
                <w:color w:val="auto"/>
                <w:sz w:val="18"/>
                <w:szCs w:val="8"/>
                <w:highlight w:val="none"/>
              </w:rPr>
            </w:pPr>
          </w:p>
        </w:tc>
        <w:tc>
          <w:tcPr>
            <w:tcW w:w="427" w:type="pct"/>
            <w:vMerge w:val="continue"/>
            <w:shd w:val="clear" w:color="auto" w:fill="auto"/>
            <w:vAlign w:val="center"/>
          </w:tcPr>
          <w:p w14:paraId="0D0482D4">
            <w:pPr>
              <w:rPr>
                <w:color w:val="auto"/>
                <w:sz w:val="18"/>
                <w:szCs w:val="8"/>
                <w:highlight w:val="none"/>
              </w:rPr>
            </w:pPr>
          </w:p>
        </w:tc>
        <w:tc>
          <w:tcPr>
            <w:tcW w:w="460" w:type="pct"/>
            <w:vMerge w:val="continue"/>
            <w:shd w:val="clear" w:color="auto" w:fill="auto"/>
            <w:vAlign w:val="center"/>
          </w:tcPr>
          <w:p w14:paraId="145449BD">
            <w:pPr>
              <w:rPr>
                <w:color w:val="auto"/>
                <w:sz w:val="18"/>
                <w:szCs w:val="8"/>
                <w:highlight w:val="none"/>
              </w:rPr>
            </w:pPr>
          </w:p>
        </w:tc>
        <w:tc>
          <w:tcPr>
            <w:tcW w:w="3541" w:type="pct"/>
            <w:gridSpan w:val="4"/>
            <w:shd w:val="clear" w:color="auto" w:fill="auto"/>
          </w:tcPr>
          <w:p w14:paraId="2387081E">
            <w:pPr>
              <w:rPr>
                <w:color w:val="auto"/>
                <w:sz w:val="18"/>
                <w:szCs w:val="8"/>
                <w:highlight w:val="none"/>
              </w:rPr>
            </w:pPr>
            <w:r>
              <w:rPr>
                <w:rFonts w:hint="eastAsia"/>
                <w:color w:val="auto"/>
                <w:sz w:val="18"/>
                <w:szCs w:val="8"/>
                <w:highlight w:val="none"/>
              </w:rPr>
              <w:t>4.10、五轴联动多曲面精加工：可流线，平行，环绕，螺旋，两曲线驱动等多种加工方式的5轴联动加工；</w:t>
            </w:r>
          </w:p>
        </w:tc>
        <w:tc>
          <w:tcPr>
            <w:tcW w:w="404" w:type="pct"/>
            <w:gridSpan w:val="2"/>
            <w:vMerge w:val="continue"/>
            <w:shd w:val="clear" w:color="auto" w:fill="auto"/>
            <w:vAlign w:val="center"/>
          </w:tcPr>
          <w:p w14:paraId="11354AB8">
            <w:pPr>
              <w:rPr>
                <w:color w:val="auto"/>
                <w:sz w:val="18"/>
                <w:szCs w:val="8"/>
                <w:highlight w:val="none"/>
              </w:rPr>
            </w:pPr>
          </w:p>
        </w:tc>
      </w:tr>
      <w:tr w14:paraId="5BF0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C1D0B14">
            <w:pPr>
              <w:rPr>
                <w:color w:val="auto"/>
                <w:sz w:val="18"/>
                <w:szCs w:val="8"/>
                <w:highlight w:val="none"/>
              </w:rPr>
            </w:pPr>
          </w:p>
        </w:tc>
        <w:tc>
          <w:tcPr>
            <w:tcW w:w="427" w:type="pct"/>
            <w:vMerge w:val="continue"/>
            <w:shd w:val="clear" w:color="auto" w:fill="auto"/>
            <w:vAlign w:val="center"/>
          </w:tcPr>
          <w:p w14:paraId="308F4B3B">
            <w:pPr>
              <w:rPr>
                <w:color w:val="auto"/>
                <w:sz w:val="18"/>
                <w:szCs w:val="8"/>
                <w:highlight w:val="none"/>
              </w:rPr>
            </w:pPr>
          </w:p>
        </w:tc>
        <w:tc>
          <w:tcPr>
            <w:tcW w:w="460" w:type="pct"/>
            <w:vMerge w:val="continue"/>
            <w:shd w:val="clear" w:color="auto" w:fill="auto"/>
            <w:vAlign w:val="center"/>
          </w:tcPr>
          <w:p w14:paraId="207C9EBA">
            <w:pPr>
              <w:rPr>
                <w:color w:val="auto"/>
                <w:sz w:val="18"/>
                <w:szCs w:val="8"/>
                <w:highlight w:val="none"/>
              </w:rPr>
            </w:pPr>
          </w:p>
        </w:tc>
        <w:tc>
          <w:tcPr>
            <w:tcW w:w="3541" w:type="pct"/>
            <w:gridSpan w:val="4"/>
            <w:shd w:val="clear" w:color="auto" w:fill="auto"/>
          </w:tcPr>
          <w:p w14:paraId="73803890">
            <w:pPr>
              <w:rPr>
                <w:color w:val="auto"/>
                <w:sz w:val="18"/>
                <w:szCs w:val="8"/>
                <w:highlight w:val="none"/>
              </w:rPr>
            </w:pPr>
            <w:r>
              <w:rPr>
                <w:rFonts w:hint="eastAsia"/>
                <w:color w:val="auto"/>
                <w:sz w:val="18"/>
                <w:szCs w:val="8"/>
                <w:highlight w:val="none"/>
              </w:rPr>
              <w:t>4.11、▲ 五轴外形偏置粗加工：只需选取底面，就可以对整个模型进行5轴联动粗加工，刀路可以环绕的方式，同时可进行摆线式的5轴联动开粗；</w:t>
            </w:r>
          </w:p>
        </w:tc>
        <w:tc>
          <w:tcPr>
            <w:tcW w:w="404" w:type="pct"/>
            <w:gridSpan w:val="2"/>
            <w:vMerge w:val="continue"/>
            <w:shd w:val="clear" w:color="auto" w:fill="auto"/>
            <w:vAlign w:val="center"/>
          </w:tcPr>
          <w:p w14:paraId="10AA1847">
            <w:pPr>
              <w:rPr>
                <w:color w:val="auto"/>
                <w:sz w:val="18"/>
                <w:szCs w:val="8"/>
                <w:highlight w:val="none"/>
              </w:rPr>
            </w:pPr>
          </w:p>
        </w:tc>
      </w:tr>
      <w:tr w14:paraId="2ABA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A71F0FE">
            <w:pPr>
              <w:rPr>
                <w:color w:val="auto"/>
                <w:sz w:val="18"/>
                <w:szCs w:val="8"/>
                <w:highlight w:val="none"/>
              </w:rPr>
            </w:pPr>
          </w:p>
        </w:tc>
        <w:tc>
          <w:tcPr>
            <w:tcW w:w="427" w:type="pct"/>
            <w:vMerge w:val="continue"/>
            <w:shd w:val="clear" w:color="auto" w:fill="auto"/>
            <w:vAlign w:val="center"/>
          </w:tcPr>
          <w:p w14:paraId="5771DFE2">
            <w:pPr>
              <w:rPr>
                <w:color w:val="auto"/>
                <w:sz w:val="18"/>
                <w:szCs w:val="8"/>
                <w:highlight w:val="none"/>
              </w:rPr>
            </w:pPr>
          </w:p>
        </w:tc>
        <w:tc>
          <w:tcPr>
            <w:tcW w:w="460" w:type="pct"/>
            <w:vMerge w:val="continue"/>
            <w:shd w:val="clear" w:color="auto" w:fill="auto"/>
            <w:vAlign w:val="center"/>
          </w:tcPr>
          <w:p w14:paraId="7282F168">
            <w:pPr>
              <w:rPr>
                <w:color w:val="auto"/>
                <w:sz w:val="18"/>
                <w:szCs w:val="8"/>
                <w:highlight w:val="none"/>
              </w:rPr>
            </w:pPr>
          </w:p>
        </w:tc>
        <w:tc>
          <w:tcPr>
            <w:tcW w:w="3541" w:type="pct"/>
            <w:gridSpan w:val="4"/>
            <w:shd w:val="clear" w:color="auto" w:fill="auto"/>
          </w:tcPr>
          <w:p w14:paraId="0CF9391F">
            <w:pPr>
              <w:rPr>
                <w:color w:val="auto"/>
                <w:sz w:val="18"/>
                <w:szCs w:val="8"/>
                <w:highlight w:val="none"/>
              </w:rPr>
            </w:pPr>
            <w:r>
              <w:rPr>
                <w:rFonts w:hint="eastAsia"/>
                <w:color w:val="auto"/>
                <w:sz w:val="18"/>
                <w:szCs w:val="8"/>
                <w:highlight w:val="none"/>
              </w:rPr>
              <w:t>4.12、▲ 五轴外形偏置精加工：只需选取底面，就可以对侧壁或底面进行精加工，也可以进行5轴联动的清角加工；</w:t>
            </w:r>
          </w:p>
        </w:tc>
        <w:tc>
          <w:tcPr>
            <w:tcW w:w="404" w:type="pct"/>
            <w:gridSpan w:val="2"/>
            <w:vMerge w:val="continue"/>
            <w:shd w:val="clear" w:color="auto" w:fill="auto"/>
            <w:vAlign w:val="center"/>
          </w:tcPr>
          <w:p w14:paraId="487537FF">
            <w:pPr>
              <w:rPr>
                <w:color w:val="auto"/>
                <w:sz w:val="18"/>
                <w:szCs w:val="8"/>
                <w:highlight w:val="none"/>
              </w:rPr>
            </w:pPr>
          </w:p>
        </w:tc>
      </w:tr>
      <w:tr w14:paraId="54E6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22C0E40">
            <w:pPr>
              <w:rPr>
                <w:color w:val="auto"/>
                <w:sz w:val="18"/>
                <w:szCs w:val="8"/>
                <w:highlight w:val="none"/>
              </w:rPr>
            </w:pPr>
          </w:p>
        </w:tc>
        <w:tc>
          <w:tcPr>
            <w:tcW w:w="427" w:type="pct"/>
            <w:vMerge w:val="continue"/>
            <w:shd w:val="clear" w:color="auto" w:fill="auto"/>
            <w:vAlign w:val="center"/>
          </w:tcPr>
          <w:p w14:paraId="7D028965">
            <w:pPr>
              <w:rPr>
                <w:color w:val="auto"/>
                <w:sz w:val="18"/>
                <w:szCs w:val="8"/>
                <w:highlight w:val="none"/>
              </w:rPr>
            </w:pPr>
          </w:p>
        </w:tc>
        <w:tc>
          <w:tcPr>
            <w:tcW w:w="460" w:type="pct"/>
            <w:vMerge w:val="continue"/>
            <w:shd w:val="clear" w:color="auto" w:fill="auto"/>
            <w:vAlign w:val="center"/>
          </w:tcPr>
          <w:p w14:paraId="18357248">
            <w:pPr>
              <w:rPr>
                <w:color w:val="auto"/>
                <w:sz w:val="18"/>
                <w:szCs w:val="8"/>
                <w:highlight w:val="none"/>
              </w:rPr>
            </w:pPr>
          </w:p>
        </w:tc>
        <w:tc>
          <w:tcPr>
            <w:tcW w:w="3541" w:type="pct"/>
            <w:gridSpan w:val="4"/>
            <w:shd w:val="clear" w:color="auto" w:fill="auto"/>
          </w:tcPr>
          <w:p w14:paraId="51067F72">
            <w:pPr>
              <w:rPr>
                <w:color w:val="auto"/>
                <w:sz w:val="18"/>
                <w:szCs w:val="8"/>
                <w:highlight w:val="none"/>
              </w:rPr>
            </w:pPr>
            <w:r>
              <w:rPr>
                <w:rFonts w:hint="eastAsia"/>
                <w:color w:val="auto"/>
                <w:sz w:val="18"/>
                <w:szCs w:val="8"/>
                <w:highlight w:val="none"/>
              </w:rPr>
              <w:t>4.13、五轴投影精加工：以五轴联动的方式对复杂曲面进行精加工，刀路可以平行方式、环绕方式、两条曲线的流线方式、两条曲线的直纹方式等；</w:t>
            </w:r>
          </w:p>
        </w:tc>
        <w:tc>
          <w:tcPr>
            <w:tcW w:w="404" w:type="pct"/>
            <w:gridSpan w:val="2"/>
            <w:vMerge w:val="continue"/>
            <w:shd w:val="clear" w:color="auto" w:fill="auto"/>
            <w:vAlign w:val="center"/>
          </w:tcPr>
          <w:p w14:paraId="549FAC73">
            <w:pPr>
              <w:rPr>
                <w:color w:val="auto"/>
                <w:sz w:val="18"/>
                <w:szCs w:val="8"/>
                <w:highlight w:val="none"/>
              </w:rPr>
            </w:pPr>
          </w:p>
        </w:tc>
      </w:tr>
      <w:tr w14:paraId="48D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BAD7071">
            <w:pPr>
              <w:rPr>
                <w:color w:val="auto"/>
                <w:sz w:val="18"/>
                <w:szCs w:val="8"/>
                <w:highlight w:val="none"/>
              </w:rPr>
            </w:pPr>
          </w:p>
        </w:tc>
        <w:tc>
          <w:tcPr>
            <w:tcW w:w="427" w:type="pct"/>
            <w:vMerge w:val="continue"/>
            <w:shd w:val="clear" w:color="auto" w:fill="auto"/>
            <w:vAlign w:val="center"/>
          </w:tcPr>
          <w:p w14:paraId="64DCC8A5">
            <w:pPr>
              <w:rPr>
                <w:color w:val="auto"/>
                <w:sz w:val="18"/>
                <w:szCs w:val="8"/>
                <w:highlight w:val="none"/>
              </w:rPr>
            </w:pPr>
          </w:p>
        </w:tc>
        <w:tc>
          <w:tcPr>
            <w:tcW w:w="460" w:type="pct"/>
            <w:vMerge w:val="continue"/>
            <w:shd w:val="clear" w:color="auto" w:fill="auto"/>
            <w:vAlign w:val="center"/>
          </w:tcPr>
          <w:p w14:paraId="4AC81EEF">
            <w:pPr>
              <w:rPr>
                <w:color w:val="auto"/>
                <w:sz w:val="18"/>
                <w:szCs w:val="8"/>
                <w:highlight w:val="none"/>
              </w:rPr>
            </w:pPr>
          </w:p>
        </w:tc>
        <w:tc>
          <w:tcPr>
            <w:tcW w:w="3541" w:type="pct"/>
            <w:gridSpan w:val="4"/>
            <w:shd w:val="clear" w:color="auto" w:fill="auto"/>
          </w:tcPr>
          <w:p w14:paraId="48E41A8E">
            <w:pPr>
              <w:rPr>
                <w:color w:val="auto"/>
                <w:sz w:val="18"/>
                <w:szCs w:val="8"/>
                <w:highlight w:val="none"/>
              </w:rPr>
            </w:pPr>
            <w:r>
              <w:rPr>
                <w:rFonts w:hint="eastAsia"/>
                <w:color w:val="auto"/>
                <w:sz w:val="18"/>
                <w:szCs w:val="8"/>
                <w:highlight w:val="none"/>
              </w:rPr>
              <w:t>4.14、五轴3维等步距精加工：以五轴联动的方式对复杂曲面进行精加工，刀路轨迹是在曲面上以三维等步距分布；</w:t>
            </w:r>
          </w:p>
        </w:tc>
        <w:tc>
          <w:tcPr>
            <w:tcW w:w="404" w:type="pct"/>
            <w:gridSpan w:val="2"/>
            <w:vMerge w:val="continue"/>
            <w:shd w:val="clear" w:color="auto" w:fill="auto"/>
            <w:vAlign w:val="center"/>
          </w:tcPr>
          <w:p w14:paraId="5FF5DC33">
            <w:pPr>
              <w:rPr>
                <w:color w:val="auto"/>
                <w:sz w:val="18"/>
                <w:szCs w:val="8"/>
                <w:highlight w:val="none"/>
              </w:rPr>
            </w:pPr>
          </w:p>
        </w:tc>
      </w:tr>
      <w:tr w14:paraId="4710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608D132">
            <w:pPr>
              <w:rPr>
                <w:color w:val="auto"/>
                <w:sz w:val="18"/>
                <w:szCs w:val="8"/>
                <w:highlight w:val="none"/>
              </w:rPr>
            </w:pPr>
          </w:p>
        </w:tc>
        <w:tc>
          <w:tcPr>
            <w:tcW w:w="427" w:type="pct"/>
            <w:vMerge w:val="continue"/>
            <w:shd w:val="clear" w:color="auto" w:fill="auto"/>
            <w:vAlign w:val="center"/>
          </w:tcPr>
          <w:p w14:paraId="4A1D76C8">
            <w:pPr>
              <w:rPr>
                <w:color w:val="auto"/>
                <w:sz w:val="18"/>
                <w:szCs w:val="8"/>
                <w:highlight w:val="none"/>
              </w:rPr>
            </w:pPr>
          </w:p>
        </w:tc>
        <w:tc>
          <w:tcPr>
            <w:tcW w:w="460" w:type="pct"/>
            <w:vMerge w:val="continue"/>
            <w:shd w:val="clear" w:color="auto" w:fill="auto"/>
            <w:vAlign w:val="center"/>
          </w:tcPr>
          <w:p w14:paraId="56C89ACF">
            <w:pPr>
              <w:rPr>
                <w:color w:val="auto"/>
                <w:sz w:val="18"/>
                <w:szCs w:val="8"/>
                <w:highlight w:val="none"/>
              </w:rPr>
            </w:pPr>
          </w:p>
        </w:tc>
        <w:tc>
          <w:tcPr>
            <w:tcW w:w="3541" w:type="pct"/>
            <w:gridSpan w:val="4"/>
            <w:shd w:val="clear" w:color="auto" w:fill="auto"/>
          </w:tcPr>
          <w:p w14:paraId="351F809C">
            <w:pPr>
              <w:rPr>
                <w:color w:val="auto"/>
                <w:sz w:val="18"/>
                <w:szCs w:val="8"/>
                <w:highlight w:val="none"/>
              </w:rPr>
            </w:pPr>
            <w:r>
              <w:rPr>
                <w:rFonts w:hint="eastAsia"/>
                <w:color w:val="auto"/>
                <w:sz w:val="18"/>
                <w:szCs w:val="8"/>
                <w:highlight w:val="none"/>
              </w:rPr>
              <w:t>4.15、5轴顶刃加工，顶刃铣削采用大步距切宽从而减少切削时间。凹面的刀具矢量自动调节功能确保加工出高质量的曲面。加工不仅仅局限于单一曲面。此外，这个策略具备可以用于多重进给和毛坯侦测功能，因此也可用于高效的5 轴粗加工。</w:t>
            </w:r>
          </w:p>
        </w:tc>
        <w:tc>
          <w:tcPr>
            <w:tcW w:w="404" w:type="pct"/>
            <w:gridSpan w:val="2"/>
            <w:vMerge w:val="continue"/>
            <w:shd w:val="clear" w:color="auto" w:fill="auto"/>
            <w:vAlign w:val="center"/>
          </w:tcPr>
          <w:p w14:paraId="3E50F12E">
            <w:pPr>
              <w:rPr>
                <w:color w:val="auto"/>
                <w:sz w:val="18"/>
                <w:szCs w:val="8"/>
                <w:highlight w:val="none"/>
              </w:rPr>
            </w:pPr>
          </w:p>
        </w:tc>
      </w:tr>
      <w:tr w14:paraId="3BD3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DCA96AE">
            <w:pPr>
              <w:rPr>
                <w:color w:val="auto"/>
                <w:sz w:val="18"/>
                <w:szCs w:val="8"/>
                <w:highlight w:val="none"/>
              </w:rPr>
            </w:pPr>
          </w:p>
        </w:tc>
        <w:tc>
          <w:tcPr>
            <w:tcW w:w="427" w:type="pct"/>
            <w:vMerge w:val="continue"/>
            <w:shd w:val="clear" w:color="auto" w:fill="auto"/>
            <w:vAlign w:val="center"/>
          </w:tcPr>
          <w:p w14:paraId="28BC6763">
            <w:pPr>
              <w:rPr>
                <w:color w:val="auto"/>
                <w:sz w:val="18"/>
                <w:szCs w:val="8"/>
                <w:highlight w:val="none"/>
              </w:rPr>
            </w:pPr>
          </w:p>
        </w:tc>
        <w:tc>
          <w:tcPr>
            <w:tcW w:w="460" w:type="pct"/>
            <w:vMerge w:val="continue"/>
            <w:shd w:val="clear" w:color="auto" w:fill="auto"/>
            <w:vAlign w:val="center"/>
          </w:tcPr>
          <w:p w14:paraId="518277D8">
            <w:pPr>
              <w:rPr>
                <w:color w:val="auto"/>
                <w:sz w:val="18"/>
                <w:szCs w:val="8"/>
                <w:highlight w:val="none"/>
              </w:rPr>
            </w:pPr>
          </w:p>
        </w:tc>
        <w:tc>
          <w:tcPr>
            <w:tcW w:w="3541" w:type="pct"/>
            <w:gridSpan w:val="4"/>
            <w:shd w:val="clear" w:color="auto" w:fill="auto"/>
          </w:tcPr>
          <w:p w14:paraId="6922C0A7">
            <w:pPr>
              <w:rPr>
                <w:color w:val="auto"/>
                <w:sz w:val="18"/>
                <w:szCs w:val="8"/>
                <w:highlight w:val="none"/>
              </w:rPr>
            </w:pPr>
            <w:r>
              <w:rPr>
                <w:rFonts w:hint="eastAsia"/>
                <w:color w:val="auto"/>
                <w:sz w:val="18"/>
                <w:szCs w:val="8"/>
                <w:highlight w:val="none"/>
              </w:rPr>
              <w:t>4.16、5轴钻孔，5 轴钻孔功能用于在一个操作中对不同倾斜度的工件进行简单和自动化的钻孔操作编程。此功能自动计算工件的倾斜度以及关联所有最佳钻孔操作刀具路径参考点。在特定的钻孔加工中，相对高度可以非常接近零件。采用不同倾摆角度加工不同的孔时，可以定义额外的退刀位置点来缩短刀具路径长度。钻孔之间的移动和各个加工矢量角度之间的动作均自动检测避免碰撞模型。一旦侦测到碰撞，这个加工策略就会自动将刀具置于不会产生碰撞的平面。</w:t>
            </w:r>
          </w:p>
        </w:tc>
        <w:tc>
          <w:tcPr>
            <w:tcW w:w="404" w:type="pct"/>
            <w:gridSpan w:val="2"/>
            <w:vMerge w:val="continue"/>
            <w:shd w:val="clear" w:color="auto" w:fill="auto"/>
            <w:vAlign w:val="center"/>
          </w:tcPr>
          <w:p w14:paraId="5E8D7286">
            <w:pPr>
              <w:rPr>
                <w:color w:val="auto"/>
                <w:sz w:val="18"/>
                <w:szCs w:val="8"/>
                <w:highlight w:val="none"/>
              </w:rPr>
            </w:pPr>
          </w:p>
        </w:tc>
      </w:tr>
      <w:tr w14:paraId="2A1E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4B4950E">
            <w:pPr>
              <w:rPr>
                <w:color w:val="auto"/>
                <w:sz w:val="18"/>
                <w:szCs w:val="8"/>
                <w:highlight w:val="none"/>
              </w:rPr>
            </w:pPr>
          </w:p>
        </w:tc>
        <w:tc>
          <w:tcPr>
            <w:tcW w:w="427" w:type="pct"/>
            <w:vMerge w:val="continue"/>
            <w:shd w:val="clear" w:color="auto" w:fill="auto"/>
            <w:vAlign w:val="center"/>
          </w:tcPr>
          <w:p w14:paraId="3EA09D46">
            <w:pPr>
              <w:rPr>
                <w:color w:val="auto"/>
                <w:sz w:val="18"/>
                <w:szCs w:val="8"/>
                <w:highlight w:val="none"/>
              </w:rPr>
            </w:pPr>
          </w:p>
        </w:tc>
        <w:tc>
          <w:tcPr>
            <w:tcW w:w="460" w:type="pct"/>
            <w:vMerge w:val="continue"/>
            <w:shd w:val="clear" w:color="auto" w:fill="auto"/>
            <w:vAlign w:val="center"/>
          </w:tcPr>
          <w:p w14:paraId="661F7484">
            <w:pPr>
              <w:rPr>
                <w:color w:val="auto"/>
                <w:sz w:val="18"/>
                <w:szCs w:val="8"/>
                <w:highlight w:val="none"/>
              </w:rPr>
            </w:pPr>
          </w:p>
        </w:tc>
        <w:tc>
          <w:tcPr>
            <w:tcW w:w="3541" w:type="pct"/>
            <w:gridSpan w:val="4"/>
            <w:shd w:val="clear" w:color="auto" w:fill="auto"/>
          </w:tcPr>
          <w:p w14:paraId="02E5A7EE">
            <w:pPr>
              <w:rPr>
                <w:color w:val="auto"/>
                <w:sz w:val="18"/>
                <w:szCs w:val="8"/>
                <w:highlight w:val="none"/>
              </w:rPr>
            </w:pPr>
            <w:r>
              <w:rPr>
                <w:rFonts w:hint="eastAsia"/>
                <w:color w:val="auto"/>
                <w:sz w:val="18"/>
                <w:szCs w:val="8"/>
                <w:highlight w:val="none"/>
              </w:rPr>
              <w:t>4.17、5 轴自由路径加工确保采用短刀具进行刻字加工成为现实，即使是陡峭区域。</w:t>
            </w:r>
          </w:p>
        </w:tc>
        <w:tc>
          <w:tcPr>
            <w:tcW w:w="404" w:type="pct"/>
            <w:gridSpan w:val="2"/>
            <w:vMerge w:val="continue"/>
            <w:shd w:val="clear" w:color="auto" w:fill="auto"/>
            <w:vAlign w:val="center"/>
          </w:tcPr>
          <w:p w14:paraId="75B6FDA4">
            <w:pPr>
              <w:rPr>
                <w:color w:val="auto"/>
                <w:sz w:val="18"/>
                <w:szCs w:val="8"/>
                <w:highlight w:val="none"/>
              </w:rPr>
            </w:pPr>
          </w:p>
        </w:tc>
      </w:tr>
      <w:tr w14:paraId="59F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556EEB2">
            <w:pPr>
              <w:rPr>
                <w:color w:val="auto"/>
                <w:sz w:val="18"/>
                <w:szCs w:val="8"/>
                <w:highlight w:val="none"/>
              </w:rPr>
            </w:pPr>
          </w:p>
        </w:tc>
        <w:tc>
          <w:tcPr>
            <w:tcW w:w="427" w:type="pct"/>
            <w:vMerge w:val="continue"/>
            <w:shd w:val="clear" w:color="auto" w:fill="auto"/>
            <w:vAlign w:val="center"/>
          </w:tcPr>
          <w:p w14:paraId="41BE4712">
            <w:pPr>
              <w:rPr>
                <w:color w:val="auto"/>
                <w:sz w:val="18"/>
                <w:szCs w:val="8"/>
                <w:highlight w:val="none"/>
              </w:rPr>
            </w:pPr>
          </w:p>
        </w:tc>
        <w:tc>
          <w:tcPr>
            <w:tcW w:w="460" w:type="pct"/>
            <w:vMerge w:val="continue"/>
            <w:shd w:val="clear" w:color="auto" w:fill="auto"/>
            <w:vAlign w:val="center"/>
          </w:tcPr>
          <w:p w14:paraId="56EAF0F7">
            <w:pPr>
              <w:rPr>
                <w:color w:val="auto"/>
                <w:sz w:val="18"/>
                <w:szCs w:val="8"/>
                <w:highlight w:val="none"/>
              </w:rPr>
            </w:pPr>
          </w:p>
        </w:tc>
        <w:tc>
          <w:tcPr>
            <w:tcW w:w="3541" w:type="pct"/>
            <w:gridSpan w:val="4"/>
            <w:shd w:val="clear" w:color="auto" w:fill="auto"/>
          </w:tcPr>
          <w:p w14:paraId="76124F0F">
            <w:pPr>
              <w:rPr>
                <w:color w:val="auto"/>
                <w:sz w:val="18"/>
                <w:szCs w:val="8"/>
                <w:highlight w:val="none"/>
              </w:rPr>
            </w:pPr>
            <w:r>
              <w:rPr>
                <w:rFonts w:hint="eastAsia"/>
                <w:color w:val="auto"/>
                <w:sz w:val="18"/>
                <w:szCs w:val="8"/>
                <w:highlight w:val="none"/>
              </w:rPr>
              <w:t>4.18、5 轴切边加工，这个策略可以生成一个快速的反复的切边加工。加工中需要定义一条参考曲线来，在选择了边缘和输入了高度及相对角度之后，刀具路径便可以自动计算生成。</w:t>
            </w:r>
          </w:p>
        </w:tc>
        <w:tc>
          <w:tcPr>
            <w:tcW w:w="404" w:type="pct"/>
            <w:gridSpan w:val="2"/>
            <w:vMerge w:val="continue"/>
            <w:shd w:val="clear" w:color="auto" w:fill="auto"/>
            <w:vAlign w:val="center"/>
          </w:tcPr>
          <w:p w14:paraId="48890AE1">
            <w:pPr>
              <w:rPr>
                <w:color w:val="auto"/>
                <w:sz w:val="18"/>
                <w:szCs w:val="8"/>
                <w:highlight w:val="none"/>
              </w:rPr>
            </w:pPr>
          </w:p>
        </w:tc>
      </w:tr>
      <w:tr w14:paraId="1A51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3AF4262">
            <w:pPr>
              <w:rPr>
                <w:color w:val="auto"/>
                <w:sz w:val="18"/>
                <w:szCs w:val="8"/>
                <w:highlight w:val="none"/>
              </w:rPr>
            </w:pPr>
          </w:p>
        </w:tc>
        <w:tc>
          <w:tcPr>
            <w:tcW w:w="427" w:type="pct"/>
            <w:vMerge w:val="continue"/>
            <w:shd w:val="clear" w:color="auto" w:fill="auto"/>
            <w:vAlign w:val="center"/>
          </w:tcPr>
          <w:p w14:paraId="5D4FAE99">
            <w:pPr>
              <w:rPr>
                <w:color w:val="auto"/>
                <w:sz w:val="18"/>
                <w:szCs w:val="8"/>
                <w:highlight w:val="none"/>
              </w:rPr>
            </w:pPr>
          </w:p>
        </w:tc>
        <w:tc>
          <w:tcPr>
            <w:tcW w:w="460" w:type="pct"/>
            <w:vMerge w:val="continue"/>
            <w:shd w:val="clear" w:color="auto" w:fill="auto"/>
            <w:vAlign w:val="center"/>
          </w:tcPr>
          <w:p w14:paraId="5B7DD86F">
            <w:pPr>
              <w:rPr>
                <w:color w:val="auto"/>
                <w:sz w:val="18"/>
                <w:szCs w:val="8"/>
                <w:highlight w:val="none"/>
              </w:rPr>
            </w:pPr>
          </w:p>
        </w:tc>
        <w:tc>
          <w:tcPr>
            <w:tcW w:w="3541" w:type="pct"/>
            <w:gridSpan w:val="4"/>
            <w:shd w:val="clear" w:color="auto" w:fill="auto"/>
          </w:tcPr>
          <w:p w14:paraId="28E0D9D8">
            <w:pPr>
              <w:rPr>
                <w:color w:val="auto"/>
                <w:sz w:val="18"/>
                <w:szCs w:val="8"/>
                <w:highlight w:val="none"/>
              </w:rPr>
            </w:pPr>
            <w:r>
              <w:rPr>
                <w:rFonts w:hint="eastAsia"/>
                <w:color w:val="auto"/>
                <w:sz w:val="18"/>
                <w:szCs w:val="8"/>
                <w:highlight w:val="none"/>
              </w:rPr>
              <w:t>4.19、▲ 五轴定位加工，可实现高级3+2定位加工，此功能内嵌于5轴投影精加工、5轴再加工中，是5轴策略“5轴”选项卡中的“固定”功能，在完全无人工干预下，软件可以自动将五轴联动刀具路径分解成不同截段，在这些截段无干涉的情况下做五轴自由定位加工；（提供相关功能截图，并加盖投标人公章）</w:t>
            </w:r>
          </w:p>
        </w:tc>
        <w:tc>
          <w:tcPr>
            <w:tcW w:w="404" w:type="pct"/>
            <w:gridSpan w:val="2"/>
            <w:vMerge w:val="continue"/>
            <w:shd w:val="clear" w:color="auto" w:fill="auto"/>
            <w:vAlign w:val="center"/>
          </w:tcPr>
          <w:p w14:paraId="4D80F5A3">
            <w:pPr>
              <w:rPr>
                <w:color w:val="auto"/>
                <w:sz w:val="18"/>
                <w:szCs w:val="8"/>
                <w:highlight w:val="none"/>
              </w:rPr>
            </w:pPr>
          </w:p>
        </w:tc>
      </w:tr>
      <w:tr w14:paraId="1060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BADFA61">
            <w:pPr>
              <w:rPr>
                <w:color w:val="auto"/>
                <w:sz w:val="18"/>
                <w:szCs w:val="8"/>
                <w:highlight w:val="none"/>
              </w:rPr>
            </w:pPr>
          </w:p>
        </w:tc>
        <w:tc>
          <w:tcPr>
            <w:tcW w:w="427" w:type="pct"/>
            <w:vMerge w:val="continue"/>
            <w:shd w:val="clear" w:color="auto" w:fill="auto"/>
            <w:vAlign w:val="center"/>
          </w:tcPr>
          <w:p w14:paraId="0AFA1C4D">
            <w:pPr>
              <w:rPr>
                <w:color w:val="auto"/>
                <w:sz w:val="18"/>
                <w:szCs w:val="8"/>
                <w:highlight w:val="none"/>
              </w:rPr>
            </w:pPr>
          </w:p>
        </w:tc>
        <w:tc>
          <w:tcPr>
            <w:tcW w:w="460" w:type="pct"/>
            <w:vMerge w:val="restart"/>
            <w:shd w:val="clear" w:color="auto" w:fill="auto"/>
            <w:vAlign w:val="center"/>
          </w:tcPr>
          <w:p w14:paraId="4AB85E02">
            <w:pPr>
              <w:rPr>
                <w:color w:val="auto"/>
                <w:sz w:val="18"/>
                <w:szCs w:val="8"/>
                <w:highlight w:val="none"/>
              </w:rPr>
            </w:pPr>
            <w:r>
              <w:rPr>
                <w:rFonts w:hint="eastAsia"/>
                <w:color w:val="auto"/>
                <w:sz w:val="18"/>
                <w:szCs w:val="8"/>
                <w:highlight w:val="none"/>
              </w:rPr>
              <w:t>5. 车铣复合加工模块</w:t>
            </w:r>
          </w:p>
        </w:tc>
        <w:tc>
          <w:tcPr>
            <w:tcW w:w="3541" w:type="pct"/>
            <w:gridSpan w:val="4"/>
            <w:shd w:val="clear" w:color="auto" w:fill="auto"/>
          </w:tcPr>
          <w:p w14:paraId="38B1EF9F">
            <w:pPr>
              <w:rPr>
                <w:color w:val="auto"/>
                <w:sz w:val="18"/>
                <w:szCs w:val="8"/>
                <w:highlight w:val="none"/>
              </w:rPr>
            </w:pPr>
            <w:r>
              <w:rPr>
                <w:rFonts w:hint="eastAsia"/>
                <w:color w:val="auto"/>
                <w:sz w:val="18"/>
                <w:szCs w:val="8"/>
                <w:highlight w:val="none"/>
              </w:rPr>
              <w:t>▲ 5.1完全与五轴加工模组集成，可让用户在一个程序中任意将铣削和车削策略进行组合。集成了粗加工、精加工、开槽、螺纹加工和钻削等车削策略。可进行纵向、平面或轮廓平行粗加工。在精加工期间，各种进刀和退刀宏可实现最优化的加工，同时也会考虑凹陷轮廓。（提供相关功能截图，并加盖投标人公章）</w:t>
            </w:r>
          </w:p>
        </w:tc>
        <w:tc>
          <w:tcPr>
            <w:tcW w:w="404" w:type="pct"/>
            <w:gridSpan w:val="2"/>
            <w:vMerge w:val="continue"/>
            <w:shd w:val="clear" w:color="auto" w:fill="auto"/>
            <w:vAlign w:val="center"/>
          </w:tcPr>
          <w:p w14:paraId="758D05C6">
            <w:pPr>
              <w:rPr>
                <w:color w:val="auto"/>
                <w:sz w:val="18"/>
                <w:szCs w:val="8"/>
                <w:highlight w:val="none"/>
              </w:rPr>
            </w:pPr>
          </w:p>
        </w:tc>
      </w:tr>
      <w:tr w14:paraId="3EF8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8E7A810">
            <w:pPr>
              <w:rPr>
                <w:color w:val="auto"/>
                <w:sz w:val="18"/>
                <w:szCs w:val="8"/>
                <w:highlight w:val="none"/>
              </w:rPr>
            </w:pPr>
          </w:p>
        </w:tc>
        <w:tc>
          <w:tcPr>
            <w:tcW w:w="427" w:type="pct"/>
            <w:vMerge w:val="continue"/>
            <w:shd w:val="clear" w:color="auto" w:fill="auto"/>
            <w:vAlign w:val="center"/>
          </w:tcPr>
          <w:p w14:paraId="5A7E4BD6">
            <w:pPr>
              <w:rPr>
                <w:color w:val="auto"/>
                <w:sz w:val="18"/>
                <w:szCs w:val="8"/>
                <w:highlight w:val="none"/>
              </w:rPr>
            </w:pPr>
          </w:p>
        </w:tc>
        <w:tc>
          <w:tcPr>
            <w:tcW w:w="460" w:type="pct"/>
            <w:vMerge w:val="continue"/>
            <w:shd w:val="clear" w:color="auto" w:fill="auto"/>
            <w:vAlign w:val="center"/>
          </w:tcPr>
          <w:p w14:paraId="6AB2F3EC">
            <w:pPr>
              <w:rPr>
                <w:color w:val="auto"/>
                <w:sz w:val="18"/>
                <w:szCs w:val="8"/>
                <w:highlight w:val="none"/>
              </w:rPr>
            </w:pPr>
          </w:p>
        </w:tc>
        <w:tc>
          <w:tcPr>
            <w:tcW w:w="3541" w:type="pct"/>
            <w:gridSpan w:val="4"/>
            <w:shd w:val="clear" w:color="auto" w:fill="auto"/>
          </w:tcPr>
          <w:p w14:paraId="33F8949E">
            <w:pPr>
              <w:rPr>
                <w:color w:val="auto"/>
                <w:sz w:val="18"/>
                <w:szCs w:val="8"/>
                <w:highlight w:val="none"/>
              </w:rPr>
            </w:pPr>
            <w:r>
              <w:rPr>
                <w:rFonts w:hint="eastAsia"/>
                <w:color w:val="auto"/>
                <w:sz w:val="18"/>
                <w:szCs w:val="8"/>
                <w:highlight w:val="none"/>
              </w:rPr>
              <w:t>5.2 车削循环，包括粗加工车削、轮廓平行车削、精加工车削、开粗车削、开粗切入、开粗精加工、切断、端面开槽、端面槽切入、端面槽精加工。</w:t>
            </w:r>
          </w:p>
        </w:tc>
        <w:tc>
          <w:tcPr>
            <w:tcW w:w="404" w:type="pct"/>
            <w:gridSpan w:val="2"/>
            <w:vMerge w:val="continue"/>
            <w:shd w:val="clear" w:color="auto" w:fill="auto"/>
            <w:vAlign w:val="center"/>
          </w:tcPr>
          <w:p w14:paraId="335CC141">
            <w:pPr>
              <w:rPr>
                <w:color w:val="auto"/>
                <w:sz w:val="18"/>
                <w:szCs w:val="8"/>
                <w:highlight w:val="none"/>
              </w:rPr>
            </w:pPr>
          </w:p>
        </w:tc>
      </w:tr>
      <w:tr w14:paraId="4261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F332B50">
            <w:pPr>
              <w:rPr>
                <w:color w:val="auto"/>
                <w:sz w:val="18"/>
                <w:szCs w:val="8"/>
                <w:highlight w:val="none"/>
              </w:rPr>
            </w:pPr>
          </w:p>
        </w:tc>
        <w:tc>
          <w:tcPr>
            <w:tcW w:w="427" w:type="pct"/>
            <w:vMerge w:val="continue"/>
            <w:shd w:val="clear" w:color="auto" w:fill="auto"/>
            <w:vAlign w:val="center"/>
          </w:tcPr>
          <w:p w14:paraId="5570983E">
            <w:pPr>
              <w:rPr>
                <w:color w:val="auto"/>
                <w:sz w:val="18"/>
                <w:szCs w:val="8"/>
                <w:highlight w:val="none"/>
              </w:rPr>
            </w:pPr>
          </w:p>
        </w:tc>
        <w:tc>
          <w:tcPr>
            <w:tcW w:w="460" w:type="pct"/>
            <w:vMerge w:val="continue"/>
            <w:shd w:val="clear" w:color="auto" w:fill="auto"/>
            <w:vAlign w:val="center"/>
          </w:tcPr>
          <w:p w14:paraId="5938A724">
            <w:pPr>
              <w:rPr>
                <w:color w:val="auto"/>
                <w:sz w:val="18"/>
                <w:szCs w:val="8"/>
                <w:highlight w:val="none"/>
              </w:rPr>
            </w:pPr>
          </w:p>
        </w:tc>
        <w:tc>
          <w:tcPr>
            <w:tcW w:w="3541" w:type="pct"/>
            <w:gridSpan w:val="4"/>
            <w:shd w:val="clear" w:color="auto" w:fill="auto"/>
          </w:tcPr>
          <w:p w14:paraId="1C420F8C">
            <w:pPr>
              <w:rPr>
                <w:color w:val="auto"/>
                <w:sz w:val="18"/>
                <w:szCs w:val="8"/>
                <w:highlight w:val="none"/>
              </w:rPr>
            </w:pPr>
            <w:r>
              <w:rPr>
                <w:rFonts w:hint="eastAsia"/>
                <w:color w:val="auto"/>
                <w:sz w:val="18"/>
                <w:szCs w:val="8"/>
                <w:highlight w:val="none"/>
              </w:rPr>
              <w:t>5.3 车削粗加工</w:t>
            </w:r>
          </w:p>
          <w:p w14:paraId="4C9E98B5">
            <w:pPr>
              <w:rPr>
                <w:color w:val="auto"/>
                <w:sz w:val="18"/>
                <w:szCs w:val="8"/>
                <w:highlight w:val="none"/>
              </w:rPr>
            </w:pPr>
            <w:r>
              <w:rPr>
                <w:rFonts w:hint="eastAsia"/>
                <w:color w:val="auto"/>
                <w:sz w:val="18"/>
                <w:szCs w:val="8"/>
                <w:highlight w:val="none"/>
              </w:rPr>
              <w:t>采用轴向或径向或平行轮廓的方式作车削粗加工，包括进刀角度的设定。功能包括定义工件位置、选取轮廓、毛坯修整、毛坯跟踪、及刀具路径补偿等，优化了加工过程。刀具定义同样可以用标准化的 ISO 来定义。</w:t>
            </w:r>
          </w:p>
        </w:tc>
        <w:tc>
          <w:tcPr>
            <w:tcW w:w="404" w:type="pct"/>
            <w:gridSpan w:val="2"/>
            <w:vMerge w:val="continue"/>
            <w:shd w:val="clear" w:color="auto" w:fill="auto"/>
            <w:vAlign w:val="center"/>
          </w:tcPr>
          <w:p w14:paraId="1F672565">
            <w:pPr>
              <w:rPr>
                <w:color w:val="auto"/>
                <w:sz w:val="18"/>
                <w:szCs w:val="8"/>
                <w:highlight w:val="none"/>
              </w:rPr>
            </w:pPr>
          </w:p>
        </w:tc>
      </w:tr>
      <w:tr w14:paraId="303F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0AEDB8D">
            <w:pPr>
              <w:rPr>
                <w:color w:val="auto"/>
                <w:sz w:val="18"/>
                <w:szCs w:val="8"/>
                <w:highlight w:val="none"/>
              </w:rPr>
            </w:pPr>
          </w:p>
        </w:tc>
        <w:tc>
          <w:tcPr>
            <w:tcW w:w="427" w:type="pct"/>
            <w:vMerge w:val="continue"/>
            <w:shd w:val="clear" w:color="auto" w:fill="auto"/>
            <w:vAlign w:val="center"/>
          </w:tcPr>
          <w:p w14:paraId="3AF9DA1D">
            <w:pPr>
              <w:rPr>
                <w:color w:val="auto"/>
                <w:sz w:val="18"/>
                <w:szCs w:val="8"/>
                <w:highlight w:val="none"/>
              </w:rPr>
            </w:pPr>
          </w:p>
        </w:tc>
        <w:tc>
          <w:tcPr>
            <w:tcW w:w="460" w:type="pct"/>
            <w:vMerge w:val="continue"/>
            <w:shd w:val="clear" w:color="auto" w:fill="auto"/>
            <w:vAlign w:val="center"/>
          </w:tcPr>
          <w:p w14:paraId="2D50354B">
            <w:pPr>
              <w:rPr>
                <w:color w:val="auto"/>
                <w:sz w:val="18"/>
                <w:szCs w:val="8"/>
                <w:highlight w:val="none"/>
              </w:rPr>
            </w:pPr>
          </w:p>
        </w:tc>
        <w:tc>
          <w:tcPr>
            <w:tcW w:w="3541" w:type="pct"/>
            <w:gridSpan w:val="4"/>
            <w:shd w:val="clear" w:color="auto" w:fill="auto"/>
          </w:tcPr>
          <w:p w14:paraId="028A451C">
            <w:pPr>
              <w:rPr>
                <w:color w:val="auto"/>
                <w:sz w:val="18"/>
                <w:szCs w:val="8"/>
                <w:highlight w:val="none"/>
              </w:rPr>
            </w:pPr>
            <w:r>
              <w:rPr>
                <w:rFonts w:hint="eastAsia"/>
                <w:color w:val="auto"/>
                <w:sz w:val="18"/>
                <w:szCs w:val="8"/>
                <w:highlight w:val="none"/>
              </w:rPr>
              <w:t>5.4 车削精加工</w:t>
            </w:r>
          </w:p>
          <w:p w14:paraId="0B3B16D6">
            <w:pPr>
              <w:rPr>
                <w:color w:val="auto"/>
                <w:sz w:val="18"/>
                <w:szCs w:val="8"/>
                <w:highlight w:val="none"/>
              </w:rPr>
            </w:pPr>
            <w:r>
              <w:rPr>
                <w:rFonts w:hint="eastAsia"/>
                <w:color w:val="auto"/>
                <w:sz w:val="18"/>
                <w:szCs w:val="8"/>
                <w:highlight w:val="none"/>
              </w:rPr>
              <w:t>任意零件开完粗后，采用轮廓平行的方式进行精加工。同样可以设定进刀的角度。功能包括定义刀具倾斜角度，进刀和退刀，刀具路径补偿以及毛坯功能，支持多种选项功能以满足任何策略的要求。多样化的进刀和退刀方式可以相互结合。</w:t>
            </w:r>
          </w:p>
          <w:p w14:paraId="77AE4FAD">
            <w:pPr>
              <w:rPr>
                <w:color w:val="auto"/>
                <w:sz w:val="18"/>
                <w:szCs w:val="8"/>
                <w:highlight w:val="none"/>
              </w:rPr>
            </w:pPr>
            <w:r>
              <w:rPr>
                <w:rFonts w:hint="eastAsia"/>
                <w:color w:val="auto"/>
                <w:sz w:val="18"/>
                <w:szCs w:val="8"/>
                <w:highlight w:val="none"/>
              </w:rPr>
              <w:t>基于斜率的精加工特别适用于平坦区域和陡峭区域的加工，并可在精加工期间确保最佳的切削条件。若要定义要加工的区域，用户应首先选择整个轮廓。然后定义要加工的区域及在单一步骤工序中所使用的最大斜率角度。</w:t>
            </w:r>
          </w:p>
        </w:tc>
        <w:tc>
          <w:tcPr>
            <w:tcW w:w="404" w:type="pct"/>
            <w:gridSpan w:val="2"/>
            <w:vMerge w:val="continue"/>
            <w:shd w:val="clear" w:color="auto" w:fill="auto"/>
            <w:vAlign w:val="center"/>
          </w:tcPr>
          <w:p w14:paraId="61D987E9">
            <w:pPr>
              <w:rPr>
                <w:color w:val="auto"/>
                <w:sz w:val="18"/>
                <w:szCs w:val="8"/>
                <w:highlight w:val="none"/>
              </w:rPr>
            </w:pPr>
          </w:p>
        </w:tc>
      </w:tr>
      <w:tr w14:paraId="3721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A0CA479">
            <w:pPr>
              <w:rPr>
                <w:color w:val="auto"/>
                <w:sz w:val="18"/>
                <w:szCs w:val="8"/>
                <w:highlight w:val="none"/>
              </w:rPr>
            </w:pPr>
          </w:p>
        </w:tc>
        <w:tc>
          <w:tcPr>
            <w:tcW w:w="427" w:type="pct"/>
            <w:vMerge w:val="continue"/>
            <w:shd w:val="clear" w:color="auto" w:fill="auto"/>
            <w:vAlign w:val="center"/>
          </w:tcPr>
          <w:p w14:paraId="39B5512D">
            <w:pPr>
              <w:rPr>
                <w:color w:val="auto"/>
                <w:sz w:val="18"/>
                <w:szCs w:val="8"/>
                <w:highlight w:val="none"/>
              </w:rPr>
            </w:pPr>
          </w:p>
        </w:tc>
        <w:tc>
          <w:tcPr>
            <w:tcW w:w="460" w:type="pct"/>
            <w:vMerge w:val="continue"/>
            <w:shd w:val="clear" w:color="auto" w:fill="auto"/>
            <w:vAlign w:val="center"/>
          </w:tcPr>
          <w:p w14:paraId="75070C7F">
            <w:pPr>
              <w:rPr>
                <w:color w:val="auto"/>
                <w:sz w:val="18"/>
                <w:szCs w:val="8"/>
                <w:highlight w:val="none"/>
              </w:rPr>
            </w:pPr>
          </w:p>
        </w:tc>
        <w:tc>
          <w:tcPr>
            <w:tcW w:w="3541" w:type="pct"/>
            <w:gridSpan w:val="4"/>
            <w:shd w:val="clear" w:color="auto" w:fill="auto"/>
          </w:tcPr>
          <w:p w14:paraId="71D463E0">
            <w:pPr>
              <w:rPr>
                <w:color w:val="auto"/>
                <w:sz w:val="18"/>
                <w:szCs w:val="8"/>
                <w:highlight w:val="none"/>
              </w:rPr>
            </w:pPr>
            <w:r>
              <w:rPr>
                <w:rFonts w:hint="eastAsia"/>
                <w:color w:val="auto"/>
                <w:sz w:val="18"/>
                <w:szCs w:val="8"/>
                <w:highlight w:val="none"/>
              </w:rPr>
              <w:t>5.5 切槽</w:t>
            </w:r>
          </w:p>
          <w:p w14:paraId="1FA4CF6E">
            <w:pPr>
              <w:rPr>
                <w:color w:val="auto"/>
                <w:sz w:val="18"/>
                <w:szCs w:val="8"/>
                <w:highlight w:val="none"/>
              </w:rPr>
            </w:pPr>
            <w:r>
              <w:rPr>
                <w:rFonts w:hint="eastAsia"/>
                <w:color w:val="auto"/>
                <w:sz w:val="18"/>
                <w:szCs w:val="8"/>
                <w:highlight w:val="none"/>
              </w:rPr>
              <w:t>切槽、工件的切断和凹槽车削等工艺操作通常采用此策略进行编程。针对有凹槽的工件可以采用径向或轴向的加工方式。为了更好的优化加工程序，可以采用伊斯卡凹槽加工策略。此策略能自动处理切深过程中在侧面位移上产生的切削力。更多的优化功能包括精加工过程，重叠距离（避免垂直壁面碰伤），刀具路径补偿及层降过程的斜向下刀。</w:t>
            </w:r>
          </w:p>
        </w:tc>
        <w:tc>
          <w:tcPr>
            <w:tcW w:w="404" w:type="pct"/>
            <w:gridSpan w:val="2"/>
            <w:vMerge w:val="continue"/>
            <w:shd w:val="clear" w:color="auto" w:fill="auto"/>
            <w:vAlign w:val="center"/>
          </w:tcPr>
          <w:p w14:paraId="2E2B718C">
            <w:pPr>
              <w:rPr>
                <w:color w:val="auto"/>
                <w:sz w:val="18"/>
                <w:szCs w:val="8"/>
                <w:highlight w:val="none"/>
              </w:rPr>
            </w:pPr>
          </w:p>
        </w:tc>
      </w:tr>
      <w:tr w14:paraId="3EC7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FC209C6">
            <w:pPr>
              <w:rPr>
                <w:color w:val="auto"/>
                <w:sz w:val="18"/>
                <w:szCs w:val="8"/>
                <w:highlight w:val="none"/>
              </w:rPr>
            </w:pPr>
          </w:p>
        </w:tc>
        <w:tc>
          <w:tcPr>
            <w:tcW w:w="427" w:type="pct"/>
            <w:vMerge w:val="continue"/>
            <w:shd w:val="clear" w:color="auto" w:fill="auto"/>
            <w:vAlign w:val="center"/>
          </w:tcPr>
          <w:p w14:paraId="724F03FE">
            <w:pPr>
              <w:rPr>
                <w:color w:val="auto"/>
                <w:sz w:val="18"/>
                <w:szCs w:val="8"/>
                <w:highlight w:val="none"/>
              </w:rPr>
            </w:pPr>
          </w:p>
        </w:tc>
        <w:tc>
          <w:tcPr>
            <w:tcW w:w="460" w:type="pct"/>
            <w:vMerge w:val="continue"/>
            <w:shd w:val="clear" w:color="auto" w:fill="auto"/>
            <w:vAlign w:val="center"/>
          </w:tcPr>
          <w:p w14:paraId="3529232A">
            <w:pPr>
              <w:rPr>
                <w:color w:val="auto"/>
                <w:sz w:val="18"/>
                <w:szCs w:val="8"/>
                <w:highlight w:val="none"/>
              </w:rPr>
            </w:pPr>
          </w:p>
        </w:tc>
        <w:tc>
          <w:tcPr>
            <w:tcW w:w="3541" w:type="pct"/>
            <w:gridSpan w:val="4"/>
            <w:shd w:val="clear" w:color="auto" w:fill="auto"/>
          </w:tcPr>
          <w:p w14:paraId="3D053644">
            <w:pPr>
              <w:rPr>
                <w:color w:val="auto"/>
                <w:sz w:val="18"/>
                <w:szCs w:val="8"/>
                <w:highlight w:val="none"/>
              </w:rPr>
            </w:pPr>
            <w:r>
              <w:rPr>
                <w:rFonts w:hint="eastAsia"/>
                <w:color w:val="auto"/>
                <w:sz w:val="18"/>
                <w:szCs w:val="8"/>
                <w:highlight w:val="none"/>
              </w:rPr>
              <w:t>5.6 螺纹车削</w:t>
            </w:r>
          </w:p>
          <w:p w14:paraId="56A1F6C0">
            <w:pPr>
              <w:rPr>
                <w:color w:val="auto"/>
                <w:sz w:val="18"/>
                <w:szCs w:val="8"/>
                <w:highlight w:val="none"/>
              </w:rPr>
            </w:pPr>
            <w:r>
              <w:rPr>
                <w:rFonts w:hint="eastAsia"/>
                <w:color w:val="auto"/>
                <w:sz w:val="18"/>
                <w:szCs w:val="8"/>
                <w:highlight w:val="none"/>
              </w:rPr>
              <w:t>加工等螺距的外螺纹及内螺纹</w:t>
            </w:r>
          </w:p>
          <w:p w14:paraId="69C9504E">
            <w:pPr>
              <w:rPr>
                <w:color w:val="auto"/>
                <w:sz w:val="18"/>
                <w:szCs w:val="8"/>
                <w:highlight w:val="none"/>
              </w:rPr>
            </w:pPr>
            <w:r>
              <w:rPr>
                <w:rFonts w:hint="eastAsia"/>
                <w:color w:val="auto"/>
                <w:sz w:val="18"/>
                <w:szCs w:val="8"/>
                <w:highlight w:val="none"/>
              </w:rPr>
              <w:t>螺纹车削可以针对单个或多个圆柱或圆锥形的外部及内部的螺纹。进给设定可以是恒定的切削量或者固定的X值。螺纹可以简单地用螺纹的边缘，旋转中心或者外部尺寸进行定义，进刀和退刀运动同样如此。切削角度或者加工余量的控制可以满足特殊的要求。</w:t>
            </w:r>
          </w:p>
        </w:tc>
        <w:tc>
          <w:tcPr>
            <w:tcW w:w="404" w:type="pct"/>
            <w:gridSpan w:val="2"/>
            <w:vMerge w:val="continue"/>
            <w:shd w:val="clear" w:color="auto" w:fill="auto"/>
            <w:vAlign w:val="center"/>
          </w:tcPr>
          <w:p w14:paraId="599FF470">
            <w:pPr>
              <w:rPr>
                <w:color w:val="auto"/>
                <w:sz w:val="18"/>
                <w:szCs w:val="8"/>
                <w:highlight w:val="none"/>
              </w:rPr>
            </w:pPr>
          </w:p>
        </w:tc>
      </w:tr>
      <w:tr w14:paraId="6347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F9A73D4">
            <w:pPr>
              <w:rPr>
                <w:color w:val="auto"/>
                <w:sz w:val="18"/>
                <w:szCs w:val="8"/>
                <w:highlight w:val="none"/>
              </w:rPr>
            </w:pPr>
          </w:p>
        </w:tc>
        <w:tc>
          <w:tcPr>
            <w:tcW w:w="427" w:type="pct"/>
            <w:vMerge w:val="continue"/>
            <w:shd w:val="clear" w:color="auto" w:fill="auto"/>
            <w:vAlign w:val="center"/>
          </w:tcPr>
          <w:p w14:paraId="77E1E51A">
            <w:pPr>
              <w:rPr>
                <w:color w:val="auto"/>
                <w:sz w:val="18"/>
                <w:szCs w:val="8"/>
                <w:highlight w:val="none"/>
              </w:rPr>
            </w:pPr>
          </w:p>
        </w:tc>
        <w:tc>
          <w:tcPr>
            <w:tcW w:w="460" w:type="pct"/>
            <w:vMerge w:val="restart"/>
            <w:shd w:val="clear" w:color="auto" w:fill="auto"/>
            <w:vAlign w:val="center"/>
          </w:tcPr>
          <w:p w14:paraId="4C08E3C9">
            <w:pPr>
              <w:rPr>
                <w:color w:val="auto"/>
                <w:sz w:val="18"/>
                <w:szCs w:val="8"/>
                <w:highlight w:val="none"/>
              </w:rPr>
            </w:pPr>
            <w:r>
              <w:rPr>
                <w:rFonts w:hint="eastAsia"/>
                <w:color w:val="auto"/>
                <w:sz w:val="18"/>
                <w:szCs w:val="8"/>
                <w:highlight w:val="none"/>
              </w:rPr>
              <w:t>6. 基于NC代码的虚拟机床仿真功能要求</w:t>
            </w:r>
          </w:p>
        </w:tc>
        <w:tc>
          <w:tcPr>
            <w:tcW w:w="3541" w:type="pct"/>
            <w:gridSpan w:val="4"/>
            <w:shd w:val="clear" w:color="auto" w:fill="auto"/>
          </w:tcPr>
          <w:p w14:paraId="2A447E47">
            <w:pPr>
              <w:rPr>
                <w:color w:val="auto"/>
                <w:sz w:val="18"/>
                <w:szCs w:val="8"/>
                <w:highlight w:val="none"/>
              </w:rPr>
            </w:pPr>
            <w:r>
              <w:rPr>
                <w:rFonts w:hint="eastAsia"/>
                <w:color w:val="auto"/>
                <w:sz w:val="18"/>
                <w:szCs w:val="8"/>
                <w:highlight w:val="none"/>
              </w:rPr>
              <w:t>6.1  虚拟机床仿真具有直观的用户界面，用户界面的设计基于实际的控制器。机床操作员、CAM 编程人员和制造规划人员均可受益于直观的操作，必须具有NC程序运行启动停止按钮，机床进给的速度倍率旋转拨轮，可以单段程序逐行运行。</w:t>
            </w:r>
          </w:p>
        </w:tc>
        <w:tc>
          <w:tcPr>
            <w:tcW w:w="404" w:type="pct"/>
            <w:gridSpan w:val="2"/>
            <w:vMerge w:val="continue"/>
            <w:shd w:val="clear" w:color="auto" w:fill="auto"/>
            <w:vAlign w:val="center"/>
          </w:tcPr>
          <w:p w14:paraId="371C6590">
            <w:pPr>
              <w:rPr>
                <w:color w:val="auto"/>
                <w:sz w:val="18"/>
                <w:szCs w:val="8"/>
                <w:highlight w:val="none"/>
              </w:rPr>
            </w:pPr>
          </w:p>
        </w:tc>
      </w:tr>
      <w:tr w14:paraId="4D68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0890BEB">
            <w:pPr>
              <w:rPr>
                <w:color w:val="auto"/>
                <w:sz w:val="18"/>
                <w:szCs w:val="8"/>
                <w:highlight w:val="none"/>
              </w:rPr>
            </w:pPr>
          </w:p>
        </w:tc>
        <w:tc>
          <w:tcPr>
            <w:tcW w:w="427" w:type="pct"/>
            <w:vMerge w:val="continue"/>
            <w:shd w:val="clear" w:color="auto" w:fill="auto"/>
            <w:vAlign w:val="center"/>
          </w:tcPr>
          <w:p w14:paraId="3BD2F27A">
            <w:pPr>
              <w:rPr>
                <w:color w:val="auto"/>
                <w:sz w:val="18"/>
                <w:szCs w:val="8"/>
                <w:highlight w:val="none"/>
              </w:rPr>
            </w:pPr>
          </w:p>
        </w:tc>
        <w:tc>
          <w:tcPr>
            <w:tcW w:w="460" w:type="pct"/>
            <w:vMerge w:val="continue"/>
            <w:shd w:val="clear" w:color="auto" w:fill="auto"/>
            <w:vAlign w:val="center"/>
          </w:tcPr>
          <w:p w14:paraId="0A0FD87D">
            <w:pPr>
              <w:rPr>
                <w:color w:val="auto"/>
                <w:sz w:val="18"/>
                <w:szCs w:val="8"/>
                <w:highlight w:val="none"/>
              </w:rPr>
            </w:pPr>
          </w:p>
        </w:tc>
        <w:tc>
          <w:tcPr>
            <w:tcW w:w="3541" w:type="pct"/>
            <w:gridSpan w:val="4"/>
            <w:shd w:val="clear" w:color="auto" w:fill="auto"/>
          </w:tcPr>
          <w:p w14:paraId="1625A8C1">
            <w:pPr>
              <w:rPr>
                <w:color w:val="auto"/>
                <w:sz w:val="18"/>
                <w:szCs w:val="8"/>
                <w:highlight w:val="none"/>
              </w:rPr>
            </w:pPr>
            <w:r>
              <w:rPr>
                <w:rFonts w:hint="eastAsia"/>
                <w:color w:val="auto"/>
                <w:sz w:val="18"/>
                <w:szCs w:val="8"/>
                <w:highlight w:val="none"/>
              </w:rPr>
              <w:t>6.2 机床和材料去除仿真功能可以对工作范围内作详细的监控。使用者可以通过查看刀柄、工装夹具和机床的运动来检测潜在的碰撞。在此过程中，使用者可以选择仿真是否需要对如下的碰撞进行检查：</w:t>
            </w:r>
          </w:p>
          <w:p w14:paraId="71F020DE">
            <w:pPr>
              <w:rPr>
                <w:color w:val="auto"/>
                <w:sz w:val="18"/>
                <w:szCs w:val="8"/>
                <w:highlight w:val="none"/>
              </w:rPr>
            </w:pPr>
            <w:r>
              <w:rPr>
                <w:rFonts w:hint="eastAsia"/>
                <w:color w:val="auto"/>
                <w:sz w:val="18"/>
                <w:szCs w:val="8"/>
                <w:highlight w:val="none"/>
              </w:rPr>
              <w:t>(1)机床碰撞工件</w:t>
            </w:r>
          </w:p>
          <w:p w14:paraId="22C73FCE">
            <w:pPr>
              <w:rPr>
                <w:color w:val="auto"/>
                <w:sz w:val="18"/>
                <w:szCs w:val="8"/>
                <w:highlight w:val="none"/>
              </w:rPr>
            </w:pPr>
            <w:r>
              <w:rPr>
                <w:rFonts w:hint="eastAsia"/>
                <w:color w:val="auto"/>
                <w:sz w:val="18"/>
                <w:szCs w:val="8"/>
                <w:highlight w:val="none"/>
              </w:rPr>
              <w:t>(2)机床碰撞刀具</w:t>
            </w:r>
          </w:p>
          <w:p w14:paraId="258E35EC">
            <w:pPr>
              <w:rPr>
                <w:color w:val="auto"/>
                <w:sz w:val="18"/>
                <w:szCs w:val="8"/>
                <w:highlight w:val="none"/>
              </w:rPr>
            </w:pPr>
            <w:r>
              <w:rPr>
                <w:rFonts w:hint="eastAsia"/>
                <w:color w:val="auto"/>
                <w:sz w:val="18"/>
                <w:szCs w:val="8"/>
                <w:highlight w:val="none"/>
              </w:rPr>
              <w:t>(3)机床碰撞机床</w:t>
            </w:r>
          </w:p>
          <w:p w14:paraId="316095C2">
            <w:pPr>
              <w:rPr>
                <w:color w:val="auto"/>
                <w:sz w:val="18"/>
                <w:szCs w:val="8"/>
                <w:highlight w:val="none"/>
              </w:rPr>
            </w:pPr>
            <w:r>
              <w:rPr>
                <w:rFonts w:hint="eastAsia"/>
                <w:color w:val="auto"/>
                <w:sz w:val="18"/>
                <w:szCs w:val="8"/>
                <w:highlight w:val="none"/>
              </w:rPr>
              <w:t>(4)机床碰撞刀柄</w:t>
            </w:r>
          </w:p>
          <w:p w14:paraId="0B1FEEE1">
            <w:pPr>
              <w:rPr>
                <w:color w:val="auto"/>
                <w:sz w:val="18"/>
                <w:szCs w:val="8"/>
                <w:highlight w:val="none"/>
              </w:rPr>
            </w:pPr>
            <w:r>
              <w:rPr>
                <w:rFonts w:hint="eastAsia"/>
                <w:color w:val="auto"/>
                <w:sz w:val="18"/>
                <w:szCs w:val="8"/>
                <w:highlight w:val="none"/>
              </w:rPr>
              <w:t>(5)组件碰撞机床</w:t>
            </w:r>
          </w:p>
          <w:p w14:paraId="45A5BA66">
            <w:pPr>
              <w:rPr>
                <w:color w:val="auto"/>
                <w:sz w:val="18"/>
                <w:szCs w:val="8"/>
                <w:highlight w:val="none"/>
              </w:rPr>
            </w:pPr>
            <w:r>
              <w:rPr>
                <w:rFonts w:hint="eastAsia"/>
                <w:color w:val="auto"/>
                <w:sz w:val="18"/>
                <w:szCs w:val="8"/>
                <w:highlight w:val="none"/>
              </w:rPr>
              <w:t>(6)组件碰撞夹具</w:t>
            </w:r>
          </w:p>
          <w:p w14:paraId="03C982F3">
            <w:pPr>
              <w:rPr>
                <w:color w:val="auto"/>
                <w:sz w:val="18"/>
                <w:szCs w:val="8"/>
                <w:highlight w:val="none"/>
              </w:rPr>
            </w:pPr>
            <w:r>
              <w:rPr>
                <w:rFonts w:hint="eastAsia"/>
                <w:color w:val="auto"/>
                <w:sz w:val="18"/>
                <w:szCs w:val="8"/>
                <w:highlight w:val="none"/>
              </w:rPr>
              <w:t>(7)组件碰撞刀具</w:t>
            </w:r>
          </w:p>
          <w:p w14:paraId="4A630244">
            <w:pPr>
              <w:rPr>
                <w:color w:val="auto"/>
                <w:sz w:val="18"/>
                <w:szCs w:val="8"/>
                <w:highlight w:val="none"/>
              </w:rPr>
            </w:pPr>
            <w:r>
              <w:rPr>
                <w:rFonts w:hint="eastAsia"/>
                <w:color w:val="auto"/>
                <w:sz w:val="18"/>
                <w:szCs w:val="8"/>
                <w:highlight w:val="none"/>
              </w:rPr>
              <w:t>(8)刀柄碰撞模型</w:t>
            </w:r>
          </w:p>
          <w:p w14:paraId="547A72CA">
            <w:pPr>
              <w:rPr>
                <w:color w:val="auto"/>
                <w:sz w:val="18"/>
                <w:szCs w:val="8"/>
                <w:highlight w:val="none"/>
              </w:rPr>
            </w:pPr>
            <w:r>
              <w:rPr>
                <w:rFonts w:hint="eastAsia"/>
                <w:color w:val="auto"/>
                <w:sz w:val="18"/>
                <w:szCs w:val="8"/>
                <w:highlight w:val="none"/>
              </w:rPr>
              <w:t>碰撞部分用特有的颜色进行显示，所有碰撞区域将储存为一个列表。它将所有的传统仿真选项都嵌入高度直观的用户界面中。在此，可使用定义的机床模型执行机床仿真，同时兼顾工件、刀具以及刀柄和夹具。</w:t>
            </w:r>
          </w:p>
        </w:tc>
        <w:tc>
          <w:tcPr>
            <w:tcW w:w="404" w:type="pct"/>
            <w:gridSpan w:val="2"/>
            <w:vMerge w:val="continue"/>
            <w:shd w:val="clear" w:color="auto" w:fill="auto"/>
            <w:vAlign w:val="center"/>
          </w:tcPr>
          <w:p w14:paraId="22517B65">
            <w:pPr>
              <w:rPr>
                <w:color w:val="auto"/>
                <w:sz w:val="18"/>
                <w:szCs w:val="8"/>
                <w:highlight w:val="none"/>
              </w:rPr>
            </w:pPr>
          </w:p>
        </w:tc>
      </w:tr>
      <w:tr w14:paraId="3582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0DE4BDD">
            <w:pPr>
              <w:rPr>
                <w:color w:val="auto"/>
                <w:sz w:val="18"/>
                <w:szCs w:val="8"/>
                <w:highlight w:val="none"/>
              </w:rPr>
            </w:pPr>
          </w:p>
        </w:tc>
        <w:tc>
          <w:tcPr>
            <w:tcW w:w="427" w:type="pct"/>
            <w:vMerge w:val="continue"/>
            <w:shd w:val="clear" w:color="auto" w:fill="auto"/>
            <w:vAlign w:val="center"/>
          </w:tcPr>
          <w:p w14:paraId="16DB194A">
            <w:pPr>
              <w:rPr>
                <w:color w:val="auto"/>
                <w:sz w:val="18"/>
                <w:szCs w:val="8"/>
                <w:highlight w:val="none"/>
              </w:rPr>
            </w:pPr>
          </w:p>
        </w:tc>
        <w:tc>
          <w:tcPr>
            <w:tcW w:w="460" w:type="pct"/>
            <w:vMerge w:val="continue"/>
            <w:shd w:val="clear" w:color="auto" w:fill="auto"/>
            <w:vAlign w:val="center"/>
          </w:tcPr>
          <w:p w14:paraId="65A3F40B">
            <w:pPr>
              <w:rPr>
                <w:color w:val="auto"/>
                <w:sz w:val="18"/>
                <w:szCs w:val="8"/>
                <w:highlight w:val="none"/>
              </w:rPr>
            </w:pPr>
          </w:p>
        </w:tc>
        <w:tc>
          <w:tcPr>
            <w:tcW w:w="3541" w:type="pct"/>
            <w:gridSpan w:val="4"/>
            <w:shd w:val="clear" w:color="auto" w:fill="auto"/>
          </w:tcPr>
          <w:p w14:paraId="2035D9E9">
            <w:pPr>
              <w:rPr>
                <w:color w:val="auto"/>
                <w:sz w:val="18"/>
                <w:szCs w:val="8"/>
                <w:highlight w:val="none"/>
              </w:rPr>
            </w:pPr>
            <w:r>
              <w:rPr>
                <w:rFonts w:hint="eastAsia"/>
                <w:color w:val="auto"/>
                <w:sz w:val="18"/>
                <w:szCs w:val="8"/>
                <w:highlight w:val="none"/>
              </w:rPr>
              <w:t>6.3 各机床轴可以手动移动和模拟，同时能够自动检测到可能的碰撞和超行程。代码逐行仿真，包括中间的过渡运动。这可确保虚拟机床的运动同真实机床运动完全一致。同样，基于 NC 的机床仿真保证可靠的碰撞检测，也更加高效地确认程序的安全。</w:t>
            </w:r>
          </w:p>
        </w:tc>
        <w:tc>
          <w:tcPr>
            <w:tcW w:w="404" w:type="pct"/>
            <w:gridSpan w:val="2"/>
            <w:vMerge w:val="continue"/>
            <w:shd w:val="clear" w:color="auto" w:fill="auto"/>
            <w:vAlign w:val="center"/>
          </w:tcPr>
          <w:p w14:paraId="39EDA6B6">
            <w:pPr>
              <w:rPr>
                <w:color w:val="auto"/>
                <w:sz w:val="18"/>
                <w:szCs w:val="8"/>
                <w:highlight w:val="none"/>
              </w:rPr>
            </w:pPr>
          </w:p>
        </w:tc>
      </w:tr>
      <w:tr w14:paraId="6A05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65B5E09">
            <w:pPr>
              <w:rPr>
                <w:color w:val="auto"/>
                <w:sz w:val="18"/>
                <w:szCs w:val="8"/>
                <w:highlight w:val="none"/>
              </w:rPr>
            </w:pPr>
          </w:p>
        </w:tc>
        <w:tc>
          <w:tcPr>
            <w:tcW w:w="427" w:type="pct"/>
            <w:vMerge w:val="continue"/>
            <w:shd w:val="clear" w:color="auto" w:fill="auto"/>
            <w:vAlign w:val="center"/>
          </w:tcPr>
          <w:p w14:paraId="7963FBF3">
            <w:pPr>
              <w:rPr>
                <w:color w:val="auto"/>
                <w:sz w:val="18"/>
                <w:szCs w:val="8"/>
                <w:highlight w:val="none"/>
              </w:rPr>
            </w:pPr>
          </w:p>
        </w:tc>
        <w:tc>
          <w:tcPr>
            <w:tcW w:w="460" w:type="pct"/>
            <w:vMerge w:val="continue"/>
            <w:shd w:val="clear" w:color="auto" w:fill="auto"/>
            <w:vAlign w:val="center"/>
          </w:tcPr>
          <w:p w14:paraId="7C1FC85E">
            <w:pPr>
              <w:rPr>
                <w:color w:val="auto"/>
                <w:sz w:val="18"/>
                <w:szCs w:val="8"/>
                <w:highlight w:val="none"/>
              </w:rPr>
            </w:pPr>
          </w:p>
        </w:tc>
        <w:tc>
          <w:tcPr>
            <w:tcW w:w="3541" w:type="pct"/>
            <w:gridSpan w:val="4"/>
            <w:shd w:val="clear" w:color="auto" w:fill="auto"/>
          </w:tcPr>
          <w:p w14:paraId="545EE756">
            <w:pPr>
              <w:rPr>
                <w:color w:val="auto"/>
                <w:sz w:val="18"/>
                <w:szCs w:val="8"/>
                <w:highlight w:val="none"/>
              </w:rPr>
            </w:pPr>
            <w:r>
              <w:rPr>
                <w:rFonts w:hint="eastAsia"/>
                <w:color w:val="auto"/>
                <w:sz w:val="18"/>
                <w:szCs w:val="8"/>
                <w:highlight w:val="none"/>
              </w:rPr>
              <w:t>6.4 安全性最高的仿真，提供所有的传统仿真选项，全都嵌入到高度直观的用户界面中。可在仿真中手动移动轴，并指示限制和自动探测极限。不同轴的运动、坐标信息、进给速度以及主轴转速始终对 CNC 编程人员可见。</w:t>
            </w:r>
          </w:p>
        </w:tc>
        <w:tc>
          <w:tcPr>
            <w:tcW w:w="404" w:type="pct"/>
            <w:gridSpan w:val="2"/>
            <w:vMerge w:val="continue"/>
            <w:shd w:val="clear" w:color="auto" w:fill="auto"/>
            <w:vAlign w:val="center"/>
          </w:tcPr>
          <w:p w14:paraId="3B353AD6">
            <w:pPr>
              <w:rPr>
                <w:color w:val="auto"/>
                <w:sz w:val="18"/>
                <w:szCs w:val="8"/>
                <w:highlight w:val="none"/>
              </w:rPr>
            </w:pPr>
          </w:p>
        </w:tc>
      </w:tr>
      <w:tr w14:paraId="655D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restart"/>
            <w:shd w:val="clear" w:color="auto" w:fill="auto"/>
            <w:vAlign w:val="center"/>
          </w:tcPr>
          <w:p w14:paraId="0290F87A">
            <w:pPr>
              <w:jc w:val="center"/>
              <w:rPr>
                <w:rFonts w:ascii="宋体" w:hAnsi="宋体" w:cs="宋体"/>
                <w:color w:val="auto"/>
                <w:sz w:val="18"/>
                <w:szCs w:val="10"/>
                <w:highlight w:val="none"/>
              </w:rPr>
            </w:pPr>
            <w:r>
              <w:rPr>
                <w:rFonts w:hint="eastAsia" w:ascii="宋体" w:hAnsi="宋体" w:cs="宋体"/>
                <w:color w:val="auto"/>
                <w:sz w:val="18"/>
                <w:szCs w:val="10"/>
                <w:highlight w:val="none"/>
              </w:rPr>
              <w:t>4</w:t>
            </w:r>
          </w:p>
        </w:tc>
        <w:tc>
          <w:tcPr>
            <w:tcW w:w="427" w:type="pct"/>
            <w:vMerge w:val="restart"/>
            <w:shd w:val="clear" w:color="auto" w:fill="auto"/>
            <w:vAlign w:val="center"/>
          </w:tcPr>
          <w:p w14:paraId="3F3D958B">
            <w:pPr>
              <w:widowControl/>
              <w:jc w:val="center"/>
              <w:textAlignment w:val="center"/>
              <w:rPr>
                <w:rFonts w:ascii="宋体" w:hAnsi="宋体" w:cs="宋体"/>
                <w:color w:val="auto"/>
                <w:sz w:val="18"/>
                <w:szCs w:val="10"/>
                <w:highlight w:val="none"/>
              </w:rPr>
            </w:pPr>
            <w:r>
              <w:rPr>
                <w:rFonts w:hint="eastAsia" w:ascii="宋体" w:hAnsi="宋体" w:cs="宋体"/>
                <w:color w:val="auto"/>
                <w:kern w:val="0"/>
                <w:sz w:val="18"/>
                <w:szCs w:val="10"/>
                <w:highlight w:val="none"/>
                <w:lang w:bidi="ar"/>
              </w:rPr>
              <w:t>数字孪生仿真系统</w:t>
            </w:r>
          </w:p>
        </w:tc>
        <w:tc>
          <w:tcPr>
            <w:tcW w:w="4001" w:type="pct"/>
            <w:gridSpan w:val="5"/>
            <w:shd w:val="clear" w:color="auto" w:fill="auto"/>
            <w:vAlign w:val="center"/>
          </w:tcPr>
          <w:p w14:paraId="018043C9">
            <w:pPr>
              <w:ind w:firstLine="360" w:firstLineChars="200"/>
              <w:rPr>
                <w:color w:val="auto"/>
                <w:sz w:val="18"/>
                <w:szCs w:val="8"/>
                <w:highlight w:val="none"/>
              </w:rPr>
            </w:pPr>
            <w:r>
              <w:rPr>
                <w:rFonts w:hint="eastAsia"/>
                <w:color w:val="auto"/>
                <w:sz w:val="18"/>
                <w:szCs w:val="8"/>
                <w:highlight w:val="none"/>
                <w:lang w:val="en-US" w:eastAsia="zh-CN"/>
              </w:rPr>
              <w:t>能</w:t>
            </w:r>
            <w:r>
              <w:rPr>
                <w:rFonts w:hint="eastAsia"/>
                <w:color w:val="auto"/>
                <w:sz w:val="18"/>
                <w:szCs w:val="8"/>
                <w:highlight w:val="none"/>
              </w:rPr>
              <w:t>配合高精密五轴加工中心</w:t>
            </w:r>
            <w:r>
              <w:rPr>
                <w:rFonts w:hint="eastAsia"/>
                <w:color w:val="auto"/>
                <w:sz w:val="18"/>
                <w:szCs w:val="8"/>
                <w:highlight w:val="none"/>
                <w:lang w:eastAsia="zh-CN"/>
              </w:rPr>
              <w:t>（</w:t>
            </w:r>
            <w:r>
              <w:rPr>
                <w:rFonts w:hint="eastAsia"/>
                <w:color w:val="auto"/>
                <w:sz w:val="18"/>
                <w:szCs w:val="8"/>
                <w:highlight w:val="none"/>
                <w:lang w:val="en-US" w:eastAsia="zh-CN"/>
              </w:rPr>
              <w:t>型号：DMU50)</w:t>
            </w:r>
            <w:r>
              <w:rPr>
                <w:rFonts w:hint="eastAsia"/>
                <w:color w:val="auto"/>
                <w:sz w:val="18"/>
                <w:szCs w:val="8"/>
                <w:highlight w:val="none"/>
              </w:rPr>
              <w:t>、</w:t>
            </w:r>
            <w:r>
              <w:rPr>
                <w:rFonts w:hint="eastAsia"/>
                <w:color w:val="auto"/>
                <w:sz w:val="18"/>
                <w:szCs w:val="8"/>
                <w:highlight w:val="none"/>
                <w:lang w:val="en-US" w:eastAsia="zh-CN"/>
              </w:rPr>
              <w:t>车铣复合机床（型号：DMU350）等设备</w:t>
            </w:r>
            <w:r>
              <w:rPr>
                <w:rFonts w:hint="eastAsia"/>
                <w:color w:val="auto"/>
                <w:sz w:val="18"/>
                <w:szCs w:val="8"/>
                <w:highlight w:val="none"/>
              </w:rPr>
              <w:t>，打造一个多功能平台，整合教学、实训、生产与技术服务，专注于培养符合智能制造标准的高技能人才。通过工业互联协同制造MES系统统一管理原有设备和新增设备，实现物料抓取、机床上下料、在线监测、加工、检测合而为一，实现了无人车间、黑灯工厂和品质管理。</w:t>
            </w:r>
          </w:p>
        </w:tc>
        <w:tc>
          <w:tcPr>
            <w:tcW w:w="404" w:type="pct"/>
            <w:gridSpan w:val="2"/>
            <w:vMerge w:val="restart"/>
            <w:shd w:val="clear" w:color="auto" w:fill="auto"/>
            <w:vAlign w:val="center"/>
          </w:tcPr>
          <w:p w14:paraId="0CABB19B">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1套</w:t>
            </w:r>
          </w:p>
          <w:p w14:paraId="78A7823D">
            <w:pPr>
              <w:jc w:val="center"/>
              <w:rPr>
                <w:rFonts w:ascii="宋体" w:hAnsi="宋体" w:cs="宋体"/>
                <w:b/>
                <w:bCs/>
                <w:color w:val="auto"/>
                <w:sz w:val="18"/>
                <w:szCs w:val="10"/>
                <w:highlight w:val="none"/>
              </w:rPr>
            </w:pPr>
            <w:r>
              <w:rPr>
                <w:rFonts w:hint="eastAsia" w:ascii="宋体" w:hAnsi="宋体" w:cs="宋体"/>
                <w:b/>
                <w:bCs/>
                <w:color w:val="auto"/>
                <w:sz w:val="18"/>
                <w:szCs w:val="10"/>
                <w:highlight w:val="none"/>
              </w:rPr>
              <w:t>（30点）</w:t>
            </w:r>
          </w:p>
        </w:tc>
      </w:tr>
      <w:tr w14:paraId="2C07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A7FF757">
            <w:pPr>
              <w:jc w:val="center"/>
              <w:rPr>
                <w:rFonts w:ascii="宋体" w:hAnsi="宋体" w:cs="宋体"/>
                <w:color w:val="auto"/>
                <w:sz w:val="18"/>
                <w:szCs w:val="10"/>
                <w:highlight w:val="none"/>
              </w:rPr>
            </w:pPr>
          </w:p>
        </w:tc>
        <w:tc>
          <w:tcPr>
            <w:tcW w:w="427" w:type="pct"/>
            <w:vMerge w:val="continue"/>
            <w:shd w:val="clear" w:color="auto" w:fill="auto"/>
            <w:vAlign w:val="center"/>
          </w:tcPr>
          <w:p w14:paraId="265AE26B">
            <w:pPr>
              <w:widowControl/>
              <w:jc w:val="center"/>
              <w:textAlignment w:val="center"/>
              <w:rPr>
                <w:rFonts w:ascii="宋体" w:hAnsi="宋体" w:cs="宋体"/>
                <w:color w:val="auto"/>
                <w:sz w:val="18"/>
                <w:szCs w:val="10"/>
                <w:highlight w:val="none"/>
              </w:rPr>
            </w:pPr>
          </w:p>
        </w:tc>
        <w:tc>
          <w:tcPr>
            <w:tcW w:w="460" w:type="pct"/>
            <w:vMerge w:val="restart"/>
            <w:shd w:val="clear" w:color="auto" w:fill="auto"/>
            <w:vAlign w:val="center"/>
          </w:tcPr>
          <w:p w14:paraId="7EBE0D7F">
            <w:pPr>
              <w:rPr>
                <w:color w:val="auto"/>
                <w:sz w:val="18"/>
                <w:szCs w:val="8"/>
                <w:highlight w:val="none"/>
              </w:rPr>
            </w:pPr>
            <w:r>
              <w:rPr>
                <w:rFonts w:hint="eastAsia"/>
                <w:color w:val="auto"/>
                <w:sz w:val="18"/>
                <w:szCs w:val="8"/>
                <w:highlight w:val="none"/>
              </w:rPr>
              <w:t>一、软件功能参数</w:t>
            </w:r>
          </w:p>
        </w:tc>
        <w:tc>
          <w:tcPr>
            <w:tcW w:w="940" w:type="pct"/>
            <w:vMerge w:val="restart"/>
            <w:shd w:val="clear" w:color="auto" w:fill="auto"/>
            <w:vAlign w:val="center"/>
          </w:tcPr>
          <w:p w14:paraId="02541792">
            <w:pPr>
              <w:rPr>
                <w:color w:val="auto"/>
                <w:sz w:val="18"/>
                <w:szCs w:val="8"/>
                <w:highlight w:val="none"/>
              </w:rPr>
            </w:pPr>
            <w:r>
              <w:rPr>
                <w:rFonts w:hint="eastAsia"/>
                <w:color w:val="auto"/>
                <w:sz w:val="18"/>
                <w:szCs w:val="8"/>
                <w:highlight w:val="none"/>
              </w:rPr>
              <w:t>1、软件功能</w:t>
            </w:r>
          </w:p>
        </w:tc>
        <w:tc>
          <w:tcPr>
            <w:tcW w:w="2601" w:type="pct"/>
            <w:gridSpan w:val="3"/>
            <w:shd w:val="clear" w:color="auto" w:fill="auto"/>
          </w:tcPr>
          <w:p w14:paraId="76D82FC9">
            <w:pPr>
              <w:rPr>
                <w:color w:val="auto"/>
                <w:sz w:val="18"/>
                <w:szCs w:val="8"/>
                <w:highlight w:val="none"/>
              </w:rPr>
            </w:pPr>
            <w:r>
              <w:rPr>
                <w:rFonts w:hint="eastAsia"/>
                <w:color w:val="auto"/>
                <w:sz w:val="18"/>
                <w:szCs w:val="8"/>
                <w:highlight w:val="none"/>
              </w:rPr>
              <w:t>（1）基于智能工厂的三维仿真软件平台，具有机械设计、电气设计、数字孪生仿真以及工业互联网集成仿真的综合仿真软件平台；</w:t>
            </w:r>
          </w:p>
        </w:tc>
        <w:tc>
          <w:tcPr>
            <w:tcW w:w="404" w:type="pct"/>
            <w:gridSpan w:val="2"/>
            <w:vMerge w:val="continue"/>
            <w:shd w:val="clear" w:color="auto" w:fill="auto"/>
            <w:vAlign w:val="center"/>
          </w:tcPr>
          <w:p w14:paraId="25BBCE86">
            <w:pPr>
              <w:jc w:val="center"/>
              <w:rPr>
                <w:rFonts w:ascii="宋体" w:hAnsi="宋体" w:cs="宋体"/>
                <w:b/>
                <w:bCs/>
                <w:color w:val="auto"/>
                <w:sz w:val="18"/>
                <w:szCs w:val="10"/>
                <w:highlight w:val="none"/>
              </w:rPr>
            </w:pPr>
          </w:p>
        </w:tc>
      </w:tr>
      <w:tr w14:paraId="022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7C72633">
            <w:pPr>
              <w:rPr>
                <w:color w:val="auto"/>
                <w:sz w:val="18"/>
                <w:szCs w:val="8"/>
                <w:highlight w:val="none"/>
              </w:rPr>
            </w:pPr>
          </w:p>
        </w:tc>
        <w:tc>
          <w:tcPr>
            <w:tcW w:w="427" w:type="pct"/>
            <w:vMerge w:val="continue"/>
            <w:shd w:val="clear" w:color="auto" w:fill="auto"/>
            <w:vAlign w:val="center"/>
          </w:tcPr>
          <w:p w14:paraId="22A6CAF6">
            <w:pPr>
              <w:rPr>
                <w:color w:val="auto"/>
                <w:sz w:val="18"/>
                <w:szCs w:val="8"/>
                <w:highlight w:val="none"/>
              </w:rPr>
            </w:pPr>
          </w:p>
        </w:tc>
        <w:tc>
          <w:tcPr>
            <w:tcW w:w="460" w:type="pct"/>
            <w:vMerge w:val="continue"/>
            <w:shd w:val="clear" w:color="auto" w:fill="auto"/>
            <w:vAlign w:val="center"/>
          </w:tcPr>
          <w:p w14:paraId="153BEA6B">
            <w:pPr>
              <w:rPr>
                <w:color w:val="auto"/>
                <w:sz w:val="18"/>
                <w:szCs w:val="8"/>
                <w:highlight w:val="none"/>
              </w:rPr>
            </w:pPr>
          </w:p>
        </w:tc>
        <w:tc>
          <w:tcPr>
            <w:tcW w:w="940" w:type="pct"/>
            <w:vMerge w:val="continue"/>
            <w:shd w:val="clear" w:color="auto" w:fill="auto"/>
            <w:vAlign w:val="center"/>
          </w:tcPr>
          <w:p w14:paraId="0A5819B8">
            <w:pPr>
              <w:rPr>
                <w:color w:val="auto"/>
                <w:sz w:val="18"/>
                <w:szCs w:val="8"/>
                <w:highlight w:val="none"/>
              </w:rPr>
            </w:pPr>
          </w:p>
        </w:tc>
        <w:tc>
          <w:tcPr>
            <w:tcW w:w="2601" w:type="pct"/>
            <w:gridSpan w:val="3"/>
            <w:shd w:val="clear" w:color="auto" w:fill="auto"/>
          </w:tcPr>
          <w:p w14:paraId="396D8D75">
            <w:pPr>
              <w:rPr>
                <w:color w:val="auto"/>
                <w:sz w:val="18"/>
                <w:szCs w:val="8"/>
                <w:highlight w:val="none"/>
              </w:rPr>
            </w:pPr>
            <w:r>
              <w:rPr>
                <w:rFonts w:hint="eastAsia"/>
                <w:color w:val="auto"/>
                <w:sz w:val="18"/>
                <w:szCs w:val="8"/>
                <w:highlight w:val="none"/>
              </w:rPr>
              <w:t>▲（2）软件具有较好交互性，可设置可设置高、中、低显示画面质量，支持中文、英文切换；（提供原厂盖章软件功能截屏证明）</w:t>
            </w:r>
          </w:p>
        </w:tc>
        <w:tc>
          <w:tcPr>
            <w:tcW w:w="404" w:type="pct"/>
            <w:gridSpan w:val="2"/>
            <w:vMerge w:val="continue"/>
            <w:shd w:val="clear" w:color="auto" w:fill="auto"/>
            <w:vAlign w:val="center"/>
          </w:tcPr>
          <w:p w14:paraId="6D84FDD1">
            <w:pPr>
              <w:rPr>
                <w:color w:val="auto"/>
                <w:sz w:val="18"/>
                <w:szCs w:val="8"/>
                <w:highlight w:val="none"/>
              </w:rPr>
            </w:pPr>
          </w:p>
        </w:tc>
      </w:tr>
      <w:tr w14:paraId="349C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5CB80D9">
            <w:pPr>
              <w:rPr>
                <w:color w:val="auto"/>
                <w:sz w:val="18"/>
                <w:szCs w:val="8"/>
                <w:highlight w:val="none"/>
              </w:rPr>
            </w:pPr>
          </w:p>
        </w:tc>
        <w:tc>
          <w:tcPr>
            <w:tcW w:w="427" w:type="pct"/>
            <w:vMerge w:val="continue"/>
            <w:shd w:val="clear" w:color="auto" w:fill="auto"/>
            <w:vAlign w:val="center"/>
          </w:tcPr>
          <w:p w14:paraId="5B9C5835">
            <w:pPr>
              <w:rPr>
                <w:color w:val="auto"/>
                <w:sz w:val="18"/>
                <w:szCs w:val="8"/>
                <w:highlight w:val="none"/>
              </w:rPr>
            </w:pPr>
          </w:p>
        </w:tc>
        <w:tc>
          <w:tcPr>
            <w:tcW w:w="460" w:type="pct"/>
            <w:vMerge w:val="continue"/>
            <w:shd w:val="clear" w:color="auto" w:fill="auto"/>
            <w:vAlign w:val="center"/>
          </w:tcPr>
          <w:p w14:paraId="764DB741">
            <w:pPr>
              <w:rPr>
                <w:color w:val="auto"/>
                <w:sz w:val="18"/>
                <w:szCs w:val="8"/>
                <w:highlight w:val="none"/>
              </w:rPr>
            </w:pPr>
          </w:p>
        </w:tc>
        <w:tc>
          <w:tcPr>
            <w:tcW w:w="940" w:type="pct"/>
            <w:vMerge w:val="continue"/>
            <w:shd w:val="clear" w:color="auto" w:fill="auto"/>
            <w:vAlign w:val="center"/>
          </w:tcPr>
          <w:p w14:paraId="0232876D">
            <w:pPr>
              <w:rPr>
                <w:color w:val="auto"/>
                <w:sz w:val="18"/>
                <w:szCs w:val="8"/>
                <w:highlight w:val="none"/>
              </w:rPr>
            </w:pPr>
          </w:p>
        </w:tc>
        <w:tc>
          <w:tcPr>
            <w:tcW w:w="2601" w:type="pct"/>
            <w:gridSpan w:val="3"/>
            <w:shd w:val="clear" w:color="auto" w:fill="auto"/>
          </w:tcPr>
          <w:p w14:paraId="37159064">
            <w:pPr>
              <w:rPr>
                <w:color w:val="auto"/>
                <w:sz w:val="18"/>
                <w:szCs w:val="8"/>
                <w:highlight w:val="none"/>
              </w:rPr>
            </w:pPr>
            <w:r>
              <w:rPr>
                <w:rFonts w:hint="eastAsia"/>
                <w:color w:val="auto"/>
                <w:sz w:val="18"/>
                <w:szCs w:val="8"/>
                <w:highlight w:val="none"/>
              </w:rPr>
              <w:t>（3）软件支持多种类型的控制器综合仿真应用，包含PLC、运动控制、机器视觉、工业机器人示教器、以及嵌入式单片机控制器等；</w:t>
            </w:r>
          </w:p>
        </w:tc>
        <w:tc>
          <w:tcPr>
            <w:tcW w:w="404" w:type="pct"/>
            <w:gridSpan w:val="2"/>
            <w:vMerge w:val="continue"/>
            <w:shd w:val="clear" w:color="auto" w:fill="auto"/>
            <w:vAlign w:val="center"/>
          </w:tcPr>
          <w:p w14:paraId="2E0D85A8">
            <w:pPr>
              <w:rPr>
                <w:color w:val="auto"/>
                <w:sz w:val="18"/>
                <w:szCs w:val="8"/>
                <w:highlight w:val="none"/>
              </w:rPr>
            </w:pPr>
          </w:p>
        </w:tc>
      </w:tr>
      <w:tr w14:paraId="4245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jc w:val="center"/>
        </w:trPr>
        <w:tc>
          <w:tcPr>
            <w:tcW w:w="157" w:type="pct"/>
            <w:vMerge w:val="continue"/>
            <w:shd w:val="clear" w:color="auto" w:fill="auto"/>
            <w:vAlign w:val="center"/>
          </w:tcPr>
          <w:p w14:paraId="6ED68B61">
            <w:pPr>
              <w:rPr>
                <w:color w:val="auto"/>
                <w:sz w:val="18"/>
                <w:szCs w:val="8"/>
                <w:highlight w:val="none"/>
              </w:rPr>
            </w:pPr>
          </w:p>
        </w:tc>
        <w:tc>
          <w:tcPr>
            <w:tcW w:w="427" w:type="pct"/>
            <w:vMerge w:val="continue"/>
            <w:shd w:val="clear" w:color="auto" w:fill="auto"/>
            <w:vAlign w:val="center"/>
          </w:tcPr>
          <w:p w14:paraId="6636BB11">
            <w:pPr>
              <w:rPr>
                <w:color w:val="auto"/>
                <w:sz w:val="18"/>
                <w:szCs w:val="8"/>
                <w:highlight w:val="none"/>
              </w:rPr>
            </w:pPr>
          </w:p>
        </w:tc>
        <w:tc>
          <w:tcPr>
            <w:tcW w:w="460" w:type="pct"/>
            <w:vMerge w:val="continue"/>
            <w:shd w:val="clear" w:color="auto" w:fill="auto"/>
            <w:vAlign w:val="center"/>
          </w:tcPr>
          <w:p w14:paraId="290ADA0E">
            <w:pPr>
              <w:rPr>
                <w:color w:val="auto"/>
                <w:sz w:val="18"/>
                <w:szCs w:val="8"/>
                <w:highlight w:val="none"/>
              </w:rPr>
            </w:pPr>
          </w:p>
        </w:tc>
        <w:tc>
          <w:tcPr>
            <w:tcW w:w="940" w:type="pct"/>
            <w:vMerge w:val="restart"/>
            <w:shd w:val="clear" w:color="auto" w:fill="auto"/>
            <w:vAlign w:val="center"/>
          </w:tcPr>
          <w:p w14:paraId="04B6BF8C">
            <w:pPr>
              <w:rPr>
                <w:color w:val="auto"/>
                <w:sz w:val="18"/>
                <w:szCs w:val="8"/>
                <w:highlight w:val="none"/>
              </w:rPr>
            </w:pPr>
            <w:r>
              <w:rPr>
                <w:rFonts w:hint="eastAsia"/>
                <w:color w:val="auto"/>
                <w:sz w:val="18"/>
                <w:szCs w:val="8"/>
                <w:highlight w:val="none"/>
              </w:rPr>
              <w:t>2、三维工程设计</w:t>
            </w:r>
          </w:p>
        </w:tc>
        <w:tc>
          <w:tcPr>
            <w:tcW w:w="2601" w:type="pct"/>
            <w:gridSpan w:val="3"/>
            <w:shd w:val="clear" w:color="auto" w:fill="auto"/>
          </w:tcPr>
          <w:p w14:paraId="67790B32">
            <w:pPr>
              <w:rPr>
                <w:color w:val="auto"/>
                <w:sz w:val="18"/>
                <w:szCs w:val="8"/>
                <w:highlight w:val="none"/>
              </w:rPr>
            </w:pPr>
            <w:r>
              <w:rPr>
                <w:rFonts w:hint="eastAsia"/>
                <w:color w:val="auto"/>
                <w:sz w:val="18"/>
                <w:szCs w:val="8"/>
                <w:highlight w:val="none"/>
              </w:rPr>
              <w:t>（1）软件配套丰富的工程模型库，支持用户拖拽式建模，包含工业机器人、数控机床、输送带、气动零件库以及工业零件组件库等；</w:t>
            </w:r>
          </w:p>
        </w:tc>
        <w:tc>
          <w:tcPr>
            <w:tcW w:w="404" w:type="pct"/>
            <w:gridSpan w:val="2"/>
            <w:vMerge w:val="continue"/>
            <w:shd w:val="clear" w:color="auto" w:fill="auto"/>
            <w:vAlign w:val="center"/>
          </w:tcPr>
          <w:p w14:paraId="207F742D">
            <w:pPr>
              <w:rPr>
                <w:color w:val="auto"/>
                <w:sz w:val="18"/>
                <w:szCs w:val="8"/>
                <w:highlight w:val="none"/>
              </w:rPr>
            </w:pPr>
          </w:p>
        </w:tc>
      </w:tr>
      <w:tr w14:paraId="583B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DA0D3E9">
            <w:pPr>
              <w:rPr>
                <w:color w:val="auto"/>
                <w:sz w:val="18"/>
                <w:szCs w:val="8"/>
                <w:highlight w:val="none"/>
              </w:rPr>
            </w:pPr>
          </w:p>
        </w:tc>
        <w:tc>
          <w:tcPr>
            <w:tcW w:w="427" w:type="pct"/>
            <w:vMerge w:val="continue"/>
            <w:shd w:val="clear" w:color="auto" w:fill="auto"/>
            <w:vAlign w:val="center"/>
          </w:tcPr>
          <w:p w14:paraId="10869A0C">
            <w:pPr>
              <w:rPr>
                <w:color w:val="auto"/>
                <w:sz w:val="18"/>
                <w:szCs w:val="8"/>
                <w:highlight w:val="none"/>
              </w:rPr>
            </w:pPr>
          </w:p>
        </w:tc>
        <w:tc>
          <w:tcPr>
            <w:tcW w:w="460" w:type="pct"/>
            <w:vMerge w:val="continue"/>
            <w:shd w:val="clear" w:color="auto" w:fill="auto"/>
            <w:vAlign w:val="center"/>
          </w:tcPr>
          <w:p w14:paraId="06427779">
            <w:pPr>
              <w:rPr>
                <w:color w:val="auto"/>
                <w:sz w:val="18"/>
                <w:szCs w:val="8"/>
                <w:highlight w:val="none"/>
              </w:rPr>
            </w:pPr>
          </w:p>
        </w:tc>
        <w:tc>
          <w:tcPr>
            <w:tcW w:w="940" w:type="pct"/>
            <w:vMerge w:val="continue"/>
            <w:shd w:val="clear" w:color="auto" w:fill="auto"/>
            <w:vAlign w:val="center"/>
          </w:tcPr>
          <w:p w14:paraId="6BB7769E">
            <w:pPr>
              <w:rPr>
                <w:color w:val="auto"/>
                <w:sz w:val="18"/>
                <w:szCs w:val="8"/>
                <w:highlight w:val="none"/>
              </w:rPr>
            </w:pPr>
          </w:p>
        </w:tc>
        <w:tc>
          <w:tcPr>
            <w:tcW w:w="2601" w:type="pct"/>
            <w:gridSpan w:val="3"/>
            <w:shd w:val="clear" w:color="auto" w:fill="auto"/>
          </w:tcPr>
          <w:p w14:paraId="572EB86F">
            <w:pPr>
              <w:rPr>
                <w:color w:val="auto"/>
                <w:sz w:val="18"/>
                <w:szCs w:val="8"/>
                <w:highlight w:val="none"/>
              </w:rPr>
            </w:pPr>
            <w:r>
              <w:rPr>
                <w:rFonts w:hint="eastAsia"/>
                <w:color w:val="auto"/>
                <w:sz w:val="18"/>
                <w:szCs w:val="8"/>
                <w:highlight w:val="none"/>
              </w:rPr>
              <w:t>（2）具有用户自定义模型库，支持STP、STEP、IGS、IGES、FBX模型导入编辑，支持模型的一键简化功能，支持对模型的尺寸、中心点、材质、模型树修改、用户自定义贴图纹理功能；</w:t>
            </w:r>
          </w:p>
        </w:tc>
        <w:tc>
          <w:tcPr>
            <w:tcW w:w="404" w:type="pct"/>
            <w:gridSpan w:val="2"/>
            <w:vMerge w:val="continue"/>
            <w:shd w:val="clear" w:color="auto" w:fill="auto"/>
            <w:vAlign w:val="center"/>
          </w:tcPr>
          <w:p w14:paraId="40ED4FC9">
            <w:pPr>
              <w:rPr>
                <w:color w:val="auto"/>
                <w:sz w:val="18"/>
                <w:szCs w:val="8"/>
                <w:highlight w:val="none"/>
              </w:rPr>
            </w:pPr>
          </w:p>
        </w:tc>
      </w:tr>
      <w:tr w14:paraId="6DF6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FBD7C7A">
            <w:pPr>
              <w:rPr>
                <w:color w:val="auto"/>
                <w:sz w:val="18"/>
                <w:szCs w:val="8"/>
                <w:highlight w:val="none"/>
              </w:rPr>
            </w:pPr>
          </w:p>
        </w:tc>
        <w:tc>
          <w:tcPr>
            <w:tcW w:w="427" w:type="pct"/>
            <w:vMerge w:val="continue"/>
            <w:shd w:val="clear" w:color="auto" w:fill="auto"/>
            <w:vAlign w:val="center"/>
          </w:tcPr>
          <w:p w14:paraId="207AF71A">
            <w:pPr>
              <w:rPr>
                <w:color w:val="auto"/>
                <w:sz w:val="18"/>
                <w:szCs w:val="8"/>
                <w:highlight w:val="none"/>
              </w:rPr>
            </w:pPr>
          </w:p>
        </w:tc>
        <w:tc>
          <w:tcPr>
            <w:tcW w:w="460" w:type="pct"/>
            <w:vMerge w:val="continue"/>
            <w:shd w:val="clear" w:color="auto" w:fill="auto"/>
            <w:vAlign w:val="center"/>
          </w:tcPr>
          <w:p w14:paraId="1FDDC4BA">
            <w:pPr>
              <w:rPr>
                <w:color w:val="auto"/>
                <w:sz w:val="18"/>
                <w:szCs w:val="8"/>
                <w:highlight w:val="none"/>
              </w:rPr>
            </w:pPr>
          </w:p>
        </w:tc>
        <w:tc>
          <w:tcPr>
            <w:tcW w:w="940" w:type="pct"/>
            <w:vMerge w:val="continue"/>
            <w:shd w:val="clear" w:color="auto" w:fill="auto"/>
            <w:vAlign w:val="center"/>
          </w:tcPr>
          <w:p w14:paraId="729E0CD9">
            <w:pPr>
              <w:rPr>
                <w:color w:val="auto"/>
                <w:sz w:val="18"/>
                <w:szCs w:val="8"/>
                <w:highlight w:val="none"/>
              </w:rPr>
            </w:pPr>
          </w:p>
        </w:tc>
        <w:tc>
          <w:tcPr>
            <w:tcW w:w="2601" w:type="pct"/>
            <w:gridSpan w:val="3"/>
            <w:shd w:val="clear" w:color="auto" w:fill="auto"/>
          </w:tcPr>
          <w:p w14:paraId="397228E4">
            <w:pPr>
              <w:rPr>
                <w:color w:val="auto"/>
                <w:sz w:val="18"/>
                <w:szCs w:val="8"/>
                <w:highlight w:val="none"/>
              </w:rPr>
            </w:pPr>
            <w:r>
              <w:rPr>
                <w:rFonts w:hint="eastAsia"/>
                <w:color w:val="auto"/>
                <w:sz w:val="18"/>
                <w:szCs w:val="8"/>
                <w:highlight w:val="none"/>
              </w:rPr>
              <w:t>（3）厂家具有该三维模型编辑器软件的自主知识产权；</w:t>
            </w:r>
          </w:p>
        </w:tc>
        <w:tc>
          <w:tcPr>
            <w:tcW w:w="404" w:type="pct"/>
            <w:gridSpan w:val="2"/>
            <w:vMerge w:val="continue"/>
            <w:shd w:val="clear" w:color="auto" w:fill="auto"/>
            <w:vAlign w:val="center"/>
          </w:tcPr>
          <w:p w14:paraId="43A447E7">
            <w:pPr>
              <w:rPr>
                <w:color w:val="auto"/>
                <w:sz w:val="18"/>
                <w:szCs w:val="8"/>
                <w:highlight w:val="none"/>
              </w:rPr>
            </w:pPr>
          </w:p>
        </w:tc>
      </w:tr>
      <w:tr w14:paraId="6123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0678484">
            <w:pPr>
              <w:rPr>
                <w:color w:val="auto"/>
                <w:sz w:val="18"/>
                <w:szCs w:val="8"/>
                <w:highlight w:val="none"/>
              </w:rPr>
            </w:pPr>
          </w:p>
        </w:tc>
        <w:tc>
          <w:tcPr>
            <w:tcW w:w="427" w:type="pct"/>
            <w:vMerge w:val="continue"/>
            <w:shd w:val="clear" w:color="auto" w:fill="auto"/>
            <w:vAlign w:val="center"/>
          </w:tcPr>
          <w:p w14:paraId="02DC1801">
            <w:pPr>
              <w:rPr>
                <w:color w:val="auto"/>
                <w:sz w:val="18"/>
                <w:szCs w:val="8"/>
                <w:highlight w:val="none"/>
              </w:rPr>
            </w:pPr>
          </w:p>
        </w:tc>
        <w:tc>
          <w:tcPr>
            <w:tcW w:w="460" w:type="pct"/>
            <w:vMerge w:val="continue"/>
            <w:shd w:val="clear" w:color="auto" w:fill="auto"/>
            <w:vAlign w:val="center"/>
          </w:tcPr>
          <w:p w14:paraId="7426C0D3">
            <w:pPr>
              <w:rPr>
                <w:color w:val="auto"/>
                <w:sz w:val="18"/>
                <w:szCs w:val="8"/>
                <w:highlight w:val="none"/>
              </w:rPr>
            </w:pPr>
          </w:p>
        </w:tc>
        <w:tc>
          <w:tcPr>
            <w:tcW w:w="940" w:type="pct"/>
            <w:vMerge w:val="restart"/>
            <w:shd w:val="clear" w:color="auto" w:fill="auto"/>
            <w:vAlign w:val="center"/>
          </w:tcPr>
          <w:p w14:paraId="379BE5BE">
            <w:pPr>
              <w:rPr>
                <w:color w:val="auto"/>
                <w:sz w:val="18"/>
                <w:szCs w:val="8"/>
                <w:highlight w:val="none"/>
              </w:rPr>
            </w:pPr>
            <w:r>
              <w:rPr>
                <w:rFonts w:hint="eastAsia"/>
                <w:color w:val="auto"/>
                <w:sz w:val="18"/>
                <w:szCs w:val="8"/>
                <w:highlight w:val="none"/>
              </w:rPr>
              <w:t>3、虚拟电气仿真</w:t>
            </w:r>
          </w:p>
        </w:tc>
        <w:tc>
          <w:tcPr>
            <w:tcW w:w="2601" w:type="pct"/>
            <w:gridSpan w:val="3"/>
            <w:shd w:val="clear" w:color="auto" w:fill="auto"/>
          </w:tcPr>
          <w:p w14:paraId="74C30E70">
            <w:pPr>
              <w:rPr>
                <w:color w:val="auto"/>
                <w:sz w:val="18"/>
                <w:szCs w:val="8"/>
                <w:highlight w:val="none"/>
              </w:rPr>
            </w:pPr>
            <w:r>
              <w:rPr>
                <w:rFonts w:hint="eastAsia"/>
                <w:color w:val="auto"/>
                <w:sz w:val="18"/>
                <w:szCs w:val="8"/>
                <w:highlight w:val="none"/>
              </w:rPr>
              <w:t>（1）电气面板功能：支持自定义添加多控制器仿真，包含PLC、机器人示教器、运动控制、机器视觉、以及嵌入式控制器等，每套控制器均具有独立的电气接口面板，可通过拖拽式配置接线，支持导出接线Excel电气图表；</w:t>
            </w:r>
          </w:p>
        </w:tc>
        <w:tc>
          <w:tcPr>
            <w:tcW w:w="404" w:type="pct"/>
            <w:gridSpan w:val="2"/>
            <w:vMerge w:val="continue"/>
            <w:shd w:val="clear" w:color="auto" w:fill="auto"/>
            <w:vAlign w:val="center"/>
          </w:tcPr>
          <w:p w14:paraId="3757CEB1">
            <w:pPr>
              <w:rPr>
                <w:color w:val="auto"/>
                <w:sz w:val="18"/>
                <w:szCs w:val="8"/>
                <w:highlight w:val="none"/>
              </w:rPr>
            </w:pPr>
          </w:p>
        </w:tc>
      </w:tr>
      <w:tr w14:paraId="7E54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7C6AD6E">
            <w:pPr>
              <w:rPr>
                <w:color w:val="auto"/>
                <w:sz w:val="18"/>
                <w:szCs w:val="8"/>
                <w:highlight w:val="none"/>
              </w:rPr>
            </w:pPr>
          </w:p>
        </w:tc>
        <w:tc>
          <w:tcPr>
            <w:tcW w:w="427" w:type="pct"/>
            <w:vMerge w:val="continue"/>
            <w:shd w:val="clear" w:color="auto" w:fill="auto"/>
            <w:vAlign w:val="center"/>
          </w:tcPr>
          <w:p w14:paraId="5123F845">
            <w:pPr>
              <w:rPr>
                <w:color w:val="auto"/>
                <w:sz w:val="18"/>
                <w:szCs w:val="8"/>
                <w:highlight w:val="none"/>
              </w:rPr>
            </w:pPr>
          </w:p>
        </w:tc>
        <w:tc>
          <w:tcPr>
            <w:tcW w:w="460" w:type="pct"/>
            <w:vMerge w:val="continue"/>
            <w:shd w:val="clear" w:color="auto" w:fill="auto"/>
            <w:vAlign w:val="center"/>
          </w:tcPr>
          <w:p w14:paraId="4BA9629D">
            <w:pPr>
              <w:rPr>
                <w:color w:val="auto"/>
                <w:sz w:val="18"/>
                <w:szCs w:val="8"/>
                <w:highlight w:val="none"/>
              </w:rPr>
            </w:pPr>
          </w:p>
        </w:tc>
        <w:tc>
          <w:tcPr>
            <w:tcW w:w="940" w:type="pct"/>
            <w:vMerge w:val="continue"/>
            <w:shd w:val="clear" w:color="auto" w:fill="auto"/>
            <w:vAlign w:val="center"/>
          </w:tcPr>
          <w:p w14:paraId="7F3B0A1F">
            <w:pPr>
              <w:rPr>
                <w:color w:val="auto"/>
                <w:sz w:val="18"/>
                <w:szCs w:val="8"/>
                <w:highlight w:val="none"/>
              </w:rPr>
            </w:pPr>
          </w:p>
        </w:tc>
        <w:tc>
          <w:tcPr>
            <w:tcW w:w="2601" w:type="pct"/>
            <w:gridSpan w:val="3"/>
            <w:shd w:val="clear" w:color="auto" w:fill="auto"/>
          </w:tcPr>
          <w:p w14:paraId="7B7C1ACF">
            <w:pPr>
              <w:rPr>
                <w:color w:val="auto"/>
                <w:sz w:val="18"/>
                <w:szCs w:val="8"/>
                <w:highlight w:val="none"/>
              </w:rPr>
            </w:pPr>
            <w:r>
              <w:rPr>
                <w:rFonts w:hint="eastAsia"/>
                <w:color w:val="auto"/>
                <w:sz w:val="18"/>
                <w:szCs w:val="8"/>
                <w:highlight w:val="none"/>
              </w:rPr>
              <w:t>（2）、模拟电路仿真：内置虚拟电气画图软件，具有多种电气2D图库（包含PLC、电磁阀、气动阀、变频器、伺服驱动器等），基于虚拟电气接线软件能够与虚拟工厂、控制器构建控制与驱动仿真功能；</w:t>
            </w:r>
          </w:p>
        </w:tc>
        <w:tc>
          <w:tcPr>
            <w:tcW w:w="404" w:type="pct"/>
            <w:gridSpan w:val="2"/>
            <w:vMerge w:val="continue"/>
            <w:shd w:val="clear" w:color="auto" w:fill="auto"/>
            <w:vAlign w:val="center"/>
          </w:tcPr>
          <w:p w14:paraId="3BC591DD">
            <w:pPr>
              <w:rPr>
                <w:color w:val="auto"/>
                <w:sz w:val="18"/>
                <w:szCs w:val="8"/>
                <w:highlight w:val="none"/>
              </w:rPr>
            </w:pPr>
          </w:p>
        </w:tc>
      </w:tr>
      <w:tr w14:paraId="3ECA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A36D42F">
            <w:pPr>
              <w:rPr>
                <w:color w:val="auto"/>
                <w:sz w:val="18"/>
                <w:szCs w:val="8"/>
                <w:highlight w:val="none"/>
              </w:rPr>
            </w:pPr>
          </w:p>
        </w:tc>
        <w:tc>
          <w:tcPr>
            <w:tcW w:w="427" w:type="pct"/>
            <w:vMerge w:val="continue"/>
            <w:shd w:val="clear" w:color="auto" w:fill="auto"/>
            <w:vAlign w:val="center"/>
          </w:tcPr>
          <w:p w14:paraId="578A5B77">
            <w:pPr>
              <w:rPr>
                <w:color w:val="auto"/>
                <w:sz w:val="18"/>
                <w:szCs w:val="8"/>
                <w:highlight w:val="none"/>
              </w:rPr>
            </w:pPr>
          </w:p>
        </w:tc>
        <w:tc>
          <w:tcPr>
            <w:tcW w:w="460" w:type="pct"/>
            <w:vMerge w:val="continue"/>
            <w:shd w:val="clear" w:color="auto" w:fill="auto"/>
            <w:vAlign w:val="center"/>
          </w:tcPr>
          <w:p w14:paraId="144CF675">
            <w:pPr>
              <w:rPr>
                <w:color w:val="auto"/>
                <w:sz w:val="18"/>
                <w:szCs w:val="8"/>
                <w:highlight w:val="none"/>
              </w:rPr>
            </w:pPr>
          </w:p>
        </w:tc>
        <w:tc>
          <w:tcPr>
            <w:tcW w:w="940" w:type="pct"/>
            <w:vMerge w:val="restart"/>
            <w:shd w:val="clear" w:color="auto" w:fill="auto"/>
            <w:vAlign w:val="center"/>
          </w:tcPr>
          <w:p w14:paraId="5BE6921B">
            <w:pPr>
              <w:rPr>
                <w:color w:val="auto"/>
                <w:sz w:val="18"/>
                <w:szCs w:val="8"/>
                <w:highlight w:val="none"/>
              </w:rPr>
            </w:pPr>
            <w:r>
              <w:rPr>
                <w:rFonts w:hint="eastAsia"/>
                <w:color w:val="auto"/>
                <w:sz w:val="18"/>
                <w:szCs w:val="8"/>
                <w:highlight w:val="none"/>
              </w:rPr>
              <w:t>4、数字孪生仿真</w:t>
            </w:r>
          </w:p>
        </w:tc>
        <w:tc>
          <w:tcPr>
            <w:tcW w:w="2601" w:type="pct"/>
            <w:gridSpan w:val="3"/>
            <w:shd w:val="clear" w:color="auto" w:fill="auto"/>
          </w:tcPr>
          <w:p w14:paraId="05B5F8A0">
            <w:pPr>
              <w:rPr>
                <w:color w:val="auto"/>
                <w:sz w:val="18"/>
                <w:szCs w:val="8"/>
                <w:highlight w:val="none"/>
              </w:rPr>
            </w:pPr>
            <w:r>
              <w:rPr>
                <w:rFonts w:hint="eastAsia"/>
                <w:color w:val="auto"/>
                <w:sz w:val="18"/>
                <w:szCs w:val="8"/>
                <w:highlight w:val="none"/>
              </w:rPr>
              <w:t>（1）PLC仿真功能：软件支持多品牌PLC虚拟仿真、虚实仿真功能，至少包含西门子PLC、三菱PLC等；</w:t>
            </w:r>
          </w:p>
        </w:tc>
        <w:tc>
          <w:tcPr>
            <w:tcW w:w="404" w:type="pct"/>
            <w:gridSpan w:val="2"/>
            <w:vMerge w:val="continue"/>
            <w:shd w:val="clear" w:color="auto" w:fill="auto"/>
            <w:vAlign w:val="center"/>
          </w:tcPr>
          <w:p w14:paraId="734D5FBC">
            <w:pPr>
              <w:rPr>
                <w:color w:val="auto"/>
                <w:sz w:val="18"/>
                <w:szCs w:val="8"/>
                <w:highlight w:val="none"/>
              </w:rPr>
            </w:pPr>
          </w:p>
        </w:tc>
      </w:tr>
      <w:tr w14:paraId="0B43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BE4D64B">
            <w:pPr>
              <w:rPr>
                <w:color w:val="auto"/>
                <w:sz w:val="18"/>
                <w:szCs w:val="8"/>
                <w:highlight w:val="none"/>
              </w:rPr>
            </w:pPr>
          </w:p>
        </w:tc>
        <w:tc>
          <w:tcPr>
            <w:tcW w:w="427" w:type="pct"/>
            <w:vMerge w:val="continue"/>
            <w:shd w:val="clear" w:color="auto" w:fill="auto"/>
            <w:vAlign w:val="center"/>
          </w:tcPr>
          <w:p w14:paraId="7AECF023">
            <w:pPr>
              <w:rPr>
                <w:color w:val="auto"/>
                <w:sz w:val="18"/>
                <w:szCs w:val="8"/>
                <w:highlight w:val="none"/>
              </w:rPr>
            </w:pPr>
          </w:p>
        </w:tc>
        <w:tc>
          <w:tcPr>
            <w:tcW w:w="460" w:type="pct"/>
            <w:vMerge w:val="continue"/>
            <w:shd w:val="clear" w:color="auto" w:fill="auto"/>
            <w:vAlign w:val="center"/>
          </w:tcPr>
          <w:p w14:paraId="49082E5C">
            <w:pPr>
              <w:rPr>
                <w:color w:val="auto"/>
                <w:sz w:val="18"/>
                <w:szCs w:val="8"/>
                <w:highlight w:val="none"/>
              </w:rPr>
            </w:pPr>
          </w:p>
        </w:tc>
        <w:tc>
          <w:tcPr>
            <w:tcW w:w="940" w:type="pct"/>
            <w:vMerge w:val="continue"/>
            <w:shd w:val="clear" w:color="auto" w:fill="auto"/>
            <w:vAlign w:val="center"/>
          </w:tcPr>
          <w:p w14:paraId="39469310">
            <w:pPr>
              <w:rPr>
                <w:color w:val="auto"/>
                <w:sz w:val="18"/>
                <w:szCs w:val="8"/>
                <w:highlight w:val="none"/>
              </w:rPr>
            </w:pPr>
          </w:p>
        </w:tc>
        <w:tc>
          <w:tcPr>
            <w:tcW w:w="2601" w:type="pct"/>
            <w:gridSpan w:val="3"/>
            <w:shd w:val="clear" w:color="auto" w:fill="auto"/>
          </w:tcPr>
          <w:p w14:paraId="7EA8AB09">
            <w:pPr>
              <w:rPr>
                <w:color w:val="auto"/>
                <w:sz w:val="18"/>
                <w:szCs w:val="8"/>
                <w:highlight w:val="none"/>
              </w:rPr>
            </w:pPr>
            <w:r>
              <w:rPr>
                <w:rFonts w:hint="eastAsia"/>
                <w:color w:val="auto"/>
                <w:sz w:val="18"/>
                <w:szCs w:val="8"/>
                <w:highlight w:val="none"/>
              </w:rPr>
              <w:t>（2）工业机器人仿真：软件支持多品牌机器人示教编程，至少支持ABB机器人、埃夫特机器人、KEBA机器人等；</w:t>
            </w:r>
          </w:p>
        </w:tc>
        <w:tc>
          <w:tcPr>
            <w:tcW w:w="404" w:type="pct"/>
            <w:gridSpan w:val="2"/>
            <w:vMerge w:val="continue"/>
            <w:shd w:val="clear" w:color="auto" w:fill="auto"/>
            <w:vAlign w:val="center"/>
          </w:tcPr>
          <w:p w14:paraId="4D62EB68">
            <w:pPr>
              <w:rPr>
                <w:color w:val="auto"/>
                <w:sz w:val="18"/>
                <w:szCs w:val="8"/>
                <w:highlight w:val="none"/>
              </w:rPr>
            </w:pPr>
          </w:p>
        </w:tc>
      </w:tr>
      <w:tr w14:paraId="6D7D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875A6D8">
            <w:pPr>
              <w:rPr>
                <w:color w:val="auto"/>
                <w:sz w:val="18"/>
                <w:szCs w:val="8"/>
                <w:highlight w:val="none"/>
              </w:rPr>
            </w:pPr>
          </w:p>
        </w:tc>
        <w:tc>
          <w:tcPr>
            <w:tcW w:w="427" w:type="pct"/>
            <w:vMerge w:val="continue"/>
            <w:shd w:val="clear" w:color="auto" w:fill="auto"/>
            <w:vAlign w:val="center"/>
          </w:tcPr>
          <w:p w14:paraId="76B8AB0C">
            <w:pPr>
              <w:rPr>
                <w:color w:val="auto"/>
                <w:sz w:val="18"/>
                <w:szCs w:val="8"/>
                <w:highlight w:val="none"/>
              </w:rPr>
            </w:pPr>
          </w:p>
        </w:tc>
        <w:tc>
          <w:tcPr>
            <w:tcW w:w="460" w:type="pct"/>
            <w:vMerge w:val="continue"/>
            <w:shd w:val="clear" w:color="auto" w:fill="auto"/>
            <w:vAlign w:val="center"/>
          </w:tcPr>
          <w:p w14:paraId="5E7448B7">
            <w:pPr>
              <w:rPr>
                <w:color w:val="auto"/>
                <w:sz w:val="18"/>
                <w:szCs w:val="8"/>
                <w:highlight w:val="none"/>
              </w:rPr>
            </w:pPr>
          </w:p>
        </w:tc>
        <w:tc>
          <w:tcPr>
            <w:tcW w:w="940" w:type="pct"/>
            <w:vMerge w:val="continue"/>
            <w:shd w:val="clear" w:color="auto" w:fill="auto"/>
            <w:vAlign w:val="center"/>
          </w:tcPr>
          <w:p w14:paraId="660CE3CE">
            <w:pPr>
              <w:rPr>
                <w:color w:val="auto"/>
                <w:sz w:val="18"/>
                <w:szCs w:val="8"/>
                <w:highlight w:val="none"/>
              </w:rPr>
            </w:pPr>
          </w:p>
        </w:tc>
        <w:tc>
          <w:tcPr>
            <w:tcW w:w="2601" w:type="pct"/>
            <w:gridSpan w:val="3"/>
            <w:shd w:val="clear" w:color="auto" w:fill="auto"/>
          </w:tcPr>
          <w:p w14:paraId="7906CBF4">
            <w:pPr>
              <w:rPr>
                <w:color w:val="auto"/>
                <w:sz w:val="18"/>
                <w:szCs w:val="8"/>
                <w:highlight w:val="none"/>
              </w:rPr>
            </w:pPr>
            <w:r>
              <w:rPr>
                <w:rFonts w:hint="eastAsia"/>
                <w:color w:val="auto"/>
                <w:sz w:val="18"/>
                <w:szCs w:val="8"/>
                <w:highlight w:val="none"/>
              </w:rPr>
              <w:t>（3）机器视觉仿真：支持机器视觉仿真功能，内置单目、双目、调焦等多种视觉控件，能够实现虚拟工厂视觉检测仿真；</w:t>
            </w:r>
          </w:p>
        </w:tc>
        <w:tc>
          <w:tcPr>
            <w:tcW w:w="404" w:type="pct"/>
            <w:gridSpan w:val="2"/>
            <w:vMerge w:val="continue"/>
            <w:shd w:val="clear" w:color="auto" w:fill="auto"/>
            <w:vAlign w:val="center"/>
          </w:tcPr>
          <w:p w14:paraId="27037F54">
            <w:pPr>
              <w:rPr>
                <w:color w:val="auto"/>
                <w:sz w:val="18"/>
                <w:szCs w:val="8"/>
                <w:highlight w:val="none"/>
              </w:rPr>
            </w:pPr>
          </w:p>
        </w:tc>
      </w:tr>
      <w:tr w14:paraId="50AE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E83514D">
            <w:pPr>
              <w:rPr>
                <w:color w:val="auto"/>
                <w:sz w:val="18"/>
                <w:szCs w:val="8"/>
                <w:highlight w:val="none"/>
              </w:rPr>
            </w:pPr>
          </w:p>
        </w:tc>
        <w:tc>
          <w:tcPr>
            <w:tcW w:w="427" w:type="pct"/>
            <w:vMerge w:val="continue"/>
            <w:shd w:val="clear" w:color="auto" w:fill="auto"/>
            <w:vAlign w:val="center"/>
          </w:tcPr>
          <w:p w14:paraId="61E948EA">
            <w:pPr>
              <w:rPr>
                <w:color w:val="auto"/>
                <w:sz w:val="18"/>
                <w:szCs w:val="8"/>
                <w:highlight w:val="none"/>
              </w:rPr>
            </w:pPr>
          </w:p>
        </w:tc>
        <w:tc>
          <w:tcPr>
            <w:tcW w:w="460" w:type="pct"/>
            <w:vMerge w:val="continue"/>
            <w:shd w:val="clear" w:color="auto" w:fill="auto"/>
            <w:vAlign w:val="center"/>
          </w:tcPr>
          <w:p w14:paraId="19EA6118">
            <w:pPr>
              <w:rPr>
                <w:color w:val="auto"/>
                <w:sz w:val="18"/>
                <w:szCs w:val="8"/>
                <w:highlight w:val="none"/>
              </w:rPr>
            </w:pPr>
          </w:p>
        </w:tc>
        <w:tc>
          <w:tcPr>
            <w:tcW w:w="940" w:type="pct"/>
            <w:vMerge w:val="continue"/>
            <w:shd w:val="clear" w:color="auto" w:fill="auto"/>
            <w:vAlign w:val="center"/>
          </w:tcPr>
          <w:p w14:paraId="7A454A4A">
            <w:pPr>
              <w:rPr>
                <w:color w:val="auto"/>
                <w:sz w:val="18"/>
                <w:szCs w:val="8"/>
                <w:highlight w:val="none"/>
              </w:rPr>
            </w:pPr>
          </w:p>
        </w:tc>
        <w:tc>
          <w:tcPr>
            <w:tcW w:w="2601" w:type="pct"/>
            <w:gridSpan w:val="3"/>
            <w:shd w:val="clear" w:color="auto" w:fill="auto"/>
          </w:tcPr>
          <w:p w14:paraId="2F9068D3">
            <w:pPr>
              <w:rPr>
                <w:color w:val="auto"/>
                <w:sz w:val="18"/>
                <w:szCs w:val="8"/>
                <w:highlight w:val="none"/>
              </w:rPr>
            </w:pPr>
            <w:r>
              <w:rPr>
                <w:rFonts w:hint="eastAsia"/>
                <w:color w:val="auto"/>
                <w:sz w:val="18"/>
                <w:szCs w:val="8"/>
                <w:highlight w:val="none"/>
              </w:rPr>
              <w:t>（4）虚拟视觉控制器：配置虚拟机器视觉运动控制软件，支持Basic语言及梯形图编程，具有视觉检测以及PLC运动控制功能，软件种内置虚拟HMI组态触摸屏功能，虚拟示波器功能；</w:t>
            </w:r>
          </w:p>
        </w:tc>
        <w:tc>
          <w:tcPr>
            <w:tcW w:w="404" w:type="pct"/>
            <w:gridSpan w:val="2"/>
            <w:vMerge w:val="continue"/>
            <w:shd w:val="clear" w:color="auto" w:fill="auto"/>
            <w:vAlign w:val="center"/>
          </w:tcPr>
          <w:p w14:paraId="2B08643C">
            <w:pPr>
              <w:rPr>
                <w:color w:val="auto"/>
                <w:sz w:val="18"/>
                <w:szCs w:val="8"/>
                <w:highlight w:val="none"/>
              </w:rPr>
            </w:pPr>
          </w:p>
        </w:tc>
      </w:tr>
      <w:tr w14:paraId="2B64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CBD64C8">
            <w:pPr>
              <w:rPr>
                <w:color w:val="auto"/>
                <w:sz w:val="18"/>
                <w:szCs w:val="8"/>
                <w:highlight w:val="none"/>
              </w:rPr>
            </w:pPr>
          </w:p>
        </w:tc>
        <w:tc>
          <w:tcPr>
            <w:tcW w:w="427" w:type="pct"/>
            <w:vMerge w:val="continue"/>
            <w:shd w:val="clear" w:color="auto" w:fill="auto"/>
            <w:vAlign w:val="center"/>
          </w:tcPr>
          <w:p w14:paraId="36E872F5">
            <w:pPr>
              <w:rPr>
                <w:color w:val="auto"/>
                <w:sz w:val="18"/>
                <w:szCs w:val="8"/>
                <w:highlight w:val="none"/>
              </w:rPr>
            </w:pPr>
          </w:p>
        </w:tc>
        <w:tc>
          <w:tcPr>
            <w:tcW w:w="460" w:type="pct"/>
            <w:vMerge w:val="continue"/>
            <w:shd w:val="clear" w:color="auto" w:fill="auto"/>
            <w:vAlign w:val="center"/>
          </w:tcPr>
          <w:p w14:paraId="64CFC9D7">
            <w:pPr>
              <w:rPr>
                <w:color w:val="auto"/>
                <w:sz w:val="18"/>
                <w:szCs w:val="8"/>
                <w:highlight w:val="none"/>
              </w:rPr>
            </w:pPr>
          </w:p>
        </w:tc>
        <w:tc>
          <w:tcPr>
            <w:tcW w:w="940" w:type="pct"/>
            <w:vMerge w:val="continue"/>
            <w:shd w:val="clear" w:color="auto" w:fill="auto"/>
            <w:vAlign w:val="center"/>
          </w:tcPr>
          <w:p w14:paraId="44F55EA8">
            <w:pPr>
              <w:rPr>
                <w:color w:val="auto"/>
                <w:sz w:val="18"/>
                <w:szCs w:val="8"/>
                <w:highlight w:val="none"/>
              </w:rPr>
            </w:pPr>
          </w:p>
        </w:tc>
        <w:tc>
          <w:tcPr>
            <w:tcW w:w="2601" w:type="pct"/>
            <w:gridSpan w:val="3"/>
            <w:shd w:val="clear" w:color="auto" w:fill="auto"/>
          </w:tcPr>
          <w:p w14:paraId="277A3EF8">
            <w:pPr>
              <w:rPr>
                <w:color w:val="auto"/>
                <w:sz w:val="18"/>
                <w:szCs w:val="8"/>
                <w:highlight w:val="none"/>
              </w:rPr>
            </w:pPr>
            <w:r>
              <w:rPr>
                <w:rFonts w:hint="eastAsia"/>
                <w:color w:val="auto"/>
                <w:sz w:val="18"/>
                <w:szCs w:val="8"/>
                <w:highlight w:val="none"/>
              </w:rPr>
              <w:t>▲（5）图形化编程：软件内置图形化机器人编程软件，支持Python及Blockly编程，具有急停、手动/自动切换、IO、机器人示教等功能面板、集成SCARA、Delta、六轴串联、四轴码垛多种机器人控制，支持modbus-tcp通讯、MQTT通讯功能；（提供原厂盖章软件功能截屏证明）</w:t>
            </w:r>
          </w:p>
        </w:tc>
        <w:tc>
          <w:tcPr>
            <w:tcW w:w="404" w:type="pct"/>
            <w:gridSpan w:val="2"/>
            <w:vMerge w:val="continue"/>
            <w:shd w:val="clear" w:color="auto" w:fill="auto"/>
            <w:vAlign w:val="center"/>
          </w:tcPr>
          <w:p w14:paraId="2887DB13">
            <w:pPr>
              <w:rPr>
                <w:color w:val="auto"/>
                <w:sz w:val="18"/>
                <w:szCs w:val="8"/>
                <w:highlight w:val="none"/>
              </w:rPr>
            </w:pPr>
          </w:p>
        </w:tc>
      </w:tr>
      <w:tr w14:paraId="6E39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81B9D92">
            <w:pPr>
              <w:rPr>
                <w:color w:val="auto"/>
                <w:sz w:val="18"/>
                <w:szCs w:val="8"/>
                <w:highlight w:val="none"/>
              </w:rPr>
            </w:pPr>
          </w:p>
        </w:tc>
        <w:tc>
          <w:tcPr>
            <w:tcW w:w="427" w:type="pct"/>
            <w:vMerge w:val="continue"/>
            <w:shd w:val="clear" w:color="auto" w:fill="auto"/>
            <w:vAlign w:val="center"/>
          </w:tcPr>
          <w:p w14:paraId="05A24E34">
            <w:pPr>
              <w:rPr>
                <w:color w:val="auto"/>
                <w:sz w:val="18"/>
                <w:szCs w:val="8"/>
                <w:highlight w:val="none"/>
              </w:rPr>
            </w:pPr>
          </w:p>
        </w:tc>
        <w:tc>
          <w:tcPr>
            <w:tcW w:w="460" w:type="pct"/>
            <w:vMerge w:val="continue"/>
            <w:shd w:val="clear" w:color="auto" w:fill="auto"/>
            <w:vAlign w:val="center"/>
          </w:tcPr>
          <w:p w14:paraId="1B5BBB2A">
            <w:pPr>
              <w:rPr>
                <w:color w:val="auto"/>
                <w:sz w:val="18"/>
                <w:szCs w:val="8"/>
                <w:highlight w:val="none"/>
              </w:rPr>
            </w:pPr>
          </w:p>
        </w:tc>
        <w:tc>
          <w:tcPr>
            <w:tcW w:w="940" w:type="pct"/>
            <w:vMerge w:val="continue"/>
            <w:shd w:val="clear" w:color="auto" w:fill="auto"/>
            <w:vAlign w:val="center"/>
          </w:tcPr>
          <w:p w14:paraId="53A7488D">
            <w:pPr>
              <w:rPr>
                <w:color w:val="auto"/>
                <w:sz w:val="18"/>
                <w:szCs w:val="8"/>
                <w:highlight w:val="none"/>
              </w:rPr>
            </w:pPr>
          </w:p>
        </w:tc>
        <w:tc>
          <w:tcPr>
            <w:tcW w:w="2601" w:type="pct"/>
            <w:gridSpan w:val="3"/>
            <w:shd w:val="clear" w:color="auto" w:fill="auto"/>
          </w:tcPr>
          <w:p w14:paraId="55533258">
            <w:pPr>
              <w:rPr>
                <w:color w:val="auto"/>
                <w:sz w:val="18"/>
                <w:szCs w:val="8"/>
                <w:highlight w:val="none"/>
              </w:rPr>
            </w:pPr>
            <w:r>
              <w:rPr>
                <w:rFonts w:hint="eastAsia"/>
                <w:color w:val="auto"/>
                <w:sz w:val="18"/>
                <w:szCs w:val="8"/>
                <w:highlight w:val="none"/>
              </w:rPr>
              <w:t>（6）嵌入式单片机仿真：软件支持多种型号单片机接入仿真，包含STM32、ESP32以及Arduino等，能够实现单片机IO、模拟量的虚实仿真功能；</w:t>
            </w:r>
          </w:p>
        </w:tc>
        <w:tc>
          <w:tcPr>
            <w:tcW w:w="404" w:type="pct"/>
            <w:gridSpan w:val="2"/>
            <w:vMerge w:val="continue"/>
            <w:shd w:val="clear" w:color="auto" w:fill="auto"/>
            <w:vAlign w:val="center"/>
          </w:tcPr>
          <w:p w14:paraId="5952388B">
            <w:pPr>
              <w:rPr>
                <w:color w:val="auto"/>
                <w:sz w:val="18"/>
                <w:szCs w:val="8"/>
                <w:highlight w:val="none"/>
              </w:rPr>
            </w:pPr>
          </w:p>
        </w:tc>
      </w:tr>
      <w:tr w14:paraId="72AA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53F3088">
            <w:pPr>
              <w:rPr>
                <w:color w:val="auto"/>
                <w:sz w:val="18"/>
                <w:szCs w:val="8"/>
                <w:highlight w:val="none"/>
              </w:rPr>
            </w:pPr>
          </w:p>
        </w:tc>
        <w:tc>
          <w:tcPr>
            <w:tcW w:w="427" w:type="pct"/>
            <w:vMerge w:val="continue"/>
            <w:shd w:val="clear" w:color="auto" w:fill="auto"/>
            <w:vAlign w:val="center"/>
          </w:tcPr>
          <w:p w14:paraId="4B712B06">
            <w:pPr>
              <w:rPr>
                <w:color w:val="auto"/>
                <w:sz w:val="18"/>
                <w:szCs w:val="8"/>
                <w:highlight w:val="none"/>
              </w:rPr>
            </w:pPr>
          </w:p>
        </w:tc>
        <w:tc>
          <w:tcPr>
            <w:tcW w:w="460" w:type="pct"/>
            <w:vMerge w:val="continue"/>
            <w:shd w:val="clear" w:color="auto" w:fill="auto"/>
            <w:vAlign w:val="center"/>
          </w:tcPr>
          <w:p w14:paraId="38A54387">
            <w:pPr>
              <w:rPr>
                <w:color w:val="auto"/>
                <w:sz w:val="18"/>
                <w:szCs w:val="8"/>
                <w:highlight w:val="none"/>
              </w:rPr>
            </w:pPr>
          </w:p>
        </w:tc>
        <w:tc>
          <w:tcPr>
            <w:tcW w:w="940" w:type="pct"/>
            <w:vMerge w:val="continue"/>
            <w:shd w:val="clear" w:color="auto" w:fill="auto"/>
            <w:vAlign w:val="center"/>
          </w:tcPr>
          <w:p w14:paraId="5CEC4096">
            <w:pPr>
              <w:rPr>
                <w:color w:val="auto"/>
                <w:sz w:val="18"/>
                <w:szCs w:val="8"/>
                <w:highlight w:val="none"/>
              </w:rPr>
            </w:pPr>
          </w:p>
        </w:tc>
        <w:tc>
          <w:tcPr>
            <w:tcW w:w="2601" w:type="pct"/>
            <w:gridSpan w:val="3"/>
            <w:shd w:val="clear" w:color="auto" w:fill="auto"/>
          </w:tcPr>
          <w:p w14:paraId="11412140">
            <w:pPr>
              <w:rPr>
                <w:color w:val="auto"/>
                <w:sz w:val="18"/>
                <w:szCs w:val="8"/>
                <w:highlight w:val="none"/>
              </w:rPr>
            </w:pPr>
            <w:r>
              <w:rPr>
                <w:rFonts w:hint="eastAsia"/>
                <w:color w:val="auto"/>
                <w:sz w:val="18"/>
                <w:szCs w:val="8"/>
                <w:highlight w:val="none"/>
              </w:rPr>
              <w:t>（7）协作机器人仿真：软件支持协作型六轴机器人仿真，能够实现协作机器人的虚拟示教、虚实互动的仿真功能；</w:t>
            </w:r>
          </w:p>
        </w:tc>
        <w:tc>
          <w:tcPr>
            <w:tcW w:w="404" w:type="pct"/>
            <w:gridSpan w:val="2"/>
            <w:vMerge w:val="continue"/>
            <w:shd w:val="clear" w:color="auto" w:fill="auto"/>
            <w:vAlign w:val="center"/>
          </w:tcPr>
          <w:p w14:paraId="07F3570C">
            <w:pPr>
              <w:rPr>
                <w:color w:val="auto"/>
                <w:sz w:val="18"/>
                <w:szCs w:val="8"/>
                <w:highlight w:val="none"/>
              </w:rPr>
            </w:pPr>
          </w:p>
        </w:tc>
      </w:tr>
      <w:tr w14:paraId="78A2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9678ED">
            <w:pPr>
              <w:rPr>
                <w:color w:val="auto"/>
                <w:sz w:val="18"/>
                <w:szCs w:val="8"/>
                <w:highlight w:val="none"/>
              </w:rPr>
            </w:pPr>
          </w:p>
        </w:tc>
        <w:tc>
          <w:tcPr>
            <w:tcW w:w="427" w:type="pct"/>
            <w:vMerge w:val="continue"/>
            <w:shd w:val="clear" w:color="auto" w:fill="auto"/>
            <w:vAlign w:val="center"/>
          </w:tcPr>
          <w:p w14:paraId="0206C8B3">
            <w:pPr>
              <w:rPr>
                <w:color w:val="auto"/>
                <w:sz w:val="18"/>
                <w:szCs w:val="8"/>
                <w:highlight w:val="none"/>
              </w:rPr>
            </w:pPr>
          </w:p>
        </w:tc>
        <w:tc>
          <w:tcPr>
            <w:tcW w:w="460" w:type="pct"/>
            <w:vMerge w:val="continue"/>
            <w:shd w:val="clear" w:color="auto" w:fill="auto"/>
            <w:vAlign w:val="center"/>
          </w:tcPr>
          <w:p w14:paraId="04FBBC33">
            <w:pPr>
              <w:rPr>
                <w:color w:val="auto"/>
                <w:sz w:val="18"/>
                <w:szCs w:val="8"/>
                <w:highlight w:val="none"/>
              </w:rPr>
            </w:pPr>
          </w:p>
        </w:tc>
        <w:tc>
          <w:tcPr>
            <w:tcW w:w="940" w:type="pct"/>
            <w:vMerge w:val="continue"/>
            <w:shd w:val="clear" w:color="auto" w:fill="auto"/>
            <w:vAlign w:val="center"/>
          </w:tcPr>
          <w:p w14:paraId="6D010E3A">
            <w:pPr>
              <w:rPr>
                <w:color w:val="auto"/>
                <w:sz w:val="18"/>
                <w:szCs w:val="8"/>
                <w:highlight w:val="none"/>
              </w:rPr>
            </w:pPr>
          </w:p>
        </w:tc>
        <w:tc>
          <w:tcPr>
            <w:tcW w:w="2601" w:type="pct"/>
            <w:gridSpan w:val="3"/>
            <w:shd w:val="clear" w:color="auto" w:fill="auto"/>
          </w:tcPr>
          <w:p w14:paraId="7A45DBDD">
            <w:pPr>
              <w:rPr>
                <w:color w:val="auto"/>
                <w:sz w:val="18"/>
                <w:szCs w:val="8"/>
                <w:highlight w:val="none"/>
              </w:rPr>
            </w:pPr>
            <w:r>
              <w:rPr>
                <w:rFonts w:hint="eastAsia"/>
                <w:color w:val="auto"/>
                <w:sz w:val="18"/>
                <w:szCs w:val="8"/>
                <w:highlight w:val="none"/>
              </w:rPr>
              <w:t>（8）Modbus总线自定义：支持用户自定义modbus总线接口，通过导入Excel表格即能够设置数据通讯的自定义地址、寄存器、IO口等功能；</w:t>
            </w:r>
          </w:p>
        </w:tc>
        <w:tc>
          <w:tcPr>
            <w:tcW w:w="404" w:type="pct"/>
            <w:gridSpan w:val="2"/>
            <w:vMerge w:val="continue"/>
            <w:shd w:val="clear" w:color="auto" w:fill="auto"/>
            <w:vAlign w:val="center"/>
          </w:tcPr>
          <w:p w14:paraId="15B05EBE">
            <w:pPr>
              <w:rPr>
                <w:color w:val="auto"/>
                <w:sz w:val="18"/>
                <w:szCs w:val="8"/>
                <w:highlight w:val="none"/>
              </w:rPr>
            </w:pPr>
          </w:p>
        </w:tc>
      </w:tr>
      <w:tr w14:paraId="3B8A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21ADC63">
            <w:pPr>
              <w:rPr>
                <w:color w:val="auto"/>
                <w:sz w:val="18"/>
                <w:szCs w:val="8"/>
                <w:highlight w:val="none"/>
              </w:rPr>
            </w:pPr>
          </w:p>
        </w:tc>
        <w:tc>
          <w:tcPr>
            <w:tcW w:w="427" w:type="pct"/>
            <w:vMerge w:val="continue"/>
            <w:shd w:val="clear" w:color="auto" w:fill="auto"/>
            <w:vAlign w:val="center"/>
          </w:tcPr>
          <w:p w14:paraId="6FE08384">
            <w:pPr>
              <w:rPr>
                <w:color w:val="auto"/>
                <w:sz w:val="18"/>
                <w:szCs w:val="8"/>
                <w:highlight w:val="none"/>
              </w:rPr>
            </w:pPr>
          </w:p>
        </w:tc>
        <w:tc>
          <w:tcPr>
            <w:tcW w:w="460" w:type="pct"/>
            <w:vMerge w:val="continue"/>
            <w:shd w:val="clear" w:color="auto" w:fill="auto"/>
            <w:vAlign w:val="center"/>
          </w:tcPr>
          <w:p w14:paraId="57975F82">
            <w:pPr>
              <w:rPr>
                <w:color w:val="auto"/>
                <w:sz w:val="18"/>
                <w:szCs w:val="8"/>
                <w:highlight w:val="none"/>
              </w:rPr>
            </w:pPr>
          </w:p>
        </w:tc>
        <w:tc>
          <w:tcPr>
            <w:tcW w:w="940" w:type="pct"/>
            <w:vMerge w:val="continue"/>
            <w:shd w:val="clear" w:color="auto" w:fill="auto"/>
            <w:vAlign w:val="center"/>
          </w:tcPr>
          <w:p w14:paraId="390306C1">
            <w:pPr>
              <w:rPr>
                <w:color w:val="auto"/>
                <w:sz w:val="18"/>
                <w:szCs w:val="8"/>
                <w:highlight w:val="none"/>
              </w:rPr>
            </w:pPr>
          </w:p>
        </w:tc>
        <w:tc>
          <w:tcPr>
            <w:tcW w:w="2601" w:type="pct"/>
            <w:gridSpan w:val="3"/>
            <w:shd w:val="clear" w:color="auto" w:fill="auto"/>
          </w:tcPr>
          <w:p w14:paraId="59D24A24">
            <w:pPr>
              <w:rPr>
                <w:color w:val="auto"/>
                <w:sz w:val="18"/>
                <w:szCs w:val="8"/>
                <w:highlight w:val="none"/>
              </w:rPr>
            </w:pPr>
            <w:r>
              <w:rPr>
                <w:rFonts w:hint="eastAsia"/>
                <w:color w:val="auto"/>
                <w:sz w:val="18"/>
                <w:szCs w:val="8"/>
                <w:highlight w:val="none"/>
              </w:rPr>
              <w:t>（9）流程图编辑功能：软件内置流程图制作功能，能够通过流程图拖拽式编程完成对虚拟工厂的逻辑控制与动画编辑；</w:t>
            </w:r>
          </w:p>
        </w:tc>
        <w:tc>
          <w:tcPr>
            <w:tcW w:w="404" w:type="pct"/>
            <w:gridSpan w:val="2"/>
            <w:vMerge w:val="continue"/>
            <w:shd w:val="clear" w:color="auto" w:fill="auto"/>
            <w:vAlign w:val="center"/>
          </w:tcPr>
          <w:p w14:paraId="29B106BE">
            <w:pPr>
              <w:rPr>
                <w:color w:val="auto"/>
                <w:sz w:val="18"/>
                <w:szCs w:val="8"/>
                <w:highlight w:val="none"/>
              </w:rPr>
            </w:pPr>
          </w:p>
        </w:tc>
      </w:tr>
      <w:tr w14:paraId="1BD5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E188563">
            <w:pPr>
              <w:rPr>
                <w:color w:val="auto"/>
                <w:sz w:val="18"/>
                <w:szCs w:val="8"/>
                <w:highlight w:val="none"/>
              </w:rPr>
            </w:pPr>
          </w:p>
        </w:tc>
        <w:tc>
          <w:tcPr>
            <w:tcW w:w="427" w:type="pct"/>
            <w:vMerge w:val="continue"/>
            <w:shd w:val="clear" w:color="auto" w:fill="auto"/>
            <w:vAlign w:val="center"/>
          </w:tcPr>
          <w:p w14:paraId="11B5C635">
            <w:pPr>
              <w:rPr>
                <w:color w:val="auto"/>
                <w:sz w:val="18"/>
                <w:szCs w:val="8"/>
                <w:highlight w:val="none"/>
              </w:rPr>
            </w:pPr>
          </w:p>
        </w:tc>
        <w:tc>
          <w:tcPr>
            <w:tcW w:w="460" w:type="pct"/>
            <w:vMerge w:val="continue"/>
            <w:shd w:val="clear" w:color="auto" w:fill="auto"/>
            <w:vAlign w:val="center"/>
          </w:tcPr>
          <w:p w14:paraId="591BF76A">
            <w:pPr>
              <w:rPr>
                <w:color w:val="auto"/>
                <w:sz w:val="18"/>
                <w:szCs w:val="8"/>
                <w:highlight w:val="none"/>
              </w:rPr>
            </w:pPr>
          </w:p>
        </w:tc>
        <w:tc>
          <w:tcPr>
            <w:tcW w:w="940" w:type="pct"/>
            <w:vMerge w:val="restart"/>
            <w:shd w:val="clear" w:color="auto" w:fill="auto"/>
            <w:vAlign w:val="center"/>
          </w:tcPr>
          <w:p w14:paraId="57830F49">
            <w:pPr>
              <w:rPr>
                <w:color w:val="auto"/>
                <w:sz w:val="18"/>
                <w:szCs w:val="8"/>
                <w:highlight w:val="none"/>
              </w:rPr>
            </w:pPr>
            <w:r>
              <w:rPr>
                <w:rFonts w:hint="eastAsia"/>
                <w:color w:val="auto"/>
                <w:sz w:val="18"/>
                <w:szCs w:val="8"/>
                <w:highlight w:val="none"/>
              </w:rPr>
              <w:t>5、三维交互功能</w:t>
            </w:r>
          </w:p>
        </w:tc>
        <w:tc>
          <w:tcPr>
            <w:tcW w:w="2601" w:type="pct"/>
            <w:gridSpan w:val="3"/>
            <w:shd w:val="clear" w:color="auto" w:fill="auto"/>
          </w:tcPr>
          <w:p w14:paraId="46DE1FE3">
            <w:pPr>
              <w:rPr>
                <w:color w:val="auto"/>
                <w:sz w:val="18"/>
                <w:szCs w:val="8"/>
                <w:highlight w:val="none"/>
              </w:rPr>
            </w:pPr>
            <w:r>
              <w:rPr>
                <w:rFonts w:hint="eastAsia"/>
                <w:color w:val="auto"/>
                <w:sz w:val="18"/>
                <w:szCs w:val="8"/>
                <w:highlight w:val="none"/>
              </w:rPr>
              <w:t>（1）软件支持PC端多人互动功能，能够实现多人局域网的一主多从模式同场景协作仿真；软件支持VR眼镜沉浸式仿真，并提供VR软件APK；</w:t>
            </w:r>
          </w:p>
        </w:tc>
        <w:tc>
          <w:tcPr>
            <w:tcW w:w="404" w:type="pct"/>
            <w:gridSpan w:val="2"/>
            <w:vMerge w:val="continue"/>
            <w:shd w:val="clear" w:color="auto" w:fill="auto"/>
            <w:vAlign w:val="center"/>
          </w:tcPr>
          <w:p w14:paraId="28BEC58C">
            <w:pPr>
              <w:rPr>
                <w:color w:val="auto"/>
                <w:sz w:val="18"/>
                <w:szCs w:val="8"/>
                <w:highlight w:val="none"/>
              </w:rPr>
            </w:pPr>
          </w:p>
        </w:tc>
      </w:tr>
      <w:tr w14:paraId="22C5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0F56F2F">
            <w:pPr>
              <w:rPr>
                <w:color w:val="auto"/>
                <w:sz w:val="18"/>
                <w:szCs w:val="8"/>
                <w:highlight w:val="none"/>
              </w:rPr>
            </w:pPr>
          </w:p>
        </w:tc>
        <w:tc>
          <w:tcPr>
            <w:tcW w:w="427" w:type="pct"/>
            <w:vMerge w:val="continue"/>
            <w:shd w:val="clear" w:color="auto" w:fill="auto"/>
            <w:vAlign w:val="center"/>
          </w:tcPr>
          <w:p w14:paraId="76626001">
            <w:pPr>
              <w:rPr>
                <w:color w:val="auto"/>
                <w:sz w:val="18"/>
                <w:szCs w:val="8"/>
                <w:highlight w:val="none"/>
              </w:rPr>
            </w:pPr>
          </w:p>
        </w:tc>
        <w:tc>
          <w:tcPr>
            <w:tcW w:w="460" w:type="pct"/>
            <w:vMerge w:val="continue"/>
            <w:shd w:val="clear" w:color="auto" w:fill="auto"/>
            <w:vAlign w:val="center"/>
          </w:tcPr>
          <w:p w14:paraId="03E24FFE">
            <w:pPr>
              <w:rPr>
                <w:color w:val="auto"/>
                <w:sz w:val="18"/>
                <w:szCs w:val="8"/>
                <w:highlight w:val="none"/>
              </w:rPr>
            </w:pPr>
          </w:p>
        </w:tc>
        <w:tc>
          <w:tcPr>
            <w:tcW w:w="940" w:type="pct"/>
            <w:vMerge w:val="continue"/>
            <w:shd w:val="clear" w:color="auto" w:fill="auto"/>
            <w:vAlign w:val="center"/>
          </w:tcPr>
          <w:p w14:paraId="04FB2D0E">
            <w:pPr>
              <w:rPr>
                <w:color w:val="auto"/>
                <w:sz w:val="18"/>
                <w:szCs w:val="8"/>
                <w:highlight w:val="none"/>
              </w:rPr>
            </w:pPr>
          </w:p>
        </w:tc>
        <w:tc>
          <w:tcPr>
            <w:tcW w:w="2601" w:type="pct"/>
            <w:gridSpan w:val="3"/>
            <w:shd w:val="clear" w:color="auto" w:fill="auto"/>
          </w:tcPr>
          <w:p w14:paraId="4FA7626C">
            <w:pPr>
              <w:rPr>
                <w:color w:val="auto"/>
                <w:sz w:val="18"/>
                <w:szCs w:val="8"/>
                <w:highlight w:val="none"/>
              </w:rPr>
            </w:pPr>
            <w:r>
              <w:rPr>
                <w:rFonts w:hint="eastAsia"/>
                <w:color w:val="auto"/>
                <w:sz w:val="18"/>
                <w:szCs w:val="8"/>
                <w:highlight w:val="none"/>
              </w:rPr>
              <w:t>（2）软件支持手机APP接入仿真，能够实现APP端三维互动，并支持AR模式的虚实叠加的影像互动交互功能；</w:t>
            </w:r>
          </w:p>
        </w:tc>
        <w:tc>
          <w:tcPr>
            <w:tcW w:w="404" w:type="pct"/>
            <w:gridSpan w:val="2"/>
            <w:vMerge w:val="continue"/>
            <w:shd w:val="clear" w:color="auto" w:fill="auto"/>
            <w:vAlign w:val="center"/>
          </w:tcPr>
          <w:p w14:paraId="7A9215E1">
            <w:pPr>
              <w:rPr>
                <w:color w:val="auto"/>
                <w:sz w:val="18"/>
                <w:szCs w:val="8"/>
                <w:highlight w:val="none"/>
              </w:rPr>
            </w:pPr>
          </w:p>
        </w:tc>
      </w:tr>
      <w:tr w14:paraId="320A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2EF43DB">
            <w:pPr>
              <w:rPr>
                <w:color w:val="auto"/>
                <w:sz w:val="18"/>
                <w:szCs w:val="8"/>
                <w:highlight w:val="none"/>
              </w:rPr>
            </w:pPr>
          </w:p>
        </w:tc>
        <w:tc>
          <w:tcPr>
            <w:tcW w:w="427" w:type="pct"/>
            <w:vMerge w:val="continue"/>
            <w:shd w:val="clear" w:color="auto" w:fill="auto"/>
            <w:vAlign w:val="center"/>
          </w:tcPr>
          <w:p w14:paraId="538027B0">
            <w:pPr>
              <w:rPr>
                <w:color w:val="auto"/>
                <w:sz w:val="18"/>
                <w:szCs w:val="8"/>
                <w:highlight w:val="none"/>
              </w:rPr>
            </w:pPr>
          </w:p>
        </w:tc>
        <w:tc>
          <w:tcPr>
            <w:tcW w:w="460" w:type="pct"/>
            <w:vMerge w:val="continue"/>
            <w:shd w:val="clear" w:color="auto" w:fill="auto"/>
            <w:vAlign w:val="center"/>
          </w:tcPr>
          <w:p w14:paraId="25680C07">
            <w:pPr>
              <w:rPr>
                <w:color w:val="auto"/>
                <w:sz w:val="18"/>
                <w:szCs w:val="8"/>
                <w:highlight w:val="none"/>
              </w:rPr>
            </w:pPr>
          </w:p>
        </w:tc>
        <w:tc>
          <w:tcPr>
            <w:tcW w:w="940" w:type="pct"/>
            <w:vMerge w:val="restart"/>
            <w:shd w:val="clear" w:color="auto" w:fill="auto"/>
            <w:vAlign w:val="center"/>
          </w:tcPr>
          <w:p w14:paraId="5A7F37E0">
            <w:pPr>
              <w:rPr>
                <w:color w:val="auto"/>
                <w:sz w:val="18"/>
                <w:szCs w:val="8"/>
                <w:highlight w:val="none"/>
              </w:rPr>
            </w:pPr>
            <w:r>
              <w:rPr>
                <w:rFonts w:hint="eastAsia"/>
                <w:color w:val="auto"/>
                <w:sz w:val="18"/>
                <w:szCs w:val="8"/>
                <w:highlight w:val="none"/>
              </w:rPr>
              <w:t>6、工业互联网仿真</w:t>
            </w:r>
          </w:p>
        </w:tc>
        <w:tc>
          <w:tcPr>
            <w:tcW w:w="2601" w:type="pct"/>
            <w:gridSpan w:val="3"/>
            <w:shd w:val="clear" w:color="auto" w:fill="auto"/>
          </w:tcPr>
          <w:p w14:paraId="4F53E512">
            <w:pPr>
              <w:rPr>
                <w:color w:val="auto"/>
                <w:sz w:val="18"/>
                <w:szCs w:val="8"/>
                <w:highlight w:val="none"/>
              </w:rPr>
            </w:pPr>
            <w:r>
              <w:rPr>
                <w:rFonts w:hint="eastAsia"/>
                <w:color w:val="auto"/>
                <w:sz w:val="18"/>
                <w:szCs w:val="8"/>
                <w:highlight w:val="none"/>
              </w:rPr>
              <w:t>▲（1）提供虚拟边缘计算网关软件，具有能够通过虚拟边缘计算网关进行工业总线的数据采集，支持从虚拟接口、设备、再到变量的自定义添加，支持modbus-tcp、西门子S7协议、TCP、数据库MySQL等通讯；（提供原厂盖章软件功能截屏证明）</w:t>
            </w:r>
          </w:p>
        </w:tc>
        <w:tc>
          <w:tcPr>
            <w:tcW w:w="404" w:type="pct"/>
            <w:gridSpan w:val="2"/>
            <w:vMerge w:val="continue"/>
            <w:shd w:val="clear" w:color="auto" w:fill="auto"/>
            <w:vAlign w:val="center"/>
          </w:tcPr>
          <w:p w14:paraId="13113613">
            <w:pPr>
              <w:rPr>
                <w:color w:val="auto"/>
                <w:sz w:val="18"/>
                <w:szCs w:val="8"/>
                <w:highlight w:val="none"/>
              </w:rPr>
            </w:pPr>
          </w:p>
        </w:tc>
      </w:tr>
      <w:tr w14:paraId="52C6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949B23">
            <w:pPr>
              <w:rPr>
                <w:color w:val="auto"/>
                <w:sz w:val="18"/>
                <w:szCs w:val="8"/>
                <w:highlight w:val="none"/>
              </w:rPr>
            </w:pPr>
          </w:p>
        </w:tc>
        <w:tc>
          <w:tcPr>
            <w:tcW w:w="427" w:type="pct"/>
            <w:vMerge w:val="continue"/>
            <w:shd w:val="clear" w:color="auto" w:fill="auto"/>
            <w:vAlign w:val="center"/>
          </w:tcPr>
          <w:p w14:paraId="7ED19297">
            <w:pPr>
              <w:rPr>
                <w:color w:val="auto"/>
                <w:sz w:val="18"/>
                <w:szCs w:val="8"/>
                <w:highlight w:val="none"/>
              </w:rPr>
            </w:pPr>
          </w:p>
        </w:tc>
        <w:tc>
          <w:tcPr>
            <w:tcW w:w="460" w:type="pct"/>
            <w:vMerge w:val="continue"/>
            <w:shd w:val="clear" w:color="auto" w:fill="auto"/>
            <w:vAlign w:val="center"/>
          </w:tcPr>
          <w:p w14:paraId="68823A29">
            <w:pPr>
              <w:rPr>
                <w:color w:val="auto"/>
                <w:sz w:val="18"/>
                <w:szCs w:val="8"/>
                <w:highlight w:val="none"/>
              </w:rPr>
            </w:pPr>
          </w:p>
        </w:tc>
        <w:tc>
          <w:tcPr>
            <w:tcW w:w="940" w:type="pct"/>
            <w:vMerge w:val="continue"/>
            <w:shd w:val="clear" w:color="auto" w:fill="auto"/>
            <w:vAlign w:val="center"/>
          </w:tcPr>
          <w:p w14:paraId="38B4FCDE">
            <w:pPr>
              <w:rPr>
                <w:color w:val="auto"/>
                <w:sz w:val="18"/>
                <w:szCs w:val="8"/>
                <w:highlight w:val="none"/>
              </w:rPr>
            </w:pPr>
          </w:p>
        </w:tc>
        <w:tc>
          <w:tcPr>
            <w:tcW w:w="2601" w:type="pct"/>
            <w:gridSpan w:val="3"/>
            <w:shd w:val="clear" w:color="auto" w:fill="auto"/>
          </w:tcPr>
          <w:p w14:paraId="4F1D3411">
            <w:pPr>
              <w:rPr>
                <w:color w:val="auto"/>
                <w:sz w:val="18"/>
                <w:szCs w:val="8"/>
                <w:highlight w:val="none"/>
              </w:rPr>
            </w:pPr>
            <w:r>
              <w:rPr>
                <w:rFonts w:hint="eastAsia"/>
                <w:color w:val="auto"/>
                <w:sz w:val="18"/>
                <w:szCs w:val="8"/>
                <w:highlight w:val="none"/>
              </w:rPr>
              <w:t>（2）支持与3D虚拟工厂软件联调，能够实现虚拟工厂的数据采集、调试集成再到数据看板应用的功能；</w:t>
            </w:r>
          </w:p>
        </w:tc>
        <w:tc>
          <w:tcPr>
            <w:tcW w:w="404" w:type="pct"/>
            <w:gridSpan w:val="2"/>
            <w:vMerge w:val="continue"/>
            <w:shd w:val="clear" w:color="auto" w:fill="auto"/>
            <w:vAlign w:val="center"/>
          </w:tcPr>
          <w:p w14:paraId="0A6168B2">
            <w:pPr>
              <w:rPr>
                <w:color w:val="auto"/>
                <w:sz w:val="18"/>
                <w:szCs w:val="8"/>
                <w:highlight w:val="none"/>
              </w:rPr>
            </w:pPr>
          </w:p>
        </w:tc>
      </w:tr>
      <w:tr w14:paraId="291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1A667C1">
            <w:pPr>
              <w:rPr>
                <w:color w:val="auto"/>
                <w:sz w:val="18"/>
                <w:szCs w:val="8"/>
                <w:highlight w:val="none"/>
              </w:rPr>
            </w:pPr>
          </w:p>
        </w:tc>
        <w:tc>
          <w:tcPr>
            <w:tcW w:w="427" w:type="pct"/>
            <w:vMerge w:val="continue"/>
            <w:shd w:val="clear" w:color="auto" w:fill="auto"/>
            <w:vAlign w:val="center"/>
          </w:tcPr>
          <w:p w14:paraId="785CFD91">
            <w:pPr>
              <w:rPr>
                <w:color w:val="auto"/>
                <w:sz w:val="18"/>
                <w:szCs w:val="8"/>
                <w:highlight w:val="none"/>
              </w:rPr>
            </w:pPr>
          </w:p>
        </w:tc>
        <w:tc>
          <w:tcPr>
            <w:tcW w:w="460" w:type="pct"/>
            <w:vMerge w:val="continue"/>
            <w:shd w:val="clear" w:color="auto" w:fill="auto"/>
            <w:vAlign w:val="center"/>
          </w:tcPr>
          <w:p w14:paraId="7084F060">
            <w:pPr>
              <w:rPr>
                <w:color w:val="auto"/>
                <w:sz w:val="18"/>
                <w:szCs w:val="8"/>
                <w:highlight w:val="none"/>
              </w:rPr>
            </w:pPr>
          </w:p>
        </w:tc>
        <w:tc>
          <w:tcPr>
            <w:tcW w:w="940" w:type="pct"/>
            <w:shd w:val="clear" w:color="auto" w:fill="auto"/>
            <w:vAlign w:val="center"/>
          </w:tcPr>
          <w:p w14:paraId="21724A18">
            <w:pPr>
              <w:rPr>
                <w:color w:val="auto"/>
                <w:sz w:val="18"/>
                <w:szCs w:val="8"/>
                <w:highlight w:val="none"/>
              </w:rPr>
            </w:pPr>
            <w:r>
              <w:rPr>
                <w:rFonts w:hint="eastAsia"/>
                <w:color w:val="auto"/>
                <w:sz w:val="18"/>
                <w:szCs w:val="8"/>
                <w:highlight w:val="none"/>
              </w:rPr>
              <w:t>7、SDK扩展</w:t>
            </w:r>
          </w:p>
        </w:tc>
        <w:tc>
          <w:tcPr>
            <w:tcW w:w="2601" w:type="pct"/>
            <w:gridSpan w:val="3"/>
            <w:shd w:val="clear" w:color="auto" w:fill="auto"/>
            <w:vAlign w:val="center"/>
          </w:tcPr>
          <w:p w14:paraId="2436EB51">
            <w:pPr>
              <w:rPr>
                <w:color w:val="auto"/>
                <w:sz w:val="18"/>
                <w:szCs w:val="8"/>
                <w:highlight w:val="none"/>
              </w:rPr>
            </w:pPr>
            <w:r>
              <w:rPr>
                <w:rFonts w:hint="eastAsia"/>
                <w:color w:val="auto"/>
                <w:sz w:val="18"/>
                <w:szCs w:val="8"/>
                <w:highlight w:val="none"/>
              </w:rPr>
              <w:t>提供软件的二次开发接口，支持用户自定义控制器和扩展虚实仿真功能，支持虚拟机器视觉图像传输，提供Python、C#、labview的API接口及案例工程包；</w:t>
            </w:r>
          </w:p>
        </w:tc>
        <w:tc>
          <w:tcPr>
            <w:tcW w:w="404" w:type="pct"/>
            <w:gridSpan w:val="2"/>
            <w:vMerge w:val="continue"/>
            <w:shd w:val="clear" w:color="auto" w:fill="auto"/>
            <w:vAlign w:val="center"/>
          </w:tcPr>
          <w:p w14:paraId="64F8152B">
            <w:pPr>
              <w:rPr>
                <w:color w:val="auto"/>
                <w:sz w:val="18"/>
                <w:szCs w:val="8"/>
                <w:highlight w:val="none"/>
              </w:rPr>
            </w:pPr>
          </w:p>
        </w:tc>
      </w:tr>
      <w:tr w14:paraId="08CE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93E90DF">
            <w:pPr>
              <w:rPr>
                <w:color w:val="auto"/>
                <w:sz w:val="18"/>
                <w:szCs w:val="8"/>
                <w:highlight w:val="none"/>
              </w:rPr>
            </w:pPr>
          </w:p>
        </w:tc>
        <w:tc>
          <w:tcPr>
            <w:tcW w:w="427" w:type="pct"/>
            <w:vMerge w:val="continue"/>
            <w:shd w:val="clear" w:color="auto" w:fill="auto"/>
            <w:vAlign w:val="center"/>
          </w:tcPr>
          <w:p w14:paraId="55AC250F">
            <w:pPr>
              <w:rPr>
                <w:color w:val="auto"/>
                <w:sz w:val="18"/>
                <w:szCs w:val="8"/>
                <w:highlight w:val="none"/>
              </w:rPr>
            </w:pPr>
          </w:p>
        </w:tc>
        <w:tc>
          <w:tcPr>
            <w:tcW w:w="460" w:type="pct"/>
            <w:vMerge w:val="restart"/>
            <w:shd w:val="clear" w:color="auto" w:fill="auto"/>
            <w:vAlign w:val="center"/>
          </w:tcPr>
          <w:p w14:paraId="402276A5">
            <w:pPr>
              <w:rPr>
                <w:color w:val="auto"/>
                <w:sz w:val="18"/>
                <w:szCs w:val="8"/>
                <w:highlight w:val="none"/>
              </w:rPr>
            </w:pPr>
            <w:r>
              <w:rPr>
                <w:rFonts w:hint="eastAsia"/>
                <w:color w:val="auto"/>
                <w:sz w:val="18"/>
                <w:szCs w:val="8"/>
                <w:highlight w:val="none"/>
              </w:rPr>
              <w:t>二、案例资源参数</w:t>
            </w:r>
          </w:p>
        </w:tc>
        <w:tc>
          <w:tcPr>
            <w:tcW w:w="940" w:type="pct"/>
            <w:vMerge w:val="restart"/>
            <w:shd w:val="clear" w:color="auto" w:fill="auto"/>
            <w:vAlign w:val="center"/>
          </w:tcPr>
          <w:p w14:paraId="5E00A278">
            <w:pPr>
              <w:rPr>
                <w:color w:val="auto"/>
                <w:sz w:val="18"/>
                <w:szCs w:val="8"/>
                <w:highlight w:val="none"/>
              </w:rPr>
            </w:pPr>
            <w:r>
              <w:rPr>
                <w:rFonts w:hint="eastAsia"/>
                <w:color w:val="auto"/>
                <w:sz w:val="18"/>
                <w:szCs w:val="8"/>
                <w:highlight w:val="none"/>
              </w:rPr>
              <w:t>8、虚拟仿真工程与案例库</w:t>
            </w:r>
          </w:p>
        </w:tc>
        <w:tc>
          <w:tcPr>
            <w:tcW w:w="493" w:type="pct"/>
            <w:vMerge w:val="restart"/>
            <w:shd w:val="clear" w:color="auto" w:fill="auto"/>
            <w:vAlign w:val="center"/>
          </w:tcPr>
          <w:p w14:paraId="0E0CEF4A">
            <w:pPr>
              <w:rPr>
                <w:color w:val="auto"/>
                <w:sz w:val="18"/>
                <w:szCs w:val="8"/>
                <w:highlight w:val="none"/>
              </w:rPr>
            </w:pPr>
            <w:r>
              <w:rPr>
                <w:rFonts w:hint="eastAsia"/>
                <w:color w:val="auto"/>
                <w:sz w:val="18"/>
                <w:szCs w:val="8"/>
                <w:highlight w:val="none"/>
              </w:rPr>
              <w:t>（1）PLC自动化编程与仿真应用案例</w:t>
            </w:r>
          </w:p>
        </w:tc>
        <w:tc>
          <w:tcPr>
            <w:tcW w:w="2116" w:type="pct"/>
            <w:gridSpan w:val="3"/>
            <w:shd w:val="clear" w:color="auto" w:fill="auto"/>
          </w:tcPr>
          <w:p w14:paraId="51F3BEB4">
            <w:pPr>
              <w:rPr>
                <w:color w:val="auto"/>
                <w:sz w:val="18"/>
                <w:szCs w:val="8"/>
                <w:highlight w:val="none"/>
              </w:rPr>
            </w:pPr>
            <w:r>
              <w:rPr>
                <w:rFonts w:hint="eastAsia"/>
                <w:color w:val="auto"/>
                <w:sz w:val="18"/>
                <w:szCs w:val="8"/>
                <w:highlight w:val="none"/>
              </w:rPr>
              <w:t>a)提供西门子PLC、三菱PLC的虚拟仿真控制资源包，包含仿真工程、编程环境、以及案例手册；</w:t>
            </w:r>
          </w:p>
        </w:tc>
        <w:tc>
          <w:tcPr>
            <w:tcW w:w="404" w:type="pct"/>
            <w:gridSpan w:val="2"/>
            <w:vMerge w:val="restart"/>
            <w:shd w:val="clear" w:color="auto" w:fill="auto"/>
            <w:vAlign w:val="center"/>
          </w:tcPr>
          <w:p w14:paraId="6FB368C1">
            <w:pPr>
              <w:rPr>
                <w:color w:val="auto"/>
                <w:sz w:val="18"/>
                <w:szCs w:val="8"/>
                <w:highlight w:val="none"/>
              </w:rPr>
            </w:pPr>
          </w:p>
        </w:tc>
      </w:tr>
      <w:tr w14:paraId="0DED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3C4362E">
            <w:pPr>
              <w:rPr>
                <w:color w:val="auto"/>
                <w:sz w:val="18"/>
                <w:szCs w:val="8"/>
                <w:highlight w:val="none"/>
              </w:rPr>
            </w:pPr>
          </w:p>
        </w:tc>
        <w:tc>
          <w:tcPr>
            <w:tcW w:w="427" w:type="pct"/>
            <w:vMerge w:val="continue"/>
            <w:shd w:val="clear" w:color="auto" w:fill="auto"/>
            <w:vAlign w:val="center"/>
          </w:tcPr>
          <w:p w14:paraId="3F27221E">
            <w:pPr>
              <w:rPr>
                <w:color w:val="auto"/>
                <w:sz w:val="18"/>
                <w:szCs w:val="8"/>
                <w:highlight w:val="none"/>
              </w:rPr>
            </w:pPr>
          </w:p>
        </w:tc>
        <w:tc>
          <w:tcPr>
            <w:tcW w:w="460" w:type="pct"/>
            <w:vMerge w:val="continue"/>
            <w:shd w:val="clear" w:color="auto" w:fill="auto"/>
            <w:vAlign w:val="center"/>
          </w:tcPr>
          <w:p w14:paraId="48DB3FDD">
            <w:pPr>
              <w:rPr>
                <w:color w:val="auto"/>
                <w:sz w:val="18"/>
                <w:szCs w:val="8"/>
                <w:highlight w:val="none"/>
              </w:rPr>
            </w:pPr>
          </w:p>
        </w:tc>
        <w:tc>
          <w:tcPr>
            <w:tcW w:w="940" w:type="pct"/>
            <w:vMerge w:val="continue"/>
            <w:shd w:val="clear" w:color="auto" w:fill="auto"/>
            <w:vAlign w:val="center"/>
          </w:tcPr>
          <w:p w14:paraId="1B575B10">
            <w:pPr>
              <w:rPr>
                <w:color w:val="auto"/>
                <w:sz w:val="18"/>
                <w:szCs w:val="8"/>
                <w:highlight w:val="none"/>
              </w:rPr>
            </w:pPr>
          </w:p>
        </w:tc>
        <w:tc>
          <w:tcPr>
            <w:tcW w:w="493" w:type="pct"/>
            <w:vMerge w:val="continue"/>
            <w:shd w:val="clear" w:color="auto" w:fill="auto"/>
            <w:vAlign w:val="center"/>
          </w:tcPr>
          <w:p w14:paraId="4C0EE89F">
            <w:pPr>
              <w:rPr>
                <w:color w:val="auto"/>
                <w:sz w:val="18"/>
                <w:szCs w:val="8"/>
                <w:highlight w:val="none"/>
              </w:rPr>
            </w:pPr>
          </w:p>
        </w:tc>
        <w:tc>
          <w:tcPr>
            <w:tcW w:w="2116" w:type="pct"/>
            <w:gridSpan w:val="3"/>
            <w:shd w:val="clear" w:color="auto" w:fill="auto"/>
          </w:tcPr>
          <w:p w14:paraId="798479AE">
            <w:pPr>
              <w:rPr>
                <w:color w:val="auto"/>
                <w:sz w:val="18"/>
                <w:szCs w:val="8"/>
                <w:highlight w:val="none"/>
              </w:rPr>
            </w:pPr>
            <w:r>
              <w:rPr>
                <w:rFonts w:hint="eastAsia"/>
                <w:color w:val="auto"/>
                <w:sz w:val="18"/>
                <w:szCs w:val="8"/>
                <w:highlight w:val="none"/>
              </w:rPr>
              <w:t>b)提供基于西门子PLC从基础入门、IO控制、PID控制、运动控制以及总线通讯集成、HMI设计的综合仿真资源包，数量≥50个，包含PPT、三维工程、手册、视频指导、源代码工程；（提供实训手册目录、部分案例截屏证明文件）</w:t>
            </w:r>
          </w:p>
        </w:tc>
        <w:tc>
          <w:tcPr>
            <w:tcW w:w="404" w:type="pct"/>
            <w:gridSpan w:val="2"/>
            <w:vMerge w:val="continue"/>
            <w:shd w:val="clear" w:color="auto" w:fill="auto"/>
            <w:vAlign w:val="center"/>
          </w:tcPr>
          <w:p w14:paraId="0F300F0C">
            <w:pPr>
              <w:rPr>
                <w:color w:val="auto"/>
                <w:sz w:val="18"/>
                <w:szCs w:val="8"/>
                <w:highlight w:val="none"/>
              </w:rPr>
            </w:pPr>
          </w:p>
        </w:tc>
      </w:tr>
      <w:tr w14:paraId="3AE6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04474EAD">
            <w:pPr>
              <w:rPr>
                <w:color w:val="auto"/>
                <w:sz w:val="18"/>
                <w:szCs w:val="8"/>
                <w:highlight w:val="none"/>
              </w:rPr>
            </w:pPr>
          </w:p>
        </w:tc>
        <w:tc>
          <w:tcPr>
            <w:tcW w:w="427" w:type="pct"/>
            <w:vMerge w:val="continue"/>
            <w:shd w:val="clear" w:color="auto" w:fill="auto"/>
            <w:vAlign w:val="center"/>
          </w:tcPr>
          <w:p w14:paraId="402B8AD2">
            <w:pPr>
              <w:rPr>
                <w:color w:val="auto"/>
                <w:sz w:val="18"/>
                <w:szCs w:val="8"/>
                <w:highlight w:val="none"/>
              </w:rPr>
            </w:pPr>
          </w:p>
        </w:tc>
        <w:tc>
          <w:tcPr>
            <w:tcW w:w="460" w:type="pct"/>
            <w:vMerge w:val="continue"/>
            <w:shd w:val="clear" w:color="auto" w:fill="auto"/>
            <w:vAlign w:val="center"/>
          </w:tcPr>
          <w:p w14:paraId="3A960D2C">
            <w:pPr>
              <w:rPr>
                <w:color w:val="auto"/>
                <w:sz w:val="18"/>
                <w:szCs w:val="8"/>
                <w:highlight w:val="none"/>
              </w:rPr>
            </w:pPr>
          </w:p>
        </w:tc>
        <w:tc>
          <w:tcPr>
            <w:tcW w:w="940" w:type="pct"/>
            <w:vMerge w:val="continue"/>
            <w:shd w:val="clear" w:color="auto" w:fill="auto"/>
            <w:vAlign w:val="center"/>
          </w:tcPr>
          <w:p w14:paraId="21850AE3">
            <w:pPr>
              <w:rPr>
                <w:color w:val="auto"/>
                <w:sz w:val="18"/>
                <w:szCs w:val="8"/>
                <w:highlight w:val="none"/>
              </w:rPr>
            </w:pPr>
          </w:p>
        </w:tc>
        <w:tc>
          <w:tcPr>
            <w:tcW w:w="493" w:type="pct"/>
            <w:vMerge w:val="continue"/>
            <w:shd w:val="clear" w:color="auto" w:fill="auto"/>
            <w:vAlign w:val="center"/>
          </w:tcPr>
          <w:p w14:paraId="6AD7AD0C">
            <w:pPr>
              <w:rPr>
                <w:color w:val="auto"/>
                <w:sz w:val="18"/>
                <w:szCs w:val="8"/>
                <w:highlight w:val="none"/>
              </w:rPr>
            </w:pPr>
          </w:p>
        </w:tc>
        <w:tc>
          <w:tcPr>
            <w:tcW w:w="2116" w:type="pct"/>
            <w:gridSpan w:val="3"/>
            <w:shd w:val="clear" w:color="auto" w:fill="auto"/>
          </w:tcPr>
          <w:p w14:paraId="759DB2F1">
            <w:pPr>
              <w:rPr>
                <w:color w:val="auto"/>
                <w:sz w:val="18"/>
                <w:szCs w:val="8"/>
                <w:highlight w:val="none"/>
              </w:rPr>
            </w:pPr>
            <w:r>
              <w:rPr>
                <w:rFonts w:hint="eastAsia"/>
                <w:color w:val="auto"/>
                <w:sz w:val="18"/>
                <w:szCs w:val="8"/>
                <w:highlight w:val="none"/>
              </w:rPr>
              <w:t>c)提供基于西门子PLC与机器视觉的集成仿真资源包，能够实现机械手二维码、形状、OCR文字分拣功能；</w:t>
            </w:r>
          </w:p>
        </w:tc>
        <w:tc>
          <w:tcPr>
            <w:tcW w:w="404" w:type="pct"/>
            <w:gridSpan w:val="2"/>
            <w:vMerge w:val="continue"/>
            <w:shd w:val="clear" w:color="auto" w:fill="auto"/>
            <w:vAlign w:val="center"/>
          </w:tcPr>
          <w:p w14:paraId="5F9A7FD4">
            <w:pPr>
              <w:rPr>
                <w:color w:val="auto"/>
                <w:sz w:val="18"/>
                <w:szCs w:val="8"/>
                <w:highlight w:val="none"/>
              </w:rPr>
            </w:pPr>
          </w:p>
        </w:tc>
      </w:tr>
      <w:tr w14:paraId="3B21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984A60C">
            <w:pPr>
              <w:rPr>
                <w:color w:val="auto"/>
                <w:sz w:val="18"/>
                <w:szCs w:val="8"/>
                <w:highlight w:val="none"/>
              </w:rPr>
            </w:pPr>
          </w:p>
        </w:tc>
        <w:tc>
          <w:tcPr>
            <w:tcW w:w="427" w:type="pct"/>
            <w:vMerge w:val="continue"/>
            <w:shd w:val="clear" w:color="auto" w:fill="auto"/>
            <w:vAlign w:val="center"/>
          </w:tcPr>
          <w:p w14:paraId="70CDF74A">
            <w:pPr>
              <w:rPr>
                <w:color w:val="auto"/>
                <w:sz w:val="18"/>
                <w:szCs w:val="8"/>
                <w:highlight w:val="none"/>
              </w:rPr>
            </w:pPr>
          </w:p>
        </w:tc>
        <w:tc>
          <w:tcPr>
            <w:tcW w:w="460" w:type="pct"/>
            <w:vMerge w:val="continue"/>
            <w:shd w:val="clear" w:color="auto" w:fill="auto"/>
            <w:vAlign w:val="center"/>
          </w:tcPr>
          <w:p w14:paraId="70951C69">
            <w:pPr>
              <w:rPr>
                <w:color w:val="auto"/>
                <w:sz w:val="18"/>
                <w:szCs w:val="8"/>
                <w:highlight w:val="none"/>
              </w:rPr>
            </w:pPr>
          </w:p>
        </w:tc>
        <w:tc>
          <w:tcPr>
            <w:tcW w:w="940" w:type="pct"/>
            <w:vMerge w:val="continue"/>
            <w:shd w:val="clear" w:color="auto" w:fill="auto"/>
            <w:vAlign w:val="center"/>
          </w:tcPr>
          <w:p w14:paraId="252F9708">
            <w:pPr>
              <w:rPr>
                <w:color w:val="auto"/>
                <w:sz w:val="18"/>
                <w:szCs w:val="8"/>
                <w:highlight w:val="none"/>
              </w:rPr>
            </w:pPr>
          </w:p>
        </w:tc>
        <w:tc>
          <w:tcPr>
            <w:tcW w:w="493" w:type="pct"/>
            <w:vMerge w:val="restart"/>
            <w:shd w:val="clear" w:color="auto" w:fill="auto"/>
            <w:vAlign w:val="center"/>
          </w:tcPr>
          <w:p w14:paraId="485CB1C8">
            <w:pPr>
              <w:rPr>
                <w:color w:val="auto"/>
                <w:sz w:val="18"/>
                <w:szCs w:val="8"/>
                <w:highlight w:val="none"/>
              </w:rPr>
            </w:pPr>
            <w:r>
              <w:rPr>
                <w:rFonts w:hint="eastAsia"/>
                <w:color w:val="auto"/>
                <w:sz w:val="18"/>
                <w:szCs w:val="8"/>
                <w:highlight w:val="none"/>
              </w:rPr>
              <w:t>（2）人工智能仿真资源包及应用案例</w:t>
            </w:r>
          </w:p>
        </w:tc>
        <w:tc>
          <w:tcPr>
            <w:tcW w:w="2116" w:type="pct"/>
            <w:gridSpan w:val="3"/>
            <w:shd w:val="clear" w:color="auto" w:fill="auto"/>
          </w:tcPr>
          <w:p w14:paraId="16C227B6">
            <w:pPr>
              <w:rPr>
                <w:color w:val="auto"/>
                <w:sz w:val="18"/>
                <w:szCs w:val="8"/>
                <w:highlight w:val="none"/>
              </w:rPr>
            </w:pPr>
            <w:r>
              <w:rPr>
                <w:rFonts w:hint="eastAsia"/>
                <w:color w:val="auto"/>
                <w:sz w:val="18"/>
                <w:szCs w:val="8"/>
                <w:highlight w:val="none"/>
              </w:rPr>
              <w:t>▲a)提供基于OpenCV编程的仿真资源包，包含基于机器人的形状分类、颜色识别、垃圾分拣、OCR文字识别、五子棋人机对弈、二维码识别的应用案例；（提供案例界面功能证明文件）</w:t>
            </w:r>
          </w:p>
        </w:tc>
        <w:tc>
          <w:tcPr>
            <w:tcW w:w="404" w:type="pct"/>
            <w:gridSpan w:val="2"/>
            <w:vMerge w:val="continue"/>
            <w:shd w:val="clear" w:color="auto" w:fill="auto"/>
            <w:vAlign w:val="center"/>
          </w:tcPr>
          <w:p w14:paraId="1446CD5D">
            <w:pPr>
              <w:rPr>
                <w:color w:val="auto"/>
                <w:sz w:val="18"/>
                <w:szCs w:val="8"/>
                <w:highlight w:val="none"/>
              </w:rPr>
            </w:pPr>
          </w:p>
        </w:tc>
      </w:tr>
      <w:tr w14:paraId="4133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0E92EA3B">
            <w:pPr>
              <w:rPr>
                <w:color w:val="auto"/>
                <w:sz w:val="18"/>
                <w:szCs w:val="8"/>
                <w:highlight w:val="none"/>
              </w:rPr>
            </w:pPr>
          </w:p>
        </w:tc>
        <w:tc>
          <w:tcPr>
            <w:tcW w:w="427" w:type="pct"/>
            <w:vMerge w:val="continue"/>
            <w:shd w:val="clear" w:color="auto" w:fill="auto"/>
            <w:vAlign w:val="center"/>
          </w:tcPr>
          <w:p w14:paraId="6710BDA3">
            <w:pPr>
              <w:rPr>
                <w:color w:val="auto"/>
                <w:sz w:val="18"/>
                <w:szCs w:val="8"/>
                <w:highlight w:val="none"/>
              </w:rPr>
            </w:pPr>
          </w:p>
        </w:tc>
        <w:tc>
          <w:tcPr>
            <w:tcW w:w="460" w:type="pct"/>
            <w:vMerge w:val="continue"/>
            <w:shd w:val="clear" w:color="auto" w:fill="auto"/>
            <w:vAlign w:val="center"/>
          </w:tcPr>
          <w:p w14:paraId="329A1E9F">
            <w:pPr>
              <w:rPr>
                <w:color w:val="auto"/>
                <w:sz w:val="18"/>
                <w:szCs w:val="8"/>
                <w:highlight w:val="none"/>
              </w:rPr>
            </w:pPr>
          </w:p>
        </w:tc>
        <w:tc>
          <w:tcPr>
            <w:tcW w:w="940" w:type="pct"/>
            <w:vMerge w:val="continue"/>
            <w:shd w:val="clear" w:color="auto" w:fill="auto"/>
            <w:vAlign w:val="center"/>
          </w:tcPr>
          <w:p w14:paraId="0C6CC3B7">
            <w:pPr>
              <w:rPr>
                <w:color w:val="auto"/>
                <w:sz w:val="18"/>
                <w:szCs w:val="8"/>
                <w:highlight w:val="none"/>
              </w:rPr>
            </w:pPr>
          </w:p>
        </w:tc>
        <w:tc>
          <w:tcPr>
            <w:tcW w:w="493" w:type="pct"/>
            <w:vMerge w:val="continue"/>
            <w:shd w:val="clear" w:color="auto" w:fill="auto"/>
            <w:vAlign w:val="center"/>
          </w:tcPr>
          <w:p w14:paraId="555E2CE5">
            <w:pPr>
              <w:rPr>
                <w:color w:val="auto"/>
                <w:sz w:val="18"/>
                <w:szCs w:val="8"/>
                <w:highlight w:val="none"/>
              </w:rPr>
            </w:pPr>
          </w:p>
        </w:tc>
        <w:tc>
          <w:tcPr>
            <w:tcW w:w="2116" w:type="pct"/>
            <w:gridSpan w:val="3"/>
            <w:shd w:val="clear" w:color="auto" w:fill="auto"/>
          </w:tcPr>
          <w:p w14:paraId="66D2DE34">
            <w:pPr>
              <w:rPr>
                <w:color w:val="auto"/>
                <w:sz w:val="18"/>
                <w:szCs w:val="8"/>
                <w:highlight w:val="none"/>
              </w:rPr>
            </w:pPr>
            <w:r>
              <w:rPr>
                <w:rFonts w:hint="eastAsia"/>
                <w:color w:val="auto"/>
                <w:sz w:val="18"/>
                <w:szCs w:val="8"/>
                <w:highlight w:val="none"/>
              </w:rPr>
              <w:t>b)提供完整的从理论讲解、源代码说明、工程案例手册指导书；</w:t>
            </w:r>
          </w:p>
        </w:tc>
        <w:tc>
          <w:tcPr>
            <w:tcW w:w="404" w:type="pct"/>
            <w:gridSpan w:val="2"/>
            <w:vMerge w:val="continue"/>
            <w:shd w:val="clear" w:color="auto" w:fill="auto"/>
            <w:vAlign w:val="center"/>
          </w:tcPr>
          <w:p w14:paraId="39DDF13D">
            <w:pPr>
              <w:rPr>
                <w:color w:val="auto"/>
                <w:sz w:val="18"/>
                <w:szCs w:val="8"/>
                <w:highlight w:val="none"/>
              </w:rPr>
            </w:pPr>
          </w:p>
        </w:tc>
      </w:tr>
      <w:tr w14:paraId="1786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CF1EC36">
            <w:pPr>
              <w:rPr>
                <w:color w:val="auto"/>
                <w:sz w:val="18"/>
                <w:szCs w:val="8"/>
                <w:highlight w:val="none"/>
              </w:rPr>
            </w:pPr>
          </w:p>
        </w:tc>
        <w:tc>
          <w:tcPr>
            <w:tcW w:w="427" w:type="pct"/>
            <w:vMerge w:val="continue"/>
            <w:shd w:val="clear" w:color="auto" w:fill="auto"/>
            <w:vAlign w:val="center"/>
          </w:tcPr>
          <w:p w14:paraId="75DFA72A">
            <w:pPr>
              <w:rPr>
                <w:color w:val="auto"/>
                <w:sz w:val="18"/>
                <w:szCs w:val="8"/>
                <w:highlight w:val="none"/>
              </w:rPr>
            </w:pPr>
          </w:p>
        </w:tc>
        <w:tc>
          <w:tcPr>
            <w:tcW w:w="460" w:type="pct"/>
            <w:vMerge w:val="continue"/>
            <w:shd w:val="clear" w:color="auto" w:fill="auto"/>
            <w:vAlign w:val="center"/>
          </w:tcPr>
          <w:p w14:paraId="56404E1C">
            <w:pPr>
              <w:rPr>
                <w:color w:val="auto"/>
                <w:sz w:val="18"/>
                <w:szCs w:val="8"/>
                <w:highlight w:val="none"/>
              </w:rPr>
            </w:pPr>
          </w:p>
        </w:tc>
        <w:tc>
          <w:tcPr>
            <w:tcW w:w="940" w:type="pct"/>
            <w:vMerge w:val="continue"/>
            <w:shd w:val="clear" w:color="auto" w:fill="auto"/>
            <w:vAlign w:val="center"/>
          </w:tcPr>
          <w:p w14:paraId="2AE474CB">
            <w:pPr>
              <w:rPr>
                <w:color w:val="auto"/>
                <w:sz w:val="18"/>
                <w:szCs w:val="8"/>
                <w:highlight w:val="none"/>
              </w:rPr>
            </w:pPr>
          </w:p>
        </w:tc>
        <w:tc>
          <w:tcPr>
            <w:tcW w:w="493" w:type="pct"/>
            <w:vMerge w:val="restart"/>
            <w:shd w:val="clear" w:color="auto" w:fill="auto"/>
            <w:vAlign w:val="center"/>
          </w:tcPr>
          <w:p w14:paraId="67C5C305">
            <w:pPr>
              <w:rPr>
                <w:color w:val="auto"/>
                <w:sz w:val="18"/>
                <w:szCs w:val="8"/>
                <w:highlight w:val="none"/>
              </w:rPr>
            </w:pPr>
            <w:r>
              <w:rPr>
                <w:rFonts w:hint="eastAsia"/>
                <w:color w:val="auto"/>
                <w:sz w:val="18"/>
                <w:szCs w:val="8"/>
                <w:highlight w:val="none"/>
              </w:rPr>
              <w:t>（3）工业机器人仿真资源包及应用案例</w:t>
            </w:r>
          </w:p>
        </w:tc>
        <w:tc>
          <w:tcPr>
            <w:tcW w:w="2116" w:type="pct"/>
            <w:gridSpan w:val="3"/>
            <w:shd w:val="clear" w:color="auto" w:fill="auto"/>
          </w:tcPr>
          <w:p w14:paraId="5F66F8B9">
            <w:pPr>
              <w:rPr>
                <w:color w:val="auto"/>
                <w:sz w:val="18"/>
                <w:szCs w:val="8"/>
                <w:highlight w:val="none"/>
              </w:rPr>
            </w:pPr>
            <w:r>
              <w:rPr>
                <w:rFonts w:hint="eastAsia"/>
                <w:color w:val="auto"/>
                <w:sz w:val="18"/>
                <w:szCs w:val="8"/>
                <w:highlight w:val="none"/>
              </w:rPr>
              <w:t>a)提供机器人示教与编程的SCARA机器人、六轴机器人、并联delta机器人、四轴码垛机器人的仿真资源包与案例；</w:t>
            </w:r>
          </w:p>
        </w:tc>
        <w:tc>
          <w:tcPr>
            <w:tcW w:w="404" w:type="pct"/>
            <w:gridSpan w:val="2"/>
            <w:vMerge w:val="continue"/>
            <w:shd w:val="clear" w:color="auto" w:fill="auto"/>
            <w:vAlign w:val="center"/>
          </w:tcPr>
          <w:p w14:paraId="3C7E1119">
            <w:pPr>
              <w:rPr>
                <w:color w:val="auto"/>
                <w:sz w:val="18"/>
                <w:szCs w:val="8"/>
                <w:highlight w:val="none"/>
              </w:rPr>
            </w:pPr>
          </w:p>
        </w:tc>
      </w:tr>
      <w:tr w14:paraId="2192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5459745">
            <w:pPr>
              <w:rPr>
                <w:color w:val="auto"/>
                <w:sz w:val="18"/>
                <w:szCs w:val="8"/>
                <w:highlight w:val="none"/>
              </w:rPr>
            </w:pPr>
          </w:p>
        </w:tc>
        <w:tc>
          <w:tcPr>
            <w:tcW w:w="427" w:type="pct"/>
            <w:vMerge w:val="continue"/>
            <w:shd w:val="clear" w:color="auto" w:fill="auto"/>
            <w:vAlign w:val="center"/>
          </w:tcPr>
          <w:p w14:paraId="0D3140EB">
            <w:pPr>
              <w:rPr>
                <w:color w:val="auto"/>
                <w:sz w:val="18"/>
                <w:szCs w:val="8"/>
                <w:highlight w:val="none"/>
              </w:rPr>
            </w:pPr>
          </w:p>
        </w:tc>
        <w:tc>
          <w:tcPr>
            <w:tcW w:w="460" w:type="pct"/>
            <w:vMerge w:val="continue"/>
            <w:shd w:val="clear" w:color="auto" w:fill="auto"/>
            <w:vAlign w:val="center"/>
          </w:tcPr>
          <w:p w14:paraId="1633519C">
            <w:pPr>
              <w:rPr>
                <w:color w:val="auto"/>
                <w:sz w:val="18"/>
                <w:szCs w:val="8"/>
                <w:highlight w:val="none"/>
              </w:rPr>
            </w:pPr>
          </w:p>
        </w:tc>
        <w:tc>
          <w:tcPr>
            <w:tcW w:w="940" w:type="pct"/>
            <w:vMerge w:val="continue"/>
            <w:shd w:val="clear" w:color="auto" w:fill="auto"/>
            <w:vAlign w:val="center"/>
          </w:tcPr>
          <w:p w14:paraId="2B822E54">
            <w:pPr>
              <w:rPr>
                <w:color w:val="auto"/>
                <w:sz w:val="18"/>
                <w:szCs w:val="8"/>
                <w:highlight w:val="none"/>
              </w:rPr>
            </w:pPr>
          </w:p>
        </w:tc>
        <w:tc>
          <w:tcPr>
            <w:tcW w:w="493" w:type="pct"/>
            <w:vMerge w:val="continue"/>
            <w:shd w:val="clear" w:color="auto" w:fill="auto"/>
            <w:vAlign w:val="center"/>
          </w:tcPr>
          <w:p w14:paraId="09E2B28F">
            <w:pPr>
              <w:rPr>
                <w:color w:val="auto"/>
                <w:sz w:val="18"/>
                <w:szCs w:val="8"/>
                <w:highlight w:val="none"/>
              </w:rPr>
            </w:pPr>
          </w:p>
        </w:tc>
        <w:tc>
          <w:tcPr>
            <w:tcW w:w="2116" w:type="pct"/>
            <w:gridSpan w:val="3"/>
            <w:shd w:val="clear" w:color="auto" w:fill="auto"/>
          </w:tcPr>
          <w:p w14:paraId="01C460DB">
            <w:pPr>
              <w:rPr>
                <w:color w:val="auto"/>
                <w:sz w:val="18"/>
                <w:szCs w:val="8"/>
                <w:highlight w:val="none"/>
              </w:rPr>
            </w:pPr>
            <w:r>
              <w:rPr>
                <w:rFonts w:hint="eastAsia"/>
                <w:color w:val="auto"/>
                <w:sz w:val="18"/>
                <w:szCs w:val="8"/>
                <w:highlight w:val="none"/>
              </w:rPr>
              <w:t>b)提供机器人从基础入门到集成应用的综合仿真资源包，数量≥20个，包含机器人基础编程、机器人喷涂、机器人搬运、机器人喷涂自动化、机器人焊接自动化、机器人码垛自动化以及多机器人集成协作组装的自动化工程案例；</w:t>
            </w:r>
          </w:p>
        </w:tc>
        <w:tc>
          <w:tcPr>
            <w:tcW w:w="404" w:type="pct"/>
            <w:gridSpan w:val="2"/>
            <w:vMerge w:val="continue"/>
            <w:shd w:val="clear" w:color="auto" w:fill="auto"/>
            <w:vAlign w:val="center"/>
          </w:tcPr>
          <w:p w14:paraId="6CF20908">
            <w:pPr>
              <w:rPr>
                <w:color w:val="auto"/>
                <w:sz w:val="18"/>
                <w:szCs w:val="8"/>
                <w:highlight w:val="none"/>
              </w:rPr>
            </w:pPr>
          </w:p>
        </w:tc>
      </w:tr>
      <w:tr w14:paraId="0E90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0004377">
            <w:pPr>
              <w:rPr>
                <w:color w:val="auto"/>
                <w:sz w:val="18"/>
                <w:szCs w:val="8"/>
                <w:highlight w:val="none"/>
              </w:rPr>
            </w:pPr>
          </w:p>
        </w:tc>
        <w:tc>
          <w:tcPr>
            <w:tcW w:w="427" w:type="pct"/>
            <w:vMerge w:val="continue"/>
            <w:shd w:val="clear" w:color="auto" w:fill="auto"/>
            <w:vAlign w:val="center"/>
          </w:tcPr>
          <w:p w14:paraId="71DA649F">
            <w:pPr>
              <w:rPr>
                <w:color w:val="auto"/>
                <w:sz w:val="18"/>
                <w:szCs w:val="8"/>
                <w:highlight w:val="none"/>
              </w:rPr>
            </w:pPr>
          </w:p>
        </w:tc>
        <w:tc>
          <w:tcPr>
            <w:tcW w:w="460" w:type="pct"/>
            <w:vMerge w:val="continue"/>
            <w:shd w:val="clear" w:color="auto" w:fill="auto"/>
            <w:vAlign w:val="center"/>
          </w:tcPr>
          <w:p w14:paraId="1BA9371B">
            <w:pPr>
              <w:rPr>
                <w:color w:val="auto"/>
                <w:sz w:val="18"/>
                <w:szCs w:val="8"/>
                <w:highlight w:val="none"/>
              </w:rPr>
            </w:pPr>
          </w:p>
        </w:tc>
        <w:tc>
          <w:tcPr>
            <w:tcW w:w="940" w:type="pct"/>
            <w:vMerge w:val="continue"/>
            <w:shd w:val="clear" w:color="auto" w:fill="auto"/>
            <w:vAlign w:val="center"/>
          </w:tcPr>
          <w:p w14:paraId="0E19242D">
            <w:pPr>
              <w:rPr>
                <w:color w:val="auto"/>
                <w:sz w:val="18"/>
                <w:szCs w:val="8"/>
                <w:highlight w:val="none"/>
              </w:rPr>
            </w:pPr>
          </w:p>
        </w:tc>
        <w:tc>
          <w:tcPr>
            <w:tcW w:w="493" w:type="pct"/>
            <w:vMerge w:val="continue"/>
            <w:shd w:val="clear" w:color="auto" w:fill="auto"/>
            <w:vAlign w:val="center"/>
          </w:tcPr>
          <w:p w14:paraId="3FA1C318">
            <w:pPr>
              <w:rPr>
                <w:color w:val="auto"/>
                <w:sz w:val="18"/>
                <w:szCs w:val="8"/>
                <w:highlight w:val="none"/>
              </w:rPr>
            </w:pPr>
          </w:p>
        </w:tc>
        <w:tc>
          <w:tcPr>
            <w:tcW w:w="2116" w:type="pct"/>
            <w:gridSpan w:val="3"/>
            <w:shd w:val="clear" w:color="auto" w:fill="auto"/>
          </w:tcPr>
          <w:p w14:paraId="19A92050">
            <w:pPr>
              <w:rPr>
                <w:color w:val="auto"/>
                <w:sz w:val="18"/>
                <w:szCs w:val="8"/>
                <w:highlight w:val="none"/>
              </w:rPr>
            </w:pPr>
            <w:r>
              <w:rPr>
                <w:rFonts w:hint="eastAsia"/>
                <w:color w:val="auto"/>
                <w:sz w:val="18"/>
                <w:szCs w:val="8"/>
                <w:highlight w:val="none"/>
              </w:rPr>
              <w:t>c)提供协作六轴机器人仿真应用案例，包含基础示教、码垛搬运，再到综合工作站（包含机器视觉、输送带、分拣、组装调试功能）集成应用的仿真资源包；</w:t>
            </w:r>
          </w:p>
        </w:tc>
        <w:tc>
          <w:tcPr>
            <w:tcW w:w="404" w:type="pct"/>
            <w:gridSpan w:val="2"/>
            <w:vMerge w:val="continue"/>
            <w:shd w:val="clear" w:color="auto" w:fill="auto"/>
            <w:vAlign w:val="center"/>
          </w:tcPr>
          <w:p w14:paraId="1BBB2D44">
            <w:pPr>
              <w:rPr>
                <w:color w:val="auto"/>
                <w:sz w:val="18"/>
                <w:szCs w:val="8"/>
                <w:highlight w:val="none"/>
              </w:rPr>
            </w:pPr>
          </w:p>
        </w:tc>
      </w:tr>
      <w:tr w14:paraId="265D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BD92B1A">
            <w:pPr>
              <w:rPr>
                <w:color w:val="auto"/>
                <w:sz w:val="18"/>
                <w:szCs w:val="8"/>
                <w:highlight w:val="none"/>
              </w:rPr>
            </w:pPr>
          </w:p>
        </w:tc>
        <w:tc>
          <w:tcPr>
            <w:tcW w:w="427" w:type="pct"/>
            <w:vMerge w:val="continue"/>
            <w:shd w:val="clear" w:color="auto" w:fill="auto"/>
            <w:vAlign w:val="center"/>
          </w:tcPr>
          <w:p w14:paraId="437D00E1">
            <w:pPr>
              <w:rPr>
                <w:color w:val="auto"/>
                <w:sz w:val="18"/>
                <w:szCs w:val="8"/>
                <w:highlight w:val="none"/>
              </w:rPr>
            </w:pPr>
          </w:p>
        </w:tc>
        <w:tc>
          <w:tcPr>
            <w:tcW w:w="460" w:type="pct"/>
            <w:vMerge w:val="continue"/>
            <w:shd w:val="clear" w:color="auto" w:fill="auto"/>
            <w:vAlign w:val="center"/>
          </w:tcPr>
          <w:p w14:paraId="5BBBE6EC">
            <w:pPr>
              <w:rPr>
                <w:color w:val="auto"/>
                <w:sz w:val="18"/>
                <w:szCs w:val="8"/>
                <w:highlight w:val="none"/>
              </w:rPr>
            </w:pPr>
          </w:p>
        </w:tc>
        <w:tc>
          <w:tcPr>
            <w:tcW w:w="940" w:type="pct"/>
            <w:vMerge w:val="continue"/>
            <w:shd w:val="clear" w:color="auto" w:fill="auto"/>
            <w:vAlign w:val="center"/>
          </w:tcPr>
          <w:p w14:paraId="58511580">
            <w:pPr>
              <w:rPr>
                <w:color w:val="auto"/>
                <w:sz w:val="18"/>
                <w:szCs w:val="8"/>
                <w:highlight w:val="none"/>
              </w:rPr>
            </w:pPr>
          </w:p>
        </w:tc>
        <w:tc>
          <w:tcPr>
            <w:tcW w:w="493" w:type="pct"/>
            <w:vMerge w:val="restart"/>
            <w:shd w:val="clear" w:color="auto" w:fill="auto"/>
            <w:vAlign w:val="center"/>
          </w:tcPr>
          <w:p w14:paraId="4C942BE0">
            <w:pPr>
              <w:rPr>
                <w:color w:val="auto"/>
                <w:sz w:val="18"/>
                <w:szCs w:val="8"/>
                <w:highlight w:val="none"/>
              </w:rPr>
            </w:pPr>
            <w:r>
              <w:rPr>
                <w:rFonts w:hint="eastAsia"/>
                <w:color w:val="auto"/>
                <w:sz w:val="18"/>
                <w:szCs w:val="8"/>
                <w:highlight w:val="none"/>
              </w:rPr>
              <w:t>（4）、运动控制集成与控制仿真资源包</w:t>
            </w:r>
          </w:p>
        </w:tc>
        <w:tc>
          <w:tcPr>
            <w:tcW w:w="2116" w:type="pct"/>
            <w:gridSpan w:val="3"/>
            <w:shd w:val="clear" w:color="auto" w:fill="auto"/>
          </w:tcPr>
          <w:p w14:paraId="332F05F9">
            <w:pPr>
              <w:rPr>
                <w:color w:val="auto"/>
                <w:sz w:val="18"/>
                <w:szCs w:val="8"/>
                <w:highlight w:val="none"/>
              </w:rPr>
            </w:pPr>
            <w:r>
              <w:rPr>
                <w:rFonts w:hint="eastAsia"/>
                <w:color w:val="auto"/>
                <w:sz w:val="18"/>
                <w:szCs w:val="8"/>
                <w:highlight w:val="none"/>
              </w:rPr>
              <w:t>▲a)提供一套开放式运行控制器编程软件，支持8路伺服运动控制，集成Basic语言以及梯形图编程，内置组态虚拟触摸屏功能，支持G代码数控加工，提供CAM解析软件；（提供软件功能界面截屏证明文件）</w:t>
            </w:r>
          </w:p>
        </w:tc>
        <w:tc>
          <w:tcPr>
            <w:tcW w:w="404" w:type="pct"/>
            <w:gridSpan w:val="2"/>
            <w:vMerge w:val="continue"/>
            <w:shd w:val="clear" w:color="auto" w:fill="auto"/>
            <w:vAlign w:val="center"/>
          </w:tcPr>
          <w:p w14:paraId="7B7C2FC0">
            <w:pPr>
              <w:rPr>
                <w:color w:val="auto"/>
                <w:sz w:val="18"/>
                <w:szCs w:val="8"/>
                <w:highlight w:val="none"/>
              </w:rPr>
            </w:pPr>
          </w:p>
        </w:tc>
      </w:tr>
      <w:tr w14:paraId="1481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ED1DF45">
            <w:pPr>
              <w:rPr>
                <w:color w:val="auto"/>
                <w:sz w:val="18"/>
                <w:szCs w:val="8"/>
                <w:highlight w:val="none"/>
              </w:rPr>
            </w:pPr>
          </w:p>
        </w:tc>
        <w:tc>
          <w:tcPr>
            <w:tcW w:w="427" w:type="pct"/>
            <w:vMerge w:val="continue"/>
            <w:shd w:val="clear" w:color="auto" w:fill="auto"/>
            <w:vAlign w:val="center"/>
          </w:tcPr>
          <w:p w14:paraId="547F9936">
            <w:pPr>
              <w:rPr>
                <w:color w:val="auto"/>
                <w:sz w:val="18"/>
                <w:szCs w:val="8"/>
                <w:highlight w:val="none"/>
              </w:rPr>
            </w:pPr>
          </w:p>
        </w:tc>
        <w:tc>
          <w:tcPr>
            <w:tcW w:w="460" w:type="pct"/>
            <w:vMerge w:val="continue"/>
            <w:shd w:val="clear" w:color="auto" w:fill="auto"/>
            <w:vAlign w:val="center"/>
          </w:tcPr>
          <w:p w14:paraId="11D112D1">
            <w:pPr>
              <w:rPr>
                <w:color w:val="auto"/>
                <w:sz w:val="18"/>
                <w:szCs w:val="8"/>
                <w:highlight w:val="none"/>
              </w:rPr>
            </w:pPr>
          </w:p>
        </w:tc>
        <w:tc>
          <w:tcPr>
            <w:tcW w:w="940" w:type="pct"/>
            <w:vMerge w:val="continue"/>
            <w:shd w:val="clear" w:color="auto" w:fill="auto"/>
            <w:vAlign w:val="center"/>
          </w:tcPr>
          <w:p w14:paraId="7483DF98">
            <w:pPr>
              <w:rPr>
                <w:color w:val="auto"/>
                <w:sz w:val="18"/>
                <w:szCs w:val="8"/>
                <w:highlight w:val="none"/>
              </w:rPr>
            </w:pPr>
          </w:p>
        </w:tc>
        <w:tc>
          <w:tcPr>
            <w:tcW w:w="493" w:type="pct"/>
            <w:vMerge w:val="continue"/>
            <w:shd w:val="clear" w:color="auto" w:fill="auto"/>
            <w:vAlign w:val="center"/>
          </w:tcPr>
          <w:p w14:paraId="0797EF28">
            <w:pPr>
              <w:rPr>
                <w:color w:val="auto"/>
                <w:sz w:val="18"/>
                <w:szCs w:val="8"/>
                <w:highlight w:val="none"/>
              </w:rPr>
            </w:pPr>
          </w:p>
        </w:tc>
        <w:tc>
          <w:tcPr>
            <w:tcW w:w="2116" w:type="pct"/>
            <w:gridSpan w:val="3"/>
            <w:shd w:val="clear" w:color="auto" w:fill="auto"/>
          </w:tcPr>
          <w:p w14:paraId="1253D7E8">
            <w:pPr>
              <w:rPr>
                <w:color w:val="auto"/>
                <w:sz w:val="18"/>
                <w:szCs w:val="8"/>
                <w:highlight w:val="none"/>
              </w:rPr>
            </w:pPr>
            <w:r>
              <w:rPr>
                <w:rFonts w:hint="eastAsia"/>
                <w:color w:val="auto"/>
                <w:sz w:val="18"/>
                <w:szCs w:val="8"/>
                <w:highlight w:val="none"/>
              </w:rPr>
              <w:t>b)提供基于该运动控制的单轴、双轴、三轴伺服直角坐标机器人的应用与仿真；</w:t>
            </w:r>
          </w:p>
        </w:tc>
        <w:tc>
          <w:tcPr>
            <w:tcW w:w="404" w:type="pct"/>
            <w:gridSpan w:val="2"/>
            <w:vMerge w:val="continue"/>
            <w:shd w:val="clear" w:color="auto" w:fill="auto"/>
            <w:vAlign w:val="center"/>
          </w:tcPr>
          <w:p w14:paraId="5242F446">
            <w:pPr>
              <w:rPr>
                <w:color w:val="auto"/>
                <w:sz w:val="18"/>
                <w:szCs w:val="8"/>
                <w:highlight w:val="none"/>
              </w:rPr>
            </w:pPr>
          </w:p>
        </w:tc>
      </w:tr>
      <w:tr w14:paraId="52A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5B83806">
            <w:pPr>
              <w:rPr>
                <w:color w:val="auto"/>
                <w:sz w:val="18"/>
                <w:szCs w:val="8"/>
                <w:highlight w:val="none"/>
              </w:rPr>
            </w:pPr>
          </w:p>
        </w:tc>
        <w:tc>
          <w:tcPr>
            <w:tcW w:w="427" w:type="pct"/>
            <w:vMerge w:val="continue"/>
            <w:shd w:val="clear" w:color="auto" w:fill="auto"/>
            <w:vAlign w:val="center"/>
          </w:tcPr>
          <w:p w14:paraId="4027A2D1">
            <w:pPr>
              <w:rPr>
                <w:color w:val="auto"/>
                <w:sz w:val="18"/>
                <w:szCs w:val="8"/>
                <w:highlight w:val="none"/>
              </w:rPr>
            </w:pPr>
          </w:p>
        </w:tc>
        <w:tc>
          <w:tcPr>
            <w:tcW w:w="460" w:type="pct"/>
            <w:vMerge w:val="continue"/>
            <w:shd w:val="clear" w:color="auto" w:fill="auto"/>
            <w:vAlign w:val="center"/>
          </w:tcPr>
          <w:p w14:paraId="4EE1972F">
            <w:pPr>
              <w:rPr>
                <w:color w:val="auto"/>
                <w:sz w:val="18"/>
                <w:szCs w:val="8"/>
                <w:highlight w:val="none"/>
              </w:rPr>
            </w:pPr>
          </w:p>
        </w:tc>
        <w:tc>
          <w:tcPr>
            <w:tcW w:w="940" w:type="pct"/>
            <w:vMerge w:val="continue"/>
            <w:shd w:val="clear" w:color="auto" w:fill="auto"/>
            <w:vAlign w:val="center"/>
          </w:tcPr>
          <w:p w14:paraId="2B78F0B0">
            <w:pPr>
              <w:rPr>
                <w:color w:val="auto"/>
                <w:sz w:val="18"/>
                <w:szCs w:val="8"/>
                <w:highlight w:val="none"/>
              </w:rPr>
            </w:pPr>
          </w:p>
        </w:tc>
        <w:tc>
          <w:tcPr>
            <w:tcW w:w="493" w:type="pct"/>
            <w:vMerge w:val="continue"/>
            <w:shd w:val="clear" w:color="auto" w:fill="auto"/>
            <w:vAlign w:val="center"/>
          </w:tcPr>
          <w:p w14:paraId="45AE168C">
            <w:pPr>
              <w:rPr>
                <w:color w:val="auto"/>
                <w:sz w:val="18"/>
                <w:szCs w:val="8"/>
                <w:highlight w:val="none"/>
              </w:rPr>
            </w:pPr>
          </w:p>
        </w:tc>
        <w:tc>
          <w:tcPr>
            <w:tcW w:w="2116" w:type="pct"/>
            <w:gridSpan w:val="3"/>
            <w:shd w:val="clear" w:color="auto" w:fill="auto"/>
          </w:tcPr>
          <w:p w14:paraId="7170F1F3">
            <w:pPr>
              <w:rPr>
                <w:color w:val="auto"/>
                <w:sz w:val="18"/>
                <w:szCs w:val="8"/>
                <w:highlight w:val="none"/>
              </w:rPr>
            </w:pPr>
            <w:r>
              <w:rPr>
                <w:rFonts w:hint="eastAsia"/>
                <w:color w:val="auto"/>
                <w:sz w:val="18"/>
                <w:szCs w:val="8"/>
                <w:highlight w:val="none"/>
              </w:rPr>
              <w:t>c)基于多关节的SCARA机械手编程与搭建的仿真资源包；</w:t>
            </w:r>
          </w:p>
        </w:tc>
        <w:tc>
          <w:tcPr>
            <w:tcW w:w="404" w:type="pct"/>
            <w:gridSpan w:val="2"/>
            <w:vMerge w:val="continue"/>
            <w:shd w:val="clear" w:color="auto" w:fill="auto"/>
            <w:vAlign w:val="center"/>
          </w:tcPr>
          <w:p w14:paraId="691B2132">
            <w:pPr>
              <w:rPr>
                <w:color w:val="auto"/>
                <w:sz w:val="18"/>
                <w:szCs w:val="8"/>
                <w:highlight w:val="none"/>
              </w:rPr>
            </w:pPr>
          </w:p>
        </w:tc>
      </w:tr>
      <w:tr w14:paraId="40BC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D1C8FAD">
            <w:pPr>
              <w:rPr>
                <w:color w:val="auto"/>
                <w:sz w:val="18"/>
                <w:szCs w:val="8"/>
                <w:highlight w:val="none"/>
              </w:rPr>
            </w:pPr>
          </w:p>
        </w:tc>
        <w:tc>
          <w:tcPr>
            <w:tcW w:w="427" w:type="pct"/>
            <w:vMerge w:val="continue"/>
            <w:shd w:val="clear" w:color="auto" w:fill="auto"/>
            <w:vAlign w:val="center"/>
          </w:tcPr>
          <w:p w14:paraId="646470FE">
            <w:pPr>
              <w:rPr>
                <w:color w:val="auto"/>
                <w:sz w:val="18"/>
                <w:szCs w:val="8"/>
                <w:highlight w:val="none"/>
              </w:rPr>
            </w:pPr>
          </w:p>
        </w:tc>
        <w:tc>
          <w:tcPr>
            <w:tcW w:w="460" w:type="pct"/>
            <w:vMerge w:val="continue"/>
            <w:shd w:val="clear" w:color="auto" w:fill="auto"/>
            <w:vAlign w:val="center"/>
          </w:tcPr>
          <w:p w14:paraId="27817D8A">
            <w:pPr>
              <w:rPr>
                <w:color w:val="auto"/>
                <w:sz w:val="18"/>
                <w:szCs w:val="8"/>
                <w:highlight w:val="none"/>
              </w:rPr>
            </w:pPr>
          </w:p>
        </w:tc>
        <w:tc>
          <w:tcPr>
            <w:tcW w:w="940" w:type="pct"/>
            <w:vMerge w:val="continue"/>
            <w:shd w:val="clear" w:color="auto" w:fill="auto"/>
            <w:vAlign w:val="center"/>
          </w:tcPr>
          <w:p w14:paraId="0B6C43B8">
            <w:pPr>
              <w:rPr>
                <w:color w:val="auto"/>
                <w:sz w:val="18"/>
                <w:szCs w:val="8"/>
                <w:highlight w:val="none"/>
              </w:rPr>
            </w:pPr>
          </w:p>
        </w:tc>
        <w:tc>
          <w:tcPr>
            <w:tcW w:w="493" w:type="pct"/>
            <w:vMerge w:val="continue"/>
            <w:shd w:val="clear" w:color="auto" w:fill="auto"/>
            <w:vAlign w:val="center"/>
          </w:tcPr>
          <w:p w14:paraId="748B2987">
            <w:pPr>
              <w:rPr>
                <w:color w:val="auto"/>
                <w:sz w:val="18"/>
                <w:szCs w:val="8"/>
                <w:highlight w:val="none"/>
              </w:rPr>
            </w:pPr>
          </w:p>
        </w:tc>
        <w:tc>
          <w:tcPr>
            <w:tcW w:w="2116" w:type="pct"/>
            <w:gridSpan w:val="3"/>
            <w:shd w:val="clear" w:color="auto" w:fill="auto"/>
          </w:tcPr>
          <w:p w14:paraId="13A93FB1">
            <w:pPr>
              <w:rPr>
                <w:color w:val="auto"/>
                <w:sz w:val="18"/>
                <w:szCs w:val="8"/>
                <w:highlight w:val="none"/>
              </w:rPr>
            </w:pPr>
            <w:r>
              <w:rPr>
                <w:rFonts w:hint="eastAsia"/>
                <w:color w:val="auto"/>
                <w:sz w:val="18"/>
                <w:szCs w:val="8"/>
                <w:highlight w:val="none"/>
              </w:rPr>
              <w:t>d)基于激光雕刻及XYZ机械手上下料的系统集成多轴运动控制仿真资源包；</w:t>
            </w:r>
          </w:p>
        </w:tc>
        <w:tc>
          <w:tcPr>
            <w:tcW w:w="404" w:type="pct"/>
            <w:gridSpan w:val="2"/>
            <w:vMerge w:val="continue"/>
            <w:shd w:val="clear" w:color="auto" w:fill="auto"/>
            <w:vAlign w:val="center"/>
          </w:tcPr>
          <w:p w14:paraId="4EF9E7B0">
            <w:pPr>
              <w:rPr>
                <w:color w:val="auto"/>
                <w:sz w:val="18"/>
                <w:szCs w:val="8"/>
                <w:highlight w:val="none"/>
              </w:rPr>
            </w:pPr>
          </w:p>
        </w:tc>
      </w:tr>
      <w:tr w14:paraId="1293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617BE98E">
            <w:pPr>
              <w:rPr>
                <w:color w:val="auto"/>
                <w:sz w:val="18"/>
                <w:szCs w:val="8"/>
                <w:highlight w:val="none"/>
              </w:rPr>
            </w:pPr>
          </w:p>
        </w:tc>
        <w:tc>
          <w:tcPr>
            <w:tcW w:w="427" w:type="pct"/>
            <w:vMerge w:val="continue"/>
            <w:shd w:val="clear" w:color="auto" w:fill="auto"/>
            <w:vAlign w:val="center"/>
          </w:tcPr>
          <w:p w14:paraId="5BC0FD77">
            <w:pPr>
              <w:rPr>
                <w:color w:val="auto"/>
                <w:sz w:val="18"/>
                <w:szCs w:val="8"/>
                <w:highlight w:val="none"/>
              </w:rPr>
            </w:pPr>
          </w:p>
        </w:tc>
        <w:tc>
          <w:tcPr>
            <w:tcW w:w="460" w:type="pct"/>
            <w:vMerge w:val="continue"/>
            <w:shd w:val="clear" w:color="auto" w:fill="auto"/>
            <w:vAlign w:val="center"/>
          </w:tcPr>
          <w:p w14:paraId="2B765B95">
            <w:pPr>
              <w:rPr>
                <w:color w:val="auto"/>
                <w:sz w:val="18"/>
                <w:szCs w:val="8"/>
                <w:highlight w:val="none"/>
              </w:rPr>
            </w:pPr>
          </w:p>
        </w:tc>
        <w:tc>
          <w:tcPr>
            <w:tcW w:w="940" w:type="pct"/>
            <w:vMerge w:val="continue"/>
            <w:shd w:val="clear" w:color="auto" w:fill="auto"/>
            <w:vAlign w:val="center"/>
          </w:tcPr>
          <w:p w14:paraId="52CB68C7">
            <w:pPr>
              <w:rPr>
                <w:color w:val="auto"/>
                <w:sz w:val="18"/>
                <w:szCs w:val="8"/>
                <w:highlight w:val="none"/>
              </w:rPr>
            </w:pPr>
          </w:p>
        </w:tc>
        <w:tc>
          <w:tcPr>
            <w:tcW w:w="493" w:type="pct"/>
            <w:vMerge w:val="restart"/>
            <w:shd w:val="clear" w:color="auto" w:fill="auto"/>
            <w:vAlign w:val="center"/>
          </w:tcPr>
          <w:p w14:paraId="10D2080A">
            <w:pPr>
              <w:rPr>
                <w:color w:val="auto"/>
                <w:sz w:val="18"/>
                <w:szCs w:val="8"/>
                <w:highlight w:val="none"/>
              </w:rPr>
            </w:pPr>
            <w:r>
              <w:rPr>
                <w:rFonts w:hint="eastAsia"/>
                <w:color w:val="auto"/>
                <w:sz w:val="18"/>
                <w:szCs w:val="8"/>
                <w:highlight w:val="none"/>
              </w:rPr>
              <w:t>（5）、机器视觉运动控制集成与仿真资源包</w:t>
            </w:r>
          </w:p>
        </w:tc>
        <w:tc>
          <w:tcPr>
            <w:tcW w:w="2116" w:type="pct"/>
            <w:gridSpan w:val="3"/>
            <w:shd w:val="clear" w:color="auto" w:fill="auto"/>
          </w:tcPr>
          <w:p w14:paraId="3D3813C5">
            <w:pPr>
              <w:rPr>
                <w:color w:val="auto"/>
                <w:sz w:val="18"/>
                <w:szCs w:val="8"/>
                <w:highlight w:val="none"/>
              </w:rPr>
            </w:pPr>
            <w:r>
              <w:rPr>
                <w:rFonts w:hint="eastAsia"/>
                <w:color w:val="auto"/>
                <w:sz w:val="18"/>
                <w:szCs w:val="8"/>
                <w:highlight w:val="none"/>
              </w:rPr>
              <w:t>a)基于视觉运动控制器仿真，提供提供该机器视觉仿真的完整教材、教程资源包，包含指导手册、开发手册、课程仿真资源包，每个课程资源包包含PPT、源码、三维工程场景、视频指导；</w:t>
            </w:r>
          </w:p>
        </w:tc>
        <w:tc>
          <w:tcPr>
            <w:tcW w:w="404" w:type="pct"/>
            <w:gridSpan w:val="2"/>
            <w:vMerge w:val="continue"/>
            <w:shd w:val="clear" w:color="auto" w:fill="auto"/>
            <w:vAlign w:val="center"/>
          </w:tcPr>
          <w:p w14:paraId="0A865BE6">
            <w:pPr>
              <w:rPr>
                <w:color w:val="auto"/>
                <w:sz w:val="18"/>
                <w:szCs w:val="8"/>
                <w:highlight w:val="none"/>
              </w:rPr>
            </w:pPr>
          </w:p>
        </w:tc>
      </w:tr>
      <w:tr w14:paraId="4DB0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55E17EFD">
            <w:pPr>
              <w:rPr>
                <w:color w:val="auto"/>
                <w:sz w:val="18"/>
                <w:szCs w:val="8"/>
                <w:highlight w:val="none"/>
              </w:rPr>
            </w:pPr>
          </w:p>
        </w:tc>
        <w:tc>
          <w:tcPr>
            <w:tcW w:w="427" w:type="pct"/>
            <w:vMerge w:val="continue"/>
            <w:shd w:val="clear" w:color="auto" w:fill="auto"/>
            <w:vAlign w:val="center"/>
          </w:tcPr>
          <w:p w14:paraId="6F23C26F">
            <w:pPr>
              <w:rPr>
                <w:color w:val="auto"/>
                <w:sz w:val="18"/>
                <w:szCs w:val="8"/>
                <w:highlight w:val="none"/>
              </w:rPr>
            </w:pPr>
          </w:p>
        </w:tc>
        <w:tc>
          <w:tcPr>
            <w:tcW w:w="460" w:type="pct"/>
            <w:vMerge w:val="continue"/>
            <w:shd w:val="clear" w:color="auto" w:fill="auto"/>
            <w:vAlign w:val="center"/>
          </w:tcPr>
          <w:p w14:paraId="6CEBA475">
            <w:pPr>
              <w:rPr>
                <w:color w:val="auto"/>
                <w:sz w:val="18"/>
                <w:szCs w:val="8"/>
                <w:highlight w:val="none"/>
              </w:rPr>
            </w:pPr>
          </w:p>
        </w:tc>
        <w:tc>
          <w:tcPr>
            <w:tcW w:w="940" w:type="pct"/>
            <w:vMerge w:val="continue"/>
            <w:shd w:val="clear" w:color="auto" w:fill="auto"/>
            <w:vAlign w:val="center"/>
          </w:tcPr>
          <w:p w14:paraId="104B4F20">
            <w:pPr>
              <w:rPr>
                <w:color w:val="auto"/>
                <w:sz w:val="18"/>
                <w:szCs w:val="8"/>
                <w:highlight w:val="none"/>
              </w:rPr>
            </w:pPr>
          </w:p>
        </w:tc>
        <w:tc>
          <w:tcPr>
            <w:tcW w:w="493" w:type="pct"/>
            <w:vMerge w:val="continue"/>
            <w:shd w:val="clear" w:color="auto" w:fill="auto"/>
            <w:vAlign w:val="center"/>
          </w:tcPr>
          <w:p w14:paraId="190AAE62">
            <w:pPr>
              <w:rPr>
                <w:color w:val="auto"/>
                <w:sz w:val="18"/>
                <w:szCs w:val="8"/>
                <w:highlight w:val="none"/>
              </w:rPr>
            </w:pPr>
          </w:p>
        </w:tc>
        <w:tc>
          <w:tcPr>
            <w:tcW w:w="2116" w:type="pct"/>
            <w:gridSpan w:val="3"/>
            <w:shd w:val="clear" w:color="auto" w:fill="auto"/>
          </w:tcPr>
          <w:p w14:paraId="746A17F7">
            <w:pPr>
              <w:rPr>
                <w:color w:val="auto"/>
                <w:sz w:val="18"/>
                <w:szCs w:val="8"/>
                <w:highlight w:val="none"/>
              </w:rPr>
            </w:pPr>
            <w:r>
              <w:rPr>
                <w:rFonts w:hint="eastAsia"/>
                <w:color w:val="auto"/>
                <w:sz w:val="18"/>
                <w:szCs w:val="8"/>
                <w:highlight w:val="none"/>
              </w:rPr>
              <w:t>▲b)提供轮廓提取机器手分类、二维码识别分拣、手机液晶划痕检测自动分拣、芯片引脚检测自动化分拣、OCR文字识别自动化分拣的应用案例资源包；（提供案例界面功能证明文件）</w:t>
            </w:r>
          </w:p>
        </w:tc>
        <w:tc>
          <w:tcPr>
            <w:tcW w:w="404" w:type="pct"/>
            <w:gridSpan w:val="2"/>
            <w:vMerge w:val="continue"/>
            <w:shd w:val="clear" w:color="auto" w:fill="auto"/>
            <w:vAlign w:val="center"/>
          </w:tcPr>
          <w:p w14:paraId="4179CC3B">
            <w:pPr>
              <w:rPr>
                <w:color w:val="auto"/>
                <w:sz w:val="18"/>
                <w:szCs w:val="8"/>
                <w:highlight w:val="none"/>
              </w:rPr>
            </w:pPr>
          </w:p>
        </w:tc>
      </w:tr>
      <w:tr w14:paraId="4F6C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34CAADC">
            <w:pPr>
              <w:rPr>
                <w:color w:val="auto"/>
                <w:sz w:val="18"/>
                <w:szCs w:val="8"/>
                <w:highlight w:val="none"/>
              </w:rPr>
            </w:pPr>
          </w:p>
        </w:tc>
        <w:tc>
          <w:tcPr>
            <w:tcW w:w="427" w:type="pct"/>
            <w:vMerge w:val="continue"/>
            <w:shd w:val="clear" w:color="auto" w:fill="auto"/>
            <w:vAlign w:val="center"/>
          </w:tcPr>
          <w:p w14:paraId="74C6A3E4">
            <w:pPr>
              <w:rPr>
                <w:color w:val="auto"/>
                <w:sz w:val="18"/>
                <w:szCs w:val="8"/>
                <w:highlight w:val="none"/>
              </w:rPr>
            </w:pPr>
          </w:p>
        </w:tc>
        <w:tc>
          <w:tcPr>
            <w:tcW w:w="460" w:type="pct"/>
            <w:vMerge w:val="continue"/>
            <w:shd w:val="clear" w:color="auto" w:fill="auto"/>
            <w:vAlign w:val="center"/>
          </w:tcPr>
          <w:p w14:paraId="582D4461">
            <w:pPr>
              <w:rPr>
                <w:color w:val="auto"/>
                <w:sz w:val="18"/>
                <w:szCs w:val="8"/>
                <w:highlight w:val="none"/>
              </w:rPr>
            </w:pPr>
          </w:p>
        </w:tc>
        <w:tc>
          <w:tcPr>
            <w:tcW w:w="940" w:type="pct"/>
            <w:vMerge w:val="restart"/>
            <w:shd w:val="clear" w:color="auto" w:fill="auto"/>
            <w:vAlign w:val="center"/>
          </w:tcPr>
          <w:p w14:paraId="72C81710">
            <w:pPr>
              <w:rPr>
                <w:color w:val="auto"/>
                <w:sz w:val="18"/>
                <w:szCs w:val="8"/>
                <w:highlight w:val="none"/>
              </w:rPr>
            </w:pPr>
            <w:r>
              <w:rPr>
                <w:rFonts w:hint="eastAsia"/>
                <w:color w:val="auto"/>
                <w:sz w:val="18"/>
                <w:szCs w:val="8"/>
                <w:highlight w:val="none"/>
              </w:rPr>
              <w:t>9、智能工厂系统集成应用仿真资源包</w:t>
            </w:r>
          </w:p>
        </w:tc>
        <w:tc>
          <w:tcPr>
            <w:tcW w:w="493" w:type="pct"/>
            <w:shd w:val="clear" w:color="auto" w:fill="auto"/>
            <w:vAlign w:val="center"/>
          </w:tcPr>
          <w:p w14:paraId="61166107">
            <w:pPr>
              <w:rPr>
                <w:color w:val="auto"/>
                <w:sz w:val="18"/>
                <w:szCs w:val="8"/>
                <w:highlight w:val="none"/>
              </w:rPr>
            </w:pPr>
            <w:r>
              <w:rPr>
                <w:rFonts w:hint="eastAsia"/>
                <w:color w:val="auto"/>
                <w:sz w:val="18"/>
                <w:szCs w:val="8"/>
                <w:highlight w:val="none"/>
              </w:rPr>
              <w:t>（1）、瓶装装填自动化产线仿真</w:t>
            </w:r>
          </w:p>
        </w:tc>
        <w:tc>
          <w:tcPr>
            <w:tcW w:w="2116" w:type="pct"/>
            <w:gridSpan w:val="3"/>
            <w:shd w:val="clear" w:color="auto" w:fill="auto"/>
            <w:vAlign w:val="center"/>
          </w:tcPr>
          <w:p w14:paraId="0119193E">
            <w:pPr>
              <w:rPr>
                <w:color w:val="auto"/>
                <w:sz w:val="18"/>
                <w:szCs w:val="8"/>
                <w:highlight w:val="none"/>
              </w:rPr>
            </w:pPr>
            <w:r>
              <w:rPr>
                <w:rFonts w:hint="eastAsia"/>
                <w:color w:val="auto"/>
                <w:sz w:val="18"/>
                <w:szCs w:val="8"/>
                <w:highlight w:val="none"/>
              </w:rPr>
              <w:t>包含井式送料、物料装填、瓶盖安装、物料运输再到仓储入库的全自动产线仿真资源包，提供完整的从单元实训、集成调试再到人机交互的仿真资源包；</w:t>
            </w:r>
          </w:p>
        </w:tc>
        <w:tc>
          <w:tcPr>
            <w:tcW w:w="404" w:type="pct"/>
            <w:gridSpan w:val="2"/>
            <w:vMerge w:val="continue"/>
            <w:shd w:val="clear" w:color="auto" w:fill="auto"/>
            <w:vAlign w:val="center"/>
          </w:tcPr>
          <w:p w14:paraId="789AEAA9">
            <w:pPr>
              <w:rPr>
                <w:color w:val="auto"/>
                <w:sz w:val="18"/>
                <w:szCs w:val="8"/>
                <w:highlight w:val="none"/>
              </w:rPr>
            </w:pPr>
          </w:p>
        </w:tc>
      </w:tr>
      <w:tr w14:paraId="4C25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CF7B6AB">
            <w:pPr>
              <w:rPr>
                <w:color w:val="auto"/>
                <w:sz w:val="18"/>
                <w:szCs w:val="8"/>
                <w:highlight w:val="none"/>
              </w:rPr>
            </w:pPr>
          </w:p>
        </w:tc>
        <w:tc>
          <w:tcPr>
            <w:tcW w:w="427" w:type="pct"/>
            <w:vMerge w:val="continue"/>
            <w:shd w:val="clear" w:color="auto" w:fill="auto"/>
            <w:vAlign w:val="center"/>
          </w:tcPr>
          <w:p w14:paraId="2014E4F2">
            <w:pPr>
              <w:rPr>
                <w:color w:val="auto"/>
                <w:sz w:val="18"/>
                <w:szCs w:val="8"/>
                <w:highlight w:val="none"/>
              </w:rPr>
            </w:pPr>
          </w:p>
        </w:tc>
        <w:tc>
          <w:tcPr>
            <w:tcW w:w="460" w:type="pct"/>
            <w:vMerge w:val="continue"/>
            <w:shd w:val="clear" w:color="auto" w:fill="auto"/>
            <w:vAlign w:val="center"/>
          </w:tcPr>
          <w:p w14:paraId="567D4525">
            <w:pPr>
              <w:rPr>
                <w:color w:val="auto"/>
                <w:sz w:val="18"/>
                <w:szCs w:val="8"/>
                <w:highlight w:val="none"/>
              </w:rPr>
            </w:pPr>
          </w:p>
        </w:tc>
        <w:tc>
          <w:tcPr>
            <w:tcW w:w="940" w:type="pct"/>
            <w:vMerge w:val="continue"/>
            <w:shd w:val="clear" w:color="auto" w:fill="auto"/>
            <w:vAlign w:val="center"/>
          </w:tcPr>
          <w:p w14:paraId="2DC87171">
            <w:pPr>
              <w:rPr>
                <w:color w:val="auto"/>
                <w:sz w:val="18"/>
                <w:szCs w:val="8"/>
                <w:highlight w:val="none"/>
              </w:rPr>
            </w:pPr>
          </w:p>
        </w:tc>
        <w:tc>
          <w:tcPr>
            <w:tcW w:w="493" w:type="pct"/>
            <w:vMerge w:val="restart"/>
            <w:shd w:val="clear" w:color="auto" w:fill="auto"/>
            <w:vAlign w:val="center"/>
          </w:tcPr>
          <w:p w14:paraId="72CC3187">
            <w:pPr>
              <w:rPr>
                <w:color w:val="auto"/>
                <w:sz w:val="18"/>
                <w:szCs w:val="8"/>
                <w:highlight w:val="none"/>
              </w:rPr>
            </w:pPr>
            <w:r>
              <w:rPr>
                <w:rFonts w:hint="eastAsia"/>
                <w:color w:val="auto"/>
                <w:sz w:val="18"/>
                <w:szCs w:val="8"/>
                <w:highlight w:val="none"/>
              </w:rPr>
              <w:t>（2）、数控产线自动化综合仿真</w:t>
            </w:r>
          </w:p>
        </w:tc>
        <w:tc>
          <w:tcPr>
            <w:tcW w:w="2116" w:type="pct"/>
            <w:gridSpan w:val="3"/>
            <w:shd w:val="clear" w:color="auto" w:fill="auto"/>
          </w:tcPr>
          <w:p w14:paraId="390D8E84">
            <w:pPr>
              <w:rPr>
                <w:color w:val="auto"/>
                <w:sz w:val="18"/>
                <w:szCs w:val="8"/>
                <w:highlight w:val="none"/>
              </w:rPr>
            </w:pPr>
            <w:r>
              <w:rPr>
                <w:rFonts w:hint="eastAsia"/>
                <w:color w:val="auto"/>
                <w:sz w:val="18"/>
                <w:szCs w:val="8"/>
                <w:highlight w:val="none"/>
              </w:rPr>
              <w:t>▲a)包含立体仓储、AGV机器人、数控机床加工、机器视觉检测的全自动化产线，提供从基础搭建、装配、调试、PLC编程、机器人控制、边缘计算数据采集再到MES系统集成的仿真资源包；（提供案例界面功能证明文件）</w:t>
            </w:r>
          </w:p>
        </w:tc>
        <w:tc>
          <w:tcPr>
            <w:tcW w:w="404" w:type="pct"/>
            <w:gridSpan w:val="2"/>
            <w:vMerge w:val="continue"/>
            <w:shd w:val="clear" w:color="auto" w:fill="auto"/>
            <w:vAlign w:val="center"/>
          </w:tcPr>
          <w:p w14:paraId="4153C548">
            <w:pPr>
              <w:rPr>
                <w:color w:val="auto"/>
                <w:sz w:val="18"/>
                <w:szCs w:val="8"/>
                <w:highlight w:val="none"/>
              </w:rPr>
            </w:pPr>
          </w:p>
        </w:tc>
      </w:tr>
      <w:tr w14:paraId="6B18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51D2B678">
            <w:pPr>
              <w:rPr>
                <w:color w:val="auto"/>
                <w:sz w:val="18"/>
                <w:szCs w:val="8"/>
                <w:highlight w:val="none"/>
              </w:rPr>
            </w:pPr>
          </w:p>
        </w:tc>
        <w:tc>
          <w:tcPr>
            <w:tcW w:w="427" w:type="pct"/>
            <w:vMerge w:val="continue"/>
            <w:shd w:val="clear" w:color="auto" w:fill="auto"/>
            <w:vAlign w:val="center"/>
          </w:tcPr>
          <w:p w14:paraId="7C62E9A3">
            <w:pPr>
              <w:rPr>
                <w:color w:val="auto"/>
                <w:sz w:val="18"/>
                <w:szCs w:val="8"/>
                <w:highlight w:val="none"/>
              </w:rPr>
            </w:pPr>
          </w:p>
        </w:tc>
        <w:tc>
          <w:tcPr>
            <w:tcW w:w="460" w:type="pct"/>
            <w:vMerge w:val="continue"/>
            <w:shd w:val="clear" w:color="auto" w:fill="auto"/>
            <w:vAlign w:val="center"/>
          </w:tcPr>
          <w:p w14:paraId="19E7D08E">
            <w:pPr>
              <w:rPr>
                <w:color w:val="auto"/>
                <w:sz w:val="18"/>
                <w:szCs w:val="8"/>
                <w:highlight w:val="none"/>
              </w:rPr>
            </w:pPr>
          </w:p>
        </w:tc>
        <w:tc>
          <w:tcPr>
            <w:tcW w:w="940" w:type="pct"/>
            <w:vMerge w:val="continue"/>
            <w:shd w:val="clear" w:color="auto" w:fill="auto"/>
            <w:vAlign w:val="center"/>
          </w:tcPr>
          <w:p w14:paraId="023216A7">
            <w:pPr>
              <w:rPr>
                <w:color w:val="auto"/>
                <w:sz w:val="18"/>
                <w:szCs w:val="8"/>
                <w:highlight w:val="none"/>
              </w:rPr>
            </w:pPr>
          </w:p>
        </w:tc>
        <w:tc>
          <w:tcPr>
            <w:tcW w:w="493" w:type="pct"/>
            <w:vMerge w:val="continue"/>
            <w:shd w:val="clear" w:color="auto" w:fill="auto"/>
            <w:vAlign w:val="center"/>
          </w:tcPr>
          <w:p w14:paraId="00A89F2D">
            <w:pPr>
              <w:rPr>
                <w:color w:val="auto"/>
                <w:sz w:val="18"/>
                <w:szCs w:val="8"/>
                <w:highlight w:val="none"/>
              </w:rPr>
            </w:pPr>
          </w:p>
        </w:tc>
        <w:tc>
          <w:tcPr>
            <w:tcW w:w="2116" w:type="pct"/>
            <w:gridSpan w:val="3"/>
            <w:shd w:val="clear" w:color="auto" w:fill="auto"/>
          </w:tcPr>
          <w:p w14:paraId="54A9AC87">
            <w:pPr>
              <w:rPr>
                <w:color w:val="auto"/>
                <w:sz w:val="18"/>
                <w:szCs w:val="8"/>
                <w:highlight w:val="none"/>
              </w:rPr>
            </w:pPr>
            <w:r>
              <w:rPr>
                <w:rFonts w:hint="eastAsia"/>
                <w:color w:val="auto"/>
                <w:sz w:val="18"/>
                <w:szCs w:val="8"/>
                <w:highlight w:val="none"/>
              </w:rPr>
              <w:t>b)采用虚拟边缘计算网关，基于工业互联网系统集成，实现从设备、数据采集、数据解析、数据管理再到数据应用的完整的仿真应用案例，能够通过该系统讲解数字化工厂的各个层级的控制关系以及对于数字化产线集成的实训训练；</w:t>
            </w:r>
          </w:p>
        </w:tc>
        <w:tc>
          <w:tcPr>
            <w:tcW w:w="404" w:type="pct"/>
            <w:gridSpan w:val="2"/>
            <w:vMerge w:val="continue"/>
            <w:shd w:val="clear" w:color="auto" w:fill="auto"/>
            <w:vAlign w:val="center"/>
          </w:tcPr>
          <w:p w14:paraId="2B5901F6">
            <w:pPr>
              <w:rPr>
                <w:color w:val="auto"/>
                <w:sz w:val="18"/>
                <w:szCs w:val="8"/>
                <w:highlight w:val="none"/>
              </w:rPr>
            </w:pPr>
          </w:p>
        </w:tc>
      </w:tr>
      <w:tr w14:paraId="0D2B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007F8FA">
            <w:pPr>
              <w:rPr>
                <w:color w:val="auto"/>
                <w:sz w:val="18"/>
                <w:szCs w:val="8"/>
                <w:highlight w:val="none"/>
              </w:rPr>
            </w:pPr>
          </w:p>
        </w:tc>
        <w:tc>
          <w:tcPr>
            <w:tcW w:w="427" w:type="pct"/>
            <w:vMerge w:val="continue"/>
            <w:shd w:val="clear" w:color="auto" w:fill="auto"/>
            <w:vAlign w:val="center"/>
          </w:tcPr>
          <w:p w14:paraId="17BEE664">
            <w:pPr>
              <w:rPr>
                <w:color w:val="auto"/>
                <w:sz w:val="18"/>
                <w:szCs w:val="8"/>
                <w:highlight w:val="none"/>
              </w:rPr>
            </w:pPr>
          </w:p>
        </w:tc>
        <w:tc>
          <w:tcPr>
            <w:tcW w:w="460" w:type="pct"/>
            <w:vMerge w:val="continue"/>
            <w:shd w:val="clear" w:color="auto" w:fill="auto"/>
            <w:vAlign w:val="center"/>
          </w:tcPr>
          <w:p w14:paraId="1F27A0A1">
            <w:pPr>
              <w:rPr>
                <w:color w:val="auto"/>
                <w:sz w:val="18"/>
                <w:szCs w:val="8"/>
                <w:highlight w:val="none"/>
              </w:rPr>
            </w:pPr>
          </w:p>
        </w:tc>
        <w:tc>
          <w:tcPr>
            <w:tcW w:w="940" w:type="pct"/>
            <w:vMerge w:val="continue"/>
            <w:shd w:val="clear" w:color="auto" w:fill="auto"/>
            <w:vAlign w:val="center"/>
          </w:tcPr>
          <w:p w14:paraId="715525D4">
            <w:pPr>
              <w:rPr>
                <w:color w:val="auto"/>
                <w:sz w:val="18"/>
                <w:szCs w:val="8"/>
                <w:highlight w:val="none"/>
              </w:rPr>
            </w:pPr>
          </w:p>
        </w:tc>
        <w:tc>
          <w:tcPr>
            <w:tcW w:w="493" w:type="pct"/>
            <w:vMerge w:val="continue"/>
            <w:shd w:val="clear" w:color="auto" w:fill="auto"/>
            <w:vAlign w:val="center"/>
          </w:tcPr>
          <w:p w14:paraId="1247686F">
            <w:pPr>
              <w:rPr>
                <w:color w:val="auto"/>
                <w:sz w:val="18"/>
                <w:szCs w:val="8"/>
                <w:highlight w:val="none"/>
              </w:rPr>
            </w:pPr>
          </w:p>
        </w:tc>
        <w:tc>
          <w:tcPr>
            <w:tcW w:w="2116" w:type="pct"/>
            <w:gridSpan w:val="3"/>
            <w:shd w:val="clear" w:color="auto" w:fill="auto"/>
          </w:tcPr>
          <w:p w14:paraId="1F77D7CF">
            <w:pPr>
              <w:rPr>
                <w:color w:val="auto"/>
                <w:sz w:val="18"/>
                <w:szCs w:val="8"/>
                <w:highlight w:val="none"/>
              </w:rPr>
            </w:pPr>
            <w:r>
              <w:rPr>
                <w:rFonts w:hint="eastAsia"/>
                <w:color w:val="auto"/>
                <w:sz w:val="18"/>
                <w:szCs w:val="8"/>
                <w:highlight w:val="none"/>
              </w:rPr>
              <w:t>c)MES管理应用：提供智能工厂的MES管理系统，具有设备统计、设备监控、订单统计、WMS仓储管理、以及用户管理等功能；</w:t>
            </w:r>
          </w:p>
        </w:tc>
        <w:tc>
          <w:tcPr>
            <w:tcW w:w="404" w:type="pct"/>
            <w:gridSpan w:val="2"/>
            <w:vMerge w:val="continue"/>
            <w:shd w:val="clear" w:color="auto" w:fill="auto"/>
            <w:vAlign w:val="center"/>
          </w:tcPr>
          <w:p w14:paraId="0CBB8D47">
            <w:pPr>
              <w:rPr>
                <w:color w:val="auto"/>
                <w:sz w:val="18"/>
                <w:szCs w:val="8"/>
                <w:highlight w:val="none"/>
              </w:rPr>
            </w:pPr>
          </w:p>
        </w:tc>
      </w:tr>
      <w:tr w14:paraId="143B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0583345">
            <w:pPr>
              <w:rPr>
                <w:color w:val="auto"/>
                <w:sz w:val="18"/>
                <w:szCs w:val="8"/>
                <w:highlight w:val="none"/>
              </w:rPr>
            </w:pPr>
          </w:p>
        </w:tc>
        <w:tc>
          <w:tcPr>
            <w:tcW w:w="427" w:type="pct"/>
            <w:vMerge w:val="continue"/>
            <w:shd w:val="clear" w:color="auto" w:fill="auto"/>
            <w:vAlign w:val="center"/>
          </w:tcPr>
          <w:p w14:paraId="3AE9C27E">
            <w:pPr>
              <w:rPr>
                <w:color w:val="auto"/>
                <w:sz w:val="18"/>
                <w:szCs w:val="8"/>
                <w:highlight w:val="none"/>
              </w:rPr>
            </w:pPr>
          </w:p>
        </w:tc>
        <w:tc>
          <w:tcPr>
            <w:tcW w:w="460" w:type="pct"/>
            <w:vMerge w:val="continue"/>
            <w:shd w:val="clear" w:color="auto" w:fill="auto"/>
            <w:vAlign w:val="center"/>
          </w:tcPr>
          <w:p w14:paraId="1CDE196A">
            <w:pPr>
              <w:rPr>
                <w:color w:val="auto"/>
                <w:sz w:val="18"/>
                <w:szCs w:val="8"/>
                <w:highlight w:val="none"/>
              </w:rPr>
            </w:pPr>
          </w:p>
        </w:tc>
        <w:tc>
          <w:tcPr>
            <w:tcW w:w="940" w:type="pct"/>
            <w:vMerge w:val="continue"/>
            <w:shd w:val="clear" w:color="auto" w:fill="auto"/>
            <w:vAlign w:val="center"/>
          </w:tcPr>
          <w:p w14:paraId="1F91EDC3">
            <w:pPr>
              <w:rPr>
                <w:color w:val="auto"/>
                <w:sz w:val="18"/>
                <w:szCs w:val="8"/>
                <w:highlight w:val="none"/>
              </w:rPr>
            </w:pPr>
          </w:p>
        </w:tc>
        <w:tc>
          <w:tcPr>
            <w:tcW w:w="493" w:type="pct"/>
            <w:vMerge w:val="continue"/>
            <w:shd w:val="clear" w:color="auto" w:fill="auto"/>
            <w:vAlign w:val="center"/>
          </w:tcPr>
          <w:p w14:paraId="0CD4355B">
            <w:pPr>
              <w:rPr>
                <w:color w:val="auto"/>
                <w:sz w:val="18"/>
                <w:szCs w:val="8"/>
                <w:highlight w:val="none"/>
              </w:rPr>
            </w:pPr>
          </w:p>
        </w:tc>
        <w:tc>
          <w:tcPr>
            <w:tcW w:w="2116" w:type="pct"/>
            <w:gridSpan w:val="3"/>
            <w:shd w:val="clear" w:color="auto" w:fill="auto"/>
          </w:tcPr>
          <w:p w14:paraId="6550152C">
            <w:pPr>
              <w:rPr>
                <w:color w:val="auto"/>
                <w:sz w:val="18"/>
                <w:szCs w:val="8"/>
                <w:highlight w:val="none"/>
              </w:rPr>
            </w:pPr>
            <w:r>
              <w:rPr>
                <w:rFonts w:hint="eastAsia"/>
                <w:color w:val="auto"/>
                <w:sz w:val="18"/>
                <w:szCs w:val="8"/>
                <w:highlight w:val="none"/>
              </w:rPr>
              <w:t>d)提供该智能制造产线系统仿真与集成的完整的PPT、视频讲解、实训手册以及源代码工程；</w:t>
            </w:r>
          </w:p>
        </w:tc>
        <w:tc>
          <w:tcPr>
            <w:tcW w:w="404" w:type="pct"/>
            <w:gridSpan w:val="2"/>
            <w:vMerge w:val="continue"/>
            <w:shd w:val="clear" w:color="auto" w:fill="auto"/>
            <w:vAlign w:val="center"/>
          </w:tcPr>
          <w:p w14:paraId="0030FFB5">
            <w:pPr>
              <w:rPr>
                <w:color w:val="auto"/>
                <w:sz w:val="18"/>
                <w:szCs w:val="8"/>
                <w:highlight w:val="none"/>
              </w:rPr>
            </w:pPr>
          </w:p>
        </w:tc>
      </w:tr>
      <w:tr w14:paraId="720B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2547A3B">
            <w:pPr>
              <w:rPr>
                <w:color w:val="auto"/>
                <w:sz w:val="18"/>
                <w:szCs w:val="8"/>
                <w:highlight w:val="none"/>
              </w:rPr>
            </w:pPr>
          </w:p>
        </w:tc>
        <w:tc>
          <w:tcPr>
            <w:tcW w:w="427" w:type="pct"/>
            <w:vMerge w:val="continue"/>
            <w:shd w:val="clear" w:color="auto" w:fill="auto"/>
            <w:vAlign w:val="center"/>
          </w:tcPr>
          <w:p w14:paraId="2DE3911E">
            <w:pPr>
              <w:rPr>
                <w:color w:val="auto"/>
                <w:sz w:val="18"/>
                <w:szCs w:val="8"/>
                <w:highlight w:val="none"/>
              </w:rPr>
            </w:pPr>
          </w:p>
        </w:tc>
        <w:tc>
          <w:tcPr>
            <w:tcW w:w="460" w:type="pct"/>
            <w:vMerge w:val="continue"/>
            <w:shd w:val="clear" w:color="auto" w:fill="auto"/>
            <w:vAlign w:val="center"/>
          </w:tcPr>
          <w:p w14:paraId="777E6D00">
            <w:pPr>
              <w:rPr>
                <w:color w:val="auto"/>
                <w:sz w:val="18"/>
                <w:szCs w:val="8"/>
                <w:highlight w:val="none"/>
              </w:rPr>
            </w:pPr>
          </w:p>
        </w:tc>
        <w:tc>
          <w:tcPr>
            <w:tcW w:w="940" w:type="pct"/>
            <w:vMerge w:val="restart"/>
            <w:shd w:val="clear" w:color="auto" w:fill="auto"/>
            <w:vAlign w:val="center"/>
          </w:tcPr>
          <w:p w14:paraId="68C67441">
            <w:pPr>
              <w:rPr>
                <w:color w:val="auto"/>
                <w:sz w:val="18"/>
                <w:szCs w:val="8"/>
                <w:highlight w:val="none"/>
              </w:rPr>
            </w:pPr>
            <w:r>
              <w:rPr>
                <w:rFonts w:hint="eastAsia"/>
                <w:color w:val="auto"/>
                <w:sz w:val="18"/>
                <w:szCs w:val="8"/>
                <w:highlight w:val="none"/>
              </w:rPr>
              <w:t>10、自动化控制原理仿真资源包</w:t>
            </w:r>
          </w:p>
        </w:tc>
        <w:tc>
          <w:tcPr>
            <w:tcW w:w="2601" w:type="pct"/>
            <w:gridSpan w:val="3"/>
            <w:shd w:val="clear" w:color="auto" w:fill="auto"/>
          </w:tcPr>
          <w:p w14:paraId="2EC0D570">
            <w:pPr>
              <w:rPr>
                <w:color w:val="auto"/>
                <w:sz w:val="18"/>
                <w:szCs w:val="8"/>
                <w:highlight w:val="none"/>
              </w:rPr>
            </w:pPr>
            <w:r>
              <w:rPr>
                <w:rFonts w:hint="eastAsia"/>
                <w:color w:val="auto"/>
                <w:sz w:val="18"/>
                <w:szCs w:val="8"/>
                <w:highlight w:val="none"/>
              </w:rPr>
              <w:t xml:space="preserve">（1）、指南车原理3D仿真：基于指南车自动化原理，讲解自动化控制的特点和原理，具有指南车结构认知和3D颜色功能； </w:t>
            </w:r>
          </w:p>
        </w:tc>
        <w:tc>
          <w:tcPr>
            <w:tcW w:w="404" w:type="pct"/>
            <w:gridSpan w:val="2"/>
            <w:vMerge w:val="restart"/>
            <w:shd w:val="clear" w:color="auto" w:fill="auto"/>
            <w:vAlign w:val="center"/>
          </w:tcPr>
          <w:p w14:paraId="373CF5D3">
            <w:pPr>
              <w:rPr>
                <w:color w:val="auto"/>
                <w:sz w:val="18"/>
                <w:szCs w:val="8"/>
                <w:highlight w:val="none"/>
              </w:rPr>
            </w:pPr>
          </w:p>
        </w:tc>
      </w:tr>
      <w:tr w14:paraId="48AA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141AFB0">
            <w:pPr>
              <w:rPr>
                <w:color w:val="auto"/>
                <w:sz w:val="18"/>
                <w:szCs w:val="8"/>
                <w:highlight w:val="none"/>
              </w:rPr>
            </w:pPr>
          </w:p>
        </w:tc>
        <w:tc>
          <w:tcPr>
            <w:tcW w:w="427" w:type="pct"/>
            <w:vMerge w:val="continue"/>
            <w:shd w:val="clear" w:color="auto" w:fill="auto"/>
            <w:vAlign w:val="center"/>
          </w:tcPr>
          <w:p w14:paraId="1E84B27B">
            <w:pPr>
              <w:rPr>
                <w:color w:val="auto"/>
                <w:sz w:val="18"/>
                <w:szCs w:val="8"/>
                <w:highlight w:val="none"/>
              </w:rPr>
            </w:pPr>
          </w:p>
        </w:tc>
        <w:tc>
          <w:tcPr>
            <w:tcW w:w="460" w:type="pct"/>
            <w:vMerge w:val="continue"/>
            <w:shd w:val="clear" w:color="auto" w:fill="auto"/>
            <w:vAlign w:val="center"/>
          </w:tcPr>
          <w:p w14:paraId="7EE4763F">
            <w:pPr>
              <w:rPr>
                <w:color w:val="auto"/>
                <w:sz w:val="18"/>
                <w:szCs w:val="8"/>
                <w:highlight w:val="none"/>
              </w:rPr>
            </w:pPr>
          </w:p>
        </w:tc>
        <w:tc>
          <w:tcPr>
            <w:tcW w:w="940" w:type="pct"/>
            <w:vMerge w:val="continue"/>
            <w:shd w:val="clear" w:color="auto" w:fill="auto"/>
            <w:vAlign w:val="center"/>
          </w:tcPr>
          <w:p w14:paraId="01029327">
            <w:pPr>
              <w:rPr>
                <w:color w:val="auto"/>
                <w:sz w:val="18"/>
                <w:szCs w:val="8"/>
                <w:highlight w:val="none"/>
              </w:rPr>
            </w:pPr>
          </w:p>
        </w:tc>
        <w:tc>
          <w:tcPr>
            <w:tcW w:w="2601" w:type="pct"/>
            <w:gridSpan w:val="3"/>
            <w:shd w:val="clear" w:color="auto" w:fill="auto"/>
          </w:tcPr>
          <w:p w14:paraId="59E60E3F">
            <w:pPr>
              <w:rPr>
                <w:color w:val="auto"/>
                <w:sz w:val="18"/>
                <w:szCs w:val="8"/>
                <w:highlight w:val="none"/>
              </w:rPr>
            </w:pPr>
            <w:r>
              <w:rPr>
                <w:rFonts w:hint="eastAsia"/>
                <w:color w:val="auto"/>
                <w:sz w:val="18"/>
                <w:szCs w:val="8"/>
                <w:highlight w:val="none"/>
              </w:rPr>
              <w:t>（2）、PWM电机控制仿真：基于虚拟PWM波形控制，讲解基于脉冲占比的伺服电机以及脉冲步进电机控制的原理和方式；</w:t>
            </w:r>
          </w:p>
        </w:tc>
        <w:tc>
          <w:tcPr>
            <w:tcW w:w="404" w:type="pct"/>
            <w:gridSpan w:val="2"/>
            <w:vMerge w:val="continue"/>
            <w:shd w:val="clear" w:color="auto" w:fill="auto"/>
            <w:vAlign w:val="center"/>
          </w:tcPr>
          <w:p w14:paraId="54B24429">
            <w:pPr>
              <w:rPr>
                <w:color w:val="auto"/>
                <w:sz w:val="18"/>
                <w:szCs w:val="8"/>
                <w:highlight w:val="none"/>
              </w:rPr>
            </w:pPr>
          </w:p>
        </w:tc>
      </w:tr>
      <w:tr w14:paraId="5448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8D5A711">
            <w:pPr>
              <w:rPr>
                <w:color w:val="auto"/>
                <w:sz w:val="18"/>
                <w:szCs w:val="8"/>
                <w:highlight w:val="none"/>
              </w:rPr>
            </w:pPr>
          </w:p>
        </w:tc>
        <w:tc>
          <w:tcPr>
            <w:tcW w:w="427" w:type="pct"/>
            <w:vMerge w:val="continue"/>
            <w:shd w:val="clear" w:color="auto" w:fill="auto"/>
            <w:vAlign w:val="center"/>
          </w:tcPr>
          <w:p w14:paraId="18E03437">
            <w:pPr>
              <w:rPr>
                <w:color w:val="auto"/>
                <w:sz w:val="18"/>
                <w:szCs w:val="8"/>
                <w:highlight w:val="none"/>
              </w:rPr>
            </w:pPr>
          </w:p>
        </w:tc>
        <w:tc>
          <w:tcPr>
            <w:tcW w:w="460" w:type="pct"/>
            <w:vMerge w:val="continue"/>
            <w:shd w:val="clear" w:color="auto" w:fill="auto"/>
            <w:vAlign w:val="center"/>
          </w:tcPr>
          <w:p w14:paraId="0E69198F">
            <w:pPr>
              <w:rPr>
                <w:color w:val="auto"/>
                <w:sz w:val="18"/>
                <w:szCs w:val="8"/>
                <w:highlight w:val="none"/>
              </w:rPr>
            </w:pPr>
          </w:p>
        </w:tc>
        <w:tc>
          <w:tcPr>
            <w:tcW w:w="940" w:type="pct"/>
            <w:vMerge w:val="continue"/>
            <w:shd w:val="clear" w:color="auto" w:fill="auto"/>
            <w:vAlign w:val="center"/>
          </w:tcPr>
          <w:p w14:paraId="05AB814B">
            <w:pPr>
              <w:rPr>
                <w:color w:val="auto"/>
                <w:sz w:val="18"/>
                <w:szCs w:val="8"/>
                <w:highlight w:val="none"/>
              </w:rPr>
            </w:pPr>
          </w:p>
        </w:tc>
        <w:tc>
          <w:tcPr>
            <w:tcW w:w="2601" w:type="pct"/>
            <w:gridSpan w:val="3"/>
            <w:shd w:val="clear" w:color="auto" w:fill="auto"/>
          </w:tcPr>
          <w:p w14:paraId="23ADE42C">
            <w:pPr>
              <w:rPr>
                <w:color w:val="auto"/>
                <w:sz w:val="18"/>
                <w:szCs w:val="8"/>
                <w:highlight w:val="none"/>
              </w:rPr>
            </w:pPr>
            <w:r>
              <w:rPr>
                <w:rFonts w:hint="eastAsia"/>
                <w:color w:val="auto"/>
                <w:sz w:val="18"/>
                <w:szCs w:val="8"/>
                <w:highlight w:val="none"/>
              </w:rPr>
              <w:t>（3）、变频电机控制仿真：基于虚拟变频器以及电机，通过虚拟电气接线、模拟控制，讲解变频器的原理和控制方式；</w:t>
            </w:r>
          </w:p>
        </w:tc>
        <w:tc>
          <w:tcPr>
            <w:tcW w:w="404" w:type="pct"/>
            <w:gridSpan w:val="2"/>
            <w:vMerge w:val="continue"/>
            <w:shd w:val="clear" w:color="auto" w:fill="auto"/>
            <w:vAlign w:val="center"/>
          </w:tcPr>
          <w:p w14:paraId="590ECBA6">
            <w:pPr>
              <w:rPr>
                <w:color w:val="auto"/>
                <w:sz w:val="18"/>
                <w:szCs w:val="8"/>
                <w:highlight w:val="none"/>
              </w:rPr>
            </w:pPr>
          </w:p>
        </w:tc>
      </w:tr>
      <w:tr w14:paraId="31F6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C90A797">
            <w:pPr>
              <w:rPr>
                <w:color w:val="auto"/>
                <w:sz w:val="18"/>
                <w:szCs w:val="8"/>
                <w:highlight w:val="none"/>
              </w:rPr>
            </w:pPr>
          </w:p>
        </w:tc>
        <w:tc>
          <w:tcPr>
            <w:tcW w:w="427" w:type="pct"/>
            <w:vMerge w:val="continue"/>
            <w:shd w:val="clear" w:color="auto" w:fill="auto"/>
            <w:vAlign w:val="center"/>
          </w:tcPr>
          <w:p w14:paraId="21073C9F">
            <w:pPr>
              <w:rPr>
                <w:color w:val="auto"/>
                <w:sz w:val="18"/>
                <w:szCs w:val="8"/>
                <w:highlight w:val="none"/>
              </w:rPr>
            </w:pPr>
          </w:p>
        </w:tc>
        <w:tc>
          <w:tcPr>
            <w:tcW w:w="460" w:type="pct"/>
            <w:vMerge w:val="continue"/>
            <w:shd w:val="clear" w:color="auto" w:fill="auto"/>
            <w:vAlign w:val="center"/>
          </w:tcPr>
          <w:p w14:paraId="5E532D6E">
            <w:pPr>
              <w:rPr>
                <w:color w:val="auto"/>
                <w:sz w:val="18"/>
                <w:szCs w:val="8"/>
                <w:highlight w:val="none"/>
              </w:rPr>
            </w:pPr>
          </w:p>
        </w:tc>
        <w:tc>
          <w:tcPr>
            <w:tcW w:w="940" w:type="pct"/>
            <w:vMerge w:val="continue"/>
            <w:shd w:val="clear" w:color="auto" w:fill="auto"/>
            <w:vAlign w:val="center"/>
          </w:tcPr>
          <w:p w14:paraId="5F2FCA31">
            <w:pPr>
              <w:rPr>
                <w:color w:val="auto"/>
                <w:sz w:val="18"/>
                <w:szCs w:val="8"/>
                <w:highlight w:val="none"/>
              </w:rPr>
            </w:pPr>
          </w:p>
        </w:tc>
        <w:tc>
          <w:tcPr>
            <w:tcW w:w="2601" w:type="pct"/>
            <w:gridSpan w:val="3"/>
            <w:shd w:val="clear" w:color="auto" w:fill="auto"/>
          </w:tcPr>
          <w:p w14:paraId="72FBCBA2">
            <w:pPr>
              <w:rPr>
                <w:color w:val="auto"/>
                <w:sz w:val="18"/>
                <w:szCs w:val="8"/>
                <w:highlight w:val="none"/>
              </w:rPr>
            </w:pPr>
            <w:r>
              <w:rPr>
                <w:rFonts w:hint="eastAsia"/>
                <w:color w:val="auto"/>
                <w:sz w:val="18"/>
                <w:szCs w:val="8"/>
                <w:highlight w:val="none"/>
              </w:rPr>
              <w:t>（4）、自动化电梯控制仿真：基于虚拟3D电梯，通过PLC编程与操作控制，完成电梯的自动化控制与仿真；</w:t>
            </w:r>
          </w:p>
        </w:tc>
        <w:tc>
          <w:tcPr>
            <w:tcW w:w="404" w:type="pct"/>
            <w:gridSpan w:val="2"/>
            <w:vMerge w:val="continue"/>
            <w:shd w:val="clear" w:color="auto" w:fill="auto"/>
            <w:vAlign w:val="center"/>
          </w:tcPr>
          <w:p w14:paraId="014C7456">
            <w:pPr>
              <w:rPr>
                <w:color w:val="auto"/>
                <w:sz w:val="18"/>
                <w:szCs w:val="8"/>
                <w:highlight w:val="none"/>
              </w:rPr>
            </w:pPr>
          </w:p>
        </w:tc>
      </w:tr>
      <w:tr w14:paraId="7411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12775B6">
            <w:pPr>
              <w:rPr>
                <w:color w:val="auto"/>
                <w:sz w:val="18"/>
                <w:szCs w:val="8"/>
                <w:highlight w:val="none"/>
              </w:rPr>
            </w:pPr>
          </w:p>
        </w:tc>
        <w:tc>
          <w:tcPr>
            <w:tcW w:w="427" w:type="pct"/>
            <w:vMerge w:val="continue"/>
            <w:shd w:val="clear" w:color="auto" w:fill="auto"/>
            <w:vAlign w:val="center"/>
          </w:tcPr>
          <w:p w14:paraId="3C6E37FF">
            <w:pPr>
              <w:rPr>
                <w:color w:val="auto"/>
                <w:sz w:val="18"/>
                <w:szCs w:val="8"/>
                <w:highlight w:val="none"/>
              </w:rPr>
            </w:pPr>
          </w:p>
        </w:tc>
        <w:tc>
          <w:tcPr>
            <w:tcW w:w="460" w:type="pct"/>
            <w:vMerge w:val="continue"/>
            <w:shd w:val="clear" w:color="auto" w:fill="auto"/>
            <w:vAlign w:val="center"/>
          </w:tcPr>
          <w:p w14:paraId="654A7269">
            <w:pPr>
              <w:rPr>
                <w:color w:val="auto"/>
                <w:sz w:val="18"/>
                <w:szCs w:val="8"/>
                <w:highlight w:val="none"/>
              </w:rPr>
            </w:pPr>
          </w:p>
        </w:tc>
        <w:tc>
          <w:tcPr>
            <w:tcW w:w="940" w:type="pct"/>
            <w:vMerge w:val="continue"/>
            <w:shd w:val="clear" w:color="auto" w:fill="auto"/>
            <w:vAlign w:val="center"/>
          </w:tcPr>
          <w:p w14:paraId="07D4C764">
            <w:pPr>
              <w:rPr>
                <w:color w:val="auto"/>
                <w:sz w:val="18"/>
                <w:szCs w:val="8"/>
                <w:highlight w:val="none"/>
              </w:rPr>
            </w:pPr>
          </w:p>
        </w:tc>
        <w:tc>
          <w:tcPr>
            <w:tcW w:w="2601" w:type="pct"/>
            <w:gridSpan w:val="3"/>
            <w:shd w:val="clear" w:color="auto" w:fill="auto"/>
          </w:tcPr>
          <w:p w14:paraId="125A2EC3">
            <w:pPr>
              <w:rPr>
                <w:color w:val="auto"/>
                <w:sz w:val="18"/>
                <w:szCs w:val="8"/>
                <w:highlight w:val="none"/>
              </w:rPr>
            </w:pPr>
            <w:r>
              <w:rPr>
                <w:rFonts w:hint="eastAsia"/>
                <w:color w:val="auto"/>
                <w:sz w:val="18"/>
                <w:szCs w:val="8"/>
                <w:highlight w:val="none"/>
              </w:rPr>
              <w:t>（5）、交通灯逻辑控制仿真：基于虚拟3D交通信号灯，通过PLC编程与操作控制，实现交通灯信号的编程与运行；</w:t>
            </w:r>
          </w:p>
        </w:tc>
        <w:tc>
          <w:tcPr>
            <w:tcW w:w="404" w:type="pct"/>
            <w:gridSpan w:val="2"/>
            <w:vMerge w:val="continue"/>
            <w:shd w:val="clear" w:color="auto" w:fill="auto"/>
            <w:vAlign w:val="center"/>
          </w:tcPr>
          <w:p w14:paraId="5011FC51">
            <w:pPr>
              <w:rPr>
                <w:color w:val="auto"/>
                <w:sz w:val="18"/>
                <w:szCs w:val="8"/>
                <w:highlight w:val="none"/>
              </w:rPr>
            </w:pPr>
          </w:p>
        </w:tc>
      </w:tr>
      <w:tr w14:paraId="24FC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FED52F6">
            <w:pPr>
              <w:rPr>
                <w:color w:val="auto"/>
                <w:sz w:val="18"/>
                <w:szCs w:val="8"/>
                <w:highlight w:val="none"/>
              </w:rPr>
            </w:pPr>
          </w:p>
        </w:tc>
        <w:tc>
          <w:tcPr>
            <w:tcW w:w="427" w:type="pct"/>
            <w:vMerge w:val="continue"/>
            <w:shd w:val="clear" w:color="auto" w:fill="auto"/>
            <w:vAlign w:val="center"/>
          </w:tcPr>
          <w:p w14:paraId="1AB385B4">
            <w:pPr>
              <w:rPr>
                <w:color w:val="auto"/>
                <w:sz w:val="18"/>
                <w:szCs w:val="8"/>
                <w:highlight w:val="none"/>
              </w:rPr>
            </w:pPr>
          </w:p>
        </w:tc>
        <w:tc>
          <w:tcPr>
            <w:tcW w:w="460" w:type="pct"/>
            <w:vMerge w:val="continue"/>
            <w:shd w:val="clear" w:color="auto" w:fill="auto"/>
            <w:vAlign w:val="center"/>
          </w:tcPr>
          <w:p w14:paraId="5751F01F">
            <w:pPr>
              <w:rPr>
                <w:color w:val="auto"/>
                <w:sz w:val="18"/>
                <w:szCs w:val="8"/>
                <w:highlight w:val="none"/>
              </w:rPr>
            </w:pPr>
          </w:p>
        </w:tc>
        <w:tc>
          <w:tcPr>
            <w:tcW w:w="940" w:type="pct"/>
            <w:vMerge w:val="continue"/>
            <w:shd w:val="clear" w:color="auto" w:fill="auto"/>
            <w:vAlign w:val="center"/>
          </w:tcPr>
          <w:p w14:paraId="76A6EB54">
            <w:pPr>
              <w:rPr>
                <w:color w:val="auto"/>
                <w:sz w:val="18"/>
                <w:szCs w:val="8"/>
                <w:highlight w:val="none"/>
              </w:rPr>
            </w:pPr>
          </w:p>
        </w:tc>
        <w:tc>
          <w:tcPr>
            <w:tcW w:w="2601" w:type="pct"/>
            <w:gridSpan w:val="3"/>
            <w:shd w:val="clear" w:color="auto" w:fill="auto"/>
          </w:tcPr>
          <w:p w14:paraId="7F98C4C0">
            <w:pPr>
              <w:rPr>
                <w:color w:val="auto"/>
                <w:sz w:val="18"/>
                <w:szCs w:val="8"/>
                <w:highlight w:val="none"/>
              </w:rPr>
            </w:pPr>
            <w:r>
              <w:rPr>
                <w:rFonts w:hint="eastAsia"/>
                <w:color w:val="auto"/>
                <w:sz w:val="18"/>
                <w:szCs w:val="8"/>
                <w:highlight w:val="none"/>
              </w:rPr>
              <w:t>（6）、PID水罐控制仿真：通过PID控制仿真一套给出水自动化装置，并通过PLC编程与操作控制，实现水位/温控的自动化；</w:t>
            </w:r>
          </w:p>
        </w:tc>
        <w:tc>
          <w:tcPr>
            <w:tcW w:w="404" w:type="pct"/>
            <w:gridSpan w:val="2"/>
            <w:vMerge w:val="continue"/>
            <w:shd w:val="clear" w:color="auto" w:fill="auto"/>
            <w:vAlign w:val="center"/>
          </w:tcPr>
          <w:p w14:paraId="549F3A33">
            <w:pPr>
              <w:rPr>
                <w:color w:val="auto"/>
                <w:sz w:val="18"/>
                <w:szCs w:val="8"/>
                <w:highlight w:val="none"/>
              </w:rPr>
            </w:pPr>
          </w:p>
        </w:tc>
      </w:tr>
      <w:tr w14:paraId="0B4E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12ABD0D">
            <w:pPr>
              <w:rPr>
                <w:color w:val="auto"/>
                <w:sz w:val="18"/>
                <w:szCs w:val="8"/>
                <w:highlight w:val="none"/>
              </w:rPr>
            </w:pPr>
          </w:p>
        </w:tc>
        <w:tc>
          <w:tcPr>
            <w:tcW w:w="427" w:type="pct"/>
            <w:vMerge w:val="continue"/>
            <w:shd w:val="clear" w:color="auto" w:fill="auto"/>
            <w:vAlign w:val="center"/>
          </w:tcPr>
          <w:p w14:paraId="7FE68A28">
            <w:pPr>
              <w:rPr>
                <w:color w:val="auto"/>
                <w:sz w:val="18"/>
                <w:szCs w:val="8"/>
                <w:highlight w:val="none"/>
              </w:rPr>
            </w:pPr>
          </w:p>
        </w:tc>
        <w:tc>
          <w:tcPr>
            <w:tcW w:w="460" w:type="pct"/>
            <w:vMerge w:val="continue"/>
            <w:shd w:val="clear" w:color="auto" w:fill="auto"/>
            <w:vAlign w:val="center"/>
          </w:tcPr>
          <w:p w14:paraId="0A054887">
            <w:pPr>
              <w:rPr>
                <w:color w:val="auto"/>
                <w:sz w:val="18"/>
                <w:szCs w:val="8"/>
                <w:highlight w:val="none"/>
              </w:rPr>
            </w:pPr>
          </w:p>
        </w:tc>
        <w:tc>
          <w:tcPr>
            <w:tcW w:w="940" w:type="pct"/>
            <w:vMerge w:val="continue"/>
            <w:shd w:val="clear" w:color="auto" w:fill="auto"/>
            <w:vAlign w:val="center"/>
          </w:tcPr>
          <w:p w14:paraId="58E8C807">
            <w:pPr>
              <w:rPr>
                <w:color w:val="auto"/>
                <w:sz w:val="18"/>
                <w:szCs w:val="8"/>
                <w:highlight w:val="none"/>
              </w:rPr>
            </w:pPr>
          </w:p>
        </w:tc>
        <w:tc>
          <w:tcPr>
            <w:tcW w:w="493" w:type="pct"/>
            <w:vMerge w:val="restart"/>
            <w:shd w:val="clear" w:color="auto" w:fill="auto"/>
          </w:tcPr>
          <w:p w14:paraId="2D36439B">
            <w:pPr>
              <w:rPr>
                <w:color w:val="auto"/>
                <w:sz w:val="18"/>
                <w:szCs w:val="8"/>
                <w:highlight w:val="none"/>
              </w:rPr>
            </w:pPr>
            <w:r>
              <w:rPr>
                <w:rFonts w:hint="eastAsia"/>
                <w:color w:val="auto"/>
                <w:sz w:val="18"/>
                <w:szCs w:val="8"/>
                <w:highlight w:val="none"/>
              </w:rPr>
              <w:t>（7）、AR工业传感器仿真与认知资源包：</w:t>
            </w:r>
          </w:p>
        </w:tc>
        <w:tc>
          <w:tcPr>
            <w:tcW w:w="2116" w:type="pct"/>
            <w:gridSpan w:val="3"/>
            <w:shd w:val="clear" w:color="auto" w:fill="auto"/>
          </w:tcPr>
          <w:p w14:paraId="3755BF12">
            <w:pPr>
              <w:rPr>
                <w:color w:val="auto"/>
                <w:sz w:val="18"/>
                <w:szCs w:val="8"/>
                <w:highlight w:val="none"/>
              </w:rPr>
            </w:pPr>
            <w:r>
              <w:rPr>
                <w:rFonts w:hint="eastAsia"/>
                <w:color w:val="auto"/>
                <w:sz w:val="18"/>
                <w:szCs w:val="8"/>
                <w:highlight w:val="none"/>
              </w:rPr>
              <w:t>a)温湿度传感器仿真实验：包含CTR热敏电阻、NTC热敏电阻、PTC热敏电阻、湿敏电容传感器、湿敏电阻传感器以及热电偶的原理仿真；</w:t>
            </w:r>
          </w:p>
        </w:tc>
        <w:tc>
          <w:tcPr>
            <w:tcW w:w="404" w:type="pct"/>
            <w:gridSpan w:val="2"/>
            <w:vMerge w:val="restart"/>
            <w:shd w:val="clear" w:color="auto" w:fill="auto"/>
            <w:vAlign w:val="center"/>
          </w:tcPr>
          <w:p w14:paraId="6CFBBF23">
            <w:pPr>
              <w:rPr>
                <w:color w:val="auto"/>
                <w:sz w:val="18"/>
                <w:szCs w:val="8"/>
                <w:highlight w:val="none"/>
              </w:rPr>
            </w:pPr>
          </w:p>
        </w:tc>
      </w:tr>
      <w:tr w14:paraId="101D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14CAEEB2">
            <w:pPr>
              <w:rPr>
                <w:color w:val="auto"/>
                <w:sz w:val="18"/>
                <w:szCs w:val="8"/>
                <w:highlight w:val="none"/>
              </w:rPr>
            </w:pPr>
          </w:p>
        </w:tc>
        <w:tc>
          <w:tcPr>
            <w:tcW w:w="427" w:type="pct"/>
            <w:vMerge w:val="continue"/>
            <w:shd w:val="clear" w:color="auto" w:fill="auto"/>
            <w:vAlign w:val="center"/>
          </w:tcPr>
          <w:p w14:paraId="3D028907">
            <w:pPr>
              <w:rPr>
                <w:color w:val="auto"/>
                <w:sz w:val="18"/>
                <w:szCs w:val="8"/>
                <w:highlight w:val="none"/>
              </w:rPr>
            </w:pPr>
          </w:p>
        </w:tc>
        <w:tc>
          <w:tcPr>
            <w:tcW w:w="460" w:type="pct"/>
            <w:vMerge w:val="continue"/>
            <w:shd w:val="clear" w:color="auto" w:fill="auto"/>
            <w:vAlign w:val="center"/>
          </w:tcPr>
          <w:p w14:paraId="16B0EDE5">
            <w:pPr>
              <w:rPr>
                <w:color w:val="auto"/>
                <w:sz w:val="18"/>
                <w:szCs w:val="8"/>
                <w:highlight w:val="none"/>
              </w:rPr>
            </w:pPr>
          </w:p>
        </w:tc>
        <w:tc>
          <w:tcPr>
            <w:tcW w:w="940" w:type="pct"/>
            <w:vMerge w:val="continue"/>
            <w:shd w:val="clear" w:color="auto" w:fill="auto"/>
            <w:vAlign w:val="center"/>
          </w:tcPr>
          <w:p w14:paraId="5CEA626D">
            <w:pPr>
              <w:rPr>
                <w:color w:val="auto"/>
                <w:sz w:val="18"/>
                <w:szCs w:val="8"/>
                <w:highlight w:val="none"/>
              </w:rPr>
            </w:pPr>
          </w:p>
        </w:tc>
        <w:tc>
          <w:tcPr>
            <w:tcW w:w="493" w:type="pct"/>
            <w:vMerge w:val="continue"/>
            <w:shd w:val="clear" w:color="auto" w:fill="auto"/>
          </w:tcPr>
          <w:p w14:paraId="355CFA31">
            <w:pPr>
              <w:rPr>
                <w:color w:val="auto"/>
                <w:sz w:val="18"/>
                <w:szCs w:val="8"/>
                <w:highlight w:val="none"/>
              </w:rPr>
            </w:pPr>
          </w:p>
        </w:tc>
        <w:tc>
          <w:tcPr>
            <w:tcW w:w="2116" w:type="pct"/>
            <w:gridSpan w:val="3"/>
            <w:shd w:val="clear" w:color="auto" w:fill="auto"/>
          </w:tcPr>
          <w:p w14:paraId="29DDF3EF">
            <w:pPr>
              <w:rPr>
                <w:color w:val="auto"/>
                <w:sz w:val="18"/>
                <w:szCs w:val="8"/>
                <w:highlight w:val="none"/>
              </w:rPr>
            </w:pPr>
            <w:r>
              <w:rPr>
                <w:rFonts w:hint="eastAsia"/>
                <w:color w:val="auto"/>
                <w:sz w:val="18"/>
                <w:szCs w:val="8"/>
                <w:highlight w:val="none"/>
              </w:rPr>
              <w:t>▲b)光敏传感器仿真应用：包含光电效应、光导电效应、光生伏特效应、外光电效应、光敏电阻原理、放射式光电测速、投射式光电测速、光电池原理、光电检测原理、PM2.5传感器、红外测距原理、U型光电开关的原理仿真；（提供原厂盖章软件功能截屏证明）</w:t>
            </w:r>
          </w:p>
        </w:tc>
        <w:tc>
          <w:tcPr>
            <w:tcW w:w="404" w:type="pct"/>
            <w:gridSpan w:val="2"/>
            <w:vMerge w:val="continue"/>
            <w:shd w:val="clear" w:color="auto" w:fill="auto"/>
            <w:vAlign w:val="center"/>
          </w:tcPr>
          <w:p w14:paraId="6093ACEB">
            <w:pPr>
              <w:rPr>
                <w:color w:val="auto"/>
                <w:sz w:val="18"/>
                <w:szCs w:val="8"/>
                <w:highlight w:val="none"/>
              </w:rPr>
            </w:pPr>
          </w:p>
        </w:tc>
      </w:tr>
      <w:tr w14:paraId="2438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0F399FD1">
            <w:pPr>
              <w:rPr>
                <w:color w:val="auto"/>
                <w:sz w:val="18"/>
                <w:szCs w:val="8"/>
                <w:highlight w:val="none"/>
              </w:rPr>
            </w:pPr>
          </w:p>
        </w:tc>
        <w:tc>
          <w:tcPr>
            <w:tcW w:w="427" w:type="pct"/>
            <w:vMerge w:val="continue"/>
            <w:shd w:val="clear" w:color="auto" w:fill="auto"/>
            <w:vAlign w:val="center"/>
          </w:tcPr>
          <w:p w14:paraId="052F6F78">
            <w:pPr>
              <w:rPr>
                <w:color w:val="auto"/>
                <w:sz w:val="18"/>
                <w:szCs w:val="8"/>
                <w:highlight w:val="none"/>
              </w:rPr>
            </w:pPr>
          </w:p>
        </w:tc>
        <w:tc>
          <w:tcPr>
            <w:tcW w:w="460" w:type="pct"/>
            <w:vMerge w:val="continue"/>
            <w:shd w:val="clear" w:color="auto" w:fill="auto"/>
            <w:vAlign w:val="center"/>
          </w:tcPr>
          <w:p w14:paraId="63C98272">
            <w:pPr>
              <w:rPr>
                <w:color w:val="auto"/>
                <w:sz w:val="18"/>
                <w:szCs w:val="8"/>
                <w:highlight w:val="none"/>
              </w:rPr>
            </w:pPr>
          </w:p>
        </w:tc>
        <w:tc>
          <w:tcPr>
            <w:tcW w:w="940" w:type="pct"/>
            <w:vMerge w:val="continue"/>
            <w:shd w:val="clear" w:color="auto" w:fill="auto"/>
            <w:vAlign w:val="center"/>
          </w:tcPr>
          <w:p w14:paraId="1C04DEAF">
            <w:pPr>
              <w:rPr>
                <w:color w:val="auto"/>
                <w:sz w:val="18"/>
                <w:szCs w:val="8"/>
                <w:highlight w:val="none"/>
              </w:rPr>
            </w:pPr>
          </w:p>
        </w:tc>
        <w:tc>
          <w:tcPr>
            <w:tcW w:w="493" w:type="pct"/>
            <w:vMerge w:val="continue"/>
            <w:shd w:val="clear" w:color="auto" w:fill="auto"/>
          </w:tcPr>
          <w:p w14:paraId="181E3E86">
            <w:pPr>
              <w:rPr>
                <w:color w:val="auto"/>
                <w:sz w:val="18"/>
                <w:szCs w:val="8"/>
                <w:highlight w:val="none"/>
              </w:rPr>
            </w:pPr>
          </w:p>
        </w:tc>
        <w:tc>
          <w:tcPr>
            <w:tcW w:w="2116" w:type="pct"/>
            <w:gridSpan w:val="3"/>
            <w:shd w:val="clear" w:color="auto" w:fill="auto"/>
          </w:tcPr>
          <w:p w14:paraId="5BEED2E4">
            <w:pPr>
              <w:rPr>
                <w:color w:val="auto"/>
                <w:sz w:val="18"/>
                <w:szCs w:val="8"/>
                <w:highlight w:val="none"/>
              </w:rPr>
            </w:pPr>
            <w:r>
              <w:rPr>
                <w:rFonts w:hint="eastAsia"/>
                <w:color w:val="auto"/>
                <w:sz w:val="18"/>
                <w:szCs w:val="8"/>
                <w:highlight w:val="none"/>
              </w:rPr>
              <w:t>c)超声传感器应用与原理：包含压电效应、超声料位检测、雷达倒车、以及超声波纵波探伤原理仿真；</w:t>
            </w:r>
          </w:p>
        </w:tc>
        <w:tc>
          <w:tcPr>
            <w:tcW w:w="404" w:type="pct"/>
            <w:gridSpan w:val="2"/>
            <w:vMerge w:val="continue"/>
            <w:shd w:val="clear" w:color="auto" w:fill="auto"/>
            <w:vAlign w:val="center"/>
          </w:tcPr>
          <w:p w14:paraId="2AADC04B">
            <w:pPr>
              <w:rPr>
                <w:color w:val="auto"/>
                <w:sz w:val="18"/>
                <w:szCs w:val="8"/>
                <w:highlight w:val="none"/>
              </w:rPr>
            </w:pPr>
          </w:p>
        </w:tc>
      </w:tr>
      <w:tr w14:paraId="7B39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29E835C7">
            <w:pPr>
              <w:rPr>
                <w:color w:val="auto"/>
                <w:sz w:val="18"/>
                <w:szCs w:val="8"/>
                <w:highlight w:val="none"/>
              </w:rPr>
            </w:pPr>
          </w:p>
        </w:tc>
        <w:tc>
          <w:tcPr>
            <w:tcW w:w="427" w:type="pct"/>
            <w:vMerge w:val="continue"/>
            <w:shd w:val="clear" w:color="auto" w:fill="auto"/>
            <w:vAlign w:val="center"/>
          </w:tcPr>
          <w:p w14:paraId="6CC28964">
            <w:pPr>
              <w:rPr>
                <w:color w:val="auto"/>
                <w:sz w:val="18"/>
                <w:szCs w:val="8"/>
                <w:highlight w:val="none"/>
              </w:rPr>
            </w:pPr>
          </w:p>
        </w:tc>
        <w:tc>
          <w:tcPr>
            <w:tcW w:w="460" w:type="pct"/>
            <w:vMerge w:val="continue"/>
            <w:shd w:val="clear" w:color="auto" w:fill="auto"/>
            <w:vAlign w:val="center"/>
          </w:tcPr>
          <w:p w14:paraId="734DB6AD">
            <w:pPr>
              <w:rPr>
                <w:color w:val="auto"/>
                <w:sz w:val="18"/>
                <w:szCs w:val="8"/>
                <w:highlight w:val="none"/>
              </w:rPr>
            </w:pPr>
          </w:p>
        </w:tc>
        <w:tc>
          <w:tcPr>
            <w:tcW w:w="940" w:type="pct"/>
            <w:vMerge w:val="continue"/>
            <w:shd w:val="clear" w:color="auto" w:fill="auto"/>
            <w:vAlign w:val="center"/>
          </w:tcPr>
          <w:p w14:paraId="6EC2F431">
            <w:pPr>
              <w:rPr>
                <w:color w:val="auto"/>
                <w:sz w:val="18"/>
                <w:szCs w:val="8"/>
                <w:highlight w:val="none"/>
              </w:rPr>
            </w:pPr>
          </w:p>
        </w:tc>
        <w:tc>
          <w:tcPr>
            <w:tcW w:w="493" w:type="pct"/>
            <w:vMerge w:val="continue"/>
            <w:shd w:val="clear" w:color="auto" w:fill="auto"/>
          </w:tcPr>
          <w:p w14:paraId="2A69CB74">
            <w:pPr>
              <w:rPr>
                <w:color w:val="auto"/>
                <w:sz w:val="18"/>
                <w:szCs w:val="8"/>
                <w:highlight w:val="none"/>
              </w:rPr>
            </w:pPr>
          </w:p>
        </w:tc>
        <w:tc>
          <w:tcPr>
            <w:tcW w:w="2116" w:type="pct"/>
            <w:gridSpan w:val="3"/>
            <w:shd w:val="clear" w:color="auto" w:fill="auto"/>
          </w:tcPr>
          <w:p w14:paraId="733D3129">
            <w:pPr>
              <w:rPr>
                <w:color w:val="auto"/>
                <w:sz w:val="18"/>
                <w:szCs w:val="8"/>
                <w:highlight w:val="none"/>
              </w:rPr>
            </w:pPr>
            <w:r>
              <w:rPr>
                <w:rFonts w:hint="eastAsia"/>
                <w:color w:val="auto"/>
                <w:sz w:val="18"/>
                <w:szCs w:val="8"/>
                <w:highlight w:val="none"/>
              </w:rPr>
              <w:t>d)磁敏传感器应用与原理：包含霍尔效应、霍尔测速、霍尔角度测量、霍尔开关、巨磁阻效应原理、永久磁铁干簧管原理仿真；</w:t>
            </w:r>
          </w:p>
        </w:tc>
        <w:tc>
          <w:tcPr>
            <w:tcW w:w="404" w:type="pct"/>
            <w:gridSpan w:val="2"/>
            <w:vMerge w:val="continue"/>
            <w:shd w:val="clear" w:color="auto" w:fill="auto"/>
            <w:vAlign w:val="center"/>
          </w:tcPr>
          <w:p w14:paraId="441E183B">
            <w:pPr>
              <w:rPr>
                <w:color w:val="auto"/>
                <w:sz w:val="18"/>
                <w:szCs w:val="8"/>
                <w:highlight w:val="none"/>
              </w:rPr>
            </w:pPr>
          </w:p>
        </w:tc>
      </w:tr>
      <w:tr w14:paraId="3D38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9B4BD8F">
            <w:pPr>
              <w:rPr>
                <w:color w:val="auto"/>
                <w:sz w:val="18"/>
                <w:szCs w:val="8"/>
                <w:highlight w:val="none"/>
              </w:rPr>
            </w:pPr>
          </w:p>
        </w:tc>
        <w:tc>
          <w:tcPr>
            <w:tcW w:w="427" w:type="pct"/>
            <w:vMerge w:val="continue"/>
            <w:shd w:val="clear" w:color="auto" w:fill="auto"/>
            <w:vAlign w:val="center"/>
          </w:tcPr>
          <w:p w14:paraId="6AE88CDC">
            <w:pPr>
              <w:rPr>
                <w:color w:val="auto"/>
                <w:sz w:val="18"/>
                <w:szCs w:val="8"/>
                <w:highlight w:val="none"/>
              </w:rPr>
            </w:pPr>
          </w:p>
        </w:tc>
        <w:tc>
          <w:tcPr>
            <w:tcW w:w="460" w:type="pct"/>
            <w:vMerge w:val="continue"/>
            <w:shd w:val="clear" w:color="auto" w:fill="auto"/>
            <w:vAlign w:val="center"/>
          </w:tcPr>
          <w:p w14:paraId="531729ED">
            <w:pPr>
              <w:rPr>
                <w:color w:val="auto"/>
                <w:sz w:val="18"/>
                <w:szCs w:val="8"/>
                <w:highlight w:val="none"/>
              </w:rPr>
            </w:pPr>
          </w:p>
        </w:tc>
        <w:tc>
          <w:tcPr>
            <w:tcW w:w="940" w:type="pct"/>
            <w:vMerge w:val="continue"/>
            <w:shd w:val="clear" w:color="auto" w:fill="auto"/>
            <w:vAlign w:val="center"/>
          </w:tcPr>
          <w:p w14:paraId="6411E53C">
            <w:pPr>
              <w:rPr>
                <w:color w:val="auto"/>
                <w:sz w:val="18"/>
                <w:szCs w:val="8"/>
                <w:highlight w:val="none"/>
              </w:rPr>
            </w:pPr>
          </w:p>
        </w:tc>
        <w:tc>
          <w:tcPr>
            <w:tcW w:w="493" w:type="pct"/>
            <w:vMerge w:val="continue"/>
            <w:shd w:val="clear" w:color="auto" w:fill="auto"/>
          </w:tcPr>
          <w:p w14:paraId="72062C7A">
            <w:pPr>
              <w:rPr>
                <w:color w:val="auto"/>
                <w:sz w:val="18"/>
                <w:szCs w:val="8"/>
                <w:highlight w:val="none"/>
              </w:rPr>
            </w:pPr>
          </w:p>
        </w:tc>
        <w:tc>
          <w:tcPr>
            <w:tcW w:w="2116" w:type="pct"/>
            <w:gridSpan w:val="3"/>
            <w:shd w:val="clear" w:color="auto" w:fill="auto"/>
          </w:tcPr>
          <w:p w14:paraId="7B661A4C">
            <w:pPr>
              <w:rPr>
                <w:color w:val="auto"/>
                <w:sz w:val="18"/>
                <w:szCs w:val="8"/>
                <w:highlight w:val="none"/>
              </w:rPr>
            </w:pPr>
            <w:r>
              <w:rPr>
                <w:rFonts w:hint="eastAsia"/>
                <w:color w:val="auto"/>
                <w:sz w:val="18"/>
                <w:szCs w:val="8"/>
                <w:highlight w:val="none"/>
              </w:rPr>
              <w:t>e)气敏传感器应用与原理：气敏传感器、酒精气体检测原理仿真；</w:t>
            </w:r>
          </w:p>
        </w:tc>
        <w:tc>
          <w:tcPr>
            <w:tcW w:w="404" w:type="pct"/>
            <w:gridSpan w:val="2"/>
            <w:vMerge w:val="continue"/>
            <w:shd w:val="clear" w:color="auto" w:fill="auto"/>
            <w:vAlign w:val="center"/>
          </w:tcPr>
          <w:p w14:paraId="4F215595">
            <w:pPr>
              <w:rPr>
                <w:color w:val="auto"/>
                <w:sz w:val="18"/>
                <w:szCs w:val="8"/>
                <w:highlight w:val="none"/>
              </w:rPr>
            </w:pPr>
          </w:p>
        </w:tc>
      </w:tr>
      <w:tr w14:paraId="170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D672674">
            <w:pPr>
              <w:rPr>
                <w:color w:val="auto"/>
                <w:sz w:val="18"/>
                <w:szCs w:val="8"/>
                <w:highlight w:val="none"/>
              </w:rPr>
            </w:pPr>
          </w:p>
        </w:tc>
        <w:tc>
          <w:tcPr>
            <w:tcW w:w="427" w:type="pct"/>
            <w:vMerge w:val="continue"/>
            <w:shd w:val="clear" w:color="auto" w:fill="auto"/>
            <w:vAlign w:val="center"/>
          </w:tcPr>
          <w:p w14:paraId="2A610BEC">
            <w:pPr>
              <w:rPr>
                <w:color w:val="auto"/>
                <w:sz w:val="18"/>
                <w:szCs w:val="8"/>
                <w:highlight w:val="none"/>
              </w:rPr>
            </w:pPr>
          </w:p>
        </w:tc>
        <w:tc>
          <w:tcPr>
            <w:tcW w:w="460" w:type="pct"/>
            <w:vMerge w:val="continue"/>
            <w:shd w:val="clear" w:color="auto" w:fill="auto"/>
            <w:vAlign w:val="center"/>
          </w:tcPr>
          <w:p w14:paraId="600A3EAD">
            <w:pPr>
              <w:rPr>
                <w:color w:val="auto"/>
                <w:sz w:val="18"/>
                <w:szCs w:val="8"/>
                <w:highlight w:val="none"/>
              </w:rPr>
            </w:pPr>
          </w:p>
        </w:tc>
        <w:tc>
          <w:tcPr>
            <w:tcW w:w="940" w:type="pct"/>
            <w:vMerge w:val="restart"/>
            <w:shd w:val="clear" w:color="auto" w:fill="auto"/>
            <w:vAlign w:val="center"/>
          </w:tcPr>
          <w:p w14:paraId="088E08B9">
            <w:pPr>
              <w:rPr>
                <w:color w:val="auto"/>
                <w:sz w:val="18"/>
                <w:szCs w:val="8"/>
                <w:highlight w:val="none"/>
              </w:rPr>
            </w:pPr>
            <w:r>
              <w:rPr>
                <w:rFonts w:hint="eastAsia"/>
                <w:color w:val="auto"/>
                <w:sz w:val="18"/>
                <w:szCs w:val="8"/>
                <w:highlight w:val="none"/>
              </w:rPr>
              <w:t>11、教学实训手册</w:t>
            </w:r>
          </w:p>
        </w:tc>
        <w:tc>
          <w:tcPr>
            <w:tcW w:w="2601" w:type="pct"/>
            <w:gridSpan w:val="3"/>
            <w:shd w:val="clear" w:color="auto" w:fill="auto"/>
          </w:tcPr>
          <w:p w14:paraId="3F4E12ED">
            <w:pPr>
              <w:rPr>
                <w:color w:val="auto"/>
                <w:sz w:val="18"/>
                <w:szCs w:val="8"/>
                <w:highlight w:val="none"/>
              </w:rPr>
            </w:pPr>
            <w:r>
              <w:rPr>
                <w:rFonts w:hint="eastAsia"/>
                <w:color w:val="auto"/>
                <w:sz w:val="18"/>
                <w:szCs w:val="8"/>
                <w:highlight w:val="none"/>
              </w:rPr>
              <w:t>（1）、提供基于数字孪生仿真的《PLC仿真与控制》的纸质版教学手册，包含软件安装、仿真实训、实验指导等；</w:t>
            </w:r>
          </w:p>
        </w:tc>
        <w:tc>
          <w:tcPr>
            <w:tcW w:w="404" w:type="pct"/>
            <w:gridSpan w:val="2"/>
            <w:vMerge w:val="restart"/>
            <w:shd w:val="clear" w:color="auto" w:fill="auto"/>
            <w:vAlign w:val="center"/>
          </w:tcPr>
          <w:p w14:paraId="7B4AF703">
            <w:pPr>
              <w:rPr>
                <w:color w:val="auto"/>
                <w:sz w:val="18"/>
                <w:szCs w:val="8"/>
                <w:highlight w:val="none"/>
              </w:rPr>
            </w:pPr>
          </w:p>
        </w:tc>
      </w:tr>
      <w:tr w14:paraId="6BD4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B0E8855">
            <w:pPr>
              <w:rPr>
                <w:color w:val="auto"/>
                <w:sz w:val="18"/>
                <w:szCs w:val="8"/>
                <w:highlight w:val="none"/>
              </w:rPr>
            </w:pPr>
          </w:p>
        </w:tc>
        <w:tc>
          <w:tcPr>
            <w:tcW w:w="427" w:type="pct"/>
            <w:vMerge w:val="continue"/>
            <w:shd w:val="clear" w:color="auto" w:fill="auto"/>
            <w:vAlign w:val="center"/>
          </w:tcPr>
          <w:p w14:paraId="4FC292A8">
            <w:pPr>
              <w:rPr>
                <w:color w:val="auto"/>
                <w:sz w:val="18"/>
                <w:szCs w:val="8"/>
                <w:highlight w:val="none"/>
              </w:rPr>
            </w:pPr>
          </w:p>
        </w:tc>
        <w:tc>
          <w:tcPr>
            <w:tcW w:w="460" w:type="pct"/>
            <w:vMerge w:val="continue"/>
            <w:shd w:val="clear" w:color="auto" w:fill="auto"/>
            <w:vAlign w:val="center"/>
          </w:tcPr>
          <w:p w14:paraId="5B32ACC6">
            <w:pPr>
              <w:rPr>
                <w:color w:val="auto"/>
                <w:sz w:val="18"/>
                <w:szCs w:val="8"/>
                <w:highlight w:val="none"/>
              </w:rPr>
            </w:pPr>
          </w:p>
        </w:tc>
        <w:tc>
          <w:tcPr>
            <w:tcW w:w="940" w:type="pct"/>
            <w:vMerge w:val="continue"/>
            <w:shd w:val="clear" w:color="auto" w:fill="auto"/>
            <w:vAlign w:val="center"/>
          </w:tcPr>
          <w:p w14:paraId="39B7928A">
            <w:pPr>
              <w:rPr>
                <w:color w:val="auto"/>
                <w:sz w:val="18"/>
                <w:szCs w:val="8"/>
                <w:highlight w:val="none"/>
              </w:rPr>
            </w:pPr>
          </w:p>
        </w:tc>
        <w:tc>
          <w:tcPr>
            <w:tcW w:w="2601" w:type="pct"/>
            <w:gridSpan w:val="3"/>
            <w:shd w:val="clear" w:color="auto" w:fill="auto"/>
          </w:tcPr>
          <w:p w14:paraId="3CB64889">
            <w:pPr>
              <w:rPr>
                <w:color w:val="auto"/>
                <w:sz w:val="18"/>
                <w:szCs w:val="8"/>
                <w:highlight w:val="none"/>
              </w:rPr>
            </w:pPr>
            <w:r>
              <w:rPr>
                <w:rFonts w:hint="eastAsia"/>
                <w:color w:val="auto"/>
                <w:sz w:val="18"/>
                <w:szCs w:val="8"/>
                <w:highlight w:val="none"/>
              </w:rPr>
              <w:t>（2）、提供基于数字孪生仿真的《工业机器人示教与编程》的纸质版教学手册，包含软件安装、仿真实训、实验指导等；</w:t>
            </w:r>
          </w:p>
        </w:tc>
        <w:tc>
          <w:tcPr>
            <w:tcW w:w="404" w:type="pct"/>
            <w:gridSpan w:val="2"/>
            <w:vMerge w:val="continue"/>
            <w:shd w:val="clear" w:color="auto" w:fill="auto"/>
            <w:vAlign w:val="center"/>
          </w:tcPr>
          <w:p w14:paraId="62D6A8EA">
            <w:pPr>
              <w:rPr>
                <w:color w:val="auto"/>
                <w:sz w:val="18"/>
                <w:szCs w:val="8"/>
                <w:highlight w:val="none"/>
              </w:rPr>
            </w:pPr>
          </w:p>
        </w:tc>
      </w:tr>
      <w:tr w14:paraId="53A8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E2E6D93">
            <w:pPr>
              <w:rPr>
                <w:color w:val="auto"/>
                <w:sz w:val="18"/>
                <w:szCs w:val="8"/>
                <w:highlight w:val="none"/>
              </w:rPr>
            </w:pPr>
          </w:p>
        </w:tc>
        <w:tc>
          <w:tcPr>
            <w:tcW w:w="427" w:type="pct"/>
            <w:vMerge w:val="continue"/>
            <w:shd w:val="clear" w:color="auto" w:fill="auto"/>
            <w:vAlign w:val="center"/>
          </w:tcPr>
          <w:p w14:paraId="514BABA6">
            <w:pPr>
              <w:rPr>
                <w:color w:val="auto"/>
                <w:sz w:val="18"/>
                <w:szCs w:val="8"/>
                <w:highlight w:val="none"/>
              </w:rPr>
            </w:pPr>
          </w:p>
        </w:tc>
        <w:tc>
          <w:tcPr>
            <w:tcW w:w="460" w:type="pct"/>
            <w:vMerge w:val="continue"/>
            <w:shd w:val="clear" w:color="auto" w:fill="auto"/>
            <w:vAlign w:val="center"/>
          </w:tcPr>
          <w:p w14:paraId="5F2DD831">
            <w:pPr>
              <w:rPr>
                <w:color w:val="auto"/>
                <w:sz w:val="18"/>
                <w:szCs w:val="8"/>
                <w:highlight w:val="none"/>
              </w:rPr>
            </w:pPr>
          </w:p>
        </w:tc>
        <w:tc>
          <w:tcPr>
            <w:tcW w:w="940" w:type="pct"/>
            <w:vMerge w:val="continue"/>
            <w:shd w:val="clear" w:color="auto" w:fill="auto"/>
            <w:vAlign w:val="center"/>
          </w:tcPr>
          <w:p w14:paraId="4882BC2A">
            <w:pPr>
              <w:rPr>
                <w:color w:val="auto"/>
                <w:sz w:val="18"/>
                <w:szCs w:val="8"/>
                <w:highlight w:val="none"/>
              </w:rPr>
            </w:pPr>
          </w:p>
        </w:tc>
        <w:tc>
          <w:tcPr>
            <w:tcW w:w="2601" w:type="pct"/>
            <w:gridSpan w:val="3"/>
            <w:shd w:val="clear" w:color="auto" w:fill="auto"/>
          </w:tcPr>
          <w:p w14:paraId="5226A77E">
            <w:pPr>
              <w:rPr>
                <w:color w:val="auto"/>
                <w:sz w:val="18"/>
                <w:szCs w:val="8"/>
                <w:highlight w:val="none"/>
              </w:rPr>
            </w:pPr>
            <w:r>
              <w:rPr>
                <w:rFonts w:hint="eastAsia"/>
                <w:color w:val="auto"/>
                <w:sz w:val="18"/>
                <w:szCs w:val="8"/>
                <w:highlight w:val="none"/>
              </w:rPr>
              <w:t>（3）、提供基于数字孪生仿真的《机器视觉与运动控制编程仿真》的纸质版教学手册，包含软件安装、仿真实训、实验指导等；</w:t>
            </w:r>
          </w:p>
        </w:tc>
        <w:tc>
          <w:tcPr>
            <w:tcW w:w="404" w:type="pct"/>
            <w:gridSpan w:val="2"/>
            <w:vMerge w:val="continue"/>
            <w:shd w:val="clear" w:color="auto" w:fill="auto"/>
            <w:vAlign w:val="center"/>
          </w:tcPr>
          <w:p w14:paraId="6A5BD2BF">
            <w:pPr>
              <w:rPr>
                <w:color w:val="auto"/>
                <w:sz w:val="18"/>
                <w:szCs w:val="8"/>
                <w:highlight w:val="none"/>
              </w:rPr>
            </w:pPr>
          </w:p>
        </w:tc>
      </w:tr>
      <w:tr w14:paraId="7A86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8D25D76">
            <w:pPr>
              <w:rPr>
                <w:color w:val="auto"/>
                <w:sz w:val="18"/>
                <w:szCs w:val="8"/>
                <w:highlight w:val="none"/>
              </w:rPr>
            </w:pPr>
          </w:p>
        </w:tc>
        <w:tc>
          <w:tcPr>
            <w:tcW w:w="427" w:type="pct"/>
            <w:vMerge w:val="continue"/>
            <w:shd w:val="clear" w:color="auto" w:fill="auto"/>
            <w:vAlign w:val="center"/>
          </w:tcPr>
          <w:p w14:paraId="616806D4">
            <w:pPr>
              <w:rPr>
                <w:color w:val="auto"/>
                <w:sz w:val="18"/>
                <w:szCs w:val="8"/>
                <w:highlight w:val="none"/>
              </w:rPr>
            </w:pPr>
          </w:p>
        </w:tc>
        <w:tc>
          <w:tcPr>
            <w:tcW w:w="460" w:type="pct"/>
            <w:vMerge w:val="continue"/>
            <w:shd w:val="clear" w:color="auto" w:fill="auto"/>
            <w:vAlign w:val="center"/>
          </w:tcPr>
          <w:p w14:paraId="681D2D61">
            <w:pPr>
              <w:rPr>
                <w:color w:val="auto"/>
                <w:sz w:val="18"/>
                <w:szCs w:val="8"/>
                <w:highlight w:val="none"/>
              </w:rPr>
            </w:pPr>
          </w:p>
        </w:tc>
        <w:tc>
          <w:tcPr>
            <w:tcW w:w="940" w:type="pct"/>
            <w:vMerge w:val="continue"/>
            <w:shd w:val="clear" w:color="auto" w:fill="auto"/>
            <w:vAlign w:val="center"/>
          </w:tcPr>
          <w:p w14:paraId="14863678">
            <w:pPr>
              <w:rPr>
                <w:color w:val="auto"/>
                <w:sz w:val="18"/>
                <w:szCs w:val="8"/>
                <w:highlight w:val="none"/>
              </w:rPr>
            </w:pPr>
          </w:p>
        </w:tc>
        <w:tc>
          <w:tcPr>
            <w:tcW w:w="2601" w:type="pct"/>
            <w:gridSpan w:val="3"/>
            <w:shd w:val="clear" w:color="auto" w:fill="auto"/>
          </w:tcPr>
          <w:p w14:paraId="01EAB7E3">
            <w:pPr>
              <w:rPr>
                <w:color w:val="auto"/>
                <w:sz w:val="18"/>
                <w:szCs w:val="8"/>
                <w:highlight w:val="none"/>
              </w:rPr>
            </w:pPr>
            <w:r>
              <w:rPr>
                <w:rFonts w:hint="eastAsia"/>
                <w:color w:val="auto"/>
                <w:sz w:val="18"/>
                <w:szCs w:val="8"/>
                <w:highlight w:val="none"/>
              </w:rPr>
              <w:t>（4）、提供基于数字孪生仿真的《机器视觉OpenCV编程仿真》的纸质版教学手册，包含软件安装、仿真实训、实验指导等；</w:t>
            </w:r>
          </w:p>
        </w:tc>
        <w:tc>
          <w:tcPr>
            <w:tcW w:w="404" w:type="pct"/>
            <w:gridSpan w:val="2"/>
            <w:vMerge w:val="continue"/>
            <w:shd w:val="clear" w:color="auto" w:fill="auto"/>
            <w:vAlign w:val="center"/>
          </w:tcPr>
          <w:p w14:paraId="392389EA">
            <w:pPr>
              <w:rPr>
                <w:color w:val="auto"/>
                <w:sz w:val="18"/>
                <w:szCs w:val="8"/>
                <w:highlight w:val="none"/>
              </w:rPr>
            </w:pPr>
          </w:p>
        </w:tc>
      </w:tr>
      <w:tr w14:paraId="171B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7DFA46C">
            <w:pPr>
              <w:rPr>
                <w:color w:val="auto"/>
                <w:sz w:val="18"/>
                <w:szCs w:val="8"/>
                <w:highlight w:val="none"/>
              </w:rPr>
            </w:pPr>
          </w:p>
        </w:tc>
        <w:tc>
          <w:tcPr>
            <w:tcW w:w="427" w:type="pct"/>
            <w:vMerge w:val="continue"/>
            <w:shd w:val="clear" w:color="auto" w:fill="auto"/>
            <w:vAlign w:val="center"/>
          </w:tcPr>
          <w:p w14:paraId="16CF223F">
            <w:pPr>
              <w:rPr>
                <w:color w:val="auto"/>
                <w:sz w:val="18"/>
                <w:szCs w:val="8"/>
                <w:highlight w:val="none"/>
              </w:rPr>
            </w:pPr>
          </w:p>
        </w:tc>
        <w:tc>
          <w:tcPr>
            <w:tcW w:w="460" w:type="pct"/>
            <w:vMerge w:val="continue"/>
            <w:shd w:val="clear" w:color="auto" w:fill="auto"/>
            <w:vAlign w:val="center"/>
          </w:tcPr>
          <w:p w14:paraId="32EFCD59">
            <w:pPr>
              <w:rPr>
                <w:color w:val="auto"/>
                <w:sz w:val="18"/>
                <w:szCs w:val="8"/>
                <w:highlight w:val="none"/>
              </w:rPr>
            </w:pPr>
          </w:p>
        </w:tc>
        <w:tc>
          <w:tcPr>
            <w:tcW w:w="940" w:type="pct"/>
            <w:vMerge w:val="continue"/>
            <w:shd w:val="clear" w:color="auto" w:fill="auto"/>
            <w:vAlign w:val="center"/>
          </w:tcPr>
          <w:p w14:paraId="6B356898">
            <w:pPr>
              <w:rPr>
                <w:color w:val="auto"/>
                <w:sz w:val="18"/>
                <w:szCs w:val="8"/>
                <w:highlight w:val="none"/>
              </w:rPr>
            </w:pPr>
          </w:p>
        </w:tc>
        <w:tc>
          <w:tcPr>
            <w:tcW w:w="2601" w:type="pct"/>
            <w:gridSpan w:val="3"/>
            <w:shd w:val="clear" w:color="auto" w:fill="auto"/>
          </w:tcPr>
          <w:p w14:paraId="5CF8750C">
            <w:pPr>
              <w:rPr>
                <w:color w:val="auto"/>
                <w:sz w:val="18"/>
                <w:szCs w:val="8"/>
                <w:highlight w:val="none"/>
              </w:rPr>
            </w:pPr>
            <w:r>
              <w:rPr>
                <w:rFonts w:hint="eastAsia"/>
                <w:color w:val="auto"/>
                <w:sz w:val="18"/>
                <w:szCs w:val="8"/>
                <w:highlight w:val="none"/>
              </w:rPr>
              <w:t>（5）、提供基于数字孪生仿真的《智能工厂系统集成与仿真》的纸质版教学手册，包含软件安装、仿真实训、实验指导等；</w:t>
            </w:r>
          </w:p>
        </w:tc>
        <w:tc>
          <w:tcPr>
            <w:tcW w:w="404" w:type="pct"/>
            <w:gridSpan w:val="2"/>
            <w:vMerge w:val="continue"/>
            <w:shd w:val="clear" w:color="auto" w:fill="auto"/>
            <w:vAlign w:val="center"/>
          </w:tcPr>
          <w:p w14:paraId="05A0524C">
            <w:pPr>
              <w:rPr>
                <w:color w:val="auto"/>
                <w:sz w:val="18"/>
                <w:szCs w:val="8"/>
                <w:highlight w:val="none"/>
              </w:rPr>
            </w:pPr>
          </w:p>
        </w:tc>
      </w:tr>
      <w:tr w14:paraId="033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713516A6">
            <w:pPr>
              <w:rPr>
                <w:color w:val="auto"/>
                <w:sz w:val="18"/>
                <w:szCs w:val="8"/>
                <w:highlight w:val="none"/>
              </w:rPr>
            </w:pPr>
          </w:p>
        </w:tc>
        <w:tc>
          <w:tcPr>
            <w:tcW w:w="427" w:type="pct"/>
            <w:vMerge w:val="continue"/>
            <w:shd w:val="clear" w:color="auto" w:fill="auto"/>
            <w:vAlign w:val="center"/>
          </w:tcPr>
          <w:p w14:paraId="728C3EEA">
            <w:pPr>
              <w:rPr>
                <w:color w:val="auto"/>
                <w:sz w:val="18"/>
                <w:szCs w:val="8"/>
                <w:highlight w:val="none"/>
              </w:rPr>
            </w:pPr>
          </w:p>
        </w:tc>
        <w:tc>
          <w:tcPr>
            <w:tcW w:w="460" w:type="pct"/>
            <w:vMerge w:val="restart"/>
            <w:shd w:val="clear" w:color="auto" w:fill="auto"/>
            <w:vAlign w:val="center"/>
          </w:tcPr>
          <w:p w14:paraId="24BB8AFD">
            <w:pPr>
              <w:rPr>
                <w:color w:val="auto"/>
                <w:sz w:val="18"/>
                <w:szCs w:val="8"/>
                <w:highlight w:val="none"/>
              </w:rPr>
            </w:pPr>
            <w:r>
              <w:rPr>
                <w:rFonts w:hint="eastAsia"/>
                <w:color w:val="auto"/>
                <w:sz w:val="18"/>
                <w:szCs w:val="8"/>
                <w:highlight w:val="none"/>
              </w:rPr>
              <w:t>三、数字孪生终端机（20套）</w:t>
            </w:r>
          </w:p>
        </w:tc>
        <w:tc>
          <w:tcPr>
            <w:tcW w:w="3541" w:type="pct"/>
            <w:gridSpan w:val="4"/>
            <w:shd w:val="clear" w:color="auto" w:fill="auto"/>
          </w:tcPr>
          <w:p w14:paraId="355A41FC">
            <w:pPr>
              <w:jc w:val="left"/>
              <w:rPr>
                <w:rFonts w:ascii="宋体" w:hAnsi="宋体" w:cs="宋体"/>
                <w:color w:val="auto"/>
                <w:sz w:val="18"/>
                <w:szCs w:val="8"/>
                <w:highlight w:val="none"/>
              </w:rPr>
            </w:pPr>
            <w:r>
              <w:rPr>
                <w:rFonts w:hint="eastAsia" w:ascii="宋体" w:hAnsi="宋体" w:cs="宋体"/>
                <w:color w:val="auto"/>
                <w:sz w:val="18"/>
                <w:szCs w:val="8"/>
                <w:highlight w:val="none"/>
              </w:rPr>
              <w:t>1.处理器：酷睿 13 代 I7  CPU (i7-13700或以上) ；</w:t>
            </w:r>
          </w:p>
        </w:tc>
        <w:tc>
          <w:tcPr>
            <w:tcW w:w="404" w:type="pct"/>
            <w:gridSpan w:val="2"/>
            <w:vMerge w:val="continue"/>
            <w:shd w:val="clear" w:color="auto" w:fill="auto"/>
            <w:vAlign w:val="center"/>
          </w:tcPr>
          <w:p w14:paraId="61549146">
            <w:pPr>
              <w:rPr>
                <w:color w:val="auto"/>
                <w:sz w:val="18"/>
                <w:szCs w:val="8"/>
                <w:highlight w:val="none"/>
              </w:rPr>
            </w:pPr>
          </w:p>
        </w:tc>
      </w:tr>
      <w:tr w14:paraId="023F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6703F17B">
            <w:pPr>
              <w:rPr>
                <w:color w:val="auto"/>
                <w:sz w:val="18"/>
                <w:szCs w:val="8"/>
                <w:highlight w:val="none"/>
              </w:rPr>
            </w:pPr>
          </w:p>
        </w:tc>
        <w:tc>
          <w:tcPr>
            <w:tcW w:w="427" w:type="pct"/>
            <w:vMerge w:val="continue"/>
            <w:shd w:val="clear" w:color="auto" w:fill="auto"/>
            <w:vAlign w:val="center"/>
          </w:tcPr>
          <w:p w14:paraId="24356440">
            <w:pPr>
              <w:rPr>
                <w:color w:val="auto"/>
                <w:sz w:val="18"/>
                <w:szCs w:val="8"/>
                <w:highlight w:val="none"/>
              </w:rPr>
            </w:pPr>
          </w:p>
        </w:tc>
        <w:tc>
          <w:tcPr>
            <w:tcW w:w="460" w:type="pct"/>
            <w:vMerge w:val="continue"/>
            <w:shd w:val="clear" w:color="auto" w:fill="auto"/>
            <w:vAlign w:val="center"/>
          </w:tcPr>
          <w:p w14:paraId="25D86055">
            <w:pPr>
              <w:rPr>
                <w:color w:val="auto"/>
                <w:sz w:val="18"/>
                <w:szCs w:val="8"/>
                <w:highlight w:val="none"/>
              </w:rPr>
            </w:pPr>
          </w:p>
        </w:tc>
        <w:tc>
          <w:tcPr>
            <w:tcW w:w="3541" w:type="pct"/>
            <w:gridSpan w:val="4"/>
            <w:shd w:val="clear" w:color="auto" w:fill="auto"/>
          </w:tcPr>
          <w:p w14:paraId="28AC4B4A">
            <w:pPr>
              <w:jc w:val="left"/>
              <w:rPr>
                <w:rFonts w:ascii="宋体" w:hAnsi="宋体" w:cs="宋体"/>
                <w:color w:val="auto"/>
                <w:sz w:val="18"/>
                <w:szCs w:val="8"/>
                <w:highlight w:val="none"/>
              </w:rPr>
            </w:pPr>
            <w:r>
              <w:rPr>
                <w:rFonts w:hint="eastAsia" w:ascii="宋体" w:hAnsi="宋体" w:cs="宋体"/>
                <w:color w:val="auto"/>
                <w:sz w:val="18"/>
                <w:szCs w:val="8"/>
                <w:highlight w:val="none"/>
              </w:rPr>
              <w:t>2.内存容量： 64G 内存 (DDR4 或以上) ；</w:t>
            </w:r>
          </w:p>
        </w:tc>
        <w:tc>
          <w:tcPr>
            <w:tcW w:w="404" w:type="pct"/>
            <w:gridSpan w:val="2"/>
            <w:vMerge w:val="continue"/>
            <w:shd w:val="clear" w:color="auto" w:fill="auto"/>
            <w:vAlign w:val="center"/>
          </w:tcPr>
          <w:p w14:paraId="4625DE30">
            <w:pPr>
              <w:rPr>
                <w:color w:val="auto"/>
                <w:sz w:val="18"/>
                <w:szCs w:val="8"/>
                <w:highlight w:val="none"/>
              </w:rPr>
            </w:pPr>
          </w:p>
        </w:tc>
      </w:tr>
      <w:tr w14:paraId="3CE7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27E2E922">
            <w:pPr>
              <w:rPr>
                <w:color w:val="auto"/>
                <w:sz w:val="18"/>
                <w:szCs w:val="8"/>
                <w:highlight w:val="none"/>
              </w:rPr>
            </w:pPr>
          </w:p>
        </w:tc>
        <w:tc>
          <w:tcPr>
            <w:tcW w:w="427" w:type="pct"/>
            <w:vMerge w:val="continue"/>
            <w:shd w:val="clear" w:color="auto" w:fill="auto"/>
            <w:vAlign w:val="center"/>
          </w:tcPr>
          <w:p w14:paraId="236376E8">
            <w:pPr>
              <w:rPr>
                <w:color w:val="auto"/>
                <w:sz w:val="18"/>
                <w:szCs w:val="8"/>
                <w:highlight w:val="none"/>
              </w:rPr>
            </w:pPr>
          </w:p>
        </w:tc>
        <w:tc>
          <w:tcPr>
            <w:tcW w:w="460" w:type="pct"/>
            <w:vMerge w:val="continue"/>
            <w:shd w:val="clear" w:color="auto" w:fill="auto"/>
            <w:vAlign w:val="center"/>
          </w:tcPr>
          <w:p w14:paraId="67B6E07F">
            <w:pPr>
              <w:rPr>
                <w:color w:val="auto"/>
                <w:sz w:val="18"/>
                <w:szCs w:val="8"/>
                <w:highlight w:val="none"/>
              </w:rPr>
            </w:pPr>
          </w:p>
        </w:tc>
        <w:tc>
          <w:tcPr>
            <w:tcW w:w="3541" w:type="pct"/>
            <w:gridSpan w:val="4"/>
            <w:shd w:val="clear" w:color="auto" w:fill="auto"/>
          </w:tcPr>
          <w:p w14:paraId="4001FDD3">
            <w:pPr>
              <w:jc w:val="left"/>
              <w:rPr>
                <w:rFonts w:ascii="宋体" w:hAnsi="宋体" w:cs="宋体"/>
                <w:color w:val="auto"/>
                <w:sz w:val="18"/>
                <w:szCs w:val="8"/>
                <w:highlight w:val="none"/>
              </w:rPr>
            </w:pPr>
            <w:r>
              <w:rPr>
                <w:rFonts w:hint="eastAsia" w:ascii="宋体" w:hAnsi="宋体" w:cs="宋体"/>
                <w:color w:val="auto"/>
                <w:sz w:val="18"/>
                <w:szCs w:val="8"/>
                <w:highlight w:val="none"/>
              </w:rPr>
              <w:t>3.显卡：T400 (或以上)；</w:t>
            </w:r>
          </w:p>
        </w:tc>
        <w:tc>
          <w:tcPr>
            <w:tcW w:w="404" w:type="pct"/>
            <w:gridSpan w:val="2"/>
            <w:vMerge w:val="continue"/>
            <w:shd w:val="clear" w:color="auto" w:fill="auto"/>
            <w:vAlign w:val="center"/>
          </w:tcPr>
          <w:p w14:paraId="3B7ACA55">
            <w:pPr>
              <w:rPr>
                <w:color w:val="auto"/>
                <w:sz w:val="18"/>
                <w:szCs w:val="8"/>
                <w:highlight w:val="none"/>
              </w:rPr>
            </w:pPr>
          </w:p>
        </w:tc>
      </w:tr>
      <w:tr w14:paraId="626F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1C371965">
            <w:pPr>
              <w:rPr>
                <w:color w:val="auto"/>
                <w:sz w:val="18"/>
                <w:szCs w:val="8"/>
                <w:highlight w:val="none"/>
              </w:rPr>
            </w:pPr>
          </w:p>
        </w:tc>
        <w:tc>
          <w:tcPr>
            <w:tcW w:w="427" w:type="pct"/>
            <w:vMerge w:val="continue"/>
            <w:shd w:val="clear" w:color="auto" w:fill="auto"/>
            <w:vAlign w:val="center"/>
          </w:tcPr>
          <w:p w14:paraId="64465EC1">
            <w:pPr>
              <w:rPr>
                <w:color w:val="auto"/>
                <w:sz w:val="18"/>
                <w:szCs w:val="8"/>
                <w:highlight w:val="none"/>
              </w:rPr>
            </w:pPr>
          </w:p>
        </w:tc>
        <w:tc>
          <w:tcPr>
            <w:tcW w:w="460" w:type="pct"/>
            <w:vMerge w:val="continue"/>
            <w:shd w:val="clear" w:color="auto" w:fill="auto"/>
            <w:vAlign w:val="center"/>
          </w:tcPr>
          <w:p w14:paraId="11F3D24F">
            <w:pPr>
              <w:rPr>
                <w:color w:val="auto"/>
                <w:sz w:val="18"/>
                <w:szCs w:val="8"/>
                <w:highlight w:val="none"/>
              </w:rPr>
            </w:pPr>
          </w:p>
        </w:tc>
        <w:tc>
          <w:tcPr>
            <w:tcW w:w="3541" w:type="pct"/>
            <w:gridSpan w:val="4"/>
            <w:shd w:val="clear" w:color="auto" w:fill="auto"/>
          </w:tcPr>
          <w:p w14:paraId="549C267D">
            <w:pPr>
              <w:jc w:val="left"/>
              <w:rPr>
                <w:rFonts w:ascii="宋体" w:hAnsi="宋体" w:cs="宋体"/>
                <w:color w:val="auto"/>
                <w:sz w:val="18"/>
                <w:szCs w:val="8"/>
                <w:highlight w:val="none"/>
              </w:rPr>
            </w:pPr>
            <w:r>
              <w:rPr>
                <w:rFonts w:hint="eastAsia" w:ascii="宋体" w:hAnsi="宋体" w:cs="宋体"/>
                <w:color w:val="auto"/>
                <w:sz w:val="18"/>
                <w:szCs w:val="8"/>
                <w:highlight w:val="none"/>
              </w:rPr>
              <w:t>4.硬盘容量：1TB  SSD (或以上) ；</w:t>
            </w:r>
          </w:p>
        </w:tc>
        <w:tc>
          <w:tcPr>
            <w:tcW w:w="404" w:type="pct"/>
            <w:gridSpan w:val="2"/>
            <w:vMerge w:val="continue"/>
            <w:shd w:val="clear" w:color="auto" w:fill="auto"/>
            <w:vAlign w:val="center"/>
          </w:tcPr>
          <w:p w14:paraId="2D535C3E">
            <w:pPr>
              <w:rPr>
                <w:color w:val="auto"/>
                <w:sz w:val="18"/>
                <w:szCs w:val="8"/>
                <w:highlight w:val="none"/>
              </w:rPr>
            </w:pPr>
          </w:p>
        </w:tc>
      </w:tr>
      <w:tr w14:paraId="44E1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1BC450D6">
            <w:pPr>
              <w:rPr>
                <w:color w:val="auto"/>
                <w:sz w:val="18"/>
                <w:szCs w:val="8"/>
                <w:highlight w:val="none"/>
              </w:rPr>
            </w:pPr>
          </w:p>
        </w:tc>
        <w:tc>
          <w:tcPr>
            <w:tcW w:w="427" w:type="pct"/>
            <w:vMerge w:val="continue"/>
            <w:shd w:val="clear" w:color="auto" w:fill="auto"/>
            <w:vAlign w:val="center"/>
          </w:tcPr>
          <w:p w14:paraId="351F0212">
            <w:pPr>
              <w:rPr>
                <w:color w:val="auto"/>
                <w:sz w:val="18"/>
                <w:szCs w:val="8"/>
                <w:highlight w:val="none"/>
              </w:rPr>
            </w:pPr>
          </w:p>
        </w:tc>
        <w:tc>
          <w:tcPr>
            <w:tcW w:w="460" w:type="pct"/>
            <w:vMerge w:val="continue"/>
            <w:shd w:val="clear" w:color="auto" w:fill="auto"/>
            <w:vAlign w:val="center"/>
          </w:tcPr>
          <w:p w14:paraId="1A92A069">
            <w:pPr>
              <w:rPr>
                <w:color w:val="auto"/>
                <w:sz w:val="18"/>
                <w:szCs w:val="8"/>
                <w:highlight w:val="none"/>
              </w:rPr>
            </w:pPr>
          </w:p>
        </w:tc>
        <w:tc>
          <w:tcPr>
            <w:tcW w:w="3541" w:type="pct"/>
            <w:gridSpan w:val="4"/>
            <w:shd w:val="clear" w:color="auto" w:fill="auto"/>
          </w:tcPr>
          <w:p w14:paraId="07247ADD">
            <w:pPr>
              <w:jc w:val="left"/>
              <w:rPr>
                <w:rFonts w:ascii="宋体" w:hAnsi="宋体" w:cs="宋体"/>
                <w:color w:val="auto"/>
                <w:sz w:val="18"/>
                <w:szCs w:val="8"/>
                <w:highlight w:val="none"/>
              </w:rPr>
            </w:pPr>
            <w:r>
              <w:rPr>
                <w:rFonts w:hint="eastAsia" w:ascii="宋体" w:hAnsi="宋体" w:cs="宋体"/>
                <w:color w:val="auto"/>
                <w:sz w:val="18"/>
                <w:szCs w:val="8"/>
                <w:highlight w:val="none"/>
              </w:rPr>
              <w:t>5.显示器：≥23.8英寸,分辨率≥1920×1080；</w:t>
            </w:r>
          </w:p>
        </w:tc>
        <w:tc>
          <w:tcPr>
            <w:tcW w:w="404" w:type="pct"/>
            <w:gridSpan w:val="2"/>
            <w:vMerge w:val="continue"/>
            <w:shd w:val="clear" w:color="auto" w:fill="auto"/>
            <w:vAlign w:val="center"/>
          </w:tcPr>
          <w:p w14:paraId="48A9AD8E">
            <w:pPr>
              <w:rPr>
                <w:color w:val="auto"/>
                <w:sz w:val="18"/>
                <w:szCs w:val="8"/>
                <w:highlight w:val="none"/>
              </w:rPr>
            </w:pPr>
          </w:p>
        </w:tc>
      </w:tr>
      <w:tr w14:paraId="56B5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3EF69FDB">
            <w:pPr>
              <w:rPr>
                <w:color w:val="auto"/>
                <w:sz w:val="18"/>
                <w:szCs w:val="8"/>
                <w:highlight w:val="none"/>
              </w:rPr>
            </w:pPr>
          </w:p>
        </w:tc>
        <w:tc>
          <w:tcPr>
            <w:tcW w:w="427" w:type="pct"/>
            <w:vMerge w:val="continue"/>
            <w:shd w:val="clear" w:color="auto" w:fill="auto"/>
            <w:vAlign w:val="center"/>
          </w:tcPr>
          <w:p w14:paraId="65E1C277">
            <w:pPr>
              <w:rPr>
                <w:color w:val="auto"/>
                <w:sz w:val="18"/>
                <w:szCs w:val="8"/>
                <w:highlight w:val="none"/>
              </w:rPr>
            </w:pPr>
          </w:p>
        </w:tc>
        <w:tc>
          <w:tcPr>
            <w:tcW w:w="460" w:type="pct"/>
            <w:vMerge w:val="continue"/>
            <w:shd w:val="clear" w:color="auto" w:fill="auto"/>
            <w:vAlign w:val="center"/>
          </w:tcPr>
          <w:p w14:paraId="70C62F16">
            <w:pPr>
              <w:rPr>
                <w:color w:val="auto"/>
                <w:sz w:val="18"/>
                <w:szCs w:val="8"/>
                <w:highlight w:val="none"/>
              </w:rPr>
            </w:pPr>
          </w:p>
        </w:tc>
        <w:tc>
          <w:tcPr>
            <w:tcW w:w="3541" w:type="pct"/>
            <w:gridSpan w:val="4"/>
            <w:shd w:val="clear" w:color="auto" w:fill="auto"/>
          </w:tcPr>
          <w:p w14:paraId="5B875E43">
            <w:pPr>
              <w:rPr>
                <w:rFonts w:ascii="宋体" w:hAnsi="宋体" w:cs="宋体"/>
                <w:color w:val="auto"/>
                <w:sz w:val="18"/>
                <w:szCs w:val="8"/>
                <w:highlight w:val="none"/>
              </w:rPr>
            </w:pPr>
            <w:r>
              <w:rPr>
                <w:rFonts w:hint="eastAsia" w:ascii="宋体" w:hAnsi="宋体" w:cs="宋体"/>
                <w:color w:val="auto"/>
                <w:sz w:val="18"/>
                <w:szCs w:val="8"/>
                <w:highlight w:val="none"/>
              </w:rPr>
              <w:t>6.光电鼠标、防水键盘；</w:t>
            </w:r>
          </w:p>
        </w:tc>
        <w:tc>
          <w:tcPr>
            <w:tcW w:w="404" w:type="pct"/>
            <w:gridSpan w:val="2"/>
            <w:vMerge w:val="continue"/>
            <w:shd w:val="clear" w:color="auto" w:fill="auto"/>
            <w:vAlign w:val="center"/>
          </w:tcPr>
          <w:p w14:paraId="6B187552">
            <w:pPr>
              <w:rPr>
                <w:color w:val="auto"/>
                <w:sz w:val="18"/>
                <w:szCs w:val="8"/>
                <w:highlight w:val="none"/>
              </w:rPr>
            </w:pPr>
          </w:p>
        </w:tc>
      </w:tr>
      <w:tr w14:paraId="0578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restart"/>
            <w:shd w:val="clear" w:color="auto" w:fill="auto"/>
            <w:vAlign w:val="center"/>
          </w:tcPr>
          <w:p w14:paraId="3A02CA86">
            <w:pPr>
              <w:jc w:val="center"/>
              <w:rPr>
                <w:rFonts w:ascii="宋体" w:hAnsi="宋体" w:cs="宋体"/>
                <w:color w:val="auto"/>
                <w:sz w:val="18"/>
                <w:szCs w:val="10"/>
                <w:highlight w:val="none"/>
              </w:rPr>
            </w:pPr>
            <w:r>
              <w:rPr>
                <w:rFonts w:hint="eastAsia" w:ascii="宋体" w:hAnsi="宋体" w:cs="宋体"/>
                <w:color w:val="auto"/>
                <w:sz w:val="18"/>
                <w:szCs w:val="10"/>
                <w:highlight w:val="none"/>
              </w:rPr>
              <w:t>5</w:t>
            </w:r>
          </w:p>
        </w:tc>
        <w:tc>
          <w:tcPr>
            <w:tcW w:w="427" w:type="pct"/>
            <w:vMerge w:val="restart"/>
            <w:shd w:val="clear" w:color="auto" w:fill="auto"/>
            <w:vAlign w:val="center"/>
          </w:tcPr>
          <w:p w14:paraId="64633CCA">
            <w:pPr>
              <w:widowControl/>
              <w:jc w:val="center"/>
              <w:textAlignment w:val="center"/>
              <w:rPr>
                <w:rFonts w:ascii="宋体" w:hAnsi="宋体" w:cs="宋体"/>
                <w:color w:val="auto"/>
                <w:sz w:val="18"/>
                <w:szCs w:val="10"/>
                <w:highlight w:val="none"/>
              </w:rPr>
            </w:pPr>
            <w:r>
              <w:rPr>
                <w:rFonts w:hint="eastAsia" w:ascii="宋体" w:hAnsi="宋体" w:cs="宋体"/>
                <w:color w:val="auto"/>
                <w:kern w:val="0"/>
                <w:sz w:val="18"/>
                <w:szCs w:val="10"/>
                <w:highlight w:val="none"/>
                <w:lang w:bidi="ar"/>
              </w:rPr>
              <w:t>工业互联协同制造MES系统</w:t>
            </w:r>
          </w:p>
        </w:tc>
        <w:tc>
          <w:tcPr>
            <w:tcW w:w="4001" w:type="pct"/>
            <w:gridSpan w:val="5"/>
            <w:shd w:val="clear" w:color="auto" w:fill="auto"/>
            <w:vAlign w:val="center"/>
          </w:tcPr>
          <w:p w14:paraId="03947DA6">
            <w:pPr>
              <w:ind w:firstLine="360" w:firstLineChars="200"/>
              <w:rPr>
                <w:rFonts w:ascii="宋体" w:hAnsi="宋体" w:cs="宋体"/>
                <w:color w:val="auto"/>
                <w:sz w:val="18"/>
                <w:szCs w:val="8"/>
                <w:highlight w:val="none"/>
              </w:rPr>
            </w:pPr>
            <w:r>
              <w:rPr>
                <w:rFonts w:hint="eastAsia"/>
                <w:color w:val="auto"/>
                <w:sz w:val="18"/>
                <w:szCs w:val="8"/>
                <w:highlight w:val="none"/>
              </w:rPr>
              <w:t>配合高精密五轴加工中心</w:t>
            </w:r>
            <w:r>
              <w:rPr>
                <w:rFonts w:hint="eastAsia"/>
                <w:color w:val="auto"/>
                <w:sz w:val="18"/>
                <w:szCs w:val="8"/>
                <w:highlight w:val="none"/>
                <w:lang w:eastAsia="zh-CN"/>
              </w:rPr>
              <w:t>（</w:t>
            </w:r>
            <w:r>
              <w:rPr>
                <w:rFonts w:hint="eastAsia"/>
                <w:color w:val="auto"/>
                <w:sz w:val="18"/>
                <w:szCs w:val="8"/>
                <w:highlight w:val="none"/>
                <w:lang w:val="en-US" w:eastAsia="zh-CN"/>
              </w:rPr>
              <w:t>型号：DMU50)</w:t>
            </w:r>
            <w:r>
              <w:rPr>
                <w:rFonts w:hint="eastAsia"/>
                <w:color w:val="auto"/>
                <w:sz w:val="18"/>
                <w:szCs w:val="8"/>
                <w:highlight w:val="none"/>
              </w:rPr>
              <w:t>、</w:t>
            </w:r>
            <w:r>
              <w:rPr>
                <w:rFonts w:hint="eastAsia"/>
                <w:color w:val="auto"/>
                <w:sz w:val="18"/>
                <w:szCs w:val="8"/>
                <w:highlight w:val="none"/>
                <w:lang w:val="en-US" w:eastAsia="zh-CN"/>
              </w:rPr>
              <w:t>车铣复合机床（型号：DMU350）等设备</w:t>
            </w:r>
            <w:r>
              <w:rPr>
                <w:rFonts w:hint="eastAsia" w:ascii="宋体" w:hAnsi="宋体" w:cs="宋体"/>
                <w:color w:val="auto"/>
                <w:sz w:val="18"/>
                <w:szCs w:val="8"/>
                <w:highlight w:val="none"/>
              </w:rPr>
              <w:t>，打造一个多功能平台，整合教学、实训、生产与技术服务，专注于培养符合智能制造标准的高技能人才。通过工业互联协同制造MES系统统一管理原有设备和新增设备，实现物料抓取、机床上下料、在线监测、加工、检测合而为一，实现了无人车间、黑灯工厂和品质管理。</w:t>
            </w:r>
          </w:p>
        </w:tc>
        <w:tc>
          <w:tcPr>
            <w:tcW w:w="404" w:type="pct"/>
            <w:gridSpan w:val="2"/>
            <w:vMerge w:val="restart"/>
            <w:shd w:val="clear" w:color="auto" w:fill="auto"/>
            <w:vAlign w:val="center"/>
          </w:tcPr>
          <w:p w14:paraId="1B1112F8">
            <w:pPr>
              <w:jc w:val="center"/>
              <w:rPr>
                <w:rFonts w:ascii="宋体" w:hAnsi="宋体" w:cs="宋体"/>
                <w:color w:val="auto"/>
                <w:sz w:val="18"/>
                <w:szCs w:val="10"/>
                <w:highlight w:val="none"/>
              </w:rPr>
            </w:pPr>
            <w:r>
              <w:rPr>
                <w:rFonts w:hint="eastAsia" w:ascii="宋体" w:hAnsi="宋体" w:cs="宋体"/>
                <w:b/>
                <w:bCs/>
                <w:color w:val="auto"/>
                <w:sz w:val="18"/>
                <w:szCs w:val="10"/>
                <w:highlight w:val="none"/>
              </w:rPr>
              <w:t>1套</w:t>
            </w:r>
          </w:p>
        </w:tc>
      </w:tr>
      <w:tr w14:paraId="418B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F07FC9A">
            <w:pPr>
              <w:jc w:val="center"/>
              <w:rPr>
                <w:rFonts w:ascii="宋体" w:hAnsi="宋体" w:cs="宋体"/>
                <w:color w:val="auto"/>
                <w:sz w:val="18"/>
                <w:szCs w:val="10"/>
                <w:highlight w:val="none"/>
              </w:rPr>
            </w:pPr>
          </w:p>
        </w:tc>
        <w:tc>
          <w:tcPr>
            <w:tcW w:w="427" w:type="pct"/>
            <w:vMerge w:val="continue"/>
            <w:shd w:val="clear" w:color="auto" w:fill="auto"/>
            <w:vAlign w:val="center"/>
          </w:tcPr>
          <w:p w14:paraId="55178F88">
            <w:pPr>
              <w:widowControl/>
              <w:jc w:val="center"/>
              <w:textAlignment w:val="center"/>
              <w:rPr>
                <w:rFonts w:ascii="宋体" w:hAnsi="宋体" w:cs="宋体"/>
                <w:color w:val="auto"/>
                <w:sz w:val="18"/>
                <w:szCs w:val="10"/>
                <w:highlight w:val="none"/>
              </w:rPr>
            </w:pPr>
          </w:p>
        </w:tc>
        <w:tc>
          <w:tcPr>
            <w:tcW w:w="460" w:type="pct"/>
            <w:vMerge w:val="restart"/>
            <w:shd w:val="clear" w:color="auto" w:fill="auto"/>
            <w:vAlign w:val="center"/>
          </w:tcPr>
          <w:p w14:paraId="1FDEA444">
            <w:pPr>
              <w:rPr>
                <w:color w:val="auto"/>
                <w:sz w:val="18"/>
                <w:szCs w:val="8"/>
                <w:highlight w:val="none"/>
              </w:rPr>
            </w:pPr>
            <w:r>
              <w:rPr>
                <w:rFonts w:hint="eastAsia"/>
                <w:color w:val="auto"/>
                <w:sz w:val="18"/>
                <w:szCs w:val="8"/>
                <w:highlight w:val="none"/>
              </w:rPr>
              <w:t>1、系统技术要求</w:t>
            </w:r>
          </w:p>
        </w:tc>
        <w:tc>
          <w:tcPr>
            <w:tcW w:w="3541" w:type="pct"/>
            <w:gridSpan w:val="4"/>
            <w:shd w:val="clear" w:color="auto" w:fill="auto"/>
            <w:vAlign w:val="center"/>
          </w:tcPr>
          <w:p w14:paraId="7A46CC13">
            <w:pPr>
              <w:rPr>
                <w:rFonts w:ascii="宋体" w:hAnsi="宋体" w:cs="宋体"/>
                <w:color w:val="auto"/>
                <w:sz w:val="18"/>
                <w:szCs w:val="10"/>
                <w:highlight w:val="none"/>
              </w:rPr>
            </w:pPr>
            <w:r>
              <w:rPr>
                <w:rFonts w:hint="eastAsia" w:ascii="宋体" w:hAnsi="宋体" w:cs="宋体"/>
                <w:color w:val="auto"/>
                <w:sz w:val="18"/>
                <w:szCs w:val="10"/>
                <w:highlight w:val="none"/>
              </w:rPr>
              <w:t>1)系统基于 ORACLE或者SQL 数据库开发，具有良好的开放性，便于后期进行二次开发。程序架构要求：保证客户端响应速率高；客户端须采用B/S架构模式，按照角色及权限用浏览器方式访问。</w:t>
            </w:r>
          </w:p>
        </w:tc>
        <w:tc>
          <w:tcPr>
            <w:tcW w:w="404" w:type="pct"/>
            <w:gridSpan w:val="2"/>
            <w:vMerge w:val="continue"/>
            <w:shd w:val="clear" w:color="auto" w:fill="auto"/>
            <w:vAlign w:val="center"/>
          </w:tcPr>
          <w:p w14:paraId="79246B29">
            <w:pPr>
              <w:jc w:val="center"/>
              <w:rPr>
                <w:rFonts w:ascii="宋体" w:hAnsi="宋体" w:cs="宋体"/>
                <w:color w:val="auto"/>
                <w:sz w:val="18"/>
                <w:szCs w:val="10"/>
                <w:highlight w:val="none"/>
              </w:rPr>
            </w:pPr>
          </w:p>
        </w:tc>
      </w:tr>
      <w:tr w14:paraId="107E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9F87DEE">
            <w:pPr>
              <w:rPr>
                <w:color w:val="auto"/>
                <w:sz w:val="18"/>
                <w:szCs w:val="8"/>
                <w:highlight w:val="none"/>
              </w:rPr>
            </w:pPr>
          </w:p>
        </w:tc>
        <w:tc>
          <w:tcPr>
            <w:tcW w:w="427" w:type="pct"/>
            <w:vMerge w:val="continue"/>
            <w:shd w:val="clear" w:color="auto" w:fill="auto"/>
            <w:vAlign w:val="center"/>
          </w:tcPr>
          <w:p w14:paraId="38D9A598">
            <w:pPr>
              <w:rPr>
                <w:color w:val="auto"/>
                <w:sz w:val="18"/>
                <w:szCs w:val="8"/>
                <w:highlight w:val="none"/>
              </w:rPr>
            </w:pPr>
          </w:p>
        </w:tc>
        <w:tc>
          <w:tcPr>
            <w:tcW w:w="460" w:type="pct"/>
            <w:vMerge w:val="continue"/>
            <w:shd w:val="clear" w:color="auto" w:fill="auto"/>
            <w:vAlign w:val="center"/>
          </w:tcPr>
          <w:p w14:paraId="7D4F6D2B">
            <w:pPr>
              <w:rPr>
                <w:color w:val="auto"/>
                <w:sz w:val="18"/>
                <w:szCs w:val="8"/>
                <w:highlight w:val="none"/>
              </w:rPr>
            </w:pPr>
          </w:p>
        </w:tc>
        <w:tc>
          <w:tcPr>
            <w:tcW w:w="3541" w:type="pct"/>
            <w:gridSpan w:val="4"/>
            <w:shd w:val="clear" w:color="auto" w:fill="auto"/>
            <w:vAlign w:val="center"/>
          </w:tcPr>
          <w:p w14:paraId="3556E7B9">
            <w:pPr>
              <w:rPr>
                <w:rFonts w:ascii="宋体" w:hAnsi="宋体" w:cs="宋体"/>
                <w:color w:val="auto"/>
                <w:sz w:val="18"/>
                <w:szCs w:val="10"/>
                <w:highlight w:val="none"/>
              </w:rPr>
            </w:pPr>
            <w:r>
              <w:rPr>
                <w:rFonts w:hint="eastAsia" w:ascii="宋体" w:hAnsi="宋体" w:cs="宋体"/>
                <w:color w:val="auto"/>
                <w:sz w:val="18"/>
                <w:szCs w:val="10"/>
                <w:highlight w:val="none"/>
              </w:rPr>
              <w:t>2)系统必须支持Fanuc、Siemens、Heidenhain、Mazak、三菱、Okuma、Brother、HAAS、HURCO等国外数控系统数据采集通讯。</w:t>
            </w:r>
          </w:p>
        </w:tc>
        <w:tc>
          <w:tcPr>
            <w:tcW w:w="404" w:type="pct"/>
            <w:gridSpan w:val="2"/>
            <w:vMerge w:val="continue"/>
            <w:shd w:val="clear" w:color="auto" w:fill="auto"/>
            <w:vAlign w:val="center"/>
          </w:tcPr>
          <w:p w14:paraId="0C2E1F5C">
            <w:pPr>
              <w:rPr>
                <w:rFonts w:ascii="宋体" w:hAnsi="宋体" w:cs="宋体"/>
                <w:color w:val="auto"/>
                <w:sz w:val="18"/>
                <w:szCs w:val="10"/>
                <w:highlight w:val="none"/>
              </w:rPr>
            </w:pPr>
          </w:p>
        </w:tc>
      </w:tr>
      <w:tr w14:paraId="7D51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904116C">
            <w:pPr>
              <w:rPr>
                <w:color w:val="auto"/>
                <w:sz w:val="18"/>
                <w:szCs w:val="8"/>
                <w:highlight w:val="none"/>
              </w:rPr>
            </w:pPr>
          </w:p>
        </w:tc>
        <w:tc>
          <w:tcPr>
            <w:tcW w:w="427" w:type="pct"/>
            <w:vMerge w:val="continue"/>
            <w:shd w:val="clear" w:color="auto" w:fill="auto"/>
            <w:vAlign w:val="center"/>
          </w:tcPr>
          <w:p w14:paraId="42A1318D">
            <w:pPr>
              <w:rPr>
                <w:color w:val="auto"/>
                <w:sz w:val="18"/>
                <w:szCs w:val="8"/>
                <w:highlight w:val="none"/>
              </w:rPr>
            </w:pPr>
          </w:p>
        </w:tc>
        <w:tc>
          <w:tcPr>
            <w:tcW w:w="460" w:type="pct"/>
            <w:vMerge w:val="restart"/>
            <w:shd w:val="clear" w:color="auto" w:fill="auto"/>
            <w:vAlign w:val="center"/>
          </w:tcPr>
          <w:p w14:paraId="341F7E11">
            <w:pPr>
              <w:rPr>
                <w:color w:val="auto"/>
                <w:sz w:val="18"/>
                <w:szCs w:val="8"/>
                <w:highlight w:val="none"/>
              </w:rPr>
            </w:pPr>
            <w:r>
              <w:rPr>
                <w:rFonts w:hint="eastAsia"/>
                <w:color w:val="auto"/>
                <w:sz w:val="18"/>
                <w:szCs w:val="8"/>
                <w:highlight w:val="none"/>
              </w:rPr>
              <w:t>2、DNC程序传输管理系统</w:t>
            </w:r>
          </w:p>
        </w:tc>
        <w:tc>
          <w:tcPr>
            <w:tcW w:w="3541" w:type="pct"/>
            <w:gridSpan w:val="4"/>
            <w:shd w:val="clear" w:color="auto" w:fill="auto"/>
            <w:vAlign w:val="center"/>
          </w:tcPr>
          <w:p w14:paraId="3A8915EA">
            <w:pPr>
              <w:rPr>
                <w:color w:val="auto"/>
                <w:sz w:val="18"/>
                <w:szCs w:val="8"/>
                <w:highlight w:val="none"/>
              </w:rPr>
            </w:pPr>
            <w:r>
              <w:rPr>
                <w:rFonts w:hint="eastAsia"/>
                <w:color w:val="auto"/>
                <w:sz w:val="18"/>
                <w:szCs w:val="8"/>
                <w:highlight w:val="none"/>
              </w:rPr>
              <w:t>1)创建产品生产工单：根据产品工艺路线，创建对应的生产任务，并关联加工设备。</w:t>
            </w:r>
          </w:p>
        </w:tc>
        <w:tc>
          <w:tcPr>
            <w:tcW w:w="404" w:type="pct"/>
            <w:gridSpan w:val="2"/>
            <w:vMerge w:val="continue"/>
            <w:shd w:val="clear" w:color="auto" w:fill="auto"/>
            <w:vAlign w:val="center"/>
          </w:tcPr>
          <w:p w14:paraId="6F54E7FB">
            <w:pPr>
              <w:rPr>
                <w:color w:val="auto"/>
                <w:sz w:val="18"/>
                <w:szCs w:val="8"/>
                <w:highlight w:val="none"/>
              </w:rPr>
            </w:pPr>
          </w:p>
        </w:tc>
      </w:tr>
      <w:tr w14:paraId="75B8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08401A0">
            <w:pPr>
              <w:rPr>
                <w:color w:val="auto"/>
                <w:sz w:val="18"/>
                <w:szCs w:val="8"/>
                <w:highlight w:val="none"/>
              </w:rPr>
            </w:pPr>
          </w:p>
        </w:tc>
        <w:tc>
          <w:tcPr>
            <w:tcW w:w="427" w:type="pct"/>
            <w:vMerge w:val="continue"/>
            <w:shd w:val="clear" w:color="auto" w:fill="auto"/>
            <w:vAlign w:val="center"/>
          </w:tcPr>
          <w:p w14:paraId="3DC7DB53">
            <w:pPr>
              <w:rPr>
                <w:color w:val="auto"/>
                <w:sz w:val="18"/>
                <w:szCs w:val="8"/>
                <w:highlight w:val="none"/>
              </w:rPr>
            </w:pPr>
          </w:p>
        </w:tc>
        <w:tc>
          <w:tcPr>
            <w:tcW w:w="460" w:type="pct"/>
            <w:vMerge w:val="continue"/>
            <w:shd w:val="clear" w:color="auto" w:fill="auto"/>
            <w:vAlign w:val="center"/>
          </w:tcPr>
          <w:p w14:paraId="2C5AC19C">
            <w:pPr>
              <w:rPr>
                <w:color w:val="auto"/>
                <w:sz w:val="18"/>
                <w:szCs w:val="8"/>
                <w:highlight w:val="none"/>
              </w:rPr>
            </w:pPr>
          </w:p>
        </w:tc>
        <w:tc>
          <w:tcPr>
            <w:tcW w:w="3541" w:type="pct"/>
            <w:gridSpan w:val="4"/>
            <w:shd w:val="clear" w:color="auto" w:fill="auto"/>
            <w:vAlign w:val="center"/>
          </w:tcPr>
          <w:p w14:paraId="3B68161A">
            <w:pPr>
              <w:rPr>
                <w:color w:val="auto"/>
                <w:sz w:val="18"/>
                <w:szCs w:val="8"/>
                <w:highlight w:val="none"/>
              </w:rPr>
            </w:pPr>
            <w:r>
              <w:rPr>
                <w:rFonts w:hint="eastAsia"/>
                <w:color w:val="auto"/>
                <w:sz w:val="18"/>
                <w:szCs w:val="8"/>
                <w:highlight w:val="none"/>
              </w:rPr>
              <w:t>2）程序文件管理：可访问机床中的程序列表，通过生产任务调用该产品该工序的加工程序。</w:t>
            </w:r>
          </w:p>
        </w:tc>
        <w:tc>
          <w:tcPr>
            <w:tcW w:w="404" w:type="pct"/>
            <w:gridSpan w:val="2"/>
            <w:vMerge w:val="continue"/>
            <w:shd w:val="clear" w:color="auto" w:fill="auto"/>
            <w:vAlign w:val="center"/>
          </w:tcPr>
          <w:p w14:paraId="166EF3E4">
            <w:pPr>
              <w:rPr>
                <w:color w:val="auto"/>
                <w:sz w:val="18"/>
                <w:szCs w:val="8"/>
                <w:highlight w:val="none"/>
              </w:rPr>
            </w:pPr>
          </w:p>
        </w:tc>
      </w:tr>
      <w:tr w14:paraId="2AD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4E02BD8">
            <w:pPr>
              <w:rPr>
                <w:color w:val="auto"/>
                <w:sz w:val="18"/>
                <w:szCs w:val="8"/>
                <w:highlight w:val="none"/>
              </w:rPr>
            </w:pPr>
          </w:p>
        </w:tc>
        <w:tc>
          <w:tcPr>
            <w:tcW w:w="427" w:type="pct"/>
            <w:vMerge w:val="continue"/>
            <w:shd w:val="clear" w:color="auto" w:fill="auto"/>
            <w:vAlign w:val="center"/>
          </w:tcPr>
          <w:p w14:paraId="035F7E6C">
            <w:pPr>
              <w:rPr>
                <w:color w:val="auto"/>
                <w:sz w:val="18"/>
                <w:szCs w:val="8"/>
                <w:highlight w:val="none"/>
              </w:rPr>
            </w:pPr>
          </w:p>
        </w:tc>
        <w:tc>
          <w:tcPr>
            <w:tcW w:w="460" w:type="pct"/>
            <w:vMerge w:val="restart"/>
            <w:shd w:val="clear" w:color="auto" w:fill="auto"/>
            <w:vAlign w:val="center"/>
          </w:tcPr>
          <w:p w14:paraId="71587D9E">
            <w:pPr>
              <w:rPr>
                <w:color w:val="auto"/>
                <w:sz w:val="18"/>
                <w:szCs w:val="8"/>
                <w:highlight w:val="none"/>
              </w:rPr>
            </w:pPr>
            <w:r>
              <w:rPr>
                <w:rFonts w:hint="eastAsia"/>
                <w:color w:val="auto"/>
                <w:sz w:val="18"/>
                <w:szCs w:val="8"/>
                <w:highlight w:val="none"/>
              </w:rPr>
              <w:t>3、运行监控模块</w:t>
            </w:r>
          </w:p>
        </w:tc>
        <w:tc>
          <w:tcPr>
            <w:tcW w:w="3541" w:type="pct"/>
            <w:gridSpan w:val="4"/>
            <w:shd w:val="clear" w:color="auto" w:fill="auto"/>
          </w:tcPr>
          <w:p w14:paraId="6A3309CB">
            <w:pPr>
              <w:rPr>
                <w:color w:val="auto"/>
                <w:sz w:val="18"/>
                <w:szCs w:val="8"/>
                <w:highlight w:val="none"/>
              </w:rPr>
            </w:pPr>
            <w:r>
              <w:rPr>
                <w:rFonts w:hint="eastAsia"/>
                <w:color w:val="auto"/>
                <w:sz w:val="18"/>
                <w:szCs w:val="8"/>
                <w:highlight w:val="none"/>
              </w:rPr>
              <w:t>▲1.显示移动机器人运行环境地图，支持切换查看不同的地图；</w:t>
            </w:r>
          </w:p>
        </w:tc>
        <w:tc>
          <w:tcPr>
            <w:tcW w:w="404" w:type="pct"/>
            <w:gridSpan w:val="2"/>
            <w:vMerge w:val="continue"/>
            <w:shd w:val="clear" w:color="auto" w:fill="auto"/>
            <w:vAlign w:val="center"/>
          </w:tcPr>
          <w:p w14:paraId="06051F79">
            <w:pPr>
              <w:rPr>
                <w:color w:val="auto"/>
                <w:sz w:val="18"/>
                <w:szCs w:val="8"/>
                <w:highlight w:val="none"/>
              </w:rPr>
            </w:pPr>
          </w:p>
        </w:tc>
      </w:tr>
      <w:tr w14:paraId="5014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89A9361">
            <w:pPr>
              <w:rPr>
                <w:color w:val="auto"/>
                <w:sz w:val="18"/>
                <w:szCs w:val="8"/>
                <w:highlight w:val="none"/>
              </w:rPr>
            </w:pPr>
          </w:p>
        </w:tc>
        <w:tc>
          <w:tcPr>
            <w:tcW w:w="427" w:type="pct"/>
            <w:vMerge w:val="continue"/>
            <w:shd w:val="clear" w:color="auto" w:fill="auto"/>
            <w:vAlign w:val="center"/>
          </w:tcPr>
          <w:p w14:paraId="54773A83">
            <w:pPr>
              <w:rPr>
                <w:color w:val="auto"/>
                <w:sz w:val="18"/>
                <w:szCs w:val="8"/>
                <w:highlight w:val="none"/>
              </w:rPr>
            </w:pPr>
          </w:p>
        </w:tc>
        <w:tc>
          <w:tcPr>
            <w:tcW w:w="460" w:type="pct"/>
            <w:vMerge w:val="continue"/>
            <w:shd w:val="clear" w:color="auto" w:fill="auto"/>
            <w:vAlign w:val="center"/>
          </w:tcPr>
          <w:p w14:paraId="619A0A99">
            <w:pPr>
              <w:rPr>
                <w:color w:val="auto"/>
                <w:sz w:val="18"/>
                <w:szCs w:val="8"/>
                <w:highlight w:val="none"/>
              </w:rPr>
            </w:pPr>
          </w:p>
        </w:tc>
        <w:tc>
          <w:tcPr>
            <w:tcW w:w="3541" w:type="pct"/>
            <w:gridSpan w:val="4"/>
            <w:shd w:val="clear" w:color="auto" w:fill="auto"/>
          </w:tcPr>
          <w:p w14:paraId="27985C4F">
            <w:pPr>
              <w:rPr>
                <w:color w:val="auto"/>
                <w:sz w:val="18"/>
                <w:szCs w:val="8"/>
                <w:highlight w:val="none"/>
              </w:rPr>
            </w:pPr>
            <w:r>
              <w:rPr>
                <w:rFonts w:hint="eastAsia"/>
                <w:color w:val="auto"/>
                <w:sz w:val="18"/>
                <w:szCs w:val="8"/>
                <w:highlight w:val="none"/>
              </w:rPr>
              <w:t>2.监控移动机器人实时的移动位置和运行状态等动态变化；</w:t>
            </w:r>
          </w:p>
        </w:tc>
        <w:tc>
          <w:tcPr>
            <w:tcW w:w="404" w:type="pct"/>
            <w:gridSpan w:val="2"/>
            <w:vMerge w:val="continue"/>
            <w:shd w:val="clear" w:color="auto" w:fill="auto"/>
            <w:vAlign w:val="center"/>
          </w:tcPr>
          <w:p w14:paraId="7DE0960A">
            <w:pPr>
              <w:rPr>
                <w:color w:val="auto"/>
                <w:sz w:val="18"/>
                <w:szCs w:val="8"/>
                <w:highlight w:val="none"/>
              </w:rPr>
            </w:pPr>
          </w:p>
        </w:tc>
      </w:tr>
      <w:tr w14:paraId="6F41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029D0AC">
            <w:pPr>
              <w:rPr>
                <w:color w:val="auto"/>
                <w:sz w:val="18"/>
                <w:szCs w:val="8"/>
                <w:highlight w:val="none"/>
              </w:rPr>
            </w:pPr>
          </w:p>
        </w:tc>
        <w:tc>
          <w:tcPr>
            <w:tcW w:w="427" w:type="pct"/>
            <w:vMerge w:val="continue"/>
            <w:shd w:val="clear" w:color="auto" w:fill="auto"/>
            <w:vAlign w:val="center"/>
          </w:tcPr>
          <w:p w14:paraId="3A9C10DD">
            <w:pPr>
              <w:rPr>
                <w:color w:val="auto"/>
                <w:sz w:val="18"/>
                <w:szCs w:val="8"/>
                <w:highlight w:val="none"/>
              </w:rPr>
            </w:pPr>
          </w:p>
        </w:tc>
        <w:tc>
          <w:tcPr>
            <w:tcW w:w="460" w:type="pct"/>
            <w:vMerge w:val="continue"/>
            <w:shd w:val="clear" w:color="auto" w:fill="auto"/>
            <w:vAlign w:val="center"/>
          </w:tcPr>
          <w:p w14:paraId="7BF51300">
            <w:pPr>
              <w:rPr>
                <w:color w:val="auto"/>
                <w:sz w:val="18"/>
                <w:szCs w:val="8"/>
                <w:highlight w:val="none"/>
              </w:rPr>
            </w:pPr>
          </w:p>
        </w:tc>
        <w:tc>
          <w:tcPr>
            <w:tcW w:w="3541" w:type="pct"/>
            <w:gridSpan w:val="4"/>
            <w:shd w:val="clear" w:color="auto" w:fill="auto"/>
          </w:tcPr>
          <w:p w14:paraId="36DB3CD2">
            <w:pPr>
              <w:rPr>
                <w:color w:val="auto"/>
                <w:sz w:val="18"/>
                <w:szCs w:val="8"/>
                <w:highlight w:val="none"/>
              </w:rPr>
            </w:pPr>
            <w:r>
              <w:rPr>
                <w:rFonts w:hint="eastAsia"/>
                <w:color w:val="auto"/>
                <w:sz w:val="18"/>
                <w:szCs w:val="8"/>
                <w:highlight w:val="none"/>
              </w:rPr>
              <w:t>3.监控高侍、机床等已接入的其他设备的运行状态；</w:t>
            </w:r>
          </w:p>
        </w:tc>
        <w:tc>
          <w:tcPr>
            <w:tcW w:w="404" w:type="pct"/>
            <w:gridSpan w:val="2"/>
            <w:vMerge w:val="continue"/>
            <w:shd w:val="clear" w:color="auto" w:fill="auto"/>
            <w:vAlign w:val="center"/>
          </w:tcPr>
          <w:p w14:paraId="1BADD9FA">
            <w:pPr>
              <w:rPr>
                <w:color w:val="auto"/>
                <w:sz w:val="18"/>
                <w:szCs w:val="8"/>
                <w:highlight w:val="none"/>
              </w:rPr>
            </w:pPr>
          </w:p>
        </w:tc>
      </w:tr>
      <w:tr w14:paraId="2D0C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8DC247">
            <w:pPr>
              <w:rPr>
                <w:color w:val="auto"/>
                <w:sz w:val="18"/>
                <w:szCs w:val="8"/>
                <w:highlight w:val="none"/>
              </w:rPr>
            </w:pPr>
          </w:p>
        </w:tc>
        <w:tc>
          <w:tcPr>
            <w:tcW w:w="427" w:type="pct"/>
            <w:vMerge w:val="continue"/>
            <w:shd w:val="clear" w:color="auto" w:fill="auto"/>
            <w:vAlign w:val="center"/>
          </w:tcPr>
          <w:p w14:paraId="33F20448">
            <w:pPr>
              <w:rPr>
                <w:color w:val="auto"/>
                <w:sz w:val="18"/>
                <w:szCs w:val="8"/>
                <w:highlight w:val="none"/>
              </w:rPr>
            </w:pPr>
          </w:p>
        </w:tc>
        <w:tc>
          <w:tcPr>
            <w:tcW w:w="460" w:type="pct"/>
            <w:vMerge w:val="continue"/>
            <w:shd w:val="clear" w:color="auto" w:fill="auto"/>
            <w:vAlign w:val="center"/>
          </w:tcPr>
          <w:p w14:paraId="77D7888C">
            <w:pPr>
              <w:rPr>
                <w:color w:val="auto"/>
                <w:sz w:val="18"/>
                <w:szCs w:val="8"/>
                <w:highlight w:val="none"/>
              </w:rPr>
            </w:pPr>
          </w:p>
        </w:tc>
        <w:tc>
          <w:tcPr>
            <w:tcW w:w="3541" w:type="pct"/>
            <w:gridSpan w:val="4"/>
            <w:shd w:val="clear" w:color="auto" w:fill="auto"/>
          </w:tcPr>
          <w:p w14:paraId="4192A446">
            <w:pPr>
              <w:rPr>
                <w:color w:val="auto"/>
                <w:sz w:val="18"/>
                <w:szCs w:val="8"/>
                <w:highlight w:val="none"/>
              </w:rPr>
            </w:pPr>
            <w:r>
              <w:rPr>
                <w:rFonts w:hint="eastAsia"/>
                <w:color w:val="auto"/>
                <w:sz w:val="18"/>
                <w:szCs w:val="8"/>
                <w:highlight w:val="none"/>
              </w:rPr>
              <w:t>▲4. 查看设备的信息，包括设备名称、工作时长、作业情况；</w:t>
            </w:r>
          </w:p>
        </w:tc>
        <w:tc>
          <w:tcPr>
            <w:tcW w:w="404" w:type="pct"/>
            <w:gridSpan w:val="2"/>
            <w:vMerge w:val="continue"/>
            <w:shd w:val="clear" w:color="auto" w:fill="auto"/>
            <w:vAlign w:val="center"/>
          </w:tcPr>
          <w:p w14:paraId="12B1D938">
            <w:pPr>
              <w:rPr>
                <w:color w:val="auto"/>
                <w:sz w:val="18"/>
                <w:szCs w:val="8"/>
                <w:highlight w:val="none"/>
              </w:rPr>
            </w:pPr>
          </w:p>
        </w:tc>
      </w:tr>
      <w:tr w14:paraId="18A0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C7A494C">
            <w:pPr>
              <w:rPr>
                <w:color w:val="auto"/>
                <w:sz w:val="18"/>
                <w:szCs w:val="8"/>
                <w:highlight w:val="none"/>
              </w:rPr>
            </w:pPr>
          </w:p>
        </w:tc>
        <w:tc>
          <w:tcPr>
            <w:tcW w:w="427" w:type="pct"/>
            <w:vMerge w:val="continue"/>
            <w:shd w:val="clear" w:color="auto" w:fill="auto"/>
            <w:vAlign w:val="center"/>
          </w:tcPr>
          <w:p w14:paraId="1BD8CFDB">
            <w:pPr>
              <w:rPr>
                <w:color w:val="auto"/>
                <w:sz w:val="18"/>
                <w:szCs w:val="8"/>
                <w:highlight w:val="none"/>
              </w:rPr>
            </w:pPr>
          </w:p>
        </w:tc>
        <w:tc>
          <w:tcPr>
            <w:tcW w:w="460" w:type="pct"/>
            <w:vMerge w:val="restart"/>
            <w:shd w:val="clear" w:color="auto" w:fill="auto"/>
            <w:vAlign w:val="center"/>
          </w:tcPr>
          <w:p w14:paraId="7F99A876">
            <w:pPr>
              <w:rPr>
                <w:color w:val="auto"/>
                <w:sz w:val="18"/>
                <w:szCs w:val="8"/>
                <w:highlight w:val="none"/>
              </w:rPr>
            </w:pPr>
            <w:r>
              <w:rPr>
                <w:rFonts w:hint="eastAsia"/>
                <w:color w:val="auto"/>
                <w:sz w:val="18"/>
                <w:szCs w:val="8"/>
                <w:highlight w:val="none"/>
              </w:rPr>
              <w:t>4、工单及任务管理模块</w:t>
            </w:r>
          </w:p>
        </w:tc>
        <w:tc>
          <w:tcPr>
            <w:tcW w:w="3541" w:type="pct"/>
            <w:gridSpan w:val="4"/>
            <w:shd w:val="clear" w:color="auto" w:fill="auto"/>
          </w:tcPr>
          <w:p w14:paraId="14B5F80C">
            <w:pPr>
              <w:rPr>
                <w:color w:val="auto"/>
                <w:sz w:val="18"/>
                <w:szCs w:val="8"/>
                <w:highlight w:val="none"/>
              </w:rPr>
            </w:pPr>
            <w:r>
              <w:rPr>
                <w:rFonts w:hint="eastAsia"/>
                <w:color w:val="auto"/>
                <w:sz w:val="18"/>
                <w:szCs w:val="8"/>
                <w:highlight w:val="none"/>
              </w:rPr>
              <w:t>1. 查看工单的运行状态，工单下的任务详情，监控任务进度；</w:t>
            </w:r>
          </w:p>
        </w:tc>
        <w:tc>
          <w:tcPr>
            <w:tcW w:w="404" w:type="pct"/>
            <w:gridSpan w:val="2"/>
            <w:vMerge w:val="continue"/>
            <w:shd w:val="clear" w:color="auto" w:fill="auto"/>
            <w:vAlign w:val="center"/>
          </w:tcPr>
          <w:p w14:paraId="1C4D3575">
            <w:pPr>
              <w:rPr>
                <w:color w:val="auto"/>
                <w:sz w:val="18"/>
                <w:szCs w:val="8"/>
                <w:highlight w:val="none"/>
              </w:rPr>
            </w:pPr>
          </w:p>
        </w:tc>
      </w:tr>
      <w:tr w14:paraId="64BE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9A2FDB0">
            <w:pPr>
              <w:rPr>
                <w:color w:val="auto"/>
                <w:sz w:val="18"/>
                <w:szCs w:val="8"/>
                <w:highlight w:val="none"/>
              </w:rPr>
            </w:pPr>
          </w:p>
        </w:tc>
        <w:tc>
          <w:tcPr>
            <w:tcW w:w="427" w:type="pct"/>
            <w:vMerge w:val="continue"/>
            <w:shd w:val="clear" w:color="auto" w:fill="auto"/>
            <w:vAlign w:val="center"/>
          </w:tcPr>
          <w:p w14:paraId="5787E10F">
            <w:pPr>
              <w:rPr>
                <w:color w:val="auto"/>
                <w:sz w:val="18"/>
                <w:szCs w:val="8"/>
                <w:highlight w:val="none"/>
              </w:rPr>
            </w:pPr>
          </w:p>
        </w:tc>
        <w:tc>
          <w:tcPr>
            <w:tcW w:w="460" w:type="pct"/>
            <w:vMerge w:val="continue"/>
            <w:shd w:val="clear" w:color="auto" w:fill="auto"/>
            <w:vAlign w:val="center"/>
          </w:tcPr>
          <w:p w14:paraId="3B5B1A97">
            <w:pPr>
              <w:rPr>
                <w:color w:val="auto"/>
                <w:sz w:val="18"/>
                <w:szCs w:val="8"/>
                <w:highlight w:val="none"/>
              </w:rPr>
            </w:pPr>
          </w:p>
        </w:tc>
        <w:tc>
          <w:tcPr>
            <w:tcW w:w="3541" w:type="pct"/>
            <w:gridSpan w:val="4"/>
            <w:shd w:val="clear" w:color="auto" w:fill="auto"/>
          </w:tcPr>
          <w:p w14:paraId="720D8022">
            <w:pPr>
              <w:rPr>
                <w:color w:val="auto"/>
                <w:sz w:val="18"/>
                <w:szCs w:val="8"/>
                <w:highlight w:val="none"/>
              </w:rPr>
            </w:pPr>
            <w:r>
              <w:rPr>
                <w:rFonts w:hint="eastAsia"/>
                <w:color w:val="auto"/>
                <w:sz w:val="18"/>
                <w:szCs w:val="8"/>
                <w:highlight w:val="none"/>
              </w:rPr>
              <w:t>2. 设置工单的运行状态，支持暂停、取消、删除等操作；</w:t>
            </w:r>
          </w:p>
        </w:tc>
        <w:tc>
          <w:tcPr>
            <w:tcW w:w="404" w:type="pct"/>
            <w:gridSpan w:val="2"/>
            <w:vMerge w:val="continue"/>
            <w:shd w:val="clear" w:color="auto" w:fill="auto"/>
            <w:vAlign w:val="center"/>
          </w:tcPr>
          <w:p w14:paraId="4038E35D">
            <w:pPr>
              <w:rPr>
                <w:color w:val="auto"/>
                <w:sz w:val="18"/>
                <w:szCs w:val="8"/>
                <w:highlight w:val="none"/>
              </w:rPr>
            </w:pPr>
          </w:p>
        </w:tc>
      </w:tr>
      <w:tr w14:paraId="361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E18E258">
            <w:pPr>
              <w:rPr>
                <w:color w:val="auto"/>
                <w:sz w:val="18"/>
                <w:szCs w:val="8"/>
                <w:highlight w:val="none"/>
              </w:rPr>
            </w:pPr>
          </w:p>
        </w:tc>
        <w:tc>
          <w:tcPr>
            <w:tcW w:w="427" w:type="pct"/>
            <w:vMerge w:val="continue"/>
            <w:shd w:val="clear" w:color="auto" w:fill="auto"/>
            <w:vAlign w:val="center"/>
          </w:tcPr>
          <w:p w14:paraId="47778C94">
            <w:pPr>
              <w:rPr>
                <w:color w:val="auto"/>
                <w:sz w:val="18"/>
                <w:szCs w:val="8"/>
                <w:highlight w:val="none"/>
              </w:rPr>
            </w:pPr>
          </w:p>
        </w:tc>
        <w:tc>
          <w:tcPr>
            <w:tcW w:w="460" w:type="pct"/>
            <w:vMerge w:val="continue"/>
            <w:shd w:val="clear" w:color="auto" w:fill="auto"/>
            <w:vAlign w:val="center"/>
          </w:tcPr>
          <w:p w14:paraId="04CA662C">
            <w:pPr>
              <w:rPr>
                <w:color w:val="auto"/>
                <w:sz w:val="18"/>
                <w:szCs w:val="8"/>
                <w:highlight w:val="none"/>
              </w:rPr>
            </w:pPr>
          </w:p>
        </w:tc>
        <w:tc>
          <w:tcPr>
            <w:tcW w:w="3541" w:type="pct"/>
            <w:gridSpan w:val="4"/>
            <w:shd w:val="clear" w:color="auto" w:fill="auto"/>
          </w:tcPr>
          <w:p w14:paraId="737AE348">
            <w:pPr>
              <w:rPr>
                <w:color w:val="auto"/>
                <w:sz w:val="18"/>
                <w:szCs w:val="8"/>
                <w:highlight w:val="none"/>
              </w:rPr>
            </w:pPr>
            <w:r>
              <w:rPr>
                <w:rFonts w:hint="eastAsia"/>
                <w:color w:val="auto"/>
                <w:sz w:val="18"/>
                <w:szCs w:val="8"/>
                <w:highlight w:val="none"/>
              </w:rPr>
              <w:t>3. 派发工单，选择执行工单的移动机器人组和任务；</w:t>
            </w:r>
          </w:p>
        </w:tc>
        <w:tc>
          <w:tcPr>
            <w:tcW w:w="404" w:type="pct"/>
            <w:gridSpan w:val="2"/>
            <w:vMerge w:val="continue"/>
            <w:shd w:val="clear" w:color="auto" w:fill="auto"/>
            <w:vAlign w:val="center"/>
          </w:tcPr>
          <w:p w14:paraId="2BD13413">
            <w:pPr>
              <w:rPr>
                <w:color w:val="auto"/>
                <w:sz w:val="18"/>
                <w:szCs w:val="8"/>
                <w:highlight w:val="none"/>
              </w:rPr>
            </w:pPr>
          </w:p>
        </w:tc>
      </w:tr>
      <w:tr w14:paraId="05D1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A9DD73D">
            <w:pPr>
              <w:rPr>
                <w:color w:val="auto"/>
                <w:sz w:val="18"/>
                <w:szCs w:val="8"/>
                <w:highlight w:val="none"/>
              </w:rPr>
            </w:pPr>
          </w:p>
        </w:tc>
        <w:tc>
          <w:tcPr>
            <w:tcW w:w="427" w:type="pct"/>
            <w:vMerge w:val="continue"/>
            <w:shd w:val="clear" w:color="auto" w:fill="auto"/>
            <w:vAlign w:val="center"/>
          </w:tcPr>
          <w:p w14:paraId="2640BA08">
            <w:pPr>
              <w:rPr>
                <w:color w:val="auto"/>
                <w:sz w:val="18"/>
                <w:szCs w:val="8"/>
                <w:highlight w:val="none"/>
              </w:rPr>
            </w:pPr>
          </w:p>
        </w:tc>
        <w:tc>
          <w:tcPr>
            <w:tcW w:w="460" w:type="pct"/>
            <w:vMerge w:val="continue"/>
            <w:shd w:val="clear" w:color="auto" w:fill="auto"/>
            <w:vAlign w:val="center"/>
          </w:tcPr>
          <w:p w14:paraId="08B7D2CC">
            <w:pPr>
              <w:rPr>
                <w:color w:val="auto"/>
                <w:sz w:val="18"/>
                <w:szCs w:val="8"/>
                <w:highlight w:val="none"/>
              </w:rPr>
            </w:pPr>
          </w:p>
        </w:tc>
        <w:tc>
          <w:tcPr>
            <w:tcW w:w="3541" w:type="pct"/>
            <w:gridSpan w:val="4"/>
            <w:shd w:val="clear" w:color="auto" w:fill="auto"/>
          </w:tcPr>
          <w:p w14:paraId="39A133FC">
            <w:pPr>
              <w:rPr>
                <w:color w:val="auto"/>
                <w:sz w:val="18"/>
                <w:szCs w:val="8"/>
                <w:highlight w:val="none"/>
              </w:rPr>
            </w:pPr>
            <w:r>
              <w:rPr>
                <w:rFonts w:hint="eastAsia"/>
                <w:color w:val="auto"/>
                <w:sz w:val="18"/>
                <w:szCs w:val="8"/>
                <w:highlight w:val="none"/>
              </w:rPr>
              <w:t>4. 创建任务/任务模板，以图形化编程的方式编辑任务；</w:t>
            </w:r>
          </w:p>
        </w:tc>
        <w:tc>
          <w:tcPr>
            <w:tcW w:w="404" w:type="pct"/>
            <w:gridSpan w:val="2"/>
            <w:vMerge w:val="continue"/>
            <w:shd w:val="clear" w:color="auto" w:fill="auto"/>
            <w:vAlign w:val="center"/>
          </w:tcPr>
          <w:p w14:paraId="7D75AE37">
            <w:pPr>
              <w:rPr>
                <w:color w:val="auto"/>
                <w:sz w:val="18"/>
                <w:szCs w:val="8"/>
                <w:highlight w:val="none"/>
              </w:rPr>
            </w:pPr>
          </w:p>
        </w:tc>
      </w:tr>
      <w:tr w14:paraId="0CD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10" w:hRule="atLeast"/>
          <w:jc w:val="center"/>
        </w:trPr>
        <w:tc>
          <w:tcPr>
            <w:tcW w:w="157" w:type="pct"/>
            <w:vMerge w:val="continue"/>
            <w:shd w:val="clear" w:color="auto" w:fill="auto"/>
            <w:vAlign w:val="center"/>
          </w:tcPr>
          <w:p w14:paraId="6ED0B026">
            <w:pPr>
              <w:rPr>
                <w:color w:val="auto"/>
                <w:sz w:val="18"/>
                <w:szCs w:val="8"/>
                <w:highlight w:val="none"/>
              </w:rPr>
            </w:pPr>
          </w:p>
        </w:tc>
        <w:tc>
          <w:tcPr>
            <w:tcW w:w="427" w:type="pct"/>
            <w:vMerge w:val="continue"/>
            <w:shd w:val="clear" w:color="auto" w:fill="auto"/>
            <w:vAlign w:val="center"/>
          </w:tcPr>
          <w:p w14:paraId="7E18DED9">
            <w:pPr>
              <w:rPr>
                <w:color w:val="auto"/>
                <w:sz w:val="18"/>
                <w:szCs w:val="8"/>
                <w:highlight w:val="none"/>
              </w:rPr>
            </w:pPr>
          </w:p>
        </w:tc>
        <w:tc>
          <w:tcPr>
            <w:tcW w:w="460" w:type="pct"/>
            <w:vMerge w:val="continue"/>
            <w:shd w:val="clear" w:color="auto" w:fill="auto"/>
            <w:vAlign w:val="center"/>
          </w:tcPr>
          <w:p w14:paraId="63407B93">
            <w:pPr>
              <w:rPr>
                <w:color w:val="auto"/>
                <w:sz w:val="18"/>
                <w:szCs w:val="8"/>
                <w:highlight w:val="none"/>
              </w:rPr>
            </w:pPr>
          </w:p>
        </w:tc>
        <w:tc>
          <w:tcPr>
            <w:tcW w:w="3541" w:type="pct"/>
            <w:gridSpan w:val="4"/>
            <w:shd w:val="clear" w:color="auto" w:fill="auto"/>
          </w:tcPr>
          <w:p w14:paraId="58CA9125">
            <w:pPr>
              <w:rPr>
                <w:color w:val="auto"/>
                <w:sz w:val="18"/>
                <w:szCs w:val="8"/>
                <w:highlight w:val="none"/>
              </w:rPr>
            </w:pPr>
            <w:r>
              <w:rPr>
                <w:rFonts w:hint="eastAsia"/>
                <w:color w:val="auto"/>
                <w:sz w:val="18"/>
                <w:szCs w:val="8"/>
                <w:highlight w:val="none"/>
              </w:rPr>
              <w:t>5. 在任务规划中直接运行任务；</w:t>
            </w:r>
          </w:p>
        </w:tc>
        <w:tc>
          <w:tcPr>
            <w:tcW w:w="404" w:type="pct"/>
            <w:gridSpan w:val="2"/>
            <w:vMerge w:val="continue"/>
            <w:shd w:val="clear" w:color="auto" w:fill="auto"/>
            <w:vAlign w:val="center"/>
          </w:tcPr>
          <w:p w14:paraId="7DB1BBA1">
            <w:pPr>
              <w:rPr>
                <w:color w:val="auto"/>
                <w:sz w:val="18"/>
                <w:szCs w:val="8"/>
                <w:highlight w:val="none"/>
              </w:rPr>
            </w:pPr>
          </w:p>
        </w:tc>
      </w:tr>
      <w:tr w14:paraId="33ABD549">
        <w:tblPrEx>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8A8CD4">
            <w:pPr>
              <w:rPr>
                <w:color w:val="auto"/>
                <w:sz w:val="18"/>
                <w:szCs w:val="8"/>
                <w:highlight w:val="none"/>
              </w:rPr>
            </w:pPr>
          </w:p>
        </w:tc>
        <w:tc>
          <w:tcPr>
            <w:tcW w:w="427" w:type="pct"/>
            <w:vMerge w:val="continue"/>
            <w:shd w:val="clear" w:color="auto" w:fill="auto"/>
            <w:vAlign w:val="center"/>
          </w:tcPr>
          <w:p w14:paraId="0B8CB54C">
            <w:pPr>
              <w:rPr>
                <w:color w:val="auto"/>
                <w:sz w:val="18"/>
                <w:szCs w:val="8"/>
                <w:highlight w:val="none"/>
              </w:rPr>
            </w:pPr>
          </w:p>
        </w:tc>
        <w:tc>
          <w:tcPr>
            <w:tcW w:w="460" w:type="pct"/>
            <w:vMerge w:val="restart"/>
            <w:shd w:val="clear" w:color="auto" w:fill="auto"/>
            <w:vAlign w:val="center"/>
          </w:tcPr>
          <w:p w14:paraId="132FF0DD">
            <w:pPr>
              <w:rPr>
                <w:color w:val="auto"/>
                <w:sz w:val="18"/>
                <w:szCs w:val="8"/>
                <w:highlight w:val="none"/>
              </w:rPr>
            </w:pPr>
            <w:r>
              <w:rPr>
                <w:rFonts w:hint="eastAsia"/>
                <w:color w:val="auto"/>
                <w:sz w:val="18"/>
                <w:szCs w:val="8"/>
                <w:highlight w:val="none"/>
              </w:rPr>
              <w:t>5、地图管理模块</w:t>
            </w:r>
          </w:p>
        </w:tc>
        <w:tc>
          <w:tcPr>
            <w:tcW w:w="3541" w:type="pct"/>
            <w:gridSpan w:val="4"/>
            <w:shd w:val="clear" w:color="auto" w:fill="auto"/>
          </w:tcPr>
          <w:p w14:paraId="34CB88C8">
            <w:pPr>
              <w:rPr>
                <w:color w:val="auto"/>
                <w:sz w:val="18"/>
                <w:szCs w:val="8"/>
                <w:highlight w:val="none"/>
              </w:rPr>
            </w:pPr>
            <w:r>
              <w:rPr>
                <w:rFonts w:hint="eastAsia"/>
                <w:color w:val="auto"/>
                <w:sz w:val="18"/>
                <w:szCs w:val="8"/>
                <w:highlight w:val="none"/>
              </w:rPr>
              <w:t>1. 手动遥控移动机器人的行驶；</w:t>
            </w:r>
          </w:p>
        </w:tc>
        <w:tc>
          <w:tcPr>
            <w:tcW w:w="404" w:type="pct"/>
            <w:gridSpan w:val="2"/>
            <w:vMerge w:val="continue"/>
            <w:shd w:val="clear" w:color="auto" w:fill="auto"/>
            <w:vAlign w:val="center"/>
          </w:tcPr>
          <w:p w14:paraId="14495950">
            <w:pPr>
              <w:rPr>
                <w:color w:val="auto"/>
                <w:sz w:val="18"/>
                <w:szCs w:val="8"/>
                <w:highlight w:val="none"/>
              </w:rPr>
            </w:pPr>
          </w:p>
        </w:tc>
      </w:tr>
      <w:tr w14:paraId="63A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AB37697">
            <w:pPr>
              <w:rPr>
                <w:color w:val="auto"/>
                <w:sz w:val="18"/>
                <w:szCs w:val="8"/>
                <w:highlight w:val="none"/>
              </w:rPr>
            </w:pPr>
          </w:p>
        </w:tc>
        <w:tc>
          <w:tcPr>
            <w:tcW w:w="427" w:type="pct"/>
            <w:vMerge w:val="continue"/>
            <w:shd w:val="clear" w:color="auto" w:fill="auto"/>
            <w:vAlign w:val="center"/>
          </w:tcPr>
          <w:p w14:paraId="39F5AC3D">
            <w:pPr>
              <w:rPr>
                <w:color w:val="auto"/>
                <w:sz w:val="18"/>
                <w:szCs w:val="8"/>
                <w:highlight w:val="none"/>
              </w:rPr>
            </w:pPr>
          </w:p>
        </w:tc>
        <w:tc>
          <w:tcPr>
            <w:tcW w:w="460" w:type="pct"/>
            <w:vMerge w:val="continue"/>
            <w:shd w:val="clear" w:color="auto" w:fill="auto"/>
            <w:vAlign w:val="center"/>
          </w:tcPr>
          <w:p w14:paraId="13125639">
            <w:pPr>
              <w:rPr>
                <w:color w:val="auto"/>
                <w:sz w:val="18"/>
                <w:szCs w:val="8"/>
                <w:highlight w:val="none"/>
              </w:rPr>
            </w:pPr>
          </w:p>
        </w:tc>
        <w:tc>
          <w:tcPr>
            <w:tcW w:w="3541" w:type="pct"/>
            <w:gridSpan w:val="4"/>
            <w:shd w:val="clear" w:color="auto" w:fill="auto"/>
          </w:tcPr>
          <w:p w14:paraId="67759FD5">
            <w:pPr>
              <w:rPr>
                <w:color w:val="auto"/>
                <w:sz w:val="18"/>
                <w:szCs w:val="8"/>
                <w:highlight w:val="none"/>
              </w:rPr>
            </w:pPr>
            <w:r>
              <w:rPr>
                <w:rFonts w:hint="eastAsia"/>
                <w:color w:val="auto"/>
                <w:sz w:val="18"/>
                <w:szCs w:val="8"/>
                <w:highlight w:val="none"/>
              </w:rPr>
              <w:t>▲2. 遥控移动机器人在目标环境中移动来扫描识别环境特征，自动生成地图；或通过本地电脑直接上传环境地图；</w:t>
            </w:r>
          </w:p>
        </w:tc>
        <w:tc>
          <w:tcPr>
            <w:tcW w:w="404" w:type="pct"/>
            <w:gridSpan w:val="2"/>
            <w:vMerge w:val="continue"/>
            <w:shd w:val="clear" w:color="auto" w:fill="auto"/>
            <w:vAlign w:val="center"/>
          </w:tcPr>
          <w:p w14:paraId="1EF5C90C">
            <w:pPr>
              <w:rPr>
                <w:color w:val="auto"/>
                <w:sz w:val="18"/>
                <w:szCs w:val="8"/>
                <w:highlight w:val="none"/>
              </w:rPr>
            </w:pPr>
          </w:p>
        </w:tc>
      </w:tr>
      <w:tr w14:paraId="021A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C6F0E19">
            <w:pPr>
              <w:rPr>
                <w:color w:val="auto"/>
                <w:sz w:val="18"/>
                <w:szCs w:val="8"/>
                <w:highlight w:val="none"/>
              </w:rPr>
            </w:pPr>
          </w:p>
        </w:tc>
        <w:tc>
          <w:tcPr>
            <w:tcW w:w="427" w:type="pct"/>
            <w:vMerge w:val="continue"/>
            <w:shd w:val="clear" w:color="auto" w:fill="auto"/>
            <w:vAlign w:val="center"/>
          </w:tcPr>
          <w:p w14:paraId="7C837734">
            <w:pPr>
              <w:rPr>
                <w:color w:val="auto"/>
                <w:sz w:val="18"/>
                <w:szCs w:val="8"/>
                <w:highlight w:val="none"/>
              </w:rPr>
            </w:pPr>
          </w:p>
        </w:tc>
        <w:tc>
          <w:tcPr>
            <w:tcW w:w="460" w:type="pct"/>
            <w:vMerge w:val="continue"/>
            <w:shd w:val="clear" w:color="auto" w:fill="auto"/>
            <w:vAlign w:val="center"/>
          </w:tcPr>
          <w:p w14:paraId="0F7CF9DA">
            <w:pPr>
              <w:rPr>
                <w:color w:val="auto"/>
                <w:sz w:val="18"/>
                <w:szCs w:val="8"/>
                <w:highlight w:val="none"/>
              </w:rPr>
            </w:pPr>
          </w:p>
        </w:tc>
        <w:tc>
          <w:tcPr>
            <w:tcW w:w="3541" w:type="pct"/>
            <w:gridSpan w:val="4"/>
            <w:shd w:val="clear" w:color="auto" w:fill="auto"/>
          </w:tcPr>
          <w:p w14:paraId="2A21646D">
            <w:pPr>
              <w:rPr>
                <w:color w:val="auto"/>
                <w:sz w:val="18"/>
                <w:szCs w:val="8"/>
                <w:highlight w:val="none"/>
              </w:rPr>
            </w:pPr>
            <w:r>
              <w:rPr>
                <w:rFonts w:hint="eastAsia"/>
                <w:color w:val="auto"/>
                <w:sz w:val="18"/>
                <w:szCs w:val="8"/>
                <w:highlight w:val="none"/>
              </w:rPr>
              <w:t>3. 下载地图到本地电脑；</w:t>
            </w:r>
          </w:p>
        </w:tc>
        <w:tc>
          <w:tcPr>
            <w:tcW w:w="404" w:type="pct"/>
            <w:gridSpan w:val="2"/>
            <w:vMerge w:val="continue"/>
            <w:shd w:val="clear" w:color="auto" w:fill="auto"/>
            <w:vAlign w:val="center"/>
          </w:tcPr>
          <w:p w14:paraId="25DC2FDC">
            <w:pPr>
              <w:rPr>
                <w:color w:val="auto"/>
                <w:sz w:val="18"/>
                <w:szCs w:val="8"/>
                <w:highlight w:val="none"/>
              </w:rPr>
            </w:pPr>
          </w:p>
        </w:tc>
      </w:tr>
      <w:tr w14:paraId="65D7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656AAC9">
            <w:pPr>
              <w:rPr>
                <w:color w:val="auto"/>
                <w:sz w:val="18"/>
                <w:szCs w:val="8"/>
                <w:highlight w:val="none"/>
              </w:rPr>
            </w:pPr>
          </w:p>
        </w:tc>
        <w:tc>
          <w:tcPr>
            <w:tcW w:w="427" w:type="pct"/>
            <w:vMerge w:val="continue"/>
            <w:shd w:val="clear" w:color="auto" w:fill="auto"/>
            <w:vAlign w:val="center"/>
          </w:tcPr>
          <w:p w14:paraId="3FF8CFBD">
            <w:pPr>
              <w:rPr>
                <w:color w:val="auto"/>
                <w:sz w:val="18"/>
                <w:szCs w:val="8"/>
                <w:highlight w:val="none"/>
              </w:rPr>
            </w:pPr>
          </w:p>
        </w:tc>
        <w:tc>
          <w:tcPr>
            <w:tcW w:w="460" w:type="pct"/>
            <w:vMerge w:val="continue"/>
            <w:shd w:val="clear" w:color="auto" w:fill="auto"/>
            <w:vAlign w:val="center"/>
          </w:tcPr>
          <w:p w14:paraId="37822CC4">
            <w:pPr>
              <w:rPr>
                <w:color w:val="auto"/>
                <w:sz w:val="18"/>
                <w:szCs w:val="8"/>
                <w:highlight w:val="none"/>
              </w:rPr>
            </w:pPr>
          </w:p>
        </w:tc>
        <w:tc>
          <w:tcPr>
            <w:tcW w:w="3541" w:type="pct"/>
            <w:gridSpan w:val="4"/>
            <w:shd w:val="clear" w:color="auto" w:fill="auto"/>
          </w:tcPr>
          <w:p w14:paraId="1CA5D5E8">
            <w:pPr>
              <w:rPr>
                <w:color w:val="auto"/>
                <w:sz w:val="18"/>
                <w:szCs w:val="8"/>
                <w:highlight w:val="none"/>
              </w:rPr>
            </w:pPr>
            <w:r>
              <w:rPr>
                <w:rFonts w:hint="eastAsia"/>
                <w:color w:val="auto"/>
                <w:sz w:val="18"/>
                <w:szCs w:val="8"/>
                <w:highlight w:val="none"/>
              </w:rPr>
              <w:t>4. 地图扫描完成后可手动校正地图的方向；</w:t>
            </w:r>
          </w:p>
        </w:tc>
        <w:tc>
          <w:tcPr>
            <w:tcW w:w="404" w:type="pct"/>
            <w:gridSpan w:val="2"/>
            <w:vMerge w:val="continue"/>
            <w:shd w:val="clear" w:color="auto" w:fill="auto"/>
            <w:vAlign w:val="center"/>
          </w:tcPr>
          <w:p w14:paraId="09B74E0A">
            <w:pPr>
              <w:rPr>
                <w:color w:val="auto"/>
                <w:sz w:val="18"/>
                <w:szCs w:val="8"/>
                <w:highlight w:val="none"/>
              </w:rPr>
            </w:pPr>
          </w:p>
        </w:tc>
      </w:tr>
      <w:tr w14:paraId="07E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DCCE69B">
            <w:pPr>
              <w:rPr>
                <w:color w:val="auto"/>
                <w:sz w:val="18"/>
                <w:szCs w:val="8"/>
                <w:highlight w:val="none"/>
              </w:rPr>
            </w:pPr>
          </w:p>
        </w:tc>
        <w:tc>
          <w:tcPr>
            <w:tcW w:w="427" w:type="pct"/>
            <w:vMerge w:val="continue"/>
            <w:shd w:val="clear" w:color="auto" w:fill="auto"/>
            <w:vAlign w:val="center"/>
          </w:tcPr>
          <w:p w14:paraId="024E370F">
            <w:pPr>
              <w:rPr>
                <w:color w:val="auto"/>
                <w:sz w:val="18"/>
                <w:szCs w:val="8"/>
                <w:highlight w:val="none"/>
              </w:rPr>
            </w:pPr>
          </w:p>
        </w:tc>
        <w:tc>
          <w:tcPr>
            <w:tcW w:w="460" w:type="pct"/>
            <w:vMerge w:val="continue"/>
            <w:shd w:val="clear" w:color="auto" w:fill="auto"/>
            <w:vAlign w:val="center"/>
          </w:tcPr>
          <w:p w14:paraId="44716A62">
            <w:pPr>
              <w:rPr>
                <w:color w:val="auto"/>
                <w:sz w:val="18"/>
                <w:szCs w:val="8"/>
                <w:highlight w:val="none"/>
              </w:rPr>
            </w:pPr>
          </w:p>
        </w:tc>
        <w:tc>
          <w:tcPr>
            <w:tcW w:w="3541" w:type="pct"/>
            <w:gridSpan w:val="4"/>
            <w:shd w:val="clear" w:color="auto" w:fill="auto"/>
          </w:tcPr>
          <w:p w14:paraId="76736DD2">
            <w:pPr>
              <w:rPr>
                <w:color w:val="auto"/>
                <w:sz w:val="18"/>
                <w:szCs w:val="8"/>
                <w:highlight w:val="none"/>
              </w:rPr>
            </w:pPr>
            <w:r>
              <w:rPr>
                <w:rFonts w:hint="eastAsia"/>
                <w:color w:val="auto"/>
                <w:sz w:val="18"/>
                <w:szCs w:val="8"/>
                <w:highlight w:val="none"/>
              </w:rPr>
              <w:t>▲5. 编辑地图：设置虚拟墙和区域（首选区域/限行区域/单向行驶区域/速度区域/禁行区域/十字路口等等），擦除地图上的特征；</w:t>
            </w:r>
          </w:p>
        </w:tc>
        <w:tc>
          <w:tcPr>
            <w:tcW w:w="404" w:type="pct"/>
            <w:gridSpan w:val="2"/>
            <w:vMerge w:val="continue"/>
            <w:shd w:val="clear" w:color="auto" w:fill="auto"/>
            <w:vAlign w:val="center"/>
          </w:tcPr>
          <w:p w14:paraId="2725807E">
            <w:pPr>
              <w:rPr>
                <w:color w:val="auto"/>
                <w:sz w:val="18"/>
                <w:szCs w:val="8"/>
                <w:highlight w:val="none"/>
              </w:rPr>
            </w:pPr>
          </w:p>
        </w:tc>
      </w:tr>
      <w:tr w14:paraId="5E0A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37189DD">
            <w:pPr>
              <w:rPr>
                <w:color w:val="auto"/>
                <w:sz w:val="18"/>
                <w:szCs w:val="8"/>
                <w:highlight w:val="none"/>
              </w:rPr>
            </w:pPr>
          </w:p>
        </w:tc>
        <w:tc>
          <w:tcPr>
            <w:tcW w:w="427" w:type="pct"/>
            <w:vMerge w:val="continue"/>
            <w:shd w:val="clear" w:color="auto" w:fill="auto"/>
            <w:vAlign w:val="center"/>
          </w:tcPr>
          <w:p w14:paraId="40494FA6">
            <w:pPr>
              <w:rPr>
                <w:color w:val="auto"/>
                <w:sz w:val="18"/>
                <w:szCs w:val="8"/>
                <w:highlight w:val="none"/>
              </w:rPr>
            </w:pPr>
          </w:p>
        </w:tc>
        <w:tc>
          <w:tcPr>
            <w:tcW w:w="460" w:type="pct"/>
            <w:vMerge w:val="continue"/>
            <w:shd w:val="clear" w:color="auto" w:fill="auto"/>
            <w:vAlign w:val="center"/>
          </w:tcPr>
          <w:p w14:paraId="5B4656D6">
            <w:pPr>
              <w:rPr>
                <w:color w:val="auto"/>
                <w:sz w:val="18"/>
                <w:szCs w:val="8"/>
                <w:highlight w:val="none"/>
              </w:rPr>
            </w:pPr>
          </w:p>
        </w:tc>
        <w:tc>
          <w:tcPr>
            <w:tcW w:w="3541" w:type="pct"/>
            <w:gridSpan w:val="4"/>
            <w:shd w:val="clear" w:color="auto" w:fill="auto"/>
          </w:tcPr>
          <w:p w14:paraId="38D2B27D">
            <w:pPr>
              <w:rPr>
                <w:color w:val="auto"/>
                <w:sz w:val="18"/>
                <w:szCs w:val="8"/>
                <w:highlight w:val="none"/>
              </w:rPr>
            </w:pPr>
            <w:r>
              <w:rPr>
                <w:rFonts w:hint="eastAsia"/>
                <w:color w:val="auto"/>
                <w:sz w:val="18"/>
                <w:szCs w:val="8"/>
                <w:highlight w:val="none"/>
              </w:rPr>
              <w:t>6. 在地图上添加不同属性的路点和工位站点；</w:t>
            </w:r>
          </w:p>
        </w:tc>
        <w:tc>
          <w:tcPr>
            <w:tcW w:w="404" w:type="pct"/>
            <w:gridSpan w:val="2"/>
            <w:vMerge w:val="continue"/>
            <w:shd w:val="clear" w:color="auto" w:fill="auto"/>
            <w:vAlign w:val="center"/>
          </w:tcPr>
          <w:p w14:paraId="50DE7E16">
            <w:pPr>
              <w:rPr>
                <w:color w:val="auto"/>
                <w:sz w:val="18"/>
                <w:szCs w:val="8"/>
                <w:highlight w:val="none"/>
              </w:rPr>
            </w:pPr>
          </w:p>
        </w:tc>
      </w:tr>
      <w:tr w14:paraId="353E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FE3AD71">
            <w:pPr>
              <w:rPr>
                <w:color w:val="auto"/>
                <w:sz w:val="18"/>
                <w:szCs w:val="8"/>
                <w:highlight w:val="none"/>
              </w:rPr>
            </w:pPr>
          </w:p>
        </w:tc>
        <w:tc>
          <w:tcPr>
            <w:tcW w:w="427" w:type="pct"/>
            <w:vMerge w:val="continue"/>
            <w:shd w:val="clear" w:color="auto" w:fill="auto"/>
            <w:vAlign w:val="center"/>
          </w:tcPr>
          <w:p w14:paraId="4531B0A2">
            <w:pPr>
              <w:rPr>
                <w:color w:val="auto"/>
                <w:sz w:val="18"/>
                <w:szCs w:val="8"/>
                <w:highlight w:val="none"/>
              </w:rPr>
            </w:pPr>
          </w:p>
        </w:tc>
        <w:tc>
          <w:tcPr>
            <w:tcW w:w="460" w:type="pct"/>
            <w:vMerge w:val="continue"/>
            <w:shd w:val="clear" w:color="auto" w:fill="auto"/>
            <w:vAlign w:val="center"/>
          </w:tcPr>
          <w:p w14:paraId="5C542B92">
            <w:pPr>
              <w:rPr>
                <w:color w:val="auto"/>
                <w:sz w:val="18"/>
                <w:szCs w:val="8"/>
                <w:highlight w:val="none"/>
              </w:rPr>
            </w:pPr>
          </w:p>
        </w:tc>
        <w:tc>
          <w:tcPr>
            <w:tcW w:w="3541" w:type="pct"/>
            <w:gridSpan w:val="4"/>
            <w:shd w:val="clear" w:color="auto" w:fill="auto"/>
          </w:tcPr>
          <w:p w14:paraId="46F0EF6D">
            <w:pPr>
              <w:rPr>
                <w:color w:val="auto"/>
                <w:sz w:val="18"/>
                <w:szCs w:val="8"/>
                <w:highlight w:val="none"/>
              </w:rPr>
            </w:pPr>
            <w:r>
              <w:rPr>
                <w:rFonts w:hint="eastAsia"/>
                <w:color w:val="auto"/>
                <w:sz w:val="18"/>
                <w:szCs w:val="8"/>
                <w:highlight w:val="none"/>
              </w:rPr>
              <w:t>7. 搜索地图上的路点或工位站点；</w:t>
            </w:r>
          </w:p>
        </w:tc>
        <w:tc>
          <w:tcPr>
            <w:tcW w:w="404" w:type="pct"/>
            <w:gridSpan w:val="2"/>
            <w:vMerge w:val="continue"/>
            <w:shd w:val="clear" w:color="auto" w:fill="auto"/>
            <w:vAlign w:val="center"/>
          </w:tcPr>
          <w:p w14:paraId="77FDF9EA">
            <w:pPr>
              <w:rPr>
                <w:color w:val="auto"/>
                <w:sz w:val="18"/>
                <w:szCs w:val="8"/>
                <w:highlight w:val="none"/>
              </w:rPr>
            </w:pPr>
          </w:p>
        </w:tc>
      </w:tr>
      <w:tr w14:paraId="398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9CD8EE9">
            <w:pPr>
              <w:rPr>
                <w:color w:val="auto"/>
                <w:sz w:val="18"/>
                <w:szCs w:val="8"/>
                <w:highlight w:val="none"/>
              </w:rPr>
            </w:pPr>
          </w:p>
        </w:tc>
        <w:tc>
          <w:tcPr>
            <w:tcW w:w="427" w:type="pct"/>
            <w:vMerge w:val="continue"/>
            <w:shd w:val="clear" w:color="auto" w:fill="auto"/>
            <w:vAlign w:val="center"/>
          </w:tcPr>
          <w:p w14:paraId="340B7B53">
            <w:pPr>
              <w:rPr>
                <w:color w:val="auto"/>
                <w:sz w:val="18"/>
                <w:szCs w:val="8"/>
                <w:highlight w:val="none"/>
              </w:rPr>
            </w:pPr>
          </w:p>
        </w:tc>
        <w:tc>
          <w:tcPr>
            <w:tcW w:w="460" w:type="pct"/>
            <w:vMerge w:val="continue"/>
            <w:shd w:val="clear" w:color="auto" w:fill="auto"/>
            <w:vAlign w:val="center"/>
          </w:tcPr>
          <w:p w14:paraId="76E798A3">
            <w:pPr>
              <w:rPr>
                <w:color w:val="auto"/>
                <w:sz w:val="18"/>
                <w:szCs w:val="8"/>
                <w:highlight w:val="none"/>
              </w:rPr>
            </w:pPr>
          </w:p>
        </w:tc>
        <w:tc>
          <w:tcPr>
            <w:tcW w:w="3541" w:type="pct"/>
            <w:gridSpan w:val="4"/>
            <w:shd w:val="clear" w:color="auto" w:fill="auto"/>
          </w:tcPr>
          <w:p w14:paraId="2B143413">
            <w:pPr>
              <w:rPr>
                <w:color w:val="auto"/>
                <w:sz w:val="18"/>
                <w:szCs w:val="8"/>
                <w:highlight w:val="none"/>
              </w:rPr>
            </w:pPr>
            <w:r>
              <w:rPr>
                <w:rFonts w:hint="eastAsia"/>
                <w:color w:val="auto"/>
                <w:sz w:val="18"/>
                <w:szCs w:val="8"/>
                <w:highlight w:val="none"/>
              </w:rPr>
              <w:t>8. 校准移动机器人在地图上的位置；</w:t>
            </w:r>
          </w:p>
        </w:tc>
        <w:tc>
          <w:tcPr>
            <w:tcW w:w="404" w:type="pct"/>
            <w:gridSpan w:val="2"/>
            <w:vMerge w:val="continue"/>
            <w:shd w:val="clear" w:color="auto" w:fill="auto"/>
            <w:vAlign w:val="center"/>
          </w:tcPr>
          <w:p w14:paraId="40293DDB">
            <w:pPr>
              <w:rPr>
                <w:color w:val="auto"/>
                <w:sz w:val="18"/>
                <w:szCs w:val="8"/>
                <w:highlight w:val="none"/>
              </w:rPr>
            </w:pPr>
          </w:p>
        </w:tc>
      </w:tr>
      <w:tr w14:paraId="248C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80EDB93">
            <w:pPr>
              <w:rPr>
                <w:color w:val="auto"/>
                <w:sz w:val="18"/>
                <w:szCs w:val="8"/>
                <w:highlight w:val="none"/>
              </w:rPr>
            </w:pPr>
          </w:p>
        </w:tc>
        <w:tc>
          <w:tcPr>
            <w:tcW w:w="427" w:type="pct"/>
            <w:vMerge w:val="continue"/>
            <w:shd w:val="clear" w:color="auto" w:fill="auto"/>
            <w:vAlign w:val="center"/>
          </w:tcPr>
          <w:p w14:paraId="21D5DF96">
            <w:pPr>
              <w:rPr>
                <w:color w:val="auto"/>
                <w:sz w:val="18"/>
                <w:szCs w:val="8"/>
                <w:highlight w:val="none"/>
              </w:rPr>
            </w:pPr>
          </w:p>
        </w:tc>
        <w:tc>
          <w:tcPr>
            <w:tcW w:w="460" w:type="pct"/>
            <w:vMerge w:val="continue"/>
            <w:shd w:val="clear" w:color="auto" w:fill="auto"/>
            <w:vAlign w:val="center"/>
          </w:tcPr>
          <w:p w14:paraId="5FA7623E">
            <w:pPr>
              <w:rPr>
                <w:color w:val="auto"/>
                <w:sz w:val="18"/>
                <w:szCs w:val="8"/>
                <w:highlight w:val="none"/>
              </w:rPr>
            </w:pPr>
          </w:p>
        </w:tc>
        <w:tc>
          <w:tcPr>
            <w:tcW w:w="3541" w:type="pct"/>
            <w:gridSpan w:val="4"/>
            <w:shd w:val="clear" w:color="auto" w:fill="auto"/>
          </w:tcPr>
          <w:p w14:paraId="7D7EF5BD">
            <w:pPr>
              <w:rPr>
                <w:color w:val="auto"/>
                <w:sz w:val="18"/>
                <w:szCs w:val="8"/>
                <w:highlight w:val="none"/>
              </w:rPr>
            </w:pPr>
            <w:r>
              <w:rPr>
                <w:rFonts w:hint="eastAsia"/>
                <w:color w:val="auto"/>
                <w:sz w:val="18"/>
                <w:szCs w:val="8"/>
                <w:highlight w:val="none"/>
              </w:rPr>
              <w:t>9. 设置和管理两张地图的过渡点；</w:t>
            </w:r>
          </w:p>
        </w:tc>
        <w:tc>
          <w:tcPr>
            <w:tcW w:w="404" w:type="pct"/>
            <w:gridSpan w:val="2"/>
            <w:vMerge w:val="continue"/>
            <w:shd w:val="clear" w:color="auto" w:fill="auto"/>
            <w:vAlign w:val="center"/>
          </w:tcPr>
          <w:p w14:paraId="2C2162CC">
            <w:pPr>
              <w:rPr>
                <w:color w:val="auto"/>
                <w:sz w:val="18"/>
                <w:szCs w:val="8"/>
                <w:highlight w:val="none"/>
              </w:rPr>
            </w:pPr>
          </w:p>
        </w:tc>
      </w:tr>
      <w:tr w14:paraId="3AE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3EB4746">
            <w:pPr>
              <w:rPr>
                <w:color w:val="auto"/>
                <w:sz w:val="18"/>
                <w:szCs w:val="8"/>
                <w:highlight w:val="none"/>
              </w:rPr>
            </w:pPr>
          </w:p>
        </w:tc>
        <w:tc>
          <w:tcPr>
            <w:tcW w:w="427" w:type="pct"/>
            <w:vMerge w:val="continue"/>
            <w:shd w:val="clear" w:color="auto" w:fill="auto"/>
            <w:vAlign w:val="center"/>
          </w:tcPr>
          <w:p w14:paraId="75786A74">
            <w:pPr>
              <w:rPr>
                <w:color w:val="auto"/>
                <w:sz w:val="18"/>
                <w:szCs w:val="8"/>
                <w:highlight w:val="none"/>
              </w:rPr>
            </w:pPr>
          </w:p>
        </w:tc>
        <w:tc>
          <w:tcPr>
            <w:tcW w:w="460" w:type="pct"/>
            <w:vMerge w:val="restart"/>
            <w:shd w:val="clear" w:color="auto" w:fill="auto"/>
            <w:vAlign w:val="center"/>
          </w:tcPr>
          <w:p w14:paraId="19BD363E">
            <w:pPr>
              <w:rPr>
                <w:color w:val="auto"/>
                <w:sz w:val="18"/>
                <w:szCs w:val="8"/>
                <w:highlight w:val="none"/>
              </w:rPr>
            </w:pPr>
            <w:r>
              <w:rPr>
                <w:rFonts w:hint="eastAsia"/>
                <w:color w:val="auto"/>
                <w:sz w:val="18"/>
                <w:szCs w:val="8"/>
                <w:highlight w:val="none"/>
              </w:rPr>
              <w:t>6、运维数据监控模块</w:t>
            </w:r>
          </w:p>
        </w:tc>
        <w:tc>
          <w:tcPr>
            <w:tcW w:w="3541" w:type="pct"/>
            <w:gridSpan w:val="4"/>
            <w:shd w:val="clear" w:color="auto" w:fill="auto"/>
          </w:tcPr>
          <w:p w14:paraId="06DF0704">
            <w:pPr>
              <w:rPr>
                <w:color w:val="auto"/>
                <w:sz w:val="18"/>
                <w:szCs w:val="8"/>
                <w:highlight w:val="none"/>
              </w:rPr>
            </w:pPr>
            <w:r>
              <w:rPr>
                <w:rFonts w:hint="eastAsia"/>
                <w:color w:val="auto"/>
                <w:sz w:val="18"/>
                <w:szCs w:val="8"/>
                <w:highlight w:val="none"/>
              </w:rPr>
              <w:t>▲1. 以统计图表的形式显示移动机器人的使用率、故障率等；（提供原厂盖章功能截屏证明）</w:t>
            </w:r>
          </w:p>
        </w:tc>
        <w:tc>
          <w:tcPr>
            <w:tcW w:w="404" w:type="pct"/>
            <w:gridSpan w:val="2"/>
            <w:vMerge w:val="continue"/>
            <w:shd w:val="clear" w:color="auto" w:fill="auto"/>
            <w:vAlign w:val="center"/>
          </w:tcPr>
          <w:p w14:paraId="3FFC23E1">
            <w:pPr>
              <w:rPr>
                <w:color w:val="auto"/>
                <w:sz w:val="18"/>
                <w:szCs w:val="8"/>
                <w:highlight w:val="none"/>
              </w:rPr>
            </w:pPr>
          </w:p>
        </w:tc>
      </w:tr>
      <w:tr w14:paraId="3AA3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4EF82F7">
            <w:pPr>
              <w:rPr>
                <w:color w:val="auto"/>
                <w:sz w:val="18"/>
                <w:szCs w:val="8"/>
                <w:highlight w:val="none"/>
              </w:rPr>
            </w:pPr>
          </w:p>
        </w:tc>
        <w:tc>
          <w:tcPr>
            <w:tcW w:w="427" w:type="pct"/>
            <w:vMerge w:val="continue"/>
            <w:shd w:val="clear" w:color="auto" w:fill="auto"/>
            <w:vAlign w:val="center"/>
          </w:tcPr>
          <w:p w14:paraId="4B0DDF40">
            <w:pPr>
              <w:rPr>
                <w:color w:val="auto"/>
                <w:sz w:val="18"/>
                <w:szCs w:val="8"/>
                <w:highlight w:val="none"/>
              </w:rPr>
            </w:pPr>
          </w:p>
        </w:tc>
        <w:tc>
          <w:tcPr>
            <w:tcW w:w="460" w:type="pct"/>
            <w:vMerge w:val="continue"/>
            <w:shd w:val="clear" w:color="auto" w:fill="auto"/>
            <w:vAlign w:val="center"/>
          </w:tcPr>
          <w:p w14:paraId="044B0B66">
            <w:pPr>
              <w:rPr>
                <w:color w:val="auto"/>
                <w:sz w:val="18"/>
                <w:szCs w:val="8"/>
                <w:highlight w:val="none"/>
              </w:rPr>
            </w:pPr>
          </w:p>
        </w:tc>
        <w:tc>
          <w:tcPr>
            <w:tcW w:w="3541" w:type="pct"/>
            <w:gridSpan w:val="4"/>
            <w:shd w:val="clear" w:color="auto" w:fill="auto"/>
          </w:tcPr>
          <w:p w14:paraId="3578B281">
            <w:pPr>
              <w:rPr>
                <w:color w:val="auto"/>
                <w:sz w:val="18"/>
                <w:szCs w:val="8"/>
                <w:highlight w:val="none"/>
              </w:rPr>
            </w:pPr>
            <w:r>
              <w:rPr>
                <w:rFonts w:hint="eastAsia"/>
                <w:color w:val="auto"/>
                <w:sz w:val="18"/>
                <w:szCs w:val="8"/>
                <w:highlight w:val="none"/>
              </w:rPr>
              <w:t>2. 以统计图表的形式显示工单完成率；</w:t>
            </w:r>
          </w:p>
        </w:tc>
        <w:tc>
          <w:tcPr>
            <w:tcW w:w="404" w:type="pct"/>
            <w:gridSpan w:val="2"/>
            <w:vMerge w:val="continue"/>
            <w:shd w:val="clear" w:color="auto" w:fill="auto"/>
            <w:vAlign w:val="center"/>
          </w:tcPr>
          <w:p w14:paraId="7EFFE792">
            <w:pPr>
              <w:rPr>
                <w:color w:val="auto"/>
                <w:sz w:val="18"/>
                <w:szCs w:val="8"/>
                <w:highlight w:val="none"/>
              </w:rPr>
            </w:pPr>
          </w:p>
        </w:tc>
      </w:tr>
      <w:tr w14:paraId="48D1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26F259A">
            <w:pPr>
              <w:rPr>
                <w:color w:val="auto"/>
                <w:sz w:val="18"/>
                <w:szCs w:val="8"/>
                <w:highlight w:val="none"/>
              </w:rPr>
            </w:pPr>
          </w:p>
        </w:tc>
        <w:tc>
          <w:tcPr>
            <w:tcW w:w="427" w:type="pct"/>
            <w:vMerge w:val="continue"/>
            <w:shd w:val="clear" w:color="auto" w:fill="auto"/>
            <w:vAlign w:val="center"/>
          </w:tcPr>
          <w:p w14:paraId="0081B18E">
            <w:pPr>
              <w:rPr>
                <w:color w:val="auto"/>
                <w:sz w:val="18"/>
                <w:szCs w:val="8"/>
                <w:highlight w:val="none"/>
              </w:rPr>
            </w:pPr>
          </w:p>
        </w:tc>
        <w:tc>
          <w:tcPr>
            <w:tcW w:w="460" w:type="pct"/>
            <w:vMerge w:val="continue"/>
            <w:shd w:val="clear" w:color="auto" w:fill="auto"/>
            <w:vAlign w:val="center"/>
          </w:tcPr>
          <w:p w14:paraId="2C9D4051">
            <w:pPr>
              <w:rPr>
                <w:color w:val="auto"/>
                <w:sz w:val="18"/>
                <w:szCs w:val="8"/>
                <w:highlight w:val="none"/>
              </w:rPr>
            </w:pPr>
          </w:p>
        </w:tc>
        <w:tc>
          <w:tcPr>
            <w:tcW w:w="3541" w:type="pct"/>
            <w:gridSpan w:val="4"/>
            <w:shd w:val="clear" w:color="auto" w:fill="auto"/>
          </w:tcPr>
          <w:p w14:paraId="4E952463">
            <w:pPr>
              <w:rPr>
                <w:color w:val="auto"/>
                <w:sz w:val="18"/>
                <w:szCs w:val="8"/>
                <w:highlight w:val="none"/>
              </w:rPr>
            </w:pPr>
            <w:r>
              <w:rPr>
                <w:rFonts w:hint="eastAsia"/>
                <w:color w:val="auto"/>
                <w:sz w:val="18"/>
                <w:szCs w:val="8"/>
                <w:highlight w:val="none"/>
              </w:rPr>
              <w:t>3. 以统计表的形式汇总各个机器人的行驶时间和里程、任务数量等；</w:t>
            </w:r>
          </w:p>
        </w:tc>
        <w:tc>
          <w:tcPr>
            <w:tcW w:w="404" w:type="pct"/>
            <w:gridSpan w:val="2"/>
            <w:vMerge w:val="continue"/>
            <w:shd w:val="clear" w:color="auto" w:fill="auto"/>
            <w:vAlign w:val="center"/>
          </w:tcPr>
          <w:p w14:paraId="639BE6BA">
            <w:pPr>
              <w:rPr>
                <w:color w:val="auto"/>
                <w:sz w:val="18"/>
                <w:szCs w:val="8"/>
                <w:highlight w:val="none"/>
              </w:rPr>
            </w:pPr>
          </w:p>
        </w:tc>
      </w:tr>
      <w:tr w14:paraId="6E37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399BC56">
            <w:pPr>
              <w:rPr>
                <w:color w:val="auto"/>
                <w:sz w:val="18"/>
                <w:szCs w:val="8"/>
                <w:highlight w:val="none"/>
              </w:rPr>
            </w:pPr>
          </w:p>
        </w:tc>
        <w:tc>
          <w:tcPr>
            <w:tcW w:w="427" w:type="pct"/>
            <w:vMerge w:val="continue"/>
            <w:shd w:val="clear" w:color="auto" w:fill="auto"/>
            <w:vAlign w:val="center"/>
          </w:tcPr>
          <w:p w14:paraId="5942ACA4">
            <w:pPr>
              <w:rPr>
                <w:color w:val="auto"/>
                <w:sz w:val="18"/>
                <w:szCs w:val="8"/>
                <w:highlight w:val="none"/>
              </w:rPr>
            </w:pPr>
          </w:p>
        </w:tc>
        <w:tc>
          <w:tcPr>
            <w:tcW w:w="460" w:type="pct"/>
            <w:vMerge w:val="restart"/>
            <w:shd w:val="clear" w:color="auto" w:fill="auto"/>
            <w:vAlign w:val="center"/>
          </w:tcPr>
          <w:p w14:paraId="722ADAB3">
            <w:pPr>
              <w:rPr>
                <w:color w:val="auto"/>
                <w:sz w:val="18"/>
                <w:szCs w:val="8"/>
                <w:highlight w:val="none"/>
              </w:rPr>
            </w:pPr>
            <w:r>
              <w:rPr>
                <w:rFonts w:hint="eastAsia"/>
                <w:color w:val="auto"/>
                <w:sz w:val="18"/>
                <w:szCs w:val="8"/>
                <w:highlight w:val="none"/>
              </w:rPr>
              <w:t>7、日志模块</w:t>
            </w:r>
          </w:p>
        </w:tc>
        <w:tc>
          <w:tcPr>
            <w:tcW w:w="3541" w:type="pct"/>
            <w:gridSpan w:val="4"/>
            <w:shd w:val="clear" w:color="auto" w:fill="auto"/>
          </w:tcPr>
          <w:p w14:paraId="50D6F634">
            <w:pPr>
              <w:rPr>
                <w:color w:val="auto"/>
                <w:sz w:val="18"/>
                <w:szCs w:val="8"/>
                <w:highlight w:val="none"/>
              </w:rPr>
            </w:pPr>
            <w:r>
              <w:rPr>
                <w:rFonts w:hint="eastAsia"/>
                <w:color w:val="auto"/>
                <w:sz w:val="18"/>
                <w:szCs w:val="8"/>
                <w:highlight w:val="none"/>
              </w:rPr>
              <w:t>1. 查看系统操作日志，支持选择查看的时间范围；</w:t>
            </w:r>
          </w:p>
        </w:tc>
        <w:tc>
          <w:tcPr>
            <w:tcW w:w="404" w:type="pct"/>
            <w:gridSpan w:val="2"/>
            <w:vMerge w:val="continue"/>
            <w:shd w:val="clear" w:color="auto" w:fill="auto"/>
            <w:vAlign w:val="center"/>
          </w:tcPr>
          <w:p w14:paraId="63750973">
            <w:pPr>
              <w:rPr>
                <w:color w:val="auto"/>
                <w:sz w:val="18"/>
                <w:szCs w:val="8"/>
                <w:highlight w:val="none"/>
              </w:rPr>
            </w:pPr>
          </w:p>
        </w:tc>
      </w:tr>
      <w:tr w14:paraId="3B4B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0FBF7F1">
            <w:pPr>
              <w:rPr>
                <w:color w:val="auto"/>
                <w:sz w:val="18"/>
                <w:szCs w:val="8"/>
                <w:highlight w:val="none"/>
              </w:rPr>
            </w:pPr>
          </w:p>
        </w:tc>
        <w:tc>
          <w:tcPr>
            <w:tcW w:w="427" w:type="pct"/>
            <w:vMerge w:val="continue"/>
            <w:shd w:val="clear" w:color="auto" w:fill="auto"/>
            <w:vAlign w:val="center"/>
          </w:tcPr>
          <w:p w14:paraId="6008CDE5">
            <w:pPr>
              <w:rPr>
                <w:color w:val="auto"/>
                <w:sz w:val="18"/>
                <w:szCs w:val="8"/>
                <w:highlight w:val="none"/>
              </w:rPr>
            </w:pPr>
          </w:p>
        </w:tc>
        <w:tc>
          <w:tcPr>
            <w:tcW w:w="460" w:type="pct"/>
            <w:vMerge w:val="continue"/>
            <w:shd w:val="clear" w:color="auto" w:fill="auto"/>
            <w:vAlign w:val="center"/>
          </w:tcPr>
          <w:p w14:paraId="3D18174A">
            <w:pPr>
              <w:rPr>
                <w:color w:val="auto"/>
                <w:sz w:val="18"/>
                <w:szCs w:val="8"/>
                <w:highlight w:val="none"/>
              </w:rPr>
            </w:pPr>
          </w:p>
        </w:tc>
        <w:tc>
          <w:tcPr>
            <w:tcW w:w="3541" w:type="pct"/>
            <w:gridSpan w:val="4"/>
            <w:shd w:val="clear" w:color="auto" w:fill="auto"/>
          </w:tcPr>
          <w:p w14:paraId="193E6B8D">
            <w:pPr>
              <w:rPr>
                <w:color w:val="auto"/>
                <w:sz w:val="18"/>
                <w:szCs w:val="8"/>
                <w:highlight w:val="none"/>
              </w:rPr>
            </w:pPr>
            <w:r>
              <w:rPr>
                <w:rFonts w:hint="eastAsia"/>
                <w:color w:val="auto"/>
                <w:sz w:val="18"/>
                <w:szCs w:val="8"/>
                <w:highlight w:val="none"/>
              </w:rPr>
              <w:t>2. 查看系统、设备和任务的报错日志，支持选择查看的时间范围；</w:t>
            </w:r>
          </w:p>
        </w:tc>
        <w:tc>
          <w:tcPr>
            <w:tcW w:w="404" w:type="pct"/>
            <w:gridSpan w:val="2"/>
            <w:vMerge w:val="continue"/>
            <w:shd w:val="clear" w:color="auto" w:fill="auto"/>
            <w:vAlign w:val="center"/>
          </w:tcPr>
          <w:p w14:paraId="65A9BAC7">
            <w:pPr>
              <w:rPr>
                <w:color w:val="auto"/>
                <w:sz w:val="18"/>
                <w:szCs w:val="8"/>
                <w:highlight w:val="none"/>
              </w:rPr>
            </w:pPr>
          </w:p>
        </w:tc>
      </w:tr>
      <w:tr w14:paraId="6B3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B5475C9">
            <w:pPr>
              <w:rPr>
                <w:color w:val="auto"/>
                <w:sz w:val="18"/>
                <w:szCs w:val="8"/>
                <w:highlight w:val="none"/>
              </w:rPr>
            </w:pPr>
          </w:p>
        </w:tc>
        <w:tc>
          <w:tcPr>
            <w:tcW w:w="427" w:type="pct"/>
            <w:vMerge w:val="continue"/>
            <w:shd w:val="clear" w:color="auto" w:fill="auto"/>
            <w:vAlign w:val="center"/>
          </w:tcPr>
          <w:p w14:paraId="422F9648">
            <w:pPr>
              <w:rPr>
                <w:color w:val="auto"/>
                <w:sz w:val="18"/>
                <w:szCs w:val="8"/>
                <w:highlight w:val="none"/>
              </w:rPr>
            </w:pPr>
          </w:p>
        </w:tc>
        <w:tc>
          <w:tcPr>
            <w:tcW w:w="460" w:type="pct"/>
            <w:vMerge w:val="continue"/>
            <w:shd w:val="clear" w:color="auto" w:fill="auto"/>
            <w:vAlign w:val="center"/>
          </w:tcPr>
          <w:p w14:paraId="089BC6CD">
            <w:pPr>
              <w:rPr>
                <w:color w:val="auto"/>
                <w:sz w:val="18"/>
                <w:szCs w:val="8"/>
                <w:highlight w:val="none"/>
              </w:rPr>
            </w:pPr>
          </w:p>
        </w:tc>
        <w:tc>
          <w:tcPr>
            <w:tcW w:w="3541" w:type="pct"/>
            <w:gridSpan w:val="4"/>
            <w:shd w:val="clear" w:color="auto" w:fill="auto"/>
          </w:tcPr>
          <w:p w14:paraId="77238717">
            <w:pPr>
              <w:rPr>
                <w:color w:val="auto"/>
                <w:sz w:val="18"/>
                <w:szCs w:val="8"/>
                <w:highlight w:val="none"/>
              </w:rPr>
            </w:pPr>
            <w:r>
              <w:rPr>
                <w:rFonts w:hint="eastAsia"/>
                <w:color w:val="auto"/>
                <w:sz w:val="18"/>
                <w:szCs w:val="8"/>
                <w:highlight w:val="none"/>
              </w:rPr>
              <w:t>3. 查看已完成任务的任务日志，支持选择查看的时间范围；</w:t>
            </w:r>
          </w:p>
        </w:tc>
        <w:tc>
          <w:tcPr>
            <w:tcW w:w="404" w:type="pct"/>
            <w:gridSpan w:val="2"/>
            <w:vMerge w:val="continue"/>
            <w:shd w:val="clear" w:color="auto" w:fill="auto"/>
            <w:vAlign w:val="center"/>
          </w:tcPr>
          <w:p w14:paraId="144031FC">
            <w:pPr>
              <w:rPr>
                <w:color w:val="auto"/>
                <w:sz w:val="18"/>
                <w:szCs w:val="8"/>
                <w:highlight w:val="none"/>
              </w:rPr>
            </w:pPr>
          </w:p>
        </w:tc>
      </w:tr>
      <w:tr w14:paraId="6B5D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D91C7CA">
            <w:pPr>
              <w:rPr>
                <w:color w:val="auto"/>
                <w:sz w:val="18"/>
                <w:szCs w:val="8"/>
                <w:highlight w:val="none"/>
              </w:rPr>
            </w:pPr>
          </w:p>
        </w:tc>
        <w:tc>
          <w:tcPr>
            <w:tcW w:w="427" w:type="pct"/>
            <w:vMerge w:val="continue"/>
            <w:shd w:val="clear" w:color="auto" w:fill="auto"/>
            <w:vAlign w:val="center"/>
          </w:tcPr>
          <w:p w14:paraId="44267D89">
            <w:pPr>
              <w:rPr>
                <w:color w:val="auto"/>
                <w:sz w:val="18"/>
                <w:szCs w:val="8"/>
                <w:highlight w:val="none"/>
              </w:rPr>
            </w:pPr>
          </w:p>
        </w:tc>
        <w:tc>
          <w:tcPr>
            <w:tcW w:w="460" w:type="pct"/>
            <w:vMerge w:val="continue"/>
            <w:shd w:val="clear" w:color="auto" w:fill="auto"/>
            <w:vAlign w:val="center"/>
          </w:tcPr>
          <w:p w14:paraId="1C031D2F">
            <w:pPr>
              <w:rPr>
                <w:color w:val="auto"/>
                <w:sz w:val="18"/>
                <w:szCs w:val="8"/>
                <w:highlight w:val="none"/>
              </w:rPr>
            </w:pPr>
          </w:p>
        </w:tc>
        <w:tc>
          <w:tcPr>
            <w:tcW w:w="3541" w:type="pct"/>
            <w:gridSpan w:val="4"/>
            <w:shd w:val="clear" w:color="auto" w:fill="auto"/>
          </w:tcPr>
          <w:p w14:paraId="1C59C054">
            <w:pPr>
              <w:rPr>
                <w:color w:val="auto"/>
                <w:sz w:val="18"/>
                <w:szCs w:val="8"/>
                <w:highlight w:val="none"/>
              </w:rPr>
            </w:pPr>
            <w:r>
              <w:rPr>
                <w:rFonts w:hint="eastAsia"/>
                <w:color w:val="auto"/>
                <w:sz w:val="18"/>
                <w:szCs w:val="8"/>
                <w:highlight w:val="none"/>
              </w:rPr>
              <w:t>4. 将日志信息以文件方式导出到本地电脑；</w:t>
            </w:r>
          </w:p>
        </w:tc>
        <w:tc>
          <w:tcPr>
            <w:tcW w:w="404" w:type="pct"/>
            <w:gridSpan w:val="2"/>
            <w:vMerge w:val="continue"/>
            <w:shd w:val="clear" w:color="auto" w:fill="auto"/>
            <w:vAlign w:val="center"/>
          </w:tcPr>
          <w:p w14:paraId="25649D9B">
            <w:pPr>
              <w:rPr>
                <w:color w:val="auto"/>
                <w:sz w:val="18"/>
                <w:szCs w:val="8"/>
                <w:highlight w:val="none"/>
              </w:rPr>
            </w:pPr>
          </w:p>
        </w:tc>
      </w:tr>
      <w:tr w14:paraId="4DEB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F76CD47">
            <w:pPr>
              <w:rPr>
                <w:color w:val="auto"/>
                <w:sz w:val="18"/>
                <w:szCs w:val="8"/>
                <w:highlight w:val="none"/>
              </w:rPr>
            </w:pPr>
          </w:p>
        </w:tc>
        <w:tc>
          <w:tcPr>
            <w:tcW w:w="427" w:type="pct"/>
            <w:vMerge w:val="continue"/>
            <w:shd w:val="clear" w:color="auto" w:fill="auto"/>
            <w:vAlign w:val="center"/>
          </w:tcPr>
          <w:p w14:paraId="7787B5D4">
            <w:pPr>
              <w:rPr>
                <w:color w:val="auto"/>
                <w:sz w:val="18"/>
                <w:szCs w:val="8"/>
                <w:highlight w:val="none"/>
              </w:rPr>
            </w:pPr>
          </w:p>
        </w:tc>
        <w:tc>
          <w:tcPr>
            <w:tcW w:w="460" w:type="pct"/>
            <w:vMerge w:val="continue"/>
            <w:shd w:val="clear" w:color="auto" w:fill="auto"/>
            <w:vAlign w:val="center"/>
          </w:tcPr>
          <w:p w14:paraId="7352EF85">
            <w:pPr>
              <w:rPr>
                <w:color w:val="auto"/>
                <w:sz w:val="18"/>
                <w:szCs w:val="8"/>
                <w:highlight w:val="none"/>
              </w:rPr>
            </w:pPr>
          </w:p>
        </w:tc>
        <w:tc>
          <w:tcPr>
            <w:tcW w:w="3541" w:type="pct"/>
            <w:gridSpan w:val="4"/>
            <w:shd w:val="clear" w:color="auto" w:fill="auto"/>
          </w:tcPr>
          <w:p w14:paraId="47DD439F">
            <w:pPr>
              <w:rPr>
                <w:color w:val="auto"/>
                <w:sz w:val="18"/>
                <w:szCs w:val="8"/>
                <w:highlight w:val="none"/>
              </w:rPr>
            </w:pPr>
            <w:r>
              <w:rPr>
                <w:rFonts w:hint="eastAsia"/>
                <w:color w:val="auto"/>
                <w:sz w:val="18"/>
                <w:szCs w:val="8"/>
                <w:highlight w:val="none"/>
              </w:rPr>
              <w:t>5.权限设置：为每个用户分配各个模块的各种操作权限；</w:t>
            </w:r>
          </w:p>
        </w:tc>
        <w:tc>
          <w:tcPr>
            <w:tcW w:w="404" w:type="pct"/>
            <w:gridSpan w:val="2"/>
            <w:vMerge w:val="continue"/>
            <w:shd w:val="clear" w:color="auto" w:fill="auto"/>
            <w:vAlign w:val="center"/>
          </w:tcPr>
          <w:p w14:paraId="4DD20305">
            <w:pPr>
              <w:rPr>
                <w:color w:val="auto"/>
                <w:sz w:val="18"/>
                <w:szCs w:val="8"/>
                <w:highlight w:val="none"/>
              </w:rPr>
            </w:pPr>
          </w:p>
        </w:tc>
      </w:tr>
      <w:tr w14:paraId="094B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56" w:hRule="atLeast"/>
          <w:jc w:val="center"/>
        </w:trPr>
        <w:tc>
          <w:tcPr>
            <w:tcW w:w="157" w:type="pct"/>
            <w:vMerge w:val="restart"/>
            <w:shd w:val="clear" w:color="auto" w:fill="auto"/>
            <w:vAlign w:val="center"/>
          </w:tcPr>
          <w:p w14:paraId="161D2F8F">
            <w:pPr>
              <w:jc w:val="center"/>
              <w:rPr>
                <w:rFonts w:ascii="宋体" w:hAnsi="宋体" w:cs="宋体"/>
                <w:color w:val="auto"/>
                <w:sz w:val="18"/>
                <w:szCs w:val="10"/>
                <w:highlight w:val="none"/>
              </w:rPr>
            </w:pPr>
            <w:r>
              <w:rPr>
                <w:rFonts w:hint="eastAsia" w:ascii="宋体" w:hAnsi="宋体" w:cs="宋体"/>
                <w:color w:val="auto"/>
                <w:sz w:val="18"/>
                <w:szCs w:val="10"/>
                <w:highlight w:val="none"/>
              </w:rPr>
              <w:t>6</w:t>
            </w:r>
          </w:p>
        </w:tc>
        <w:tc>
          <w:tcPr>
            <w:tcW w:w="427" w:type="pct"/>
            <w:vMerge w:val="restart"/>
            <w:shd w:val="clear" w:color="auto" w:fill="auto"/>
            <w:vAlign w:val="center"/>
          </w:tcPr>
          <w:p w14:paraId="46E351F1">
            <w:pPr>
              <w:widowControl/>
              <w:jc w:val="center"/>
              <w:textAlignment w:val="center"/>
              <w:rPr>
                <w:rFonts w:ascii="宋体" w:hAnsi="宋体" w:cs="宋体"/>
                <w:color w:val="auto"/>
                <w:sz w:val="18"/>
                <w:szCs w:val="10"/>
                <w:highlight w:val="none"/>
              </w:rPr>
            </w:pPr>
            <w:r>
              <w:rPr>
                <w:rFonts w:hint="eastAsia" w:ascii="宋体" w:hAnsi="宋体" w:cs="宋体"/>
                <w:color w:val="auto"/>
                <w:kern w:val="0"/>
                <w:sz w:val="18"/>
                <w:szCs w:val="10"/>
                <w:highlight w:val="none"/>
                <w:lang w:bidi="ar"/>
              </w:rPr>
              <w:t>课程开发</w:t>
            </w:r>
          </w:p>
        </w:tc>
        <w:tc>
          <w:tcPr>
            <w:tcW w:w="4001" w:type="pct"/>
            <w:gridSpan w:val="5"/>
            <w:shd w:val="clear" w:color="auto" w:fill="auto"/>
            <w:vAlign w:val="center"/>
          </w:tcPr>
          <w:p w14:paraId="7A783DBB">
            <w:pPr>
              <w:rPr>
                <w:rFonts w:ascii="宋体" w:hAnsi="宋体" w:cs="宋体"/>
                <w:color w:val="auto"/>
                <w:sz w:val="18"/>
                <w:szCs w:val="10"/>
                <w:highlight w:val="none"/>
              </w:rPr>
            </w:pPr>
            <w:r>
              <w:rPr>
                <w:rFonts w:hint="eastAsia" w:ascii="宋体" w:hAnsi="宋体" w:cs="宋体"/>
                <w:color w:val="auto"/>
                <w:sz w:val="18"/>
                <w:szCs w:val="10"/>
                <w:highlight w:val="none"/>
              </w:rPr>
              <w:t>1.教材的开发</w:t>
            </w:r>
          </w:p>
        </w:tc>
        <w:tc>
          <w:tcPr>
            <w:tcW w:w="404" w:type="pct"/>
            <w:gridSpan w:val="2"/>
            <w:vMerge w:val="restart"/>
            <w:shd w:val="clear" w:color="auto" w:fill="auto"/>
            <w:vAlign w:val="center"/>
          </w:tcPr>
          <w:p w14:paraId="1182D2DB">
            <w:pPr>
              <w:jc w:val="center"/>
              <w:rPr>
                <w:rFonts w:ascii="宋体" w:hAnsi="宋体" w:cs="宋体"/>
                <w:color w:val="auto"/>
                <w:sz w:val="18"/>
                <w:szCs w:val="10"/>
                <w:highlight w:val="none"/>
              </w:rPr>
            </w:pPr>
            <w:r>
              <w:rPr>
                <w:rFonts w:hint="eastAsia" w:ascii="宋体" w:hAnsi="宋体" w:cs="宋体"/>
                <w:b/>
                <w:bCs/>
                <w:color w:val="auto"/>
                <w:sz w:val="18"/>
                <w:szCs w:val="10"/>
                <w:highlight w:val="none"/>
              </w:rPr>
              <w:t>1套</w:t>
            </w:r>
          </w:p>
        </w:tc>
      </w:tr>
      <w:tr w14:paraId="254B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6B92A4">
            <w:pPr>
              <w:rPr>
                <w:color w:val="auto"/>
                <w:sz w:val="18"/>
                <w:szCs w:val="8"/>
                <w:highlight w:val="none"/>
              </w:rPr>
            </w:pPr>
          </w:p>
        </w:tc>
        <w:tc>
          <w:tcPr>
            <w:tcW w:w="427" w:type="pct"/>
            <w:vMerge w:val="continue"/>
            <w:shd w:val="clear" w:color="auto" w:fill="auto"/>
            <w:vAlign w:val="center"/>
          </w:tcPr>
          <w:p w14:paraId="468CE1A1">
            <w:pPr>
              <w:rPr>
                <w:color w:val="auto"/>
                <w:sz w:val="18"/>
                <w:szCs w:val="8"/>
                <w:highlight w:val="none"/>
              </w:rPr>
            </w:pPr>
          </w:p>
        </w:tc>
        <w:tc>
          <w:tcPr>
            <w:tcW w:w="460" w:type="pct"/>
            <w:vMerge w:val="restart"/>
            <w:shd w:val="clear" w:color="auto" w:fill="auto"/>
            <w:vAlign w:val="center"/>
          </w:tcPr>
          <w:p w14:paraId="72253CF4">
            <w:pPr>
              <w:rPr>
                <w:color w:val="auto"/>
                <w:sz w:val="18"/>
                <w:szCs w:val="8"/>
                <w:highlight w:val="none"/>
              </w:rPr>
            </w:pPr>
            <w:r>
              <w:rPr>
                <w:rFonts w:hint="eastAsia"/>
                <w:color w:val="auto"/>
                <w:sz w:val="18"/>
                <w:szCs w:val="8"/>
                <w:highlight w:val="none"/>
              </w:rPr>
              <w:t>2.提供数字教学资源</w:t>
            </w:r>
          </w:p>
        </w:tc>
        <w:tc>
          <w:tcPr>
            <w:tcW w:w="3541" w:type="pct"/>
            <w:gridSpan w:val="4"/>
            <w:shd w:val="clear" w:color="auto" w:fill="auto"/>
          </w:tcPr>
          <w:p w14:paraId="7F3A611C">
            <w:pPr>
              <w:rPr>
                <w:color w:val="auto"/>
                <w:sz w:val="18"/>
                <w:szCs w:val="8"/>
                <w:highlight w:val="none"/>
              </w:rPr>
            </w:pPr>
            <w:r>
              <w:rPr>
                <w:rFonts w:hint="eastAsia"/>
                <w:color w:val="auto"/>
                <w:sz w:val="18"/>
                <w:szCs w:val="8"/>
                <w:highlight w:val="none"/>
              </w:rPr>
              <w:t>2.1 系统架构：平台采用B/S结构，不需要安装客户端，满足学生随时随地进行学习的需求，支持移动端访问;采用MVC三层架构进行开发，支持局域网和互联网使用；系统由java技术开发和Springboot + vue + redis + mysql框架组合方式进行开发及部署，能够适配兼容大部分网络环境及服务器环境;平台支持手机端扫码登录;跨平台运行，支持windows、Linux和Mac操作系统。</w:t>
            </w:r>
          </w:p>
        </w:tc>
        <w:tc>
          <w:tcPr>
            <w:tcW w:w="404" w:type="pct"/>
            <w:gridSpan w:val="2"/>
            <w:vMerge w:val="continue"/>
            <w:shd w:val="clear" w:color="auto" w:fill="auto"/>
            <w:vAlign w:val="center"/>
          </w:tcPr>
          <w:p w14:paraId="2AAC05AF">
            <w:pPr>
              <w:rPr>
                <w:color w:val="auto"/>
                <w:sz w:val="18"/>
                <w:szCs w:val="8"/>
                <w:highlight w:val="none"/>
              </w:rPr>
            </w:pPr>
          </w:p>
        </w:tc>
      </w:tr>
      <w:tr w14:paraId="471D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31" w:hRule="atLeast"/>
          <w:jc w:val="center"/>
        </w:trPr>
        <w:tc>
          <w:tcPr>
            <w:tcW w:w="157" w:type="pct"/>
            <w:vMerge w:val="continue"/>
            <w:shd w:val="clear" w:color="auto" w:fill="auto"/>
            <w:vAlign w:val="center"/>
          </w:tcPr>
          <w:p w14:paraId="6FE0EA74">
            <w:pPr>
              <w:rPr>
                <w:color w:val="auto"/>
                <w:sz w:val="18"/>
                <w:szCs w:val="8"/>
                <w:highlight w:val="none"/>
              </w:rPr>
            </w:pPr>
          </w:p>
        </w:tc>
        <w:tc>
          <w:tcPr>
            <w:tcW w:w="427" w:type="pct"/>
            <w:vMerge w:val="continue"/>
            <w:shd w:val="clear" w:color="auto" w:fill="auto"/>
            <w:vAlign w:val="center"/>
          </w:tcPr>
          <w:p w14:paraId="0BC284D2">
            <w:pPr>
              <w:rPr>
                <w:color w:val="auto"/>
                <w:sz w:val="18"/>
                <w:szCs w:val="8"/>
                <w:highlight w:val="none"/>
              </w:rPr>
            </w:pPr>
          </w:p>
        </w:tc>
        <w:tc>
          <w:tcPr>
            <w:tcW w:w="460" w:type="pct"/>
            <w:vMerge w:val="continue"/>
            <w:shd w:val="clear" w:color="auto" w:fill="auto"/>
            <w:vAlign w:val="center"/>
          </w:tcPr>
          <w:p w14:paraId="27899917">
            <w:pPr>
              <w:rPr>
                <w:color w:val="auto"/>
                <w:sz w:val="18"/>
                <w:szCs w:val="8"/>
                <w:highlight w:val="none"/>
              </w:rPr>
            </w:pPr>
          </w:p>
        </w:tc>
        <w:tc>
          <w:tcPr>
            <w:tcW w:w="3541" w:type="pct"/>
            <w:gridSpan w:val="4"/>
            <w:shd w:val="clear" w:color="auto" w:fill="auto"/>
          </w:tcPr>
          <w:p w14:paraId="70D37AB1">
            <w:pPr>
              <w:rPr>
                <w:color w:val="auto"/>
                <w:sz w:val="18"/>
                <w:szCs w:val="8"/>
                <w:highlight w:val="none"/>
              </w:rPr>
            </w:pPr>
            <w:r>
              <w:rPr>
                <w:rFonts w:hint="eastAsia"/>
                <w:color w:val="auto"/>
                <w:sz w:val="18"/>
                <w:szCs w:val="8"/>
                <w:highlight w:val="none"/>
              </w:rPr>
              <w:t>2.2 系统总体功能：集成项目教学资源库、基础知识资源库、考核测评和教学管理4大功能模块，系统支持自定义功能使用权限，可分别选择学生或者教师身份登录。</w:t>
            </w:r>
          </w:p>
        </w:tc>
        <w:tc>
          <w:tcPr>
            <w:tcW w:w="404" w:type="pct"/>
            <w:gridSpan w:val="2"/>
            <w:vMerge w:val="continue"/>
            <w:shd w:val="clear" w:color="auto" w:fill="auto"/>
            <w:vAlign w:val="center"/>
          </w:tcPr>
          <w:p w14:paraId="38BFAC8A">
            <w:pPr>
              <w:rPr>
                <w:color w:val="auto"/>
                <w:sz w:val="18"/>
                <w:szCs w:val="8"/>
                <w:highlight w:val="none"/>
              </w:rPr>
            </w:pPr>
          </w:p>
        </w:tc>
      </w:tr>
      <w:tr w14:paraId="373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2" w:hRule="atLeast"/>
          <w:jc w:val="center"/>
        </w:trPr>
        <w:tc>
          <w:tcPr>
            <w:tcW w:w="157" w:type="pct"/>
            <w:vMerge w:val="continue"/>
            <w:shd w:val="clear" w:color="auto" w:fill="auto"/>
            <w:vAlign w:val="center"/>
          </w:tcPr>
          <w:p w14:paraId="0F39E327">
            <w:pPr>
              <w:rPr>
                <w:color w:val="auto"/>
                <w:sz w:val="18"/>
                <w:szCs w:val="8"/>
                <w:highlight w:val="none"/>
              </w:rPr>
            </w:pPr>
          </w:p>
        </w:tc>
        <w:tc>
          <w:tcPr>
            <w:tcW w:w="427" w:type="pct"/>
            <w:vMerge w:val="continue"/>
            <w:shd w:val="clear" w:color="auto" w:fill="auto"/>
            <w:vAlign w:val="center"/>
          </w:tcPr>
          <w:p w14:paraId="6EEDCC5C">
            <w:pPr>
              <w:rPr>
                <w:color w:val="auto"/>
                <w:sz w:val="18"/>
                <w:szCs w:val="8"/>
                <w:highlight w:val="none"/>
              </w:rPr>
            </w:pPr>
          </w:p>
        </w:tc>
        <w:tc>
          <w:tcPr>
            <w:tcW w:w="460" w:type="pct"/>
            <w:vMerge w:val="continue"/>
            <w:shd w:val="clear" w:color="auto" w:fill="auto"/>
            <w:vAlign w:val="center"/>
          </w:tcPr>
          <w:p w14:paraId="2C548A7F">
            <w:pPr>
              <w:rPr>
                <w:color w:val="auto"/>
                <w:sz w:val="18"/>
                <w:szCs w:val="8"/>
                <w:highlight w:val="none"/>
              </w:rPr>
            </w:pPr>
          </w:p>
        </w:tc>
        <w:tc>
          <w:tcPr>
            <w:tcW w:w="1963" w:type="pct"/>
            <w:gridSpan w:val="3"/>
            <w:vMerge w:val="restart"/>
            <w:shd w:val="clear" w:color="auto" w:fill="auto"/>
          </w:tcPr>
          <w:p w14:paraId="1AEA30B2">
            <w:pPr>
              <w:rPr>
                <w:color w:val="auto"/>
                <w:sz w:val="18"/>
                <w:szCs w:val="8"/>
                <w:highlight w:val="none"/>
              </w:rPr>
            </w:pPr>
            <w:r>
              <w:rPr>
                <w:rFonts w:hint="eastAsia"/>
                <w:color w:val="auto"/>
                <w:sz w:val="18"/>
                <w:szCs w:val="8"/>
                <w:highlight w:val="none"/>
              </w:rPr>
              <w:t>▲2.3 项目教学资源库：系统包含不少于5套基于企业产品生产工艺流程的典型零件案例的数控多轴加工技术教学资源，所有综合案例零件产品应在工厂进行过批量的生产，工艺成熟、科学。教学案例需包含完整的数控多轴真实生产过程教学资源，包括多轴数控加工工艺、CAD/CAM软件应用，多轴数控机床刀轴的控制、了解多轴机床后处理、刀尖跟随功能介绍、五轴数控机床如何对刀分中、五轴机床定轴加工、五轴机床联动加工和基于真实产品生产流程的综合案例等可满足不少于200课时教学资源。教学资源详细要求如下：</w:t>
            </w:r>
          </w:p>
        </w:tc>
        <w:tc>
          <w:tcPr>
            <w:tcW w:w="1578" w:type="pct"/>
            <w:shd w:val="clear" w:color="auto" w:fill="auto"/>
          </w:tcPr>
          <w:p w14:paraId="2240CD83">
            <w:pPr>
              <w:rPr>
                <w:color w:val="auto"/>
                <w:sz w:val="18"/>
                <w:szCs w:val="8"/>
                <w:highlight w:val="none"/>
              </w:rPr>
            </w:pPr>
            <w:r>
              <w:rPr>
                <w:rFonts w:hint="eastAsia"/>
                <w:color w:val="auto"/>
                <w:sz w:val="18"/>
                <w:szCs w:val="8"/>
                <w:highlight w:val="none"/>
              </w:rPr>
              <w:t>A.数控加工典型案例一详细技术要求（不少于80课时）</w:t>
            </w:r>
          </w:p>
        </w:tc>
        <w:tc>
          <w:tcPr>
            <w:tcW w:w="404" w:type="pct"/>
            <w:gridSpan w:val="2"/>
            <w:vMerge w:val="continue"/>
            <w:shd w:val="clear" w:color="auto" w:fill="auto"/>
            <w:vAlign w:val="center"/>
          </w:tcPr>
          <w:p w14:paraId="008EA21A">
            <w:pPr>
              <w:rPr>
                <w:color w:val="auto"/>
                <w:sz w:val="18"/>
                <w:szCs w:val="8"/>
                <w:highlight w:val="none"/>
              </w:rPr>
            </w:pPr>
          </w:p>
        </w:tc>
      </w:tr>
      <w:tr w14:paraId="77D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84" w:hRule="atLeast"/>
          <w:jc w:val="center"/>
        </w:trPr>
        <w:tc>
          <w:tcPr>
            <w:tcW w:w="157" w:type="pct"/>
            <w:vMerge w:val="continue"/>
            <w:shd w:val="clear" w:color="auto" w:fill="auto"/>
            <w:vAlign w:val="center"/>
          </w:tcPr>
          <w:p w14:paraId="2B96B9EF">
            <w:pPr>
              <w:rPr>
                <w:color w:val="auto"/>
                <w:sz w:val="18"/>
                <w:szCs w:val="8"/>
                <w:highlight w:val="none"/>
              </w:rPr>
            </w:pPr>
          </w:p>
        </w:tc>
        <w:tc>
          <w:tcPr>
            <w:tcW w:w="427" w:type="pct"/>
            <w:vMerge w:val="continue"/>
            <w:shd w:val="clear" w:color="auto" w:fill="auto"/>
            <w:vAlign w:val="center"/>
          </w:tcPr>
          <w:p w14:paraId="0C1D0803">
            <w:pPr>
              <w:rPr>
                <w:color w:val="auto"/>
                <w:sz w:val="18"/>
                <w:szCs w:val="8"/>
                <w:highlight w:val="none"/>
              </w:rPr>
            </w:pPr>
          </w:p>
        </w:tc>
        <w:tc>
          <w:tcPr>
            <w:tcW w:w="460" w:type="pct"/>
            <w:vMerge w:val="continue"/>
            <w:shd w:val="clear" w:color="auto" w:fill="auto"/>
            <w:vAlign w:val="center"/>
          </w:tcPr>
          <w:p w14:paraId="48C27515">
            <w:pPr>
              <w:rPr>
                <w:color w:val="auto"/>
                <w:sz w:val="18"/>
                <w:szCs w:val="8"/>
                <w:highlight w:val="none"/>
              </w:rPr>
            </w:pPr>
          </w:p>
        </w:tc>
        <w:tc>
          <w:tcPr>
            <w:tcW w:w="1963" w:type="pct"/>
            <w:gridSpan w:val="3"/>
            <w:vMerge w:val="continue"/>
            <w:shd w:val="clear" w:color="auto" w:fill="auto"/>
          </w:tcPr>
          <w:p w14:paraId="43CDD457">
            <w:pPr>
              <w:rPr>
                <w:color w:val="auto"/>
                <w:sz w:val="18"/>
                <w:szCs w:val="8"/>
                <w:highlight w:val="none"/>
              </w:rPr>
            </w:pPr>
          </w:p>
        </w:tc>
        <w:tc>
          <w:tcPr>
            <w:tcW w:w="1578" w:type="pct"/>
            <w:shd w:val="clear" w:color="auto" w:fill="auto"/>
          </w:tcPr>
          <w:p w14:paraId="6F0AF9DF">
            <w:pPr>
              <w:rPr>
                <w:color w:val="auto"/>
                <w:sz w:val="18"/>
                <w:szCs w:val="8"/>
                <w:highlight w:val="none"/>
              </w:rPr>
            </w:pPr>
            <w:r>
              <w:rPr>
                <w:rFonts w:hint="eastAsia"/>
                <w:color w:val="auto"/>
                <w:sz w:val="18"/>
                <w:szCs w:val="8"/>
                <w:highlight w:val="none"/>
              </w:rPr>
              <w:t>B.数控加工典型案例详细技术要求（不少于72课时）</w:t>
            </w:r>
          </w:p>
        </w:tc>
        <w:tc>
          <w:tcPr>
            <w:tcW w:w="404" w:type="pct"/>
            <w:gridSpan w:val="2"/>
            <w:vMerge w:val="continue"/>
            <w:shd w:val="clear" w:color="auto" w:fill="auto"/>
            <w:vAlign w:val="center"/>
          </w:tcPr>
          <w:p w14:paraId="00BA2323">
            <w:pPr>
              <w:rPr>
                <w:color w:val="auto"/>
                <w:sz w:val="18"/>
                <w:szCs w:val="8"/>
                <w:highlight w:val="none"/>
              </w:rPr>
            </w:pPr>
          </w:p>
        </w:tc>
      </w:tr>
      <w:tr w14:paraId="541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63" w:hRule="atLeast"/>
          <w:jc w:val="center"/>
        </w:trPr>
        <w:tc>
          <w:tcPr>
            <w:tcW w:w="157" w:type="pct"/>
            <w:vMerge w:val="continue"/>
            <w:shd w:val="clear" w:color="auto" w:fill="auto"/>
            <w:vAlign w:val="center"/>
          </w:tcPr>
          <w:p w14:paraId="2F088A9F">
            <w:pPr>
              <w:rPr>
                <w:color w:val="auto"/>
                <w:sz w:val="18"/>
                <w:szCs w:val="8"/>
                <w:highlight w:val="none"/>
              </w:rPr>
            </w:pPr>
          </w:p>
        </w:tc>
        <w:tc>
          <w:tcPr>
            <w:tcW w:w="427" w:type="pct"/>
            <w:vMerge w:val="continue"/>
            <w:shd w:val="clear" w:color="auto" w:fill="auto"/>
            <w:vAlign w:val="center"/>
          </w:tcPr>
          <w:p w14:paraId="243044B4">
            <w:pPr>
              <w:rPr>
                <w:color w:val="auto"/>
                <w:sz w:val="18"/>
                <w:szCs w:val="8"/>
                <w:highlight w:val="none"/>
              </w:rPr>
            </w:pPr>
          </w:p>
        </w:tc>
        <w:tc>
          <w:tcPr>
            <w:tcW w:w="460" w:type="pct"/>
            <w:vMerge w:val="continue"/>
            <w:shd w:val="clear" w:color="auto" w:fill="auto"/>
            <w:vAlign w:val="center"/>
          </w:tcPr>
          <w:p w14:paraId="0619F3E7">
            <w:pPr>
              <w:rPr>
                <w:color w:val="auto"/>
                <w:sz w:val="18"/>
                <w:szCs w:val="8"/>
                <w:highlight w:val="none"/>
              </w:rPr>
            </w:pPr>
          </w:p>
        </w:tc>
        <w:tc>
          <w:tcPr>
            <w:tcW w:w="1963" w:type="pct"/>
            <w:gridSpan w:val="3"/>
            <w:vMerge w:val="continue"/>
            <w:shd w:val="clear" w:color="auto" w:fill="auto"/>
          </w:tcPr>
          <w:p w14:paraId="1C5F07C7">
            <w:pPr>
              <w:rPr>
                <w:color w:val="auto"/>
                <w:sz w:val="18"/>
                <w:szCs w:val="8"/>
                <w:highlight w:val="none"/>
              </w:rPr>
            </w:pPr>
          </w:p>
        </w:tc>
        <w:tc>
          <w:tcPr>
            <w:tcW w:w="1578" w:type="pct"/>
            <w:shd w:val="clear" w:color="auto" w:fill="auto"/>
          </w:tcPr>
          <w:p w14:paraId="6FF6036C">
            <w:pPr>
              <w:rPr>
                <w:color w:val="auto"/>
                <w:sz w:val="18"/>
                <w:szCs w:val="8"/>
                <w:highlight w:val="none"/>
              </w:rPr>
            </w:pPr>
            <w:r>
              <w:rPr>
                <w:rFonts w:hint="eastAsia"/>
                <w:color w:val="auto"/>
                <w:sz w:val="18"/>
                <w:szCs w:val="8"/>
                <w:highlight w:val="none"/>
              </w:rPr>
              <w:t>C.数控加工典型案例三详细技术要求（不少于58课时）</w:t>
            </w:r>
          </w:p>
        </w:tc>
        <w:tc>
          <w:tcPr>
            <w:tcW w:w="404" w:type="pct"/>
            <w:gridSpan w:val="2"/>
            <w:vMerge w:val="continue"/>
            <w:shd w:val="clear" w:color="auto" w:fill="auto"/>
            <w:vAlign w:val="center"/>
          </w:tcPr>
          <w:p w14:paraId="600C726E">
            <w:pPr>
              <w:rPr>
                <w:color w:val="auto"/>
                <w:sz w:val="18"/>
                <w:szCs w:val="8"/>
                <w:highlight w:val="none"/>
              </w:rPr>
            </w:pPr>
          </w:p>
        </w:tc>
      </w:tr>
      <w:tr w14:paraId="63C9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81" w:hRule="atLeast"/>
          <w:jc w:val="center"/>
        </w:trPr>
        <w:tc>
          <w:tcPr>
            <w:tcW w:w="157" w:type="pct"/>
            <w:vMerge w:val="continue"/>
            <w:shd w:val="clear" w:color="auto" w:fill="auto"/>
            <w:vAlign w:val="center"/>
          </w:tcPr>
          <w:p w14:paraId="5B3DCE35">
            <w:pPr>
              <w:rPr>
                <w:color w:val="auto"/>
                <w:sz w:val="18"/>
                <w:szCs w:val="8"/>
                <w:highlight w:val="none"/>
              </w:rPr>
            </w:pPr>
          </w:p>
        </w:tc>
        <w:tc>
          <w:tcPr>
            <w:tcW w:w="427" w:type="pct"/>
            <w:vMerge w:val="continue"/>
            <w:shd w:val="clear" w:color="auto" w:fill="auto"/>
            <w:vAlign w:val="center"/>
          </w:tcPr>
          <w:p w14:paraId="45DA1820">
            <w:pPr>
              <w:rPr>
                <w:color w:val="auto"/>
                <w:sz w:val="18"/>
                <w:szCs w:val="8"/>
                <w:highlight w:val="none"/>
              </w:rPr>
            </w:pPr>
          </w:p>
        </w:tc>
        <w:tc>
          <w:tcPr>
            <w:tcW w:w="460" w:type="pct"/>
            <w:vMerge w:val="continue"/>
            <w:shd w:val="clear" w:color="auto" w:fill="auto"/>
            <w:vAlign w:val="center"/>
          </w:tcPr>
          <w:p w14:paraId="04C06D28">
            <w:pPr>
              <w:rPr>
                <w:color w:val="auto"/>
                <w:sz w:val="18"/>
                <w:szCs w:val="8"/>
                <w:highlight w:val="none"/>
              </w:rPr>
            </w:pPr>
          </w:p>
        </w:tc>
        <w:tc>
          <w:tcPr>
            <w:tcW w:w="1963" w:type="pct"/>
            <w:gridSpan w:val="3"/>
            <w:vMerge w:val="continue"/>
            <w:shd w:val="clear" w:color="auto" w:fill="auto"/>
          </w:tcPr>
          <w:p w14:paraId="3F98D2D7">
            <w:pPr>
              <w:rPr>
                <w:color w:val="auto"/>
                <w:sz w:val="18"/>
                <w:szCs w:val="8"/>
                <w:highlight w:val="none"/>
              </w:rPr>
            </w:pPr>
          </w:p>
        </w:tc>
        <w:tc>
          <w:tcPr>
            <w:tcW w:w="1578" w:type="pct"/>
            <w:shd w:val="clear" w:color="auto" w:fill="auto"/>
          </w:tcPr>
          <w:p w14:paraId="168A38A9">
            <w:pPr>
              <w:rPr>
                <w:color w:val="auto"/>
                <w:sz w:val="18"/>
                <w:szCs w:val="8"/>
                <w:highlight w:val="none"/>
              </w:rPr>
            </w:pPr>
            <w:r>
              <w:rPr>
                <w:rFonts w:hint="eastAsia"/>
                <w:color w:val="auto"/>
                <w:sz w:val="18"/>
                <w:szCs w:val="8"/>
                <w:highlight w:val="none"/>
              </w:rPr>
              <w:t>D.数控加工典型案例四详细技术要求（不少于26课时）</w:t>
            </w:r>
          </w:p>
        </w:tc>
        <w:tc>
          <w:tcPr>
            <w:tcW w:w="404" w:type="pct"/>
            <w:gridSpan w:val="2"/>
            <w:vMerge w:val="continue"/>
            <w:shd w:val="clear" w:color="auto" w:fill="auto"/>
            <w:vAlign w:val="center"/>
          </w:tcPr>
          <w:p w14:paraId="0C11836C">
            <w:pPr>
              <w:rPr>
                <w:color w:val="auto"/>
                <w:sz w:val="18"/>
                <w:szCs w:val="8"/>
                <w:highlight w:val="none"/>
              </w:rPr>
            </w:pPr>
          </w:p>
        </w:tc>
      </w:tr>
      <w:tr w14:paraId="062C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DAF8B9D">
            <w:pPr>
              <w:rPr>
                <w:color w:val="auto"/>
                <w:sz w:val="18"/>
                <w:szCs w:val="8"/>
                <w:highlight w:val="none"/>
              </w:rPr>
            </w:pPr>
          </w:p>
        </w:tc>
        <w:tc>
          <w:tcPr>
            <w:tcW w:w="427" w:type="pct"/>
            <w:vMerge w:val="continue"/>
            <w:shd w:val="clear" w:color="auto" w:fill="auto"/>
            <w:vAlign w:val="center"/>
          </w:tcPr>
          <w:p w14:paraId="2FA90AFE">
            <w:pPr>
              <w:rPr>
                <w:color w:val="auto"/>
                <w:sz w:val="18"/>
                <w:szCs w:val="8"/>
                <w:highlight w:val="none"/>
              </w:rPr>
            </w:pPr>
          </w:p>
        </w:tc>
        <w:tc>
          <w:tcPr>
            <w:tcW w:w="460" w:type="pct"/>
            <w:vMerge w:val="continue"/>
            <w:shd w:val="clear" w:color="auto" w:fill="auto"/>
            <w:vAlign w:val="center"/>
          </w:tcPr>
          <w:p w14:paraId="0930445B">
            <w:pPr>
              <w:rPr>
                <w:color w:val="auto"/>
                <w:sz w:val="18"/>
                <w:szCs w:val="8"/>
                <w:highlight w:val="none"/>
              </w:rPr>
            </w:pPr>
          </w:p>
        </w:tc>
        <w:tc>
          <w:tcPr>
            <w:tcW w:w="1963" w:type="pct"/>
            <w:gridSpan w:val="3"/>
            <w:vMerge w:val="continue"/>
            <w:shd w:val="clear" w:color="auto" w:fill="auto"/>
          </w:tcPr>
          <w:p w14:paraId="55304C78">
            <w:pPr>
              <w:rPr>
                <w:color w:val="auto"/>
                <w:sz w:val="18"/>
                <w:szCs w:val="8"/>
                <w:highlight w:val="none"/>
              </w:rPr>
            </w:pPr>
          </w:p>
        </w:tc>
        <w:tc>
          <w:tcPr>
            <w:tcW w:w="1578" w:type="pct"/>
            <w:shd w:val="clear" w:color="auto" w:fill="auto"/>
          </w:tcPr>
          <w:p w14:paraId="5AE20051">
            <w:pPr>
              <w:rPr>
                <w:color w:val="auto"/>
                <w:sz w:val="18"/>
                <w:szCs w:val="8"/>
                <w:highlight w:val="none"/>
              </w:rPr>
            </w:pPr>
            <w:r>
              <w:rPr>
                <w:rFonts w:hint="eastAsia"/>
                <w:color w:val="auto"/>
                <w:sz w:val="18"/>
                <w:szCs w:val="8"/>
                <w:highlight w:val="none"/>
              </w:rPr>
              <w:t>E.数控加工典型案例五详细技术要求（72课时）</w:t>
            </w:r>
          </w:p>
        </w:tc>
        <w:tc>
          <w:tcPr>
            <w:tcW w:w="404" w:type="pct"/>
            <w:gridSpan w:val="2"/>
            <w:vMerge w:val="continue"/>
            <w:shd w:val="clear" w:color="auto" w:fill="auto"/>
            <w:vAlign w:val="center"/>
          </w:tcPr>
          <w:p w14:paraId="7BAC2235">
            <w:pPr>
              <w:rPr>
                <w:color w:val="auto"/>
                <w:sz w:val="18"/>
                <w:szCs w:val="8"/>
                <w:highlight w:val="none"/>
              </w:rPr>
            </w:pPr>
          </w:p>
        </w:tc>
      </w:tr>
      <w:tr w14:paraId="1228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0DD7D43">
            <w:pPr>
              <w:rPr>
                <w:color w:val="auto"/>
                <w:sz w:val="18"/>
                <w:szCs w:val="8"/>
                <w:highlight w:val="none"/>
              </w:rPr>
            </w:pPr>
          </w:p>
        </w:tc>
        <w:tc>
          <w:tcPr>
            <w:tcW w:w="427" w:type="pct"/>
            <w:vMerge w:val="continue"/>
            <w:shd w:val="clear" w:color="auto" w:fill="auto"/>
            <w:vAlign w:val="center"/>
          </w:tcPr>
          <w:p w14:paraId="5F76A6CF">
            <w:pPr>
              <w:rPr>
                <w:color w:val="auto"/>
                <w:sz w:val="18"/>
                <w:szCs w:val="8"/>
                <w:highlight w:val="none"/>
              </w:rPr>
            </w:pPr>
          </w:p>
        </w:tc>
        <w:tc>
          <w:tcPr>
            <w:tcW w:w="460" w:type="pct"/>
            <w:vMerge w:val="continue"/>
            <w:shd w:val="clear" w:color="auto" w:fill="auto"/>
            <w:vAlign w:val="center"/>
          </w:tcPr>
          <w:p w14:paraId="3006DF9A">
            <w:pPr>
              <w:rPr>
                <w:color w:val="auto"/>
                <w:sz w:val="18"/>
                <w:szCs w:val="8"/>
                <w:highlight w:val="none"/>
              </w:rPr>
            </w:pPr>
          </w:p>
        </w:tc>
        <w:tc>
          <w:tcPr>
            <w:tcW w:w="3541" w:type="pct"/>
            <w:gridSpan w:val="4"/>
            <w:shd w:val="clear" w:color="auto" w:fill="auto"/>
          </w:tcPr>
          <w:p w14:paraId="745C4833">
            <w:pPr>
              <w:rPr>
                <w:color w:val="auto"/>
                <w:sz w:val="18"/>
                <w:szCs w:val="8"/>
                <w:highlight w:val="none"/>
              </w:rPr>
            </w:pPr>
            <w:r>
              <w:rPr>
                <w:rFonts w:hint="eastAsia"/>
                <w:color w:val="auto"/>
                <w:sz w:val="18"/>
                <w:szCs w:val="8"/>
                <w:highlight w:val="none"/>
              </w:rPr>
              <w:t>▲2.4 教学课程展示形式：课程采用项目式和教学活动教学，每个教学项目或活动包含学习目标、知识理论并充分运用文字、图片、视频、仿真动画等多媒体手段以及工业级多轴仿真软件进行数控多轴加工工艺的安全仿真、NC程序优化和工艺清单制作，工业三坐标测量机进行品质监控，详细记录讲解生产工艺的每一个细节和现场师傅的每一操作步骤。</w:t>
            </w:r>
          </w:p>
        </w:tc>
        <w:tc>
          <w:tcPr>
            <w:tcW w:w="404" w:type="pct"/>
            <w:gridSpan w:val="2"/>
            <w:vMerge w:val="continue"/>
            <w:shd w:val="clear" w:color="auto" w:fill="auto"/>
            <w:vAlign w:val="center"/>
          </w:tcPr>
          <w:p w14:paraId="6A3CC7B9">
            <w:pPr>
              <w:rPr>
                <w:color w:val="auto"/>
                <w:sz w:val="18"/>
                <w:szCs w:val="8"/>
                <w:highlight w:val="none"/>
              </w:rPr>
            </w:pPr>
          </w:p>
        </w:tc>
      </w:tr>
      <w:tr w14:paraId="6A30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923B356">
            <w:pPr>
              <w:rPr>
                <w:color w:val="auto"/>
                <w:sz w:val="18"/>
                <w:szCs w:val="8"/>
                <w:highlight w:val="none"/>
              </w:rPr>
            </w:pPr>
          </w:p>
        </w:tc>
        <w:tc>
          <w:tcPr>
            <w:tcW w:w="427" w:type="pct"/>
            <w:vMerge w:val="continue"/>
            <w:shd w:val="clear" w:color="auto" w:fill="auto"/>
            <w:vAlign w:val="center"/>
          </w:tcPr>
          <w:p w14:paraId="113BC0E7">
            <w:pPr>
              <w:rPr>
                <w:color w:val="auto"/>
                <w:sz w:val="18"/>
                <w:szCs w:val="8"/>
                <w:highlight w:val="none"/>
              </w:rPr>
            </w:pPr>
          </w:p>
        </w:tc>
        <w:tc>
          <w:tcPr>
            <w:tcW w:w="460" w:type="pct"/>
            <w:vMerge w:val="continue"/>
            <w:shd w:val="clear" w:color="auto" w:fill="auto"/>
            <w:vAlign w:val="center"/>
          </w:tcPr>
          <w:p w14:paraId="0DFF9A2D">
            <w:pPr>
              <w:rPr>
                <w:color w:val="auto"/>
                <w:sz w:val="18"/>
                <w:szCs w:val="8"/>
                <w:highlight w:val="none"/>
              </w:rPr>
            </w:pPr>
          </w:p>
        </w:tc>
        <w:tc>
          <w:tcPr>
            <w:tcW w:w="3541" w:type="pct"/>
            <w:gridSpan w:val="4"/>
            <w:shd w:val="clear" w:color="auto" w:fill="auto"/>
          </w:tcPr>
          <w:p w14:paraId="51B1B319">
            <w:pPr>
              <w:rPr>
                <w:color w:val="auto"/>
                <w:sz w:val="18"/>
                <w:szCs w:val="8"/>
                <w:highlight w:val="none"/>
              </w:rPr>
            </w:pPr>
            <w:r>
              <w:rPr>
                <w:rFonts w:hint="eastAsia"/>
                <w:color w:val="auto"/>
                <w:sz w:val="18"/>
                <w:szCs w:val="8"/>
                <w:highlight w:val="none"/>
              </w:rPr>
              <w:t>2.5 教学管理：系统提供教师端进行学生分组、考勤、自动成绩统计与分析、自动耗材统计功能。</w:t>
            </w:r>
          </w:p>
        </w:tc>
        <w:tc>
          <w:tcPr>
            <w:tcW w:w="404" w:type="pct"/>
            <w:gridSpan w:val="2"/>
            <w:vMerge w:val="continue"/>
            <w:shd w:val="clear" w:color="auto" w:fill="auto"/>
            <w:vAlign w:val="center"/>
          </w:tcPr>
          <w:p w14:paraId="0045A14B">
            <w:pPr>
              <w:rPr>
                <w:color w:val="auto"/>
                <w:sz w:val="18"/>
                <w:szCs w:val="8"/>
                <w:highlight w:val="none"/>
              </w:rPr>
            </w:pPr>
          </w:p>
        </w:tc>
      </w:tr>
    </w:tbl>
    <w:p w14:paraId="167AD8FD">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5866346C">
      <w:pP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br w:type="page"/>
      </w:r>
    </w:p>
    <w:p w14:paraId="404BD6BA">
      <w:pPr>
        <w:keepNext w:val="0"/>
        <w:keepLines w:val="0"/>
        <w:widowControl/>
        <w:numPr>
          <w:ilvl w:val="0"/>
          <w:numId w:val="12"/>
        </w:numPr>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设备的安装调试、试运行和验收标准要求</w:t>
      </w:r>
    </w:p>
    <w:p w14:paraId="0966272B">
      <w:pPr>
        <w:keepNext w:val="0"/>
        <w:keepLines w:val="0"/>
        <w:widowControl/>
        <w:numPr>
          <w:ilvl w:val="0"/>
          <w:numId w:val="13"/>
        </w:numPr>
        <w:suppressLineNumbers w:val="0"/>
        <w:spacing w:line="36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本项目为交付设备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461B3D8B">
      <w:pPr>
        <w:keepNext w:val="0"/>
        <w:keepLines w:val="0"/>
        <w:widowControl/>
        <w:numPr>
          <w:ilvl w:val="0"/>
          <w:numId w:val="13"/>
        </w:numPr>
        <w:suppressLineNumbers w:val="0"/>
        <w:spacing w:line="36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标采购设备到达目的地，经安装、调试、技术培训后，中标供应商向业主提请设备验收。业主在接到投标人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099BEC6A">
      <w:pPr>
        <w:keepNext w:val="0"/>
        <w:keepLines w:val="0"/>
        <w:widowControl/>
        <w:numPr>
          <w:ilvl w:val="0"/>
          <w:numId w:val="13"/>
        </w:numPr>
        <w:suppressLineNumbers w:val="0"/>
        <w:spacing w:line="360" w:lineRule="auto"/>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供应商必须承诺：供应商提供的产品的技术参数、认证证书、检测报告、技术方案等证明材料必须真实，如招标人对证明材料有疑惑或者异议的，投标人需提供出具证明材料的机构进行真伪核实，如投标供应商提供虚假证明材料，可以直接作无效投标处理，预中标的或以中标的可以直接取消中标资格并向采购主管部门进行投诉（承诺函格式自拟，未提供将无法通过初步审查，即按无效投标处理）。</w:t>
      </w:r>
    </w:p>
    <w:p w14:paraId="3E40B426">
      <w:pPr>
        <w:keepNext w:val="0"/>
        <w:keepLines w:val="0"/>
        <w:widowControl/>
        <w:numPr>
          <w:ilvl w:val="0"/>
          <w:numId w:val="13"/>
        </w:numPr>
        <w:suppressLineNumbers w:val="0"/>
        <w:spacing w:line="36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所有产品经安装、调试、技术培训、验收合格后，双方在《海南省政府集中采购货物验收单》一式四份书面签字验收。</w:t>
      </w:r>
    </w:p>
    <w:p w14:paraId="33E69BBF">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技术资料投标人应保证所提交给招标人和招标代理机构的资料和数据是真实的，因提交的资料和数据不真实所引起的责任由投标人自行承担。</w:t>
      </w:r>
    </w:p>
    <w:p w14:paraId="102B870A">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工具投标人提供产品设备所带专用工具清单，并标明其种类、用途和生产厂，并在货物到货时同时提供给业主，此价格应包含在投标价中。</w:t>
      </w:r>
    </w:p>
    <w:p w14:paraId="4D64B181">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备件投标人可提供一个在正常情况使用下，保质期满后一年内可保证仪器设备正常使用的备件和材料清单，并标明其种类、生产厂、单价和总价，业主有权决定全部或有选择的购买。</w:t>
      </w:r>
    </w:p>
    <w:p w14:paraId="2BB8DB36">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易损件投标人可提供一个易损、易耗件清单，并标明用途、生产厂、常规使用寿命和单价。</w:t>
      </w:r>
    </w:p>
    <w:p w14:paraId="3BCED9FE">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质量保质期本项目的质保期最低为</w:t>
      </w:r>
      <w:r>
        <w:rPr>
          <w:rFonts w:hint="eastAsia" w:hAnsi="宋体" w:cs="宋体"/>
          <w:b/>
          <w:bCs/>
          <w:i w:val="0"/>
          <w:iCs w:val="0"/>
          <w:color w:val="auto"/>
          <w:kern w:val="0"/>
          <w:sz w:val="24"/>
          <w:szCs w:val="24"/>
          <w:highlight w:val="none"/>
          <w:u w:val="none"/>
          <w:lang w:val="en-US" w:eastAsia="zh-CN" w:bidi="ar"/>
        </w:rPr>
        <w:t>三</w:t>
      </w:r>
      <w:r>
        <w:rPr>
          <w:rFonts w:hint="eastAsia" w:ascii="宋体" w:hAnsi="宋体" w:eastAsia="宋体" w:cs="宋体"/>
          <w:b/>
          <w:bCs/>
          <w:i w:val="0"/>
          <w:iCs w:val="0"/>
          <w:color w:val="auto"/>
          <w:kern w:val="0"/>
          <w:sz w:val="24"/>
          <w:szCs w:val="24"/>
          <w:highlight w:val="none"/>
          <w:u w:val="none"/>
          <w:lang w:val="en-US" w:eastAsia="zh-CN" w:bidi="ar"/>
        </w:rPr>
        <w:t>年，质保期从整体验收合格之日起计算，免费上门服务。（采购清单中免费保修期有特殊要求的按照采购清单中的为准），若厂家有超过期限免费保修期的按厂家方案执行。供货时提供原厂售后服务承诺函原件））</w:t>
      </w:r>
    </w:p>
    <w:p w14:paraId="2C8B8DB2">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售后服务</w:t>
      </w:r>
    </w:p>
    <w:p w14:paraId="0ABC1302">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8.1 供货方中标后需在项目所在地具有相应的技术支持及售后服务网点，确保设备使用的用户能够得到及时优质的售后服务。</w:t>
      </w:r>
    </w:p>
    <w:p w14:paraId="369AC6DB">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8.2 在保质期以内，投标人在接到业主的维修通知后需及时响应，并派出有能力的维修人员赶到业主现场进行维修处理。</w:t>
      </w:r>
    </w:p>
    <w:p w14:paraId="1058867C">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8.3 在保质期满后，投标人应保证以合理的价格提供备件和保养服务，当发生故障时，投标人应按保质期内同样的要求进行维修处理，合理收取维修费。</w:t>
      </w:r>
    </w:p>
    <w:p w14:paraId="565D2A23">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项目转包除招标文件明确外，未经业主同意，中标供应商不得以任何方式转包或分包本项目。</w:t>
      </w:r>
    </w:p>
    <w:p w14:paraId="4746753A">
      <w:pPr>
        <w:keepNext w:val="0"/>
        <w:keepLines w:val="0"/>
        <w:widowControl/>
        <w:numPr>
          <w:ilvl w:val="0"/>
          <w:numId w:val="12"/>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签订合同中标供应商在收到《中标通知书》5个工作日内与业主签订合同。</w:t>
      </w:r>
    </w:p>
    <w:p w14:paraId="225A1F28">
      <w:pPr>
        <w:pStyle w:val="2"/>
        <w:pageBreakBefore/>
        <w:numPr>
          <w:ilvl w:val="0"/>
          <w:numId w:val="5"/>
        </w:numPr>
        <w:spacing w:before="0" w:after="0" w:line="276" w:lineRule="auto"/>
        <w:rPr>
          <w:rFonts w:hint="eastAsia" w:ascii="仿宋" w:hAnsi="仿宋" w:eastAsia="仿宋"/>
          <w:color w:val="auto"/>
          <w:sz w:val="44"/>
          <w:szCs w:val="44"/>
          <w:highlight w:val="none"/>
        </w:rPr>
      </w:pPr>
      <w:bookmarkStart w:id="58" w:name="_Toc3567"/>
      <w:r>
        <w:rPr>
          <w:rFonts w:hint="eastAsia" w:ascii="仿宋" w:hAnsi="仿宋" w:eastAsia="仿宋"/>
          <w:color w:val="auto"/>
          <w:sz w:val="44"/>
          <w:szCs w:val="44"/>
          <w:highlight w:val="none"/>
        </w:rPr>
        <w:t>评审办法和程序</w:t>
      </w:r>
      <w:bookmarkEnd w:id="53"/>
      <w:bookmarkEnd w:id="54"/>
      <w:bookmarkEnd w:id="58"/>
    </w:p>
    <w:p w14:paraId="4E6B9222">
      <w:pPr>
        <w:tabs>
          <w:tab w:val="left" w:pos="1050"/>
        </w:tabs>
        <w:spacing w:line="360" w:lineRule="auto"/>
        <w:outlineLvl w:val="1"/>
        <w:rPr>
          <w:rFonts w:hAnsi="宋体" w:cs="宋体"/>
          <w:b/>
          <w:color w:val="auto"/>
          <w:sz w:val="24"/>
          <w:highlight w:val="none"/>
        </w:rPr>
      </w:pPr>
      <w:bookmarkStart w:id="59" w:name="_Toc317237623"/>
      <w:bookmarkStart w:id="60" w:name="_Toc96930044"/>
      <w:bookmarkStart w:id="61" w:name="_Toc20637"/>
      <w:bookmarkStart w:id="62" w:name="_Toc98919462"/>
      <w:bookmarkStart w:id="63" w:name="_Toc101446509"/>
      <w:bookmarkStart w:id="64" w:name="_Toc96930129"/>
      <w:bookmarkStart w:id="65" w:name="_Toc18748"/>
      <w:bookmarkStart w:id="66" w:name="_Toc495679410"/>
      <w:r>
        <w:rPr>
          <w:rFonts w:hint="eastAsia" w:hAnsi="宋体" w:cs="宋体"/>
          <w:b/>
          <w:color w:val="auto"/>
          <w:sz w:val="24"/>
          <w:highlight w:val="none"/>
        </w:rPr>
        <w:t>一、总则</w:t>
      </w:r>
      <w:bookmarkEnd w:id="59"/>
      <w:bookmarkEnd w:id="60"/>
      <w:bookmarkEnd w:id="61"/>
      <w:bookmarkEnd w:id="62"/>
      <w:bookmarkEnd w:id="63"/>
      <w:bookmarkEnd w:id="64"/>
      <w:bookmarkEnd w:id="65"/>
    </w:p>
    <w:p w14:paraId="48DE8ED4">
      <w:pPr>
        <w:spacing w:line="360" w:lineRule="auto"/>
        <w:ind w:firstLine="480" w:firstLineChars="200"/>
        <w:rPr>
          <w:rFonts w:hAnsi="宋体" w:cs="宋体"/>
          <w:color w:val="auto"/>
          <w:sz w:val="24"/>
          <w:highlight w:val="none"/>
        </w:rPr>
      </w:pPr>
      <w:r>
        <w:rPr>
          <w:rFonts w:hint="eastAsia" w:hAnsi="宋体" w:cs="宋体"/>
          <w:color w:val="auto"/>
          <w:sz w:val="24"/>
          <w:highlight w:val="none"/>
        </w:rPr>
        <w:t>1、根据《中华人民共和国政府采购法》、《政府采购竞争性磋商采购方式管理暂行办法》等法律和规章，结合本采购项目特点制定本评审办法。</w:t>
      </w:r>
    </w:p>
    <w:p w14:paraId="4E7050A4">
      <w:pPr>
        <w:spacing w:line="360" w:lineRule="auto"/>
        <w:ind w:firstLine="480" w:firstLineChars="200"/>
        <w:rPr>
          <w:rFonts w:hAnsi="宋体" w:cs="宋体"/>
          <w:color w:val="auto"/>
          <w:sz w:val="24"/>
          <w:highlight w:val="none"/>
        </w:rPr>
      </w:pPr>
      <w:r>
        <w:rPr>
          <w:rFonts w:hint="eastAsia" w:hAnsi="宋体" w:cs="宋体"/>
          <w:color w:val="auto"/>
          <w:sz w:val="24"/>
          <w:highlight w:val="none"/>
        </w:rPr>
        <w:t>2、磋商工作由采购人、采购代理机构负责组织，评审由采购人、采购代理机构依法组建的磋商小组负责。磋商小组由采购人代表和有关技术、经济等方面的专家组成。</w:t>
      </w:r>
    </w:p>
    <w:p w14:paraId="3E38C074">
      <w:pPr>
        <w:spacing w:line="360" w:lineRule="auto"/>
        <w:ind w:firstLine="480" w:firstLineChars="200"/>
        <w:rPr>
          <w:rFonts w:hAnsi="宋体" w:cs="宋体"/>
          <w:color w:val="auto"/>
          <w:sz w:val="24"/>
          <w:highlight w:val="none"/>
        </w:rPr>
      </w:pPr>
      <w:r>
        <w:rPr>
          <w:rFonts w:hint="eastAsia" w:hAnsi="宋体" w:cs="宋体"/>
          <w:color w:val="auto"/>
          <w:sz w:val="24"/>
          <w:highlight w:val="none"/>
        </w:rPr>
        <w:t>3、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16D34950">
      <w:pPr>
        <w:spacing w:line="360" w:lineRule="auto"/>
        <w:ind w:firstLine="480" w:firstLineChars="200"/>
        <w:rPr>
          <w:rFonts w:hAnsi="宋体" w:cs="宋体"/>
          <w:color w:val="auto"/>
          <w:sz w:val="24"/>
          <w:highlight w:val="none"/>
        </w:rPr>
      </w:pPr>
      <w:r>
        <w:rPr>
          <w:rFonts w:hint="eastAsia" w:hAnsi="宋体" w:cs="宋体"/>
          <w:color w:val="auto"/>
          <w:sz w:val="24"/>
          <w:highlight w:val="none"/>
        </w:rPr>
        <w:t>4、评审过程严格保密。供应商对磋商小组的评审过程或合同授予决定施加影响的任何行为都可能导致其响应文件被拒绝。</w:t>
      </w:r>
    </w:p>
    <w:p w14:paraId="4169A293">
      <w:pPr>
        <w:spacing w:line="360" w:lineRule="auto"/>
        <w:ind w:firstLine="480" w:firstLineChars="200"/>
        <w:rPr>
          <w:rFonts w:hAnsi="宋体" w:cs="宋体"/>
          <w:color w:val="auto"/>
          <w:sz w:val="24"/>
          <w:highlight w:val="none"/>
        </w:rPr>
      </w:pPr>
      <w:r>
        <w:rPr>
          <w:rFonts w:hint="eastAsia" w:hAnsi="宋体" w:cs="宋体"/>
          <w:color w:val="auto"/>
          <w:sz w:val="24"/>
          <w:highlight w:val="none"/>
        </w:rPr>
        <w:t>5、磋商小组发现采购文件表述不明确或需要说明的事项，可提请采购人、采购代理机构书面解释说明。</w:t>
      </w:r>
    </w:p>
    <w:p w14:paraId="162453CF">
      <w:pPr>
        <w:spacing w:line="360" w:lineRule="auto"/>
        <w:ind w:firstLine="480" w:firstLineChars="200"/>
        <w:rPr>
          <w:rFonts w:hAnsi="宋体" w:cs="宋体"/>
          <w:color w:val="auto"/>
          <w:sz w:val="24"/>
          <w:highlight w:val="none"/>
        </w:rPr>
      </w:pPr>
      <w:r>
        <w:rPr>
          <w:rFonts w:hint="eastAsia" w:hAnsi="宋体" w:cs="宋体"/>
          <w:color w:val="auto"/>
          <w:sz w:val="24"/>
          <w:highlight w:val="none"/>
        </w:rPr>
        <w:t>6、磋商小组对响应文件的判定，只依据响应文件和磋商过程中认定的文件，不依据磋商后的任何外来证明。</w:t>
      </w:r>
      <w:bookmarkStart w:id="67" w:name="_Toc23709"/>
    </w:p>
    <w:bookmarkEnd w:id="67"/>
    <w:p w14:paraId="10172585">
      <w:pPr>
        <w:spacing w:line="360" w:lineRule="auto"/>
        <w:rPr>
          <w:rFonts w:hAnsi="宋体" w:cs="宋体"/>
          <w:b/>
          <w:color w:val="auto"/>
          <w:sz w:val="24"/>
          <w:highlight w:val="none"/>
        </w:rPr>
      </w:pPr>
      <w:r>
        <w:rPr>
          <w:rFonts w:hint="eastAsia" w:hAnsi="宋体" w:cs="宋体"/>
          <w:color w:val="auto"/>
          <w:sz w:val="24"/>
          <w:highlight w:val="none"/>
        </w:rPr>
        <w:t>二、</w:t>
      </w:r>
      <w:r>
        <w:rPr>
          <w:rFonts w:hint="eastAsia" w:hAnsi="宋体" w:cs="宋体"/>
          <w:b/>
          <w:color w:val="auto"/>
          <w:sz w:val="24"/>
          <w:highlight w:val="none"/>
        </w:rPr>
        <w:t>评审程序、评审方法和评审标准</w:t>
      </w:r>
    </w:p>
    <w:p w14:paraId="1774267F">
      <w:pPr>
        <w:spacing w:line="360" w:lineRule="auto"/>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rPr>
        <w:t>（一）、响应文件的有效性、完整性和响应程度审查</w:t>
      </w:r>
    </w:p>
    <w:p w14:paraId="64F205F8">
      <w:pPr>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初步评审分为资格审查和符合性审查，初步评审采用“一项否决”的原则，只有全部符合要求通过初步评审才能进入详细评审。</w:t>
      </w:r>
    </w:p>
    <w:p w14:paraId="390B0DA9">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1.1磋商小组根据“初步审查表”对供应商的磋商响应文件进行评审，只有对“初步评审表”（详见附件1）所列各项作出实质性响应的响应文件才能通过初步评审。对是否实质性响应磋商文件的要求有争议的响应内容，磋商小组将以记名方式表决，得票超过半数的供应商有资格进入下一阶段的评审，否则将被淘汰。</w:t>
      </w:r>
    </w:p>
    <w:p w14:paraId="174654A6">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1.2磋商小组将审查响应文件是否完整、有关资格证明文件是否齐全有效、是否提交磋商保证金（如有）、文件签署是否合格、响应文件有效期是否满足要求、响应文件的总体编排是否基本有序等。</w:t>
      </w:r>
    </w:p>
    <w:p w14:paraId="33A05ED9">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1.3在详细评审之前，磋商小组要审查每份响应文件是否实质上响应了磋商文件的要求。实质上响应的文件，应该是符合磋商文件全部条款、条件和规格的要求，没有重大偏离或保留的。所谓重大偏离或保留，是指实质上影响合同的供货（服务）范围、质量和性能；或者实质上与磋商采购文件不一致，而且限制了合同中采购人的权利或供应商的义务；纠正这些偏离或保留，将会对其他实质上的响应要求的供应商的竞争地位产生不公正的影响。磋商小组认定响应文件是否响应磋商采购文件的要求，只根据响应文件本身的内容，而不寻找外部的证据。</w:t>
      </w:r>
    </w:p>
    <w:p w14:paraId="4E20D22B">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5C4F45A4">
      <w:pPr>
        <w:shd w:val="clear" w:color="auto" w:fill="FFFFFF"/>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1.5有以下情况（包含但不限于）的将不能通过初步评审：</w:t>
      </w:r>
    </w:p>
    <w:p w14:paraId="3B480629">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（1）磋商响应方未能满足采购文件资格要求的； </w:t>
      </w:r>
    </w:p>
    <w:p w14:paraId="001B7D2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（2）磋商有效期不满足采购文件要求的；</w:t>
      </w:r>
    </w:p>
    <w:p w14:paraId="6488E41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（3）不符合采购文件规定的其它条件。</w:t>
      </w:r>
    </w:p>
    <w:p w14:paraId="319F937E">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1.6 根据财库〔2015〕124号《财政部关于政府采购竞争性磋商采购方式管理暂行办法有关问题的补充通知》政府购买服务项目（含政府和社会资本合作项目）在采购过程中符合要求的供应商（社会资本）只有2家的，竞争性磋商采购活动可以继续进行。</w:t>
      </w:r>
    </w:p>
    <w:p w14:paraId="7EB8B26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2021年04月06日中华人民共和国财政部国库司（政府采购管理办公室）在回复群众咨询留言称，《关于政府采购竞争性磋商采购方式管理暂行办法有关问题的补充通知》（财库〔2015〕124号）中“在采购过程中符合要求的供应商（社会资本）只有2家的，竞争性磋商采购活动可以继续进行”，是指磋商开始时符合资格条件的供应商有三家及以上，磋商过程中因供应商中途退出导致符合条件的供应商只有两家的情况下，采购活动可以继续进行。</w:t>
      </w:r>
    </w:p>
    <w:p w14:paraId="61975DD1">
      <w:pPr>
        <w:spacing w:line="360" w:lineRule="auto"/>
        <w:ind w:firstLine="241" w:firstLineChars="100"/>
        <w:rPr>
          <w:rFonts w:hAnsi="宋体" w:cs="宋体"/>
          <w:b/>
          <w:color w:val="auto"/>
          <w:sz w:val="24"/>
          <w:highlight w:val="none"/>
        </w:rPr>
      </w:pPr>
      <w:r>
        <w:rPr>
          <w:rFonts w:hint="eastAsia" w:hAnsi="宋体" w:cs="宋体"/>
          <w:b/>
          <w:color w:val="auto"/>
          <w:sz w:val="24"/>
          <w:highlight w:val="none"/>
        </w:rPr>
        <w:t>（二）、分别与单一供应商进行磋商</w:t>
      </w:r>
    </w:p>
    <w:p w14:paraId="7C7A4611">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2.1 磋商小组所有成员应当集中与单一供应商分别进行磋商，并给予所有参加磋商的供应商平等的磋商机会。</w:t>
      </w:r>
    </w:p>
    <w:p w14:paraId="0C94CB60">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2.2 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供应商为自然人的，应当由本人签字并附身份证明。</w:t>
      </w:r>
    </w:p>
    <w:p w14:paraId="2C815806">
      <w:pPr>
        <w:spacing w:line="360" w:lineRule="auto"/>
        <w:ind w:firstLine="241" w:firstLineChars="100"/>
        <w:rPr>
          <w:rFonts w:hAnsi="宋体" w:cs="宋体"/>
          <w:b/>
          <w:color w:val="auto"/>
          <w:sz w:val="24"/>
          <w:highlight w:val="none"/>
        </w:rPr>
      </w:pPr>
      <w:r>
        <w:rPr>
          <w:rFonts w:hint="eastAsia" w:hAnsi="宋体" w:cs="宋体"/>
          <w:b/>
          <w:color w:val="auto"/>
          <w:sz w:val="24"/>
          <w:highlight w:val="none"/>
        </w:rPr>
        <w:t>（三）、供应商提交最后报价</w:t>
      </w:r>
    </w:p>
    <w:p w14:paraId="0195F540">
      <w:pPr>
        <w:spacing w:line="360" w:lineRule="auto"/>
        <w:ind w:firstLine="480" w:firstLineChars="200"/>
        <w:rPr>
          <w:rFonts w:hAnsi="宋体" w:cs="宋体"/>
          <w:color w:val="auto"/>
          <w:sz w:val="24"/>
          <w:szCs w:val="24"/>
          <w:highlight w:val="none"/>
        </w:rPr>
      </w:pPr>
      <w:r>
        <w:rPr>
          <w:rFonts w:hint="eastAsia" w:hAnsi="宋体" w:cs="宋体"/>
          <w:bCs/>
          <w:color w:val="auto"/>
          <w:sz w:val="24"/>
          <w:highlight w:val="none"/>
        </w:rPr>
        <w:t>3.1</w:t>
      </w:r>
      <w:r>
        <w:rPr>
          <w:rFonts w:hint="eastAsia" w:hAnsi="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1DE92207">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3.2 已提交响应文件的供应商，在提交最后报价之前，可以根据磋商情况退出磋商。采购人、采购代理机构应当退还退出磋商的供应商的磋商保证金（如有）。</w:t>
      </w:r>
    </w:p>
    <w:p w14:paraId="684AEFCF">
      <w:p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3.3磋商小组认为磋商响应方的报价明显低于其他通过符合性审查磋商响应方的报价，有可能影响产品质量或者不能诚信履约的，将要求其在评审现场接到通知后规定时间内提供书面说明，必要时提交相关证明材料。磋商响应方不能证明其报价合理性的，磋商小组将其作为无效响应文件处理。磋商小组成员对需要共同认定的事项存在争议的，应当按照少数服从多数的原则作出结论。持不同意见的磋商小组成员应当在评审报告上签署不同意见及理由，否则视为同意评审报告。</w:t>
      </w:r>
    </w:p>
    <w:p w14:paraId="6B21B7CD">
      <w:pPr>
        <w:spacing w:line="360" w:lineRule="auto"/>
        <w:ind w:firstLine="480" w:firstLineChars="200"/>
        <w:rPr>
          <w:rFonts w:cs="宋体" w:asciiTheme="minorEastAsia" w:hAnsiTheme="minorEastAsia" w:eastAsiaTheme="minorEastAsia"/>
          <w:bCs/>
          <w:color w:val="auto"/>
          <w:sz w:val="24"/>
          <w:highlight w:val="none"/>
        </w:rPr>
      </w:pPr>
      <w:r>
        <w:rPr>
          <w:rFonts w:hint="eastAsia" w:hAnsi="宋体" w:cs="宋体"/>
          <w:color w:val="auto"/>
          <w:sz w:val="24"/>
          <w:szCs w:val="24"/>
          <w:highlight w:val="none"/>
        </w:rPr>
        <w:t>3.4磋商小组在初审中发现响应文件报价出现前后不一致的，除磋商文件另有规</w:t>
      </w:r>
      <w:r>
        <w:rPr>
          <w:rFonts w:hint="eastAsia" w:cs="宋体" w:asciiTheme="minorEastAsia" w:hAnsiTheme="minorEastAsia" w:eastAsiaTheme="minorEastAsia"/>
          <w:bCs/>
          <w:color w:val="auto"/>
          <w:sz w:val="24"/>
          <w:highlight w:val="none"/>
        </w:rPr>
        <w:t>定外，按照下列规定修正：</w:t>
      </w:r>
    </w:p>
    <w:p w14:paraId="0F2A4DD4">
      <w:pPr>
        <w:spacing w:line="44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（1）响应文件中报价一览表内容与响应文件中相应内容不一致的，以报价一览表为准；</w:t>
      </w:r>
    </w:p>
    <w:p w14:paraId="333616FE">
      <w:pPr>
        <w:spacing w:line="44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（2）大写金额和小写金额不一致的，以大写金额为准；</w:t>
      </w:r>
    </w:p>
    <w:p w14:paraId="72ECAD5A">
      <w:pPr>
        <w:spacing w:line="44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（3）单价金额小数点或者百分比有明显错位的，以报价一览表的总价为准，并修改单价；</w:t>
      </w:r>
    </w:p>
    <w:p w14:paraId="12D8C768">
      <w:pPr>
        <w:spacing w:line="44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（4）总价金额与按单价汇总金额不一致的，以单价金额计算结果为准；</w:t>
      </w:r>
    </w:p>
    <w:p w14:paraId="65C5303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（5）若供应商不同意以上修正，其响应文件将视为无效。</w:t>
      </w:r>
    </w:p>
    <w:p w14:paraId="0BB07BE5">
      <w:pPr>
        <w:spacing w:line="360" w:lineRule="auto"/>
        <w:ind w:firstLine="241" w:firstLineChars="100"/>
        <w:rPr>
          <w:rFonts w:hAnsi="宋体" w:cs="宋体"/>
          <w:b/>
          <w:color w:val="auto"/>
          <w:sz w:val="24"/>
          <w:highlight w:val="none"/>
        </w:rPr>
      </w:pPr>
      <w:r>
        <w:rPr>
          <w:rFonts w:hint="eastAsia" w:hAnsi="宋体" w:cs="宋体"/>
          <w:b/>
          <w:color w:val="auto"/>
          <w:sz w:val="24"/>
          <w:highlight w:val="none"/>
        </w:rPr>
        <w:t>（四）、综合评分（详见“评审标准和方法”）</w:t>
      </w:r>
    </w:p>
    <w:p w14:paraId="1547E9B5">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4.1 经磋商确定最终采购需求和提交最后报价的供应商后，由磋商小组采用综合评分法对提交最后报价的供应商的响应文件和最后报价进行综合评分。</w:t>
      </w:r>
    </w:p>
    <w:p w14:paraId="0405503B">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综合评分法，是指响应文件满足采购文件全部实质性要求且按评审因素的量化指标评审得分最高的供应商为成交候选供应商的评审方法。</w:t>
      </w:r>
    </w:p>
    <w:p w14:paraId="147F0B05">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4.2 综合评分法评审标准中的分值设置应当与评审因素的量化指标相对应。采购文件中没有规定的评审标准不得作为评审依据。</w:t>
      </w:r>
    </w:p>
    <w:p w14:paraId="74961F72">
      <w:pPr>
        <w:spacing w:line="360" w:lineRule="auto"/>
        <w:ind w:firstLine="480" w:firstLineChars="200"/>
        <w:rPr>
          <w:rFonts w:hAnsi="宋体" w:cs="宋体"/>
          <w:color w:val="auto"/>
          <w:sz w:val="24"/>
          <w:highlight w:val="none"/>
        </w:rPr>
      </w:pPr>
      <w:r>
        <w:rPr>
          <w:rFonts w:hint="eastAsia" w:hAnsi="宋体" w:cs="宋体"/>
          <w:bCs/>
          <w:color w:val="auto"/>
          <w:sz w:val="24"/>
          <w:highlight w:val="none"/>
        </w:rPr>
        <w:t>评审时，磋商小组各成员应当独立对每个有效响应的文件进行评价、打分，然后汇总每个供应商每项评分因素的得分。</w:t>
      </w:r>
      <w:r>
        <w:rPr>
          <w:rFonts w:hint="eastAsia" w:hAnsi="宋体" w:cs="宋体"/>
          <w:color w:val="auto"/>
          <w:sz w:val="24"/>
          <w:highlight w:val="none"/>
        </w:rPr>
        <w:t>评标过程中，不得去掉报价中的最高报价和最低报价。</w:t>
      </w:r>
    </w:p>
    <w:p w14:paraId="4E6367AE">
      <w:pPr>
        <w:spacing w:line="360" w:lineRule="auto"/>
        <w:ind w:firstLine="480" w:firstLineChars="200"/>
        <w:rPr>
          <w:rFonts w:hAnsi="宋体" w:cs="宋体"/>
          <w:bCs/>
          <w:color w:val="auto"/>
          <w:sz w:val="24"/>
          <w:szCs w:val="22"/>
          <w:highlight w:val="none"/>
        </w:rPr>
      </w:pPr>
      <w:r>
        <w:rPr>
          <w:rFonts w:hint="eastAsia" w:hAnsi="宋体" w:cs="宋体"/>
          <w:bCs/>
          <w:color w:val="auto"/>
          <w:sz w:val="24"/>
          <w:szCs w:val="22"/>
          <w:highlight w:val="none"/>
        </w:rPr>
        <w:t>4.3关于政策性优惠</w:t>
      </w:r>
    </w:p>
    <w:p w14:paraId="784A0D59">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4.3.1.根据财政部、工业和信息化部《政府采购促进中小企业发展管理办法》（财库〔2020〕46 号）以及财政部《关于进一步加大政府采购支持中小企业力度的通知》（财库〔2022〕19 号）的要求，政府关于强制采购节能产品、信息安全产品和优先采购环境标志产品的实施意见，以及根据《财政部、司法部关于政府采购支持监狱企业发展有关问题的通知》</w:t>
      </w:r>
      <w:r>
        <w:rPr>
          <w:rFonts w:hint="eastAsia" w:hAnsi="宋体" w:cs="宋体"/>
          <w:color w:val="auto"/>
          <w:sz w:val="24"/>
          <w:szCs w:val="24"/>
          <w:highlight w:val="none"/>
        </w:rPr>
        <w:t>（财库【2014】68 号）</w:t>
      </w:r>
      <w:r>
        <w:rPr>
          <w:rFonts w:hint="eastAsia" w:hAnsi="宋体" w:cs="宋体"/>
          <w:bCs/>
          <w:color w:val="auto"/>
          <w:sz w:val="24"/>
          <w:highlight w:val="none"/>
        </w:rPr>
        <w:t>和《财政部、民政部、中国残疾人联合会关于促进残疾人就业政府采购政策的通知》（财库〔2017〕141 号）的文件精神，政府采购项目的政策优惠条件及要求如下：</w:t>
      </w:r>
    </w:p>
    <w:p w14:paraId="4677B740">
      <w:pP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节能环保优先政策</w:t>
      </w:r>
    </w:p>
    <w:p w14:paraId="013DB261">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4.3.2 所投分包(如不分包则指本项目)的所有报价产品进入当期节能清单的，其评标价=磋商响应报价*（1-2%）；磋商响应方所投产品满足此规定的，必须提供声明函并提供相关证明文件。</w:t>
      </w:r>
    </w:p>
    <w:p w14:paraId="5CDB6985">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4.3.3 所投分包(如不分包则指本项目)的所有报价产品进入当期环保清单的，其评标价=磋商响应报价*（1-2%）；磋商响应方所投产品满足此规定的，必须提供声明函并提供相关证明文件。</w:t>
      </w:r>
    </w:p>
    <w:p w14:paraId="1DE90337">
      <w:pPr>
        <w:pStyle w:val="14"/>
        <w:spacing w:line="360" w:lineRule="auto"/>
        <w:rPr>
          <w:rFonts w:hAnsi="宋体" w:cs="宋体"/>
          <w:bCs/>
          <w:color w:val="auto"/>
          <w:highlight w:val="none"/>
        </w:rPr>
      </w:pPr>
      <w:r>
        <w:rPr>
          <w:rFonts w:hint="eastAsia" w:hAnsi="宋体" w:cs="宋体"/>
          <w:color w:val="auto"/>
          <w:highlight w:val="none"/>
        </w:rPr>
        <w:t>4.3.4 所投分包(如不分包则指本项目)的所有报价产品均为绿色产品的，均为绿色 产品的，其评审价=磋商响应报价*（1-4%）；超过一半产品为绿色产品的，其评审价=磋商响应报价 *（1-3%）；个别产品为绿</w:t>
      </w:r>
      <w:r>
        <w:rPr>
          <w:rFonts w:hint="eastAsia" w:hAnsi="宋体" w:cs="宋体"/>
          <w:bCs/>
          <w:color w:val="auto"/>
          <w:highlight w:val="none"/>
        </w:rPr>
        <w:t>色产品的，其评审价=磋商响应报价*（1-2%）。供应商所投产品满足此规定的，必须提供声明函并提供相关证明文件。</w:t>
      </w:r>
    </w:p>
    <w:p w14:paraId="67EE5E4D">
      <w:pPr>
        <w:spacing w:line="360" w:lineRule="auto"/>
        <w:ind w:firstLine="480" w:firstLineChars="200"/>
        <w:rPr>
          <w:rFonts w:hAnsi="宋体" w:cs="宋体"/>
          <w:bCs/>
          <w:color w:val="auto"/>
          <w:sz w:val="24"/>
          <w:highlight w:val="none"/>
        </w:rPr>
      </w:pPr>
      <w:r>
        <w:rPr>
          <w:rFonts w:hint="eastAsia" w:hAnsi="宋体" w:cs="宋体"/>
          <w:bCs/>
          <w:color w:val="auto"/>
          <w:sz w:val="24"/>
          <w:szCs w:val="24"/>
          <w:highlight w:val="none"/>
        </w:rPr>
        <w:t xml:space="preserve">4.3.5纳入财政部公布的《政府采购自主创新产品目录》的货物和服务： </w:t>
      </w:r>
    </w:p>
    <w:p w14:paraId="119D05AE">
      <w:pPr>
        <w:spacing w:line="360" w:lineRule="auto"/>
        <w:ind w:firstLine="480" w:firstLineChars="200"/>
        <w:rPr>
          <w:rFonts w:hAnsi="宋体" w:cs="宋体"/>
          <w:bCs/>
          <w:color w:val="auto"/>
          <w:sz w:val="24"/>
          <w:highlight w:val="none"/>
        </w:rPr>
      </w:pPr>
      <w:r>
        <w:rPr>
          <w:rFonts w:hint="eastAsia" w:hAnsi="宋体" w:cs="宋体"/>
          <w:bCs/>
          <w:color w:val="auto"/>
          <w:sz w:val="24"/>
          <w:szCs w:val="24"/>
          <w:highlight w:val="none"/>
        </w:rPr>
        <w:t xml:space="preserve">4.3.5.1 采用最低评标价法评标的项目，对自主创新产品在评审时对其投标价格给予5％的价格扣除。 </w:t>
      </w:r>
    </w:p>
    <w:p w14:paraId="49EC1F7D">
      <w:pPr>
        <w:spacing w:line="360" w:lineRule="auto"/>
        <w:ind w:firstLine="480" w:firstLineChars="200"/>
        <w:rPr>
          <w:rFonts w:hAnsi="宋体" w:cs="宋体"/>
          <w:bCs/>
          <w:color w:val="auto"/>
          <w:sz w:val="24"/>
          <w:highlight w:val="none"/>
        </w:rPr>
      </w:pPr>
      <w:r>
        <w:rPr>
          <w:rFonts w:hint="eastAsia" w:hAnsi="宋体" w:cs="宋体"/>
          <w:bCs/>
          <w:color w:val="auto"/>
          <w:sz w:val="24"/>
          <w:szCs w:val="24"/>
          <w:highlight w:val="none"/>
        </w:rPr>
        <w:t>4.3.5.2采用综合评分法评标的项目，对自主创新产品在价格评标项中，对自主创新产品给予价格评标总分值的 5％的加分。</w:t>
      </w:r>
    </w:p>
    <w:p w14:paraId="3CF4E2A5">
      <w:pP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中小企业扶持政策</w:t>
      </w:r>
    </w:p>
    <w:p w14:paraId="1229FF86">
      <w:pPr>
        <w:spacing w:line="360" w:lineRule="auto"/>
        <w:ind w:firstLine="480" w:firstLineChars="200"/>
        <w:rPr>
          <w:color w:val="auto"/>
          <w:highlight w:val="none"/>
        </w:rPr>
      </w:pPr>
      <w:r>
        <w:rPr>
          <w:rFonts w:hint="eastAsia" w:hAnsi="宋体" w:cs="宋体"/>
          <w:bCs/>
          <w:color w:val="auto"/>
          <w:sz w:val="24"/>
          <w:highlight w:val="none"/>
        </w:rPr>
        <w:t>4.3.6 供应商为小型和微型企业（含监狱企业和残疾人福利性单位）的情况：</w:t>
      </w:r>
    </w:p>
    <w:p w14:paraId="68FDA2F2">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4.3.6.1 中小企业的认定标准：</w:t>
      </w:r>
    </w:p>
    <w:p w14:paraId="59130F4E">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17058B8">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2）本规定所称中小企业划分标准，是指国务院有关部门根据企业从业人员、营业收入、资产总额等指标制定的中小企业划型标准（工信部联企业〔2011〕300 号）；</w:t>
      </w:r>
    </w:p>
    <w:p w14:paraId="7459AE8E">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3）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B391FAE">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4）小型、微型企业提供有中型企业制造的货物的，视同为中型企业；小型、微型、</w:t>
      </w:r>
    </w:p>
    <w:p w14:paraId="3DB85476">
      <w:pPr>
        <w:spacing w:line="360" w:lineRule="auto"/>
        <w:rPr>
          <w:rFonts w:hAnsi="宋体" w:cs="宋体"/>
          <w:bCs/>
          <w:color w:val="auto"/>
          <w:sz w:val="24"/>
          <w:highlight w:val="none"/>
        </w:rPr>
      </w:pPr>
      <w:r>
        <w:rPr>
          <w:rFonts w:hint="eastAsia" w:hAnsi="宋体" w:cs="宋体"/>
          <w:bCs/>
          <w:color w:val="auto"/>
          <w:sz w:val="24"/>
          <w:highlight w:val="none"/>
        </w:rPr>
        <w:t>中型企业提供有大型企业制造的货物的，视同为大型企业。</w:t>
      </w:r>
    </w:p>
    <w:p w14:paraId="79F51600">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4.3.6.2 具体评审价说明：</w:t>
      </w:r>
    </w:p>
    <w:p w14:paraId="14DC84EA">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1）供应商符合（财库〔2020〕46 号）规定的小微型企业报价给予 10%</w:t>
      </w:r>
      <w:r>
        <w:rPr>
          <w:rFonts w:hint="eastAsia" w:hAnsi="宋体" w:cs="宋体"/>
          <w:b/>
          <w:color w:val="auto"/>
          <w:sz w:val="24"/>
          <w:highlight w:val="none"/>
        </w:rPr>
        <w:t>（工程项目为3%）</w:t>
      </w:r>
      <w:r>
        <w:rPr>
          <w:rFonts w:hint="eastAsia" w:hAnsi="宋体" w:cs="宋体"/>
          <w:bCs/>
          <w:color w:val="auto"/>
          <w:sz w:val="24"/>
          <w:highlight w:val="none"/>
        </w:rPr>
        <w:t>扣除，用扣除后的价格参加评审。</w:t>
      </w:r>
    </w:p>
    <w:p w14:paraId="66EB374B">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适用招标投标法的政府采购工程建设项目，采用综合评估法但未采用低价优先法计算价格分的，评标时在采用原报价进行评分的基础上增加其价格得分的3%作为其价格分。</w:t>
      </w:r>
    </w:p>
    <w:p w14:paraId="1BC30A45">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30%以上的，对联合体或者大中型企业的报价给予4%（工程项目为1%）的扣除，用扣除后的价格参加评审。</w:t>
      </w:r>
    </w:p>
    <w:p w14:paraId="0627CFC2">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0C0B31A0">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4.3.6.3 供应商为工信部联企业〔2011〕300 号文规定的小型和微型企业（含联合体）的，必须如实填写“中小企业声明函”（内容、格式见“财库〔2020〕46 号”附 1），否则不得享受相关中小企业扶持政策。</w:t>
      </w:r>
    </w:p>
    <w:p w14:paraId="721B9A29">
      <w:pP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监狱企业</w:t>
      </w:r>
    </w:p>
    <w:p w14:paraId="7BD333DF">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4.3.7 监狱企业视同小型、微型企业，享受相同的价格扣除优惠政策；监狱企业属于小型、微型企业的，不重复享受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不得享受相关扶持政策。</w:t>
      </w:r>
    </w:p>
    <w:p w14:paraId="3591540B">
      <w:pP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残疾人福利性单位</w:t>
      </w:r>
    </w:p>
    <w:p w14:paraId="40C4E37F">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4.3.8 残疾人福利性单位视同小型、微型企业，享受相同的价格扣除优惠政策；残疾人福利性单位属于小型、微型企业的，不重复享受政策。残疾人福利性单位的具体标准及要求见“关于促进残疾人就业政府采购政策的通知（财库〔2017〕141 号）”。属于残疾人福利性单位的，磋商响应方需按照有关要求提供规定的《残疾人福利性单位声明函》（规定格式见“财库〔2017〕141 号”的附件），并对声明的真实性负责，否则不得享受相关扶持政策。</w:t>
      </w:r>
    </w:p>
    <w:p w14:paraId="4030CDF8">
      <w:pPr>
        <w:spacing w:line="360" w:lineRule="auto"/>
        <w:ind w:firstLine="482" w:firstLineChars="200"/>
        <w:rPr>
          <w:rFonts w:hAnsi="宋体"/>
          <w:b/>
          <w:color w:val="auto"/>
          <w:sz w:val="24"/>
          <w:szCs w:val="22"/>
          <w:highlight w:val="none"/>
        </w:rPr>
      </w:pPr>
      <w:r>
        <w:rPr>
          <w:rFonts w:hint="eastAsia" w:hAnsi="宋体"/>
          <w:b/>
          <w:color w:val="auto"/>
          <w:sz w:val="24"/>
          <w:highlight w:val="none"/>
        </w:rPr>
        <w:t>特别</w:t>
      </w:r>
      <w:r>
        <w:rPr>
          <w:rFonts w:hint="eastAsia" w:hAnsi="宋体"/>
          <w:b/>
          <w:color w:val="auto"/>
          <w:sz w:val="24"/>
          <w:szCs w:val="22"/>
          <w:highlight w:val="none"/>
        </w:rPr>
        <w:t>声明:1、对于未能按照要求填写及未能提供证明资料或提供资料不完整的视同未提供，不享受价格优惠。供应商满足价格优惠规定的，应按规定对供应商的评标价进行调整，中标人的中标金额仍以最终磋商报价金额签订合同。</w:t>
      </w:r>
    </w:p>
    <w:p w14:paraId="0F1FBCF5">
      <w:pPr>
        <w:spacing w:line="360" w:lineRule="auto"/>
        <w:ind w:firstLine="482" w:firstLineChars="200"/>
        <w:rPr>
          <w:rFonts w:hAnsi="宋体"/>
          <w:b/>
          <w:color w:val="auto"/>
          <w:sz w:val="24"/>
          <w:szCs w:val="22"/>
          <w:highlight w:val="none"/>
        </w:rPr>
      </w:pPr>
      <w:r>
        <w:rPr>
          <w:rFonts w:hint="eastAsia" w:hAnsi="宋体"/>
          <w:b/>
          <w:color w:val="auto"/>
          <w:sz w:val="24"/>
          <w:szCs w:val="22"/>
          <w:highlight w:val="none"/>
        </w:rPr>
        <w:t>2、如若专门面向中小企业采购的项目，则不再执行价格优惠政策。</w:t>
      </w:r>
    </w:p>
    <w:p w14:paraId="32FEEDF9">
      <w:pPr>
        <w:spacing w:line="360" w:lineRule="auto"/>
        <w:ind w:firstLine="482" w:firstLineChars="200"/>
        <w:rPr>
          <w:rFonts w:hAnsi="宋体"/>
          <w:b/>
          <w:color w:val="auto"/>
          <w:sz w:val="24"/>
          <w:szCs w:val="22"/>
          <w:highlight w:val="none"/>
        </w:rPr>
      </w:pPr>
      <w:r>
        <w:rPr>
          <w:rFonts w:hint="eastAsia" w:hAnsi="宋体"/>
          <w:b/>
          <w:color w:val="auto"/>
          <w:sz w:val="24"/>
          <w:szCs w:val="22"/>
          <w:highlight w:val="none"/>
        </w:rPr>
        <w:t>如有虚假骗取政策性优惠，将依法承担相应责任。</w:t>
      </w:r>
    </w:p>
    <w:p w14:paraId="74103C9B">
      <w:pPr>
        <w:spacing w:line="360" w:lineRule="auto"/>
        <w:ind w:firstLine="482" w:firstLineChars="200"/>
        <w:rPr>
          <w:rFonts w:hAnsi="宋体" w:cs="宋体"/>
          <w:b/>
          <w:color w:val="auto"/>
          <w:sz w:val="24"/>
          <w:highlight w:val="none"/>
        </w:rPr>
      </w:pPr>
      <w:r>
        <w:rPr>
          <w:rFonts w:hint="eastAsia" w:hAnsi="宋体" w:cs="宋体"/>
          <w:b/>
          <w:color w:val="auto"/>
          <w:sz w:val="24"/>
          <w:highlight w:val="none"/>
        </w:rPr>
        <w:t>（五）、推荐成交候选供应商</w:t>
      </w:r>
    </w:p>
    <w:p w14:paraId="647E9DFC">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5.1磋商小组根据综合评分情况，按照评审得分由高到低顺序推荐前3名的供应商为成交候选供应商，并编写评审报告。</w:t>
      </w:r>
    </w:p>
    <w:p w14:paraId="52181E9B">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5.2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4432933C">
      <w:pPr>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（六）、编写评审报告</w:t>
      </w:r>
    </w:p>
    <w:p w14:paraId="4314E6AC">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评审报告应当包括以下主要内容：</w:t>
      </w:r>
    </w:p>
    <w:p w14:paraId="1C50211F">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6.1邀请供应商参加采购活动的具体方式和相关情况；</w:t>
      </w:r>
    </w:p>
    <w:p w14:paraId="3E5C64BF">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6.2响应文件开启日期和地点；</w:t>
      </w:r>
    </w:p>
    <w:p w14:paraId="53630D59">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6.3获取采购文件的供应商名单和磋商小组成员名单；</w:t>
      </w:r>
    </w:p>
    <w:p w14:paraId="2CFFCA74">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6.4评审情况记录和说明，包括对供应商的资格审查情况、供应商响应文件评审情况、磋商情况、报价情况等；</w:t>
      </w:r>
    </w:p>
    <w:p w14:paraId="7BB60D59">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6.5提出的成交候选供应商的排序名单及理由。</w:t>
      </w:r>
    </w:p>
    <w:p w14:paraId="5566D5AC">
      <w:pPr>
        <w:spacing w:line="360" w:lineRule="auto"/>
        <w:ind w:firstLine="482" w:firstLineChars="200"/>
        <w:rPr>
          <w:rFonts w:hAnsi="宋体" w:cs="宋体"/>
          <w:b/>
          <w:color w:val="auto"/>
          <w:sz w:val="24"/>
          <w:highlight w:val="none"/>
        </w:rPr>
      </w:pPr>
      <w:r>
        <w:rPr>
          <w:rFonts w:hint="eastAsia" w:hAnsi="宋体" w:cs="宋体"/>
          <w:b/>
          <w:color w:val="auto"/>
          <w:sz w:val="24"/>
          <w:highlight w:val="none"/>
        </w:rPr>
        <w:t>（七）、终止采购</w:t>
      </w:r>
    </w:p>
    <w:p w14:paraId="1B1F62C5">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出现下列情形之一的，采购人或者采购代理机构应当终止竞争性磋商采购活动，发布项目终止公告并说明原因，重新开展采购活动：</w:t>
      </w:r>
    </w:p>
    <w:p w14:paraId="28415BA7">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7.1因情况变化，不再符合规定的竞争性磋商采购方式适用情形的；</w:t>
      </w:r>
    </w:p>
    <w:p w14:paraId="47F01B29">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7.2出现影响采购公正的违法、违规行为的；</w:t>
      </w:r>
    </w:p>
    <w:p w14:paraId="5DCF4DC2">
      <w:pPr>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7.3除《政府采购竞争性磋商采购方式管理暂行办法》第二十一条第三款规定的情形外，在采购过程中符合要求的供应商或者报价未超过采购预算的供应商不足3家的（符合《政府采购竞争性磋商采购方式管理暂行办法》第二十一条第三款及《财政部关于政府采购竞争性磋商采购方式管理暂行办法有关问题的补充通知》规定的情形，可以为2家）。</w:t>
      </w:r>
    </w:p>
    <w:p w14:paraId="26854AC3">
      <w:pPr>
        <w:spacing w:line="360" w:lineRule="auto"/>
        <w:ind w:firstLine="480" w:firstLineChars="200"/>
        <w:rPr>
          <w:rFonts w:ascii="Arial" w:hAnsi="Arial" w:eastAsia="黑体"/>
          <w:b/>
          <w:bCs/>
          <w:color w:val="auto"/>
          <w:sz w:val="36"/>
          <w:szCs w:val="36"/>
          <w:highlight w:val="none"/>
        </w:rPr>
      </w:pPr>
      <w:r>
        <w:rPr>
          <w:rFonts w:hint="eastAsia" w:hAnsi="宋体" w:cs="宋体"/>
          <w:bCs/>
          <w:color w:val="auto"/>
          <w:sz w:val="24"/>
          <w:highlight w:val="none"/>
        </w:rPr>
        <w:t>在采购活动中因重大变故，采购任务取消的，采购人或者采购代理机构应当终止采购活动，通知所有参加采购活动的供应商，并将项目实施情况和采购任务取消原因报送本级财政部门。</w:t>
      </w:r>
    </w:p>
    <w:bookmarkEnd w:id="66"/>
    <w:p w14:paraId="33A7EF17">
      <w:pPr>
        <w:widowControl/>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6C637911">
      <w:pPr>
        <w:pStyle w:val="3"/>
        <w:spacing w:before="0" w:after="0" w:line="700" w:lineRule="exact"/>
        <w:rPr>
          <w:rFonts w:asciiTheme="minorEastAsia" w:hAnsiTheme="minorEastAsia" w:eastAsiaTheme="minorEastAsia" w:cstheme="minorEastAsia"/>
          <w:bCs w:val="0"/>
          <w:color w:val="auto"/>
          <w:sz w:val="24"/>
          <w:szCs w:val="24"/>
          <w:highlight w:val="none"/>
        </w:rPr>
      </w:pPr>
      <w:bookmarkStart w:id="68" w:name="_Toc495679412"/>
      <w:r>
        <w:rPr>
          <w:rFonts w:hint="eastAsia" w:asciiTheme="minorEastAsia" w:hAnsiTheme="minorEastAsia" w:eastAsiaTheme="minorEastAsia" w:cstheme="minorEastAsia"/>
          <w:bCs w:val="0"/>
          <w:color w:val="auto"/>
          <w:sz w:val="24"/>
          <w:szCs w:val="24"/>
          <w:highlight w:val="none"/>
        </w:rPr>
        <w:t>附件1、初步评审表</w:t>
      </w:r>
      <w:bookmarkEnd w:id="68"/>
    </w:p>
    <w:p w14:paraId="0CC0C8D7">
      <w:pPr>
        <w:shd w:val="clear" w:color="auto" w:fill="FFFFFF"/>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GF智能制造创新实践基地（二期）</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HNZD-2024-028</w:t>
      </w:r>
    </w:p>
    <w:tbl>
      <w:tblPr>
        <w:tblStyle w:val="6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25"/>
        <w:gridCol w:w="4568"/>
        <w:gridCol w:w="636"/>
        <w:gridCol w:w="638"/>
        <w:gridCol w:w="638"/>
      </w:tblGrid>
      <w:tr w14:paraId="11B8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1" w:type="dxa"/>
            <w:vMerge w:val="restart"/>
            <w:tcBorders>
              <w:top w:val="single" w:color="auto" w:sz="4" w:space="0"/>
              <w:left w:val="single" w:color="auto" w:sz="4" w:space="0"/>
              <w:right w:val="single" w:color="auto" w:sz="4" w:space="0"/>
            </w:tcBorders>
            <w:vAlign w:val="center"/>
          </w:tcPr>
          <w:p w14:paraId="35651119">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025" w:type="dxa"/>
            <w:vMerge w:val="restart"/>
            <w:tcBorders>
              <w:top w:val="single" w:color="auto" w:sz="4" w:space="0"/>
              <w:left w:val="single" w:color="auto" w:sz="4" w:space="0"/>
              <w:right w:val="single" w:color="auto" w:sz="4" w:space="0"/>
            </w:tcBorders>
            <w:vAlign w:val="center"/>
          </w:tcPr>
          <w:p w14:paraId="0F5D6F34">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审查项目</w:t>
            </w:r>
          </w:p>
        </w:tc>
        <w:tc>
          <w:tcPr>
            <w:tcW w:w="4568" w:type="dxa"/>
            <w:vMerge w:val="restart"/>
            <w:tcBorders>
              <w:top w:val="single" w:color="auto" w:sz="4" w:space="0"/>
              <w:left w:val="single" w:color="auto" w:sz="4" w:space="0"/>
              <w:right w:val="single" w:color="auto" w:sz="4" w:space="0"/>
            </w:tcBorders>
            <w:vAlign w:val="center"/>
          </w:tcPr>
          <w:p w14:paraId="6D01D892">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评议内容（无效响应认定条件）</w:t>
            </w:r>
          </w:p>
        </w:tc>
        <w:tc>
          <w:tcPr>
            <w:tcW w:w="1912" w:type="dxa"/>
            <w:gridSpan w:val="3"/>
            <w:tcBorders>
              <w:top w:val="single" w:color="auto" w:sz="4" w:space="0"/>
              <w:left w:val="single" w:color="auto" w:sz="4" w:space="0"/>
              <w:bottom w:val="single" w:color="auto" w:sz="4" w:space="0"/>
              <w:right w:val="single" w:color="auto" w:sz="4" w:space="0"/>
            </w:tcBorders>
            <w:vAlign w:val="center"/>
          </w:tcPr>
          <w:p w14:paraId="095E8747">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供应商</w:t>
            </w:r>
          </w:p>
        </w:tc>
      </w:tr>
      <w:tr w14:paraId="01B3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vMerge w:val="continue"/>
            <w:tcBorders>
              <w:left w:val="single" w:color="auto" w:sz="4" w:space="0"/>
              <w:bottom w:val="single" w:color="auto" w:sz="4" w:space="0"/>
              <w:right w:val="single" w:color="auto" w:sz="4" w:space="0"/>
            </w:tcBorders>
            <w:vAlign w:val="center"/>
          </w:tcPr>
          <w:p w14:paraId="03A16DAE">
            <w:pPr>
              <w:spacing w:line="360" w:lineRule="auto"/>
              <w:jc w:val="center"/>
              <w:rPr>
                <w:rFonts w:asciiTheme="minorEastAsia" w:hAnsiTheme="minorEastAsia" w:eastAsiaTheme="minorEastAsia" w:cstheme="minorEastAsia"/>
                <w:b/>
                <w:color w:val="auto"/>
                <w:sz w:val="24"/>
                <w:szCs w:val="24"/>
                <w:highlight w:val="none"/>
              </w:rPr>
            </w:pPr>
          </w:p>
        </w:tc>
        <w:tc>
          <w:tcPr>
            <w:tcW w:w="2025" w:type="dxa"/>
            <w:vMerge w:val="continue"/>
            <w:tcBorders>
              <w:left w:val="single" w:color="auto" w:sz="4" w:space="0"/>
              <w:bottom w:val="single" w:color="auto" w:sz="4" w:space="0"/>
              <w:right w:val="single" w:color="auto" w:sz="4" w:space="0"/>
            </w:tcBorders>
            <w:vAlign w:val="center"/>
          </w:tcPr>
          <w:p w14:paraId="1C62FAD3">
            <w:pPr>
              <w:spacing w:line="360" w:lineRule="auto"/>
              <w:jc w:val="center"/>
              <w:rPr>
                <w:rFonts w:asciiTheme="minorEastAsia" w:hAnsiTheme="minorEastAsia" w:eastAsiaTheme="minorEastAsia" w:cstheme="minorEastAsia"/>
                <w:b/>
                <w:color w:val="auto"/>
                <w:sz w:val="24"/>
                <w:szCs w:val="24"/>
                <w:highlight w:val="none"/>
              </w:rPr>
            </w:pPr>
          </w:p>
        </w:tc>
        <w:tc>
          <w:tcPr>
            <w:tcW w:w="4568" w:type="dxa"/>
            <w:vMerge w:val="continue"/>
            <w:tcBorders>
              <w:left w:val="single" w:color="auto" w:sz="4" w:space="0"/>
              <w:bottom w:val="single" w:color="auto" w:sz="4" w:space="0"/>
              <w:right w:val="single" w:color="auto" w:sz="4" w:space="0"/>
            </w:tcBorders>
            <w:vAlign w:val="center"/>
          </w:tcPr>
          <w:p w14:paraId="4A204215">
            <w:pPr>
              <w:spacing w:line="360" w:lineRule="auto"/>
              <w:jc w:val="center"/>
              <w:rPr>
                <w:rFonts w:asciiTheme="minorEastAsia" w:hAnsiTheme="minorEastAsia" w:eastAsiaTheme="minorEastAsia" w:cstheme="minorEastAsia"/>
                <w:b/>
                <w:color w:val="auto"/>
                <w:sz w:val="24"/>
                <w:szCs w:val="24"/>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01F9976F">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638" w:type="dxa"/>
            <w:tcBorders>
              <w:top w:val="single" w:color="auto" w:sz="4" w:space="0"/>
              <w:left w:val="single" w:color="auto" w:sz="4" w:space="0"/>
              <w:bottom w:val="single" w:color="auto" w:sz="4" w:space="0"/>
              <w:right w:val="single" w:color="auto" w:sz="4" w:space="0"/>
            </w:tcBorders>
            <w:vAlign w:val="center"/>
          </w:tcPr>
          <w:p w14:paraId="73D9DDDF">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638" w:type="dxa"/>
            <w:tcBorders>
              <w:top w:val="single" w:color="auto" w:sz="4" w:space="0"/>
              <w:left w:val="single" w:color="auto" w:sz="4" w:space="0"/>
              <w:bottom w:val="single" w:color="auto" w:sz="4" w:space="0"/>
              <w:right w:val="single" w:color="auto" w:sz="4" w:space="0"/>
            </w:tcBorders>
            <w:vAlign w:val="center"/>
          </w:tcPr>
          <w:p w14:paraId="1B41E0E6">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r>
      <w:tr w14:paraId="3A2D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23F14B">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025" w:type="dxa"/>
            <w:tcBorders>
              <w:top w:val="single" w:color="auto" w:sz="4" w:space="0"/>
              <w:left w:val="single" w:color="auto" w:sz="4" w:space="0"/>
              <w:bottom w:val="single" w:color="auto" w:sz="4" w:space="0"/>
              <w:right w:val="single" w:color="auto" w:sz="4" w:space="0"/>
            </w:tcBorders>
            <w:vAlign w:val="center"/>
          </w:tcPr>
          <w:p w14:paraId="76DBD98A">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供应商的资格</w:t>
            </w:r>
          </w:p>
        </w:tc>
        <w:tc>
          <w:tcPr>
            <w:tcW w:w="4568" w:type="dxa"/>
            <w:tcBorders>
              <w:top w:val="single" w:color="auto" w:sz="4" w:space="0"/>
              <w:left w:val="single" w:color="auto" w:sz="4" w:space="0"/>
              <w:bottom w:val="single" w:color="auto" w:sz="4" w:space="0"/>
              <w:right w:val="single" w:color="auto" w:sz="4" w:space="0"/>
            </w:tcBorders>
            <w:vAlign w:val="center"/>
          </w:tcPr>
          <w:p w14:paraId="7B414DFA">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是否符合磋商公告中申请人的资格要求</w:t>
            </w:r>
          </w:p>
        </w:tc>
        <w:tc>
          <w:tcPr>
            <w:tcW w:w="636" w:type="dxa"/>
            <w:tcBorders>
              <w:top w:val="single" w:color="auto" w:sz="4" w:space="0"/>
              <w:left w:val="single" w:color="auto" w:sz="4" w:space="0"/>
              <w:bottom w:val="single" w:color="auto" w:sz="4" w:space="0"/>
              <w:right w:val="single" w:color="auto" w:sz="4" w:space="0"/>
            </w:tcBorders>
            <w:vAlign w:val="center"/>
          </w:tcPr>
          <w:p w14:paraId="681BD66A">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04CBDD0F">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6F9BCA87">
            <w:pPr>
              <w:spacing w:line="360" w:lineRule="auto"/>
              <w:jc w:val="center"/>
              <w:rPr>
                <w:rFonts w:asciiTheme="minorEastAsia" w:hAnsiTheme="minorEastAsia" w:eastAsiaTheme="minorEastAsia" w:cstheme="minorEastAsia"/>
                <w:color w:val="auto"/>
                <w:sz w:val="24"/>
                <w:szCs w:val="24"/>
                <w:highlight w:val="none"/>
              </w:rPr>
            </w:pPr>
          </w:p>
        </w:tc>
      </w:tr>
      <w:tr w14:paraId="090D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C2F5F8C">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025" w:type="dxa"/>
            <w:tcBorders>
              <w:top w:val="single" w:color="auto" w:sz="4" w:space="0"/>
              <w:left w:val="single" w:color="auto" w:sz="4" w:space="0"/>
              <w:bottom w:val="single" w:color="auto" w:sz="4" w:space="0"/>
              <w:right w:val="single" w:color="auto" w:sz="4" w:space="0"/>
            </w:tcBorders>
            <w:vAlign w:val="center"/>
          </w:tcPr>
          <w:p w14:paraId="5901D91B">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磋商响应文件的有效性</w:t>
            </w:r>
          </w:p>
        </w:tc>
        <w:tc>
          <w:tcPr>
            <w:tcW w:w="4568" w:type="dxa"/>
            <w:tcBorders>
              <w:top w:val="single" w:color="auto" w:sz="4" w:space="0"/>
              <w:left w:val="single" w:color="auto" w:sz="4" w:space="0"/>
              <w:bottom w:val="single" w:color="auto" w:sz="4" w:space="0"/>
              <w:right w:val="single" w:color="auto" w:sz="4" w:space="0"/>
            </w:tcBorders>
            <w:vAlign w:val="center"/>
          </w:tcPr>
          <w:p w14:paraId="5BE21B93">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磋商响应文件是否符合磋商文件要求</w:t>
            </w:r>
            <w:r>
              <w:rPr>
                <w:rFonts w:asciiTheme="minorEastAsia" w:hAnsiTheme="minorEastAsia" w:eastAsiaTheme="minorEastAsia" w:cstheme="minorEastAsia"/>
                <w:color w:val="auto"/>
                <w:sz w:val="24"/>
                <w:szCs w:val="24"/>
                <w:highlight w:val="none"/>
              </w:rPr>
              <w:t>签署</w:t>
            </w: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盖章且磋商响应文件有法定代理人签字，或签字人有法定代表人有效授权书</w:t>
            </w:r>
          </w:p>
        </w:tc>
        <w:tc>
          <w:tcPr>
            <w:tcW w:w="636" w:type="dxa"/>
            <w:tcBorders>
              <w:top w:val="single" w:color="auto" w:sz="4" w:space="0"/>
              <w:left w:val="single" w:color="auto" w:sz="4" w:space="0"/>
              <w:bottom w:val="single" w:color="auto" w:sz="4" w:space="0"/>
              <w:right w:val="single" w:color="auto" w:sz="4" w:space="0"/>
            </w:tcBorders>
            <w:vAlign w:val="center"/>
          </w:tcPr>
          <w:p w14:paraId="773D1320">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5A53F9F6">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6F0E1EAC">
            <w:pPr>
              <w:spacing w:line="360" w:lineRule="auto"/>
              <w:jc w:val="center"/>
              <w:rPr>
                <w:rFonts w:asciiTheme="minorEastAsia" w:hAnsiTheme="minorEastAsia" w:eastAsiaTheme="minorEastAsia" w:cstheme="minorEastAsia"/>
                <w:color w:val="auto"/>
                <w:sz w:val="24"/>
                <w:szCs w:val="24"/>
                <w:highlight w:val="none"/>
              </w:rPr>
            </w:pPr>
          </w:p>
        </w:tc>
      </w:tr>
      <w:tr w14:paraId="0CDA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F743CCE">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025" w:type="dxa"/>
            <w:tcBorders>
              <w:top w:val="single" w:color="auto" w:sz="4" w:space="0"/>
              <w:left w:val="single" w:color="auto" w:sz="4" w:space="0"/>
              <w:bottom w:val="single" w:color="auto" w:sz="4" w:space="0"/>
              <w:right w:val="single" w:color="auto" w:sz="4" w:space="0"/>
            </w:tcBorders>
            <w:vAlign w:val="center"/>
          </w:tcPr>
          <w:p w14:paraId="5473D6AB">
            <w:pPr>
              <w:spacing w:line="360" w:lineRule="auto"/>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投标报价</w:t>
            </w:r>
          </w:p>
        </w:tc>
        <w:tc>
          <w:tcPr>
            <w:tcW w:w="4568" w:type="dxa"/>
            <w:tcBorders>
              <w:top w:val="single" w:color="auto" w:sz="4" w:space="0"/>
              <w:left w:val="single" w:color="auto" w:sz="4" w:space="0"/>
              <w:bottom w:val="single" w:color="auto" w:sz="4" w:space="0"/>
              <w:right w:val="single" w:color="auto" w:sz="4" w:space="0"/>
            </w:tcBorders>
            <w:vAlign w:val="center"/>
          </w:tcPr>
          <w:p w14:paraId="7CC5CE48">
            <w:pPr>
              <w:spacing w:line="360" w:lineRule="auto"/>
              <w:jc w:val="left"/>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不超过</w:t>
            </w:r>
            <w:r>
              <w:rPr>
                <w:rFonts w:hint="eastAsia" w:hAnsi="宋体"/>
                <w:color w:val="auto"/>
                <w:sz w:val="24"/>
                <w:szCs w:val="24"/>
                <w:highlight w:val="none"/>
              </w:rPr>
              <w:t>最高</w:t>
            </w:r>
            <w:r>
              <w:rPr>
                <w:rFonts w:hAnsi="宋体"/>
                <w:color w:val="auto"/>
                <w:sz w:val="24"/>
                <w:szCs w:val="24"/>
                <w:highlight w:val="none"/>
              </w:rPr>
              <w:t>限价，且投标报价唯一</w:t>
            </w:r>
          </w:p>
        </w:tc>
        <w:tc>
          <w:tcPr>
            <w:tcW w:w="636" w:type="dxa"/>
            <w:tcBorders>
              <w:top w:val="single" w:color="auto" w:sz="4" w:space="0"/>
              <w:left w:val="single" w:color="auto" w:sz="4" w:space="0"/>
              <w:bottom w:val="single" w:color="auto" w:sz="4" w:space="0"/>
              <w:right w:val="single" w:color="auto" w:sz="4" w:space="0"/>
            </w:tcBorders>
            <w:vAlign w:val="center"/>
          </w:tcPr>
          <w:p w14:paraId="68479F11">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3E1192A8">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110C280B">
            <w:pPr>
              <w:spacing w:line="360" w:lineRule="auto"/>
              <w:jc w:val="center"/>
              <w:rPr>
                <w:rFonts w:asciiTheme="minorEastAsia" w:hAnsiTheme="minorEastAsia" w:eastAsiaTheme="minorEastAsia" w:cstheme="minorEastAsia"/>
                <w:color w:val="auto"/>
                <w:sz w:val="24"/>
                <w:szCs w:val="24"/>
                <w:highlight w:val="none"/>
              </w:rPr>
            </w:pPr>
          </w:p>
        </w:tc>
      </w:tr>
      <w:tr w14:paraId="2689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1FEB6C2">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025" w:type="dxa"/>
            <w:tcBorders>
              <w:top w:val="single" w:color="auto" w:sz="4" w:space="0"/>
              <w:left w:val="single" w:color="auto" w:sz="4" w:space="0"/>
              <w:bottom w:val="single" w:color="auto" w:sz="4" w:space="0"/>
              <w:right w:val="single" w:color="auto" w:sz="4" w:space="0"/>
            </w:tcBorders>
            <w:vAlign w:val="center"/>
          </w:tcPr>
          <w:p w14:paraId="5ACAFF0C">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响应有效期</w:t>
            </w:r>
          </w:p>
        </w:tc>
        <w:tc>
          <w:tcPr>
            <w:tcW w:w="4568" w:type="dxa"/>
            <w:tcBorders>
              <w:top w:val="single" w:color="auto" w:sz="4" w:space="0"/>
              <w:left w:val="single" w:color="auto" w:sz="4" w:space="0"/>
              <w:bottom w:val="single" w:color="auto" w:sz="4" w:space="0"/>
              <w:right w:val="single" w:color="auto" w:sz="4" w:space="0"/>
            </w:tcBorders>
            <w:vAlign w:val="center"/>
          </w:tcPr>
          <w:p w14:paraId="1571FF7D">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是否满足磋商文件要求</w:t>
            </w:r>
          </w:p>
        </w:tc>
        <w:tc>
          <w:tcPr>
            <w:tcW w:w="636" w:type="dxa"/>
            <w:tcBorders>
              <w:top w:val="single" w:color="auto" w:sz="4" w:space="0"/>
              <w:left w:val="single" w:color="auto" w:sz="4" w:space="0"/>
              <w:bottom w:val="single" w:color="auto" w:sz="4" w:space="0"/>
              <w:right w:val="single" w:color="auto" w:sz="4" w:space="0"/>
            </w:tcBorders>
            <w:vAlign w:val="center"/>
          </w:tcPr>
          <w:p w14:paraId="344862C6">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4BA8518E">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5B4FD406">
            <w:pPr>
              <w:spacing w:line="360" w:lineRule="auto"/>
              <w:jc w:val="center"/>
              <w:rPr>
                <w:rFonts w:asciiTheme="minorEastAsia" w:hAnsiTheme="minorEastAsia" w:eastAsiaTheme="minorEastAsia" w:cstheme="minorEastAsia"/>
                <w:color w:val="auto"/>
                <w:sz w:val="24"/>
                <w:szCs w:val="24"/>
                <w:highlight w:val="none"/>
              </w:rPr>
            </w:pPr>
          </w:p>
        </w:tc>
      </w:tr>
      <w:tr w14:paraId="03AF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892845A">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025" w:type="dxa"/>
            <w:tcBorders>
              <w:top w:val="single" w:color="auto" w:sz="4" w:space="0"/>
              <w:left w:val="single" w:color="auto" w:sz="4" w:space="0"/>
              <w:bottom w:val="single" w:color="auto" w:sz="4" w:space="0"/>
              <w:right w:val="single" w:color="auto" w:sz="4" w:space="0"/>
            </w:tcBorders>
            <w:vAlign w:val="center"/>
          </w:tcPr>
          <w:p w14:paraId="44EC25B6">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计划工期</w:t>
            </w:r>
          </w:p>
        </w:tc>
        <w:tc>
          <w:tcPr>
            <w:tcW w:w="4568" w:type="dxa"/>
            <w:tcBorders>
              <w:top w:val="single" w:color="auto" w:sz="4" w:space="0"/>
              <w:left w:val="single" w:color="auto" w:sz="4" w:space="0"/>
              <w:bottom w:val="single" w:color="auto" w:sz="4" w:space="0"/>
              <w:right w:val="single" w:color="auto" w:sz="4" w:space="0"/>
            </w:tcBorders>
            <w:vAlign w:val="center"/>
          </w:tcPr>
          <w:p w14:paraId="1118624B">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是否符合磋商文件要求</w:t>
            </w:r>
          </w:p>
        </w:tc>
        <w:tc>
          <w:tcPr>
            <w:tcW w:w="636" w:type="dxa"/>
            <w:tcBorders>
              <w:top w:val="single" w:color="auto" w:sz="4" w:space="0"/>
              <w:left w:val="single" w:color="auto" w:sz="4" w:space="0"/>
              <w:bottom w:val="single" w:color="auto" w:sz="4" w:space="0"/>
              <w:right w:val="single" w:color="auto" w:sz="4" w:space="0"/>
            </w:tcBorders>
            <w:vAlign w:val="center"/>
          </w:tcPr>
          <w:p w14:paraId="29899759">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6A321E68">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589C7207">
            <w:pPr>
              <w:spacing w:line="360" w:lineRule="auto"/>
              <w:jc w:val="center"/>
              <w:rPr>
                <w:rFonts w:asciiTheme="minorEastAsia" w:hAnsiTheme="minorEastAsia" w:eastAsiaTheme="minorEastAsia" w:cstheme="minorEastAsia"/>
                <w:color w:val="auto"/>
                <w:sz w:val="24"/>
                <w:szCs w:val="24"/>
                <w:highlight w:val="none"/>
              </w:rPr>
            </w:pPr>
          </w:p>
        </w:tc>
      </w:tr>
      <w:tr w14:paraId="6FB6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6EC3336">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025" w:type="dxa"/>
            <w:tcBorders>
              <w:top w:val="single" w:color="auto" w:sz="4" w:space="0"/>
              <w:left w:val="single" w:color="auto" w:sz="4" w:space="0"/>
              <w:bottom w:val="single" w:color="auto" w:sz="4" w:space="0"/>
              <w:right w:val="single" w:color="auto" w:sz="4" w:space="0"/>
            </w:tcBorders>
            <w:vAlign w:val="center"/>
          </w:tcPr>
          <w:p w14:paraId="314152FF">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设备雷同性检查</w:t>
            </w:r>
          </w:p>
        </w:tc>
        <w:tc>
          <w:tcPr>
            <w:tcW w:w="4568" w:type="dxa"/>
            <w:tcBorders>
              <w:top w:val="single" w:color="auto" w:sz="4" w:space="0"/>
              <w:left w:val="single" w:color="auto" w:sz="4" w:space="0"/>
              <w:bottom w:val="single" w:color="auto" w:sz="4" w:space="0"/>
              <w:right w:val="single" w:color="auto" w:sz="4" w:space="0"/>
            </w:tcBorders>
            <w:vAlign w:val="center"/>
          </w:tcPr>
          <w:p w14:paraId="5161E1C4">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是否满足上传投标文件的电脑 MAC 地址、CPU 序列号、硬盘序列号中不存在两项及以上相同的情形</w:t>
            </w:r>
          </w:p>
        </w:tc>
        <w:tc>
          <w:tcPr>
            <w:tcW w:w="636" w:type="dxa"/>
            <w:tcBorders>
              <w:top w:val="single" w:color="auto" w:sz="4" w:space="0"/>
              <w:left w:val="single" w:color="auto" w:sz="4" w:space="0"/>
              <w:bottom w:val="single" w:color="auto" w:sz="4" w:space="0"/>
              <w:right w:val="single" w:color="auto" w:sz="4" w:space="0"/>
            </w:tcBorders>
            <w:vAlign w:val="center"/>
          </w:tcPr>
          <w:p w14:paraId="53197FD2">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3A707BB7">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7534F9A7">
            <w:pPr>
              <w:spacing w:line="360" w:lineRule="auto"/>
              <w:jc w:val="center"/>
              <w:rPr>
                <w:rFonts w:asciiTheme="minorEastAsia" w:hAnsiTheme="minorEastAsia" w:eastAsiaTheme="minorEastAsia" w:cstheme="minorEastAsia"/>
                <w:color w:val="auto"/>
                <w:sz w:val="24"/>
                <w:szCs w:val="24"/>
                <w:highlight w:val="none"/>
              </w:rPr>
            </w:pPr>
          </w:p>
        </w:tc>
      </w:tr>
      <w:tr w14:paraId="4540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3871348">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025" w:type="dxa"/>
            <w:tcBorders>
              <w:top w:val="single" w:color="auto" w:sz="4" w:space="0"/>
              <w:left w:val="single" w:color="auto" w:sz="4" w:space="0"/>
              <w:bottom w:val="single" w:color="auto" w:sz="4" w:space="0"/>
              <w:right w:val="single" w:color="auto" w:sz="4" w:space="0"/>
            </w:tcBorders>
            <w:vAlign w:val="center"/>
          </w:tcPr>
          <w:p w14:paraId="45656FB7">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其它</w:t>
            </w:r>
          </w:p>
        </w:tc>
        <w:tc>
          <w:tcPr>
            <w:tcW w:w="4568" w:type="dxa"/>
            <w:tcBorders>
              <w:top w:val="single" w:color="auto" w:sz="4" w:space="0"/>
              <w:left w:val="single" w:color="auto" w:sz="4" w:space="0"/>
              <w:bottom w:val="single" w:color="auto" w:sz="4" w:space="0"/>
              <w:right w:val="single" w:color="auto" w:sz="4" w:space="0"/>
            </w:tcBorders>
            <w:vAlign w:val="center"/>
          </w:tcPr>
          <w:p w14:paraId="317A4908">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无其他无效响应认定条件</w:t>
            </w:r>
          </w:p>
        </w:tc>
        <w:tc>
          <w:tcPr>
            <w:tcW w:w="636" w:type="dxa"/>
            <w:tcBorders>
              <w:top w:val="single" w:color="auto" w:sz="4" w:space="0"/>
              <w:left w:val="single" w:color="auto" w:sz="4" w:space="0"/>
              <w:bottom w:val="single" w:color="auto" w:sz="4" w:space="0"/>
              <w:right w:val="single" w:color="auto" w:sz="4" w:space="0"/>
            </w:tcBorders>
            <w:vAlign w:val="center"/>
          </w:tcPr>
          <w:p w14:paraId="2FDDAAEC">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705E51DC">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55CCD9BA">
            <w:pPr>
              <w:spacing w:line="360" w:lineRule="auto"/>
              <w:jc w:val="center"/>
              <w:rPr>
                <w:rFonts w:asciiTheme="minorEastAsia" w:hAnsiTheme="minorEastAsia" w:eastAsiaTheme="minorEastAsia" w:cstheme="minorEastAsia"/>
                <w:color w:val="auto"/>
                <w:sz w:val="24"/>
                <w:szCs w:val="24"/>
                <w:highlight w:val="none"/>
              </w:rPr>
            </w:pPr>
          </w:p>
        </w:tc>
      </w:tr>
      <w:tr w14:paraId="59A9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344" w:type="dxa"/>
            <w:gridSpan w:val="3"/>
            <w:tcBorders>
              <w:top w:val="single" w:color="auto" w:sz="4" w:space="0"/>
              <w:left w:val="single" w:color="auto" w:sz="4" w:space="0"/>
              <w:bottom w:val="single" w:color="auto" w:sz="4" w:space="0"/>
              <w:right w:val="single" w:color="auto" w:sz="4" w:space="0"/>
            </w:tcBorders>
            <w:vAlign w:val="center"/>
          </w:tcPr>
          <w:p w14:paraId="426ADD5D">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w:t>
            </w:r>
          </w:p>
        </w:tc>
        <w:tc>
          <w:tcPr>
            <w:tcW w:w="636" w:type="dxa"/>
            <w:tcBorders>
              <w:top w:val="single" w:color="auto" w:sz="4" w:space="0"/>
              <w:left w:val="single" w:color="auto" w:sz="4" w:space="0"/>
              <w:bottom w:val="single" w:color="auto" w:sz="4" w:space="0"/>
              <w:right w:val="single" w:color="auto" w:sz="4" w:space="0"/>
            </w:tcBorders>
            <w:vAlign w:val="center"/>
          </w:tcPr>
          <w:p w14:paraId="5BFB9566">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72AFBB0D">
            <w:pPr>
              <w:spacing w:line="360" w:lineRule="auto"/>
              <w:jc w:val="center"/>
              <w:rPr>
                <w:rFonts w:asciiTheme="minorEastAsia" w:hAnsiTheme="minorEastAsia" w:eastAsiaTheme="minorEastAsia" w:cstheme="minorEastAsia"/>
                <w:color w:val="auto"/>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vAlign w:val="center"/>
          </w:tcPr>
          <w:p w14:paraId="2654D636">
            <w:pPr>
              <w:spacing w:line="360" w:lineRule="auto"/>
              <w:jc w:val="center"/>
              <w:rPr>
                <w:rFonts w:asciiTheme="minorEastAsia" w:hAnsiTheme="minorEastAsia" w:eastAsiaTheme="minorEastAsia" w:cstheme="minorEastAsia"/>
                <w:color w:val="auto"/>
                <w:sz w:val="24"/>
                <w:szCs w:val="24"/>
                <w:highlight w:val="none"/>
              </w:rPr>
            </w:pPr>
          </w:p>
        </w:tc>
      </w:tr>
    </w:tbl>
    <w:p w14:paraId="49A2246C">
      <w:pPr>
        <w:spacing w:line="27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1、在表中的各项只需填写“√/通过”或“×/不通过”；</w:t>
      </w:r>
    </w:p>
    <w:p w14:paraId="23D26519">
      <w:pPr>
        <w:spacing w:line="27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2、在结论中按“一项否决”的原则，只有全部是√/通过的，填写“合格”；只要其中有一项是×/不通过的，填写“不合格”；</w:t>
      </w:r>
    </w:p>
    <w:p w14:paraId="1CC58A3B">
      <w:pPr>
        <w:spacing w:line="27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3、结论是合格的，才能进入下一轮；不合格的被淘汰。</w:t>
      </w:r>
    </w:p>
    <w:p w14:paraId="44AEADDF">
      <w:pPr>
        <w:rPr>
          <w:rFonts w:asciiTheme="minorEastAsia" w:hAnsiTheme="minorEastAsia" w:eastAsiaTheme="minorEastAsia" w:cstheme="minorEastAsia"/>
          <w:color w:val="auto"/>
          <w:sz w:val="24"/>
          <w:szCs w:val="24"/>
          <w:highlight w:val="none"/>
        </w:rPr>
      </w:pPr>
    </w:p>
    <w:p w14:paraId="5F96D341">
      <w:pPr>
        <w:rPr>
          <w:rFonts w:asciiTheme="minorEastAsia" w:hAnsiTheme="minorEastAsia" w:eastAsiaTheme="minorEastAsia" w:cstheme="minorEastAsia"/>
          <w:color w:val="auto"/>
          <w:sz w:val="24"/>
          <w:szCs w:val="24"/>
          <w:highlight w:val="none"/>
        </w:rPr>
      </w:pPr>
    </w:p>
    <w:p w14:paraId="23A01EAF">
      <w:pPr>
        <w:widowControl/>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所有评委签字：                                            日期：</w:t>
      </w:r>
      <w:r>
        <w:rPr>
          <w:rFonts w:hint="eastAsia" w:asciiTheme="minorEastAsia" w:hAnsiTheme="minorEastAsia" w:eastAsiaTheme="minorEastAsia" w:cstheme="minorEastAsia"/>
          <w:color w:val="auto"/>
          <w:sz w:val="24"/>
          <w:szCs w:val="24"/>
          <w:highlight w:val="none"/>
        </w:rPr>
        <w:br w:type="page"/>
      </w:r>
    </w:p>
    <w:p w14:paraId="1E5B9D33">
      <w:pPr>
        <w:pageBreakBefore/>
        <w:spacing w:line="360" w:lineRule="auto"/>
        <w:jc w:val="center"/>
        <w:rPr>
          <w:rFonts w:hAnsi="宋体"/>
          <w:b/>
          <w:bCs/>
          <w:color w:val="auto"/>
          <w:sz w:val="28"/>
          <w:szCs w:val="28"/>
          <w:highlight w:val="none"/>
        </w:rPr>
      </w:pPr>
      <w:r>
        <w:rPr>
          <w:rFonts w:hint="eastAsia" w:hAnsi="宋体"/>
          <w:b/>
          <w:bCs/>
          <w:color w:val="auto"/>
          <w:sz w:val="28"/>
          <w:szCs w:val="28"/>
          <w:highlight w:val="none"/>
        </w:rPr>
        <w:t>评审标准和方法</w:t>
      </w:r>
    </w:p>
    <w:p w14:paraId="55A40013">
      <w:pPr>
        <w:spacing w:line="480" w:lineRule="exact"/>
        <w:ind w:firstLine="480" w:firstLineChars="200"/>
        <w:outlineLvl w:val="1"/>
        <w:rPr>
          <w:rFonts w:hAnsi="宋体" w:cs="宋体"/>
          <w:color w:val="auto"/>
          <w:sz w:val="24"/>
          <w:highlight w:val="none"/>
        </w:rPr>
      </w:pPr>
      <w:bookmarkStart w:id="69" w:name="_Toc528835434"/>
      <w:bookmarkEnd w:id="69"/>
      <w:bookmarkStart w:id="70" w:name="_Toc528938624"/>
      <w:bookmarkEnd w:id="70"/>
      <w:bookmarkStart w:id="71" w:name="_Toc528938467"/>
      <w:bookmarkEnd w:id="71"/>
      <w:bookmarkStart w:id="72" w:name="_Toc3636"/>
      <w:bookmarkStart w:id="73" w:name="_Toc96930130"/>
      <w:bookmarkStart w:id="74" w:name="_Toc106372445"/>
      <w:bookmarkStart w:id="75" w:name="_Toc96930045"/>
      <w:bookmarkStart w:id="76" w:name="_Toc101448810"/>
      <w:r>
        <w:rPr>
          <w:rFonts w:hint="eastAsia" w:hAnsi="宋体" w:cs="宋体"/>
          <w:color w:val="auto"/>
          <w:sz w:val="24"/>
          <w:highlight w:val="none"/>
        </w:rPr>
        <w:t>本项目的评审办法采用综合评分法。满分为100分，其中：价格30分，商务、技术70分。综合得分最高者为第一成交候选人。</w:t>
      </w:r>
      <w:bookmarkEnd w:id="72"/>
      <w:bookmarkEnd w:id="73"/>
      <w:bookmarkEnd w:id="74"/>
      <w:bookmarkEnd w:id="75"/>
      <w:bookmarkEnd w:id="76"/>
    </w:p>
    <w:p w14:paraId="4EA541A2">
      <w:pPr>
        <w:spacing w:line="480" w:lineRule="exact"/>
        <w:outlineLvl w:val="1"/>
        <w:rPr>
          <w:rFonts w:hAnsi="宋体" w:cs="宋体"/>
          <w:b/>
          <w:color w:val="auto"/>
          <w:sz w:val="24"/>
          <w:highlight w:val="none"/>
        </w:rPr>
      </w:pPr>
      <w:bookmarkStart w:id="77" w:name="_Toc96930131"/>
      <w:bookmarkStart w:id="78" w:name="_Toc9396"/>
      <w:bookmarkStart w:id="79" w:name="_Toc101448811"/>
      <w:bookmarkStart w:id="80" w:name="_Toc106372446"/>
      <w:bookmarkStart w:id="81" w:name="_Toc96930046"/>
      <w:r>
        <w:rPr>
          <w:rFonts w:hint="eastAsia" w:hAnsi="宋体" w:cs="宋体"/>
          <w:b/>
          <w:color w:val="auto"/>
          <w:sz w:val="24"/>
          <w:highlight w:val="none"/>
        </w:rPr>
        <w:t>一、报价部分（30分）</w:t>
      </w:r>
      <w:bookmarkEnd w:id="77"/>
      <w:bookmarkEnd w:id="78"/>
      <w:bookmarkEnd w:id="79"/>
      <w:bookmarkEnd w:id="80"/>
      <w:bookmarkEnd w:id="81"/>
    </w:p>
    <w:p w14:paraId="7E9A9981">
      <w:pPr>
        <w:spacing w:line="480" w:lineRule="exact"/>
        <w:ind w:firstLine="480" w:firstLineChars="200"/>
        <w:rPr>
          <w:rFonts w:hAnsi="宋体" w:cs="宋体"/>
          <w:color w:val="auto"/>
          <w:sz w:val="24"/>
          <w:highlight w:val="none"/>
        </w:rPr>
      </w:pPr>
      <w:r>
        <w:rPr>
          <w:rFonts w:hint="eastAsia" w:hAnsi="宋体" w:cs="宋体"/>
          <w:color w:val="auto"/>
          <w:sz w:val="24"/>
          <w:highlight w:val="none"/>
        </w:rPr>
        <w:t>1、价格得分计算公式：</w:t>
      </w:r>
    </w:p>
    <w:p w14:paraId="01040673">
      <w:pPr>
        <w:widowControl/>
        <w:spacing w:line="480" w:lineRule="exact"/>
        <w:ind w:firstLine="480" w:firstLineChars="200"/>
        <w:rPr>
          <w:rFonts w:hAnsi="宋体" w:cs="宋体"/>
          <w:color w:val="auto"/>
          <w:sz w:val="24"/>
          <w:highlight w:val="none"/>
        </w:rPr>
      </w:pPr>
      <w:r>
        <w:rPr>
          <w:rFonts w:hint="eastAsia" w:hAnsi="宋体" w:cs="宋体"/>
          <w:color w:val="auto"/>
          <w:sz w:val="24"/>
          <w:highlight w:val="none"/>
        </w:rPr>
        <w:t>综合评分法中的价格分统一采用低价优先法计算。</w:t>
      </w:r>
    </w:p>
    <w:p w14:paraId="4F91BB89">
      <w:pPr>
        <w:widowControl/>
        <w:spacing w:line="480" w:lineRule="exact"/>
        <w:ind w:firstLine="480" w:firstLineChars="200"/>
        <w:rPr>
          <w:rFonts w:hAnsi="宋体" w:cs="宋体"/>
          <w:color w:val="auto"/>
          <w:sz w:val="24"/>
          <w:highlight w:val="none"/>
        </w:rPr>
      </w:pPr>
      <w:r>
        <w:rPr>
          <w:rFonts w:hint="eastAsia" w:hAnsi="宋体" w:cs="宋体"/>
          <w:color w:val="auto"/>
          <w:sz w:val="24"/>
          <w:highlight w:val="none"/>
        </w:rPr>
        <w:t>磋商基准价为满足采购文件要求且最后报价最低的供应商的价格</w:t>
      </w:r>
    </w:p>
    <w:p w14:paraId="7780A444">
      <w:pPr>
        <w:spacing w:line="480" w:lineRule="exact"/>
        <w:ind w:firstLine="480" w:firstLineChars="200"/>
        <w:outlineLvl w:val="1"/>
        <w:rPr>
          <w:rFonts w:hAnsi="宋体" w:cs="宋体"/>
          <w:color w:val="auto"/>
          <w:sz w:val="24"/>
          <w:highlight w:val="none"/>
        </w:rPr>
      </w:pPr>
      <w:bookmarkStart w:id="82" w:name="_Toc25392"/>
      <w:bookmarkStart w:id="83" w:name="_Toc106372447"/>
      <w:bookmarkStart w:id="84" w:name="_Toc96930047"/>
      <w:bookmarkStart w:id="85" w:name="_Toc96930132"/>
      <w:bookmarkStart w:id="86" w:name="_Toc101448812"/>
      <w:r>
        <w:rPr>
          <w:rFonts w:hint="eastAsia" w:hAnsi="宋体" w:cs="宋体"/>
          <w:color w:val="auto"/>
          <w:sz w:val="24"/>
          <w:highlight w:val="none"/>
        </w:rPr>
        <w:t>磋商报价得分=（磋商基准价/最后磋商报价）×30%×100</w:t>
      </w:r>
      <w:bookmarkEnd w:id="82"/>
      <w:bookmarkEnd w:id="83"/>
      <w:bookmarkEnd w:id="84"/>
      <w:bookmarkEnd w:id="85"/>
      <w:bookmarkEnd w:id="86"/>
    </w:p>
    <w:p w14:paraId="50E36125">
      <w:pPr>
        <w:spacing w:line="480" w:lineRule="exact"/>
        <w:ind w:firstLine="480" w:firstLineChars="200"/>
        <w:outlineLvl w:val="1"/>
        <w:rPr>
          <w:rFonts w:hAnsi="宋体" w:cs="宋体"/>
          <w:color w:val="auto"/>
          <w:sz w:val="24"/>
          <w:highlight w:val="none"/>
        </w:rPr>
      </w:pPr>
      <w:bookmarkStart w:id="87" w:name="_Toc19256"/>
      <w:bookmarkStart w:id="88" w:name="_Toc106372448"/>
      <w:bookmarkStart w:id="89" w:name="_Toc101448813"/>
      <w:bookmarkStart w:id="90" w:name="_Toc96930048"/>
      <w:bookmarkStart w:id="91" w:name="_Toc96930133"/>
      <w:r>
        <w:rPr>
          <w:rFonts w:hint="eastAsia" w:hAnsi="宋体" w:cs="宋体"/>
          <w:color w:val="auto"/>
          <w:sz w:val="24"/>
          <w:highlight w:val="none"/>
        </w:rPr>
        <w:t>注：1）价格得分取小数点后两位，四舍五入。</w:t>
      </w:r>
      <w:bookmarkEnd w:id="87"/>
      <w:bookmarkEnd w:id="88"/>
      <w:bookmarkEnd w:id="89"/>
      <w:bookmarkEnd w:id="90"/>
      <w:bookmarkEnd w:id="91"/>
    </w:p>
    <w:p w14:paraId="74AB2BD2">
      <w:pPr>
        <w:spacing w:line="480" w:lineRule="exact"/>
        <w:ind w:firstLine="960" w:firstLineChars="400"/>
        <w:outlineLvl w:val="1"/>
        <w:rPr>
          <w:rFonts w:hAnsi="宋体" w:cs="宋体"/>
          <w:color w:val="auto"/>
          <w:sz w:val="24"/>
          <w:highlight w:val="none"/>
        </w:rPr>
      </w:pPr>
      <w:bookmarkStart w:id="92" w:name="_Toc101448814"/>
      <w:bookmarkStart w:id="93" w:name="_Toc96930134"/>
      <w:bookmarkStart w:id="94" w:name="_Toc27737"/>
      <w:bookmarkStart w:id="95" w:name="_Toc96930049"/>
      <w:bookmarkStart w:id="96" w:name="_Toc106372449"/>
      <w:r>
        <w:rPr>
          <w:rFonts w:hint="eastAsia" w:hAnsi="宋体" w:cs="宋体"/>
          <w:color w:val="auto"/>
          <w:sz w:val="24"/>
          <w:highlight w:val="none"/>
        </w:rPr>
        <w:t>2）有效磋商响应方为：未被磋商小组判定为无效响应的磋商响应方。</w:t>
      </w:r>
      <w:bookmarkEnd w:id="92"/>
      <w:bookmarkEnd w:id="93"/>
      <w:bookmarkEnd w:id="94"/>
      <w:bookmarkEnd w:id="95"/>
      <w:bookmarkEnd w:id="96"/>
    </w:p>
    <w:p w14:paraId="4DA796E4">
      <w:pPr>
        <w:spacing w:line="480" w:lineRule="exact"/>
        <w:ind w:firstLine="480" w:firstLineChars="200"/>
        <w:outlineLvl w:val="1"/>
        <w:rPr>
          <w:rFonts w:hAnsi="宋体" w:cs="宋体"/>
          <w:color w:val="auto"/>
          <w:sz w:val="24"/>
          <w:highlight w:val="none"/>
        </w:rPr>
      </w:pPr>
      <w:bookmarkStart w:id="97" w:name="_Toc101448815"/>
      <w:bookmarkStart w:id="98" w:name="_Toc106372450"/>
      <w:bookmarkStart w:id="99" w:name="_Toc96930050"/>
      <w:bookmarkStart w:id="100" w:name="_Toc29243"/>
      <w:bookmarkStart w:id="101" w:name="_Toc96930135"/>
      <w:r>
        <w:rPr>
          <w:rFonts w:hint="eastAsia" w:hAnsi="宋体" w:cs="宋体"/>
          <w:color w:val="auto"/>
          <w:sz w:val="24"/>
          <w:highlight w:val="none"/>
        </w:rPr>
        <w:t>2、磋商响应方为政府扶持特殊企业（小型和微型企业、监狱企业、</w:t>
      </w:r>
      <w:r>
        <w:rPr>
          <w:rFonts w:hint="eastAsia" w:hAnsi="宋体"/>
          <w:color w:val="auto"/>
          <w:sz w:val="24"/>
          <w:highlight w:val="none"/>
        </w:rPr>
        <w:t>残疾人福利性单位）者</w:t>
      </w:r>
      <w:r>
        <w:rPr>
          <w:rFonts w:hint="eastAsia" w:hAnsi="宋体" w:cs="宋体"/>
          <w:color w:val="auto"/>
          <w:sz w:val="24"/>
          <w:highlight w:val="none"/>
        </w:rPr>
        <w:t>，磋商响应方同时满足一种以上情形者，报价均给予10%（工程项目为3%）扣除，用优惠折算后计算磋商报价得分。磋商响应方满足此规定的，磋商响应文件中须附声明函及相关证明文件，并在《报价一览表》备注栏中写明，</w:t>
      </w:r>
      <w:r>
        <w:rPr>
          <w:rFonts w:hint="eastAsia" w:hAnsi="宋体"/>
          <w:color w:val="auto"/>
          <w:sz w:val="24"/>
          <w:highlight w:val="none"/>
        </w:rPr>
        <w:t>对于未能按照要求填写及未能提供证明资料或提供资料不完整的视同未提供，不享受价格优惠</w:t>
      </w:r>
      <w:r>
        <w:rPr>
          <w:rFonts w:hint="eastAsia" w:hAnsi="宋体" w:cs="宋体"/>
          <w:color w:val="auto"/>
          <w:sz w:val="24"/>
          <w:highlight w:val="none"/>
        </w:rPr>
        <w:t>。</w:t>
      </w:r>
      <w:bookmarkEnd w:id="97"/>
      <w:bookmarkEnd w:id="98"/>
      <w:bookmarkEnd w:id="99"/>
      <w:bookmarkEnd w:id="100"/>
      <w:bookmarkEnd w:id="101"/>
      <w:r>
        <w:rPr>
          <w:rFonts w:hint="eastAsia" w:hAnsi="宋体" w:cs="宋体"/>
          <w:color w:val="auto"/>
          <w:sz w:val="24"/>
          <w:highlight w:val="none"/>
        </w:rPr>
        <w:t>如若专门面向中小企业采购的项目，则不再执行价格优惠政策。</w:t>
      </w:r>
    </w:p>
    <w:tbl>
      <w:tblPr>
        <w:tblStyle w:val="6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477"/>
        <w:gridCol w:w="5903"/>
        <w:gridCol w:w="568"/>
      </w:tblGrid>
      <w:tr w14:paraId="3FEA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04" w:type="dxa"/>
            <w:gridSpan w:val="4"/>
            <w:tcBorders>
              <w:top w:val="nil"/>
              <w:left w:val="nil"/>
              <w:bottom w:val="nil"/>
              <w:right w:val="nil"/>
            </w:tcBorders>
            <w:noWrap w:val="0"/>
            <w:vAlign w:val="center"/>
          </w:tcPr>
          <w:p w14:paraId="71909AA6">
            <w:pPr>
              <w:keepNext w:val="0"/>
              <w:keepLines w:val="0"/>
              <w:widowControl/>
              <w:suppressLineNumbers w:val="0"/>
              <w:jc w:val="left"/>
              <w:textAlignment w:val="center"/>
              <w:rPr>
                <w:rFonts w:hint="default" w:ascii="宋体" w:hAnsi="宋体" w:eastAsia="宋体" w:cs="宋体"/>
                <w:b/>
                <w:i w:val="0"/>
                <w:color w:val="auto"/>
                <w:kern w:val="0"/>
                <w:sz w:val="28"/>
                <w:szCs w:val="28"/>
                <w:highlight w:val="none"/>
                <w:u w:val="none"/>
                <w:lang w:val="en-US" w:eastAsia="zh-CN" w:bidi="ar"/>
              </w:rPr>
            </w:pPr>
            <w:bookmarkStart w:id="102" w:name="_Toc21407"/>
            <w:bookmarkStart w:id="103" w:name="_Toc495679414"/>
          </w:p>
          <w:p w14:paraId="743D4F29">
            <w:pPr>
              <w:keepNext w:val="0"/>
              <w:keepLines w:val="0"/>
              <w:widowControl/>
              <w:suppressLineNumbers w:val="0"/>
              <w:jc w:val="center"/>
              <w:textAlignment w:val="center"/>
              <w:rPr>
                <w:rFonts w:hint="default" w:ascii="宋体" w:hAnsi="宋体" w:eastAsia="宋体" w:cs="宋体"/>
                <w:b/>
                <w:i w:val="0"/>
                <w:color w:val="auto"/>
                <w:sz w:val="28"/>
                <w:szCs w:val="28"/>
                <w:highlight w:val="none"/>
                <w:u w:val="none"/>
                <w:lang w:val="en-US" w:eastAsia="zh-CN"/>
              </w:rPr>
            </w:pPr>
            <w:r>
              <w:rPr>
                <w:rFonts w:hint="eastAsia" w:asciiTheme="minorEastAsia" w:hAnsiTheme="minorEastAsia" w:eastAsiaTheme="minorEastAsia" w:cstheme="minorEastAsia"/>
                <w:b/>
                <w:bCs/>
                <w:color w:val="auto"/>
                <w:sz w:val="24"/>
                <w:szCs w:val="24"/>
                <w:highlight w:val="none"/>
              </w:rPr>
              <w:t>商务技术及价格评分表（100分）</w:t>
            </w:r>
            <w:r>
              <w:rPr>
                <w:rFonts w:hint="eastAsia" w:asciiTheme="minorEastAsia" w:hAnsiTheme="minorEastAsia" w:eastAsiaTheme="minorEastAsia" w:cstheme="minorEastAsia"/>
                <w:b/>
                <w:bCs/>
                <w:color w:val="auto"/>
                <w:sz w:val="24"/>
                <w:szCs w:val="24"/>
                <w:highlight w:val="none"/>
                <w:lang w:val="en-US" w:eastAsia="zh-CN"/>
              </w:rPr>
              <w:t>评分标准</w:t>
            </w:r>
          </w:p>
        </w:tc>
      </w:tr>
      <w:tr w14:paraId="7C85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5F5D701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bookmarkStart w:id="107" w:name="_GoBack"/>
            <w:r>
              <w:rPr>
                <w:rFonts w:hint="eastAsia" w:ascii="宋体" w:hAnsi="宋体" w:eastAsia="宋体" w:cs="宋体"/>
                <w:i w:val="0"/>
                <w:color w:val="auto"/>
                <w:kern w:val="0"/>
                <w:sz w:val="22"/>
                <w:szCs w:val="22"/>
                <w:highlight w:val="none"/>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4FFE14C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评分项目</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050A9B8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评分标准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E616BD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分值</w:t>
            </w:r>
          </w:p>
        </w:tc>
      </w:tr>
      <w:tr w14:paraId="5846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63996FC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4BA9105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报价得分</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522B3307">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color w:val="auto"/>
                <w:sz w:val="22"/>
                <w:szCs w:val="22"/>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C0D004D">
            <w:pPr>
              <w:keepNext w:val="0"/>
              <w:keepLines w:val="0"/>
              <w:widowControl/>
              <w:suppressLineNumbers w:val="0"/>
              <w:jc w:val="center"/>
              <w:textAlignment w:val="bottom"/>
              <w:rPr>
                <w:rFonts w:hint="default" w:ascii="宋体" w:hAnsi="宋体" w:eastAsia="宋体" w:cs="宋体"/>
                <w:i w:val="0"/>
                <w:color w:val="auto"/>
                <w:sz w:val="22"/>
                <w:szCs w:val="22"/>
                <w:highlight w:val="none"/>
                <w:u w:val="none"/>
                <w:lang w:val="en-US"/>
              </w:rPr>
            </w:pPr>
            <w:r>
              <w:rPr>
                <w:rFonts w:hint="eastAsia" w:ascii="等线" w:hAnsi="等线" w:eastAsia="等线" w:cs="等线"/>
                <w:i w:val="0"/>
                <w:iCs w:val="0"/>
                <w:color w:val="auto"/>
                <w:kern w:val="0"/>
                <w:sz w:val="22"/>
                <w:szCs w:val="22"/>
                <w:highlight w:val="none"/>
                <w:u w:val="none"/>
                <w:lang w:val="en-US" w:eastAsia="zh-CN" w:bidi="ar"/>
              </w:rPr>
              <w:t>30</w:t>
            </w:r>
          </w:p>
        </w:tc>
      </w:tr>
      <w:tr w14:paraId="6758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79C1FF2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2457452E">
            <w:pPr>
              <w:keepNext w:val="0"/>
              <w:keepLines w:val="0"/>
              <w:widowControl/>
              <w:suppressLineNumbers w:val="0"/>
              <w:jc w:val="left"/>
              <w:rPr>
                <w:rFonts w:hint="default" w:ascii="宋体" w:hAnsi="宋体" w:eastAsia="宋体" w:cs="宋体"/>
                <w:i w:val="0"/>
                <w:color w:val="auto"/>
                <w:sz w:val="22"/>
                <w:szCs w:val="22"/>
                <w:highlight w:val="none"/>
                <w:u w:val="none"/>
                <w:lang w:val="en-US" w:eastAsia="zh-CN"/>
              </w:rPr>
            </w:pPr>
            <w:r>
              <w:rPr>
                <w:rFonts w:ascii="????" w:hAnsi="????" w:eastAsia="????" w:cs="????"/>
                <w:color w:val="auto"/>
                <w:kern w:val="0"/>
                <w:sz w:val="21"/>
                <w:szCs w:val="21"/>
                <w:highlight w:val="none"/>
                <w:lang w:val="en-US" w:eastAsia="zh-CN" w:bidi="ar"/>
              </w:rPr>
              <w:t xml:space="preserve">产品配置及技术参数响应 </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1DF6F492">
            <w:pPr>
              <w:jc w:val="left"/>
              <w:rPr>
                <w:color w:val="auto"/>
                <w:sz w:val="22"/>
                <w:szCs w:val="22"/>
                <w:highlight w:val="none"/>
              </w:rPr>
            </w:pPr>
            <w:r>
              <w:rPr>
                <w:rFonts w:hint="eastAsia"/>
                <w:color w:val="auto"/>
                <w:sz w:val="22"/>
                <w:szCs w:val="22"/>
                <w:highlight w:val="none"/>
              </w:rPr>
              <w:t>对招标文件用户需求书技术参数的响应情况进行评审:</w:t>
            </w:r>
          </w:p>
          <w:p w14:paraId="001ED99E">
            <w:pPr>
              <w:jc w:val="left"/>
              <w:rPr>
                <w:color w:val="auto"/>
                <w:sz w:val="22"/>
                <w:szCs w:val="22"/>
                <w:highlight w:val="none"/>
              </w:rPr>
            </w:pPr>
            <w:r>
              <w:rPr>
                <w:rFonts w:hint="eastAsia"/>
                <w:color w:val="auto"/>
                <w:sz w:val="22"/>
                <w:szCs w:val="22"/>
                <w:highlight w:val="none"/>
              </w:rPr>
              <w:t>1、“▲”号重要参数(共2</w:t>
            </w:r>
            <w:r>
              <w:rPr>
                <w:rFonts w:hint="eastAsia"/>
                <w:color w:val="auto"/>
                <w:sz w:val="22"/>
                <w:szCs w:val="22"/>
                <w:highlight w:val="none"/>
                <w:lang w:val="en-US" w:eastAsia="zh-CN"/>
              </w:rPr>
              <w:t>4</w:t>
            </w:r>
            <w:r>
              <w:rPr>
                <w:rFonts w:hint="eastAsia"/>
                <w:color w:val="auto"/>
                <w:sz w:val="22"/>
                <w:szCs w:val="22"/>
                <w:highlight w:val="none"/>
              </w:rPr>
              <w:t>项)不满足的，一项不满足的扣</w:t>
            </w:r>
            <w:r>
              <w:rPr>
                <w:rFonts w:hint="eastAsia"/>
                <w:color w:val="auto"/>
                <w:sz w:val="22"/>
                <w:szCs w:val="22"/>
                <w:highlight w:val="none"/>
                <w:lang w:val="en-US" w:eastAsia="zh-CN"/>
              </w:rPr>
              <w:t>1</w:t>
            </w:r>
            <w:r>
              <w:rPr>
                <w:rFonts w:hint="eastAsia"/>
                <w:color w:val="auto"/>
                <w:sz w:val="22"/>
                <w:szCs w:val="22"/>
                <w:highlight w:val="none"/>
              </w:rPr>
              <w:t>分，最高得24分;</w:t>
            </w:r>
          </w:p>
          <w:p w14:paraId="3A70CFC2">
            <w:pPr>
              <w:jc w:val="left"/>
              <w:rPr>
                <w:color w:val="auto"/>
                <w:sz w:val="22"/>
                <w:szCs w:val="22"/>
                <w:highlight w:val="none"/>
              </w:rPr>
            </w:pPr>
            <w:r>
              <w:rPr>
                <w:rFonts w:hint="eastAsia"/>
                <w:color w:val="auto"/>
                <w:sz w:val="22"/>
                <w:szCs w:val="22"/>
                <w:highlight w:val="none"/>
              </w:rPr>
              <w:t>2、非“▲”号普通参数，完全满足的，得</w:t>
            </w:r>
            <w:r>
              <w:rPr>
                <w:color w:val="auto"/>
                <w:sz w:val="22"/>
                <w:szCs w:val="22"/>
                <w:highlight w:val="none"/>
              </w:rPr>
              <w:t>1</w:t>
            </w:r>
            <w:r>
              <w:rPr>
                <w:rFonts w:hint="eastAsia"/>
                <w:color w:val="auto"/>
                <w:sz w:val="22"/>
                <w:szCs w:val="22"/>
                <w:highlight w:val="none"/>
                <w:lang w:val="en-US" w:eastAsia="zh-CN"/>
              </w:rPr>
              <w:t>0</w:t>
            </w:r>
            <w:r>
              <w:rPr>
                <w:rFonts w:hint="eastAsia"/>
                <w:color w:val="auto"/>
                <w:sz w:val="22"/>
                <w:szCs w:val="22"/>
                <w:highlight w:val="none"/>
              </w:rPr>
              <w:t>分;1-5项不满足的，得</w:t>
            </w:r>
            <w:r>
              <w:rPr>
                <w:color w:val="auto"/>
                <w:sz w:val="22"/>
                <w:szCs w:val="22"/>
                <w:highlight w:val="none"/>
              </w:rPr>
              <w:t>7</w:t>
            </w:r>
            <w:r>
              <w:rPr>
                <w:rFonts w:hint="eastAsia"/>
                <w:color w:val="auto"/>
                <w:sz w:val="22"/>
                <w:szCs w:val="22"/>
                <w:highlight w:val="none"/>
              </w:rPr>
              <w:t>分;6-10项不满足的,得</w:t>
            </w:r>
            <w:r>
              <w:rPr>
                <w:color w:val="auto"/>
                <w:sz w:val="22"/>
                <w:szCs w:val="22"/>
                <w:highlight w:val="none"/>
              </w:rPr>
              <w:t>4</w:t>
            </w:r>
            <w:r>
              <w:rPr>
                <w:rFonts w:hint="eastAsia"/>
                <w:color w:val="auto"/>
                <w:sz w:val="22"/>
                <w:szCs w:val="22"/>
                <w:highlight w:val="none"/>
              </w:rPr>
              <w:t>分;11-15 项不满足的,得</w:t>
            </w:r>
            <w:r>
              <w:rPr>
                <w:color w:val="auto"/>
                <w:sz w:val="22"/>
                <w:szCs w:val="22"/>
                <w:highlight w:val="none"/>
              </w:rPr>
              <w:t>1</w:t>
            </w:r>
            <w:r>
              <w:rPr>
                <w:rFonts w:hint="eastAsia"/>
                <w:color w:val="auto"/>
                <w:sz w:val="22"/>
                <w:szCs w:val="22"/>
                <w:highlight w:val="none"/>
              </w:rPr>
              <w:t>分;</w:t>
            </w:r>
            <w:r>
              <w:rPr>
                <w:color w:val="auto"/>
                <w:sz w:val="22"/>
                <w:szCs w:val="22"/>
                <w:highlight w:val="none"/>
              </w:rPr>
              <w:t>16</w:t>
            </w:r>
            <w:r>
              <w:rPr>
                <w:rFonts w:hint="eastAsia"/>
                <w:color w:val="auto"/>
                <w:sz w:val="22"/>
                <w:szCs w:val="22"/>
                <w:highlight w:val="none"/>
              </w:rPr>
              <w:t>项及以上不满足的不得分。</w:t>
            </w:r>
          </w:p>
          <w:p w14:paraId="19B5E43B">
            <w:pPr>
              <w:keepNext w:val="0"/>
              <w:keepLines w:val="0"/>
              <w:widowControl/>
              <w:numPr>
                <w:ilvl w:val="0"/>
                <w:numId w:val="0"/>
              </w:numPr>
              <w:suppressLineNumbers w:val="0"/>
              <w:jc w:val="left"/>
              <w:textAlignment w:val="center"/>
              <w:rPr>
                <w:rFonts w:hint="default" w:ascii="宋体" w:hAnsi="宋体" w:cs="宋体"/>
                <w:i w:val="0"/>
                <w:color w:val="auto"/>
                <w:sz w:val="22"/>
                <w:szCs w:val="22"/>
                <w:highlight w:val="none"/>
                <w:u w:val="none"/>
                <w:lang w:val="en-US" w:eastAsia="zh-CN"/>
              </w:rPr>
            </w:pPr>
            <w:r>
              <w:rPr>
                <w:color w:val="auto"/>
                <w:sz w:val="22"/>
                <w:szCs w:val="22"/>
                <w:highlight w:val="none"/>
              </w:rPr>
              <w:t>3、</w:t>
            </w:r>
            <w:r>
              <w:rPr>
                <w:rFonts w:hint="eastAsia"/>
                <w:color w:val="auto"/>
                <w:sz w:val="22"/>
                <w:szCs w:val="22"/>
                <w:highlight w:val="none"/>
                <w:lang w:eastAsia="zh-CN"/>
              </w:rPr>
              <w:t>投标人在技术参数响应表中需提供产品的</w:t>
            </w:r>
            <w:r>
              <w:rPr>
                <w:rFonts w:hint="eastAsia"/>
                <w:b/>
                <w:bCs/>
                <w:color w:val="auto"/>
                <w:sz w:val="22"/>
                <w:szCs w:val="22"/>
                <w:highlight w:val="none"/>
                <w:lang w:eastAsia="zh-CN"/>
              </w:rPr>
              <w:t>品牌、规格、型号</w:t>
            </w:r>
            <w:r>
              <w:rPr>
                <w:rFonts w:hint="eastAsia"/>
                <w:color w:val="auto"/>
                <w:sz w:val="22"/>
                <w:szCs w:val="22"/>
                <w:highlight w:val="none"/>
                <w:lang w:eastAsia="zh-CN"/>
              </w:rPr>
              <w:t>并标注提供产品的</w:t>
            </w:r>
            <w:r>
              <w:rPr>
                <w:rFonts w:hint="eastAsia"/>
                <w:b/>
                <w:bCs/>
                <w:color w:val="auto"/>
                <w:sz w:val="22"/>
                <w:szCs w:val="22"/>
                <w:highlight w:val="none"/>
                <w:lang w:eastAsia="zh-CN"/>
              </w:rPr>
              <w:t>实际参数数值</w:t>
            </w:r>
            <w:r>
              <w:rPr>
                <w:rFonts w:hint="eastAsia"/>
                <w:color w:val="auto"/>
                <w:sz w:val="22"/>
                <w:szCs w:val="22"/>
                <w:highlight w:val="none"/>
                <w:lang w:eastAsia="zh-CN"/>
              </w:rPr>
              <w:t>，照搬照抄采购文件参数、不注明产品品牌、规格、型号和实际数值者视为无效响应。</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2F085E0F">
            <w:pPr>
              <w:keepNext w:val="0"/>
              <w:keepLines w:val="0"/>
              <w:widowControl/>
              <w:suppressLineNumbers w:val="0"/>
              <w:jc w:val="center"/>
              <w:textAlignment w:val="bottom"/>
              <w:rPr>
                <w:rFonts w:hint="default" w:ascii="宋体" w:hAnsi="宋体" w:eastAsia="宋体" w:cs="宋体"/>
                <w:i w:val="0"/>
                <w:color w:val="auto"/>
                <w:sz w:val="22"/>
                <w:szCs w:val="22"/>
                <w:highlight w:val="none"/>
                <w:u w:val="none"/>
                <w:lang w:val="en-US" w:eastAsia="zh-CN"/>
              </w:rPr>
            </w:pPr>
            <w:r>
              <w:rPr>
                <w:rFonts w:hint="eastAsia" w:hAnsi="宋体" w:cs="宋体"/>
                <w:i w:val="0"/>
                <w:color w:val="auto"/>
                <w:sz w:val="22"/>
                <w:szCs w:val="22"/>
                <w:highlight w:val="none"/>
                <w:u w:val="none"/>
                <w:lang w:val="en-US" w:eastAsia="zh-CN"/>
              </w:rPr>
              <w:t>34</w:t>
            </w:r>
          </w:p>
        </w:tc>
      </w:tr>
      <w:tr w14:paraId="5C86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0637FED">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hAnsi="宋体" w:cs="宋体"/>
                <w:i w:val="0"/>
                <w:color w:val="auto"/>
                <w:kern w:val="0"/>
                <w:sz w:val="22"/>
                <w:szCs w:val="22"/>
                <w:highlight w:val="none"/>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5C94CF2D">
            <w:pPr>
              <w:jc w:val="left"/>
              <w:rPr>
                <w:rFonts w:hint="eastAsia"/>
                <w:color w:val="auto"/>
                <w:sz w:val="22"/>
                <w:szCs w:val="22"/>
                <w:highlight w:val="none"/>
                <w:lang w:val="en-US" w:eastAsia="zh-CN"/>
              </w:rPr>
            </w:pPr>
            <w:r>
              <w:rPr>
                <w:rFonts w:hint="eastAsia"/>
                <w:color w:val="auto"/>
                <w:sz w:val="22"/>
                <w:szCs w:val="22"/>
                <w:highlight w:val="none"/>
                <w:lang w:val="en-US" w:eastAsia="zh-CN"/>
              </w:rPr>
              <w:t>投标人针对本项目人员投入情况</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33286B87">
            <w:pPr>
              <w:jc w:val="left"/>
              <w:rPr>
                <w:rFonts w:hint="default"/>
                <w:color w:val="auto"/>
                <w:sz w:val="22"/>
                <w:szCs w:val="22"/>
                <w:highlight w:val="none"/>
                <w:lang w:val="en-US" w:eastAsia="zh-CN"/>
              </w:rPr>
            </w:pPr>
            <w:r>
              <w:rPr>
                <w:rFonts w:hint="eastAsia"/>
                <w:color w:val="auto"/>
                <w:sz w:val="22"/>
                <w:szCs w:val="22"/>
                <w:highlight w:val="none"/>
                <w:lang w:val="en-US" w:eastAsia="zh-CN"/>
              </w:rPr>
              <w:t>1. 投标人拟投入本项目的管理人员具有项目管理工程师职称，得1分，其他情况不得分。</w:t>
            </w:r>
          </w:p>
          <w:p w14:paraId="4F7FC33B">
            <w:pPr>
              <w:jc w:val="left"/>
              <w:rPr>
                <w:rFonts w:hint="eastAsia"/>
                <w:color w:val="auto"/>
                <w:sz w:val="22"/>
                <w:szCs w:val="22"/>
                <w:highlight w:val="none"/>
                <w:lang w:val="en-US" w:eastAsia="zh-CN"/>
              </w:rPr>
            </w:pPr>
            <w:r>
              <w:rPr>
                <w:rFonts w:hint="eastAsia"/>
                <w:color w:val="auto"/>
                <w:sz w:val="22"/>
                <w:szCs w:val="22"/>
                <w:highlight w:val="none"/>
                <w:lang w:val="en-US" w:eastAsia="zh-CN"/>
              </w:rPr>
              <w:t xml:space="preserve">2.投标人拟投入本项目的技术负责人具有高级工程师或以上职称，得1分，其他情况不得分。 </w:t>
            </w:r>
          </w:p>
          <w:p w14:paraId="084F70D5">
            <w:pPr>
              <w:jc w:val="left"/>
              <w:rPr>
                <w:rFonts w:hint="eastAsia"/>
                <w:color w:val="auto"/>
                <w:sz w:val="22"/>
                <w:szCs w:val="22"/>
                <w:highlight w:val="none"/>
                <w:lang w:val="en-US" w:eastAsia="zh-CN"/>
              </w:rPr>
            </w:pPr>
            <w:r>
              <w:rPr>
                <w:rFonts w:hint="eastAsia"/>
                <w:color w:val="auto"/>
                <w:sz w:val="22"/>
                <w:szCs w:val="22"/>
                <w:highlight w:val="none"/>
                <w:lang w:val="en-US" w:eastAsia="zh-CN"/>
              </w:rPr>
              <w:t>3.投标人拟投入本项目的技术人员（项目负责人除外）具有工程师或以上职称，每提供一人，得1分，最高得4分，其他情况不得分。</w:t>
            </w:r>
          </w:p>
          <w:p w14:paraId="19C5DC4A">
            <w:pPr>
              <w:jc w:val="left"/>
              <w:rPr>
                <w:rFonts w:hint="eastAsia"/>
                <w:color w:val="auto"/>
                <w:sz w:val="22"/>
                <w:szCs w:val="22"/>
                <w:highlight w:val="none"/>
              </w:rPr>
            </w:pPr>
            <w:r>
              <w:rPr>
                <w:rFonts w:hint="eastAsia"/>
                <w:color w:val="auto"/>
                <w:sz w:val="22"/>
                <w:szCs w:val="22"/>
                <w:highlight w:val="none"/>
                <w:lang w:val="en-US" w:eastAsia="zh-CN"/>
              </w:rPr>
              <w:t>证明文件： 1）需提供相关人员职称证书复印件。 2）需提供相关人员在提交投标文件截止时间前4个月内任意一个月（含提交投标文件截止时间当月）在投标人单位的代缴个税税单或参加社会保险的《投保单》或《社会保险参保人员证明》等外部证明文件（事业单位可提供单位人事部门开具的证明文件。如属于依法不需要缴交个税或社保的，则同时提供人员依法不需要缴交个税或社保的证明/说明及在投标人单位的劳动合同证明；如属于退休返聘人员，则同时提供人员的退休证及与投标人单位的劳动合同（或返聘协议或合同类的合同/协议）证明），不按要求提供的人员不得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2642B2ED">
            <w:pPr>
              <w:keepNext w:val="0"/>
              <w:keepLines w:val="0"/>
              <w:widowControl/>
              <w:suppressLineNumbers w:val="0"/>
              <w:jc w:val="center"/>
              <w:textAlignment w:val="bottom"/>
              <w:rPr>
                <w:rFonts w:hint="default" w:hAnsi="宋体" w:cs="宋体"/>
                <w:i w:val="0"/>
                <w:color w:val="auto"/>
                <w:sz w:val="22"/>
                <w:szCs w:val="22"/>
                <w:highlight w:val="none"/>
                <w:u w:val="none"/>
                <w:lang w:val="en-US" w:eastAsia="zh-CN"/>
              </w:rPr>
            </w:pPr>
            <w:r>
              <w:rPr>
                <w:rFonts w:hint="eastAsia" w:hAnsi="宋体" w:cs="宋体"/>
                <w:i w:val="0"/>
                <w:color w:val="auto"/>
                <w:sz w:val="22"/>
                <w:szCs w:val="22"/>
                <w:highlight w:val="none"/>
                <w:u w:val="none"/>
                <w:lang w:val="en-US" w:eastAsia="zh-CN"/>
              </w:rPr>
              <w:t>6</w:t>
            </w:r>
          </w:p>
        </w:tc>
      </w:tr>
      <w:tr w14:paraId="77B8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3EE6794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default" w:hAnsi="宋体" w:cs="宋体"/>
                <w:i w:val="0"/>
                <w:color w:val="auto"/>
                <w:kern w:val="0"/>
                <w:sz w:val="22"/>
                <w:szCs w:val="22"/>
                <w:highlight w:val="none"/>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1332150D">
            <w:pPr>
              <w:keepNext w:val="0"/>
              <w:keepLines w:val="0"/>
              <w:widowControl/>
              <w:suppressLineNumbers w:val="0"/>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2"/>
                <w:szCs w:val="22"/>
                <w:highlight w:val="none"/>
                <w:lang w:val="en-US" w:eastAsia="zh-CN" w:bidi="ar"/>
              </w:rPr>
              <w:t>数字孪生仿真系统视频演示</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34DAD7D7">
            <w:pPr>
              <w:jc w:val="left"/>
              <w:rPr>
                <w:rFonts w:hint="eastAsia"/>
                <w:color w:val="auto"/>
                <w:sz w:val="22"/>
                <w:szCs w:val="22"/>
                <w:highlight w:val="none"/>
                <w:lang w:val="en-US" w:eastAsia="zh-CN"/>
              </w:rPr>
            </w:pPr>
            <w:r>
              <w:rPr>
                <w:rFonts w:hint="eastAsia"/>
                <w:color w:val="auto"/>
                <w:sz w:val="22"/>
                <w:szCs w:val="22"/>
                <w:highlight w:val="none"/>
                <w:lang w:val="en-US" w:eastAsia="zh-CN"/>
              </w:rPr>
              <w:t>投标人以U盘的方式提供视频演示数字孪生仿真系统的以下功能（本项目演示地点：海南省海口市美兰区蓝天路51号京航大酒店5楼评审室1）：</w:t>
            </w:r>
          </w:p>
          <w:p w14:paraId="2D0481DE">
            <w:pPr>
              <w:jc w:val="left"/>
              <w:rPr>
                <w:rFonts w:hint="eastAsia"/>
                <w:color w:val="auto"/>
                <w:sz w:val="22"/>
                <w:szCs w:val="22"/>
                <w:highlight w:val="none"/>
                <w:lang w:val="en-US" w:eastAsia="zh-CN"/>
              </w:rPr>
            </w:pPr>
            <w:r>
              <w:rPr>
                <w:rFonts w:hint="eastAsia"/>
                <w:color w:val="auto"/>
                <w:sz w:val="22"/>
                <w:szCs w:val="22"/>
                <w:highlight w:val="none"/>
                <w:lang w:val="en-US" w:eastAsia="zh-CN"/>
              </w:rPr>
              <w:t>1.模拟电路仿真：内置虚拟电气画图软件，具有多种电气2D图库（包含PLC、电磁阀、气动阀、变频器、伺服驱动器等），基于虚拟电气接线软件能够与虚拟工厂、控制器构建控制与驱动仿真功能；</w:t>
            </w:r>
          </w:p>
          <w:p w14:paraId="2EE33AF5">
            <w:pPr>
              <w:jc w:val="left"/>
              <w:rPr>
                <w:rFonts w:hint="eastAsia"/>
                <w:color w:val="auto"/>
                <w:sz w:val="22"/>
                <w:szCs w:val="22"/>
                <w:highlight w:val="none"/>
                <w:lang w:val="en-US" w:eastAsia="zh-CN"/>
              </w:rPr>
            </w:pPr>
            <w:r>
              <w:rPr>
                <w:rFonts w:hint="eastAsia"/>
                <w:color w:val="auto"/>
                <w:sz w:val="22"/>
                <w:szCs w:val="22"/>
                <w:highlight w:val="none"/>
                <w:lang w:val="en-US" w:eastAsia="zh-CN"/>
              </w:rPr>
              <w:t>2.虚拟视觉控制器：配置虚拟机器视觉运动控制软件，支持Basic语言及梯形图编程，具有视觉检测以及PLC运动控制功能，软件种内置虚拟HMI组态触摸屏功能，虚拟示波器功能；</w:t>
            </w:r>
          </w:p>
          <w:p w14:paraId="135BA857">
            <w:pPr>
              <w:jc w:val="left"/>
              <w:rPr>
                <w:rFonts w:hint="eastAsia"/>
                <w:color w:val="auto"/>
                <w:sz w:val="22"/>
                <w:szCs w:val="22"/>
                <w:highlight w:val="none"/>
                <w:lang w:val="en-US" w:eastAsia="zh-CN"/>
              </w:rPr>
            </w:pPr>
            <w:r>
              <w:rPr>
                <w:rFonts w:hint="eastAsia"/>
                <w:color w:val="auto"/>
                <w:sz w:val="22"/>
                <w:szCs w:val="22"/>
                <w:highlight w:val="none"/>
                <w:lang w:val="en-US" w:eastAsia="zh-CN"/>
              </w:rPr>
              <w:t>3.图形化编程：软件内置图形化机器人编程软件，支持Python及Blockly编程，具有急停、手动/自动切换、IO、机器人示教等功能面板、集成SCARA、Delta、六轴串联、四轴码垛多种机器人控制，支持modbus-tcp通讯、MQTT通讯功能；</w:t>
            </w:r>
          </w:p>
          <w:p w14:paraId="78CD84C0">
            <w:pPr>
              <w:jc w:val="left"/>
              <w:rPr>
                <w:rFonts w:hint="eastAsia"/>
                <w:color w:val="auto"/>
                <w:sz w:val="22"/>
                <w:szCs w:val="22"/>
                <w:highlight w:val="none"/>
                <w:lang w:val="en-US" w:eastAsia="zh-CN"/>
              </w:rPr>
            </w:pPr>
            <w:r>
              <w:rPr>
                <w:rFonts w:hint="eastAsia"/>
                <w:color w:val="auto"/>
                <w:sz w:val="22"/>
                <w:szCs w:val="22"/>
                <w:highlight w:val="none"/>
                <w:lang w:val="en-US" w:eastAsia="zh-CN"/>
              </w:rPr>
              <w:t>4.软件支持PC端多人互动功能，能够实现多人局域网的一主多从模式同场景协作仿真；</w:t>
            </w:r>
          </w:p>
          <w:p w14:paraId="0DFFF387">
            <w:pPr>
              <w:jc w:val="left"/>
              <w:rPr>
                <w:rFonts w:hint="eastAsia"/>
                <w:color w:val="auto"/>
                <w:sz w:val="22"/>
                <w:szCs w:val="22"/>
                <w:highlight w:val="none"/>
                <w:lang w:val="en-US" w:eastAsia="zh-CN"/>
              </w:rPr>
            </w:pPr>
            <w:r>
              <w:rPr>
                <w:rFonts w:hint="eastAsia"/>
                <w:color w:val="auto"/>
                <w:sz w:val="22"/>
                <w:szCs w:val="22"/>
                <w:highlight w:val="none"/>
                <w:lang w:val="en-US" w:eastAsia="zh-CN"/>
              </w:rPr>
              <w:t>5.软件支持手机APP接入仿真，能够实现APP端三维互动，并支持AR模式的虚实叠加的影像互动交互功能；</w:t>
            </w:r>
          </w:p>
          <w:p w14:paraId="58BA01D9">
            <w:pPr>
              <w:jc w:val="left"/>
              <w:rPr>
                <w:rFonts w:hint="eastAsia"/>
                <w:color w:val="auto"/>
                <w:sz w:val="22"/>
                <w:szCs w:val="22"/>
                <w:highlight w:val="none"/>
                <w:lang w:val="en-US" w:eastAsia="zh-CN"/>
              </w:rPr>
            </w:pPr>
            <w:r>
              <w:rPr>
                <w:rFonts w:hint="eastAsia"/>
                <w:color w:val="auto"/>
                <w:sz w:val="22"/>
                <w:szCs w:val="22"/>
                <w:highlight w:val="none"/>
                <w:lang w:val="en-US" w:eastAsia="zh-CN"/>
              </w:rPr>
              <w:t>6.软件支持VR眼镜沉浸式仿真，并提供VR软件APK</w:t>
            </w:r>
          </w:p>
          <w:p w14:paraId="199242F7">
            <w:pPr>
              <w:jc w:val="left"/>
              <w:rPr>
                <w:rFonts w:hint="eastAsia"/>
                <w:color w:val="auto"/>
                <w:sz w:val="22"/>
                <w:szCs w:val="22"/>
                <w:highlight w:val="none"/>
                <w:lang w:val="en-US" w:eastAsia="zh-CN"/>
              </w:rPr>
            </w:pPr>
            <w:r>
              <w:rPr>
                <w:rFonts w:hint="eastAsia"/>
                <w:color w:val="auto"/>
                <w:sz w:val="22"/>
                <w:szCs w:val="22"/>
                <w:highlight w:val="none"/>
                <w:lang w:val="en-US" w:eastAsia="zh-CN"/>
              </w:rPr>
              <w:t>7.MES管理应用：提供智能工厂的MES管理系统，具有设备统计、设备监控、订单统计、WMS仓储管理、以及用户管理等功能；</w:t>
            </w:r>
          </w:p>
          <w:p w14:paraId="62635F14">
            <w:pPr>
              <w:jc w:val="left"/>
              <w:rPr>
                <w:rFonts w:hint="eastAsia"/>
                <w:color w:val="auto"/>
                <w:sz w:val="22"/>
                <w:szCs w:val="22"/>
                <w:highlight w:val="none"/>
                <w:lang w:val="en-US" w:eastAsia="zh-CN"/>
              </w:rPr>
            </w:pPr>
            <w:r>
              <w:rPr>
                <w:rFonts w:hint="eastAsia"/>
                <w:color w:val="auto"/>
                <w:sz w:val="22"/>
                <w:szCs w:val="22"/>
                <w:highlight w:val="none"/>
                <w:lang w:val="en-US" w:eastAsia="zh-CN"/>
              </w:rPr>
              <w:t>1）每成功完成1点演示内容，得1分，完成全部演示最高得7分；</w:t>
            </w:r>
          </w:p>
          <w:p w14:paraId="55329EC4">
            <w:pPr>
              <w:jc w:val="left"/>
              <w:rPr>
                <w:rFonts w:hint="eastAsia"/>
                <w:color w:val="auto"/>
                <w:sz w:val="22"/>
                <w:szCs w:val="22"/>
                <w:highlight w:val="none"/>
                <w:lang w:val="en-US" w:eastAsia="zh-CN"/>
              </w:rPr>
            </w:pPr>
            <w:r>
              <w:rPr>
                <w:rFonts w:hint="eastAsia"/>
                <w:color w:val="auto"/>
                <w:sz w:val="22"/>
                <w:szCs w:val="22"/>
                <w:highlight w:val="none"/>
                <w:lang w:val="en-US" w:eastAsia="zh-CN"/>
              </w:rPr>
              <w:t>2）演示效果不符要求不得分；</w:t>
            </w:r>
          </w:p>
          <w:p w14:paraId="28867DB8">
            <w:pPr>
              <w:jc w:val="left"/>
              <w:rPr>
                <w:rFonts w:hint="eastAsia" w:ascii="宋体" w:hAnsi="宋体" w:eastAsia="宋体" w:cs="宋体"/>
                <w:i w:val="0"/>
                <w:color w:val="auto"/>
                <w:sz w:val="22"/>
                <w:szCs w:val="22"/>
                <w:highlight w:val="none"/>
                <w:u w:val="none"/>
              </w:rPr>
            </w:pPr>
            <w:r>
              <w:rPr>
                <w:rFonts w:hint="eastAsia"/>
                <w:color w:val="auto"/>
                <w:sz w:val="22"/>
                <w:szCs w:val="22"/>
                <w:highlight w:val="none"/>
                <w:lang w:val="en-US" w:eastAsia="zh-CN"/>
              </w:rPr>
              <w:t>3）不提供现场演示不得分；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C13CF73">
            <w:pPr>
              <w:keepNext w:val="0"/>
              <w:keepLines w:val="0"/>
              <w:widowControl/>
              <w:suppressLineNumbers w:val="0"/>
              <w:jc w:val="center"/>
              <w:textAlignment w:val="bottom"/>
              <w:rPr>
                <w:rFonts w:hint="default" w:ascii="宋体" w:hAnsi="宋体" w:eastAsia="宋体" w:cs="宋体"/>
                <w:i w:val="0"/>
                <w:color w:val="auto"/>
                <w:sz w:val="22"/>
                <w:szCs w:val="22"/>
                <w:highlight w:val="none"/>
                <w:u w:val="none"/>
                <w:lang w:val="en-US"/>
              </w:rPr>
            </w:pPr>
            <w:r>
              <w:rPr>
                <w:rFonts w:hint="eastAsia" w:ascii="等线" w:hAnsi="等线" w:eastAsia="等线" w:cs="等线"/>
                <w:i w:val="0"/>
                <w:iCs w:val="0"/>
                <w:color w:val="auto"/>
                <w:kern w:val="0"/>
                <w:sz w:val="22"/>
                <w:szCs w:val="22"/>
                <w:highlight w:val="none"/>
                <w:u w:val="none"/>
                <w:lang w:val="en-US" w:eastAsia="zh-CN" w:bidi="ar"/>
              </w:rPr>
              <w:t>7</w:t>
            </w:r>
          </w:p>
        </w:tc>
      </w:tr>
      <w:tr w14:paraId="094F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EBE0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bidi="ar-SA"/>
              </w:rPr>
            </w:pPr>
            <w:r>
              <w:rPr>
                <w:rFonts w:hint="default" w:hAnsi="宋体" w:cs="宋体"/>
                <w:i w:val="0"/>
                <w:color w:val="auto"/>
                <w:kern w:val="0"/>
                <w:sz w:val="22"/>
                <w:szCs w:val="22"/>
                <w:highlight w:val="none"/>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4F717B8D">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多轴CAM编程仿真及后处理软件视频演示</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1A827C4B">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投标人以U盘的方式提供视频演示多轴CAM编程仿真及后处理软件的以下功能</w:t>
            </w:r>
            <w:r>
              <w:rPr>
                <w:rFonts w:hint="eastAsia"/>
                <w:color w:val="auto"/>
                <w:sz w:val="22"/>
                <w:szCs w:val="22"/>
                <w:highlight w:val="none"/>
                <w:lang w:val="en-US" w:eastAsia="zh-CN"/>
              </w:rPr>
              <w:t>（本项目演示地点：海南省海口市美兰区蓝天路51号京航大酒店5楼评审室1）</w:t>
            </w:r>
            <w:r>
              <w:rPr>
                <w:rFonts w:hint="eastAsia" w:ascii="宋体" w:hAnsi="宋体" w:eastAsia="宋体" w:cs="宋体"/>
                <w:color w:val="auto"/>
                <w:kern w:val="0"/>
                <w:sz w:val="22"/>
                <w:szCs w:val="22"/>
                <w:highlight w:val="none"/>
                <w:lang w:val="en-US" w:eastAsia="zh-CN" w:bidi="ar"/>
              </w:rPr>
              <w:t>：</w:t>
            </w:r>
          </w:p>
          <w:p w14:paraId="7F0B9A16">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1.可优先选用具体的轴协调机床运动进行避免碰撞，考虑具体机床的运动结构。编程可以具体化，考虑机床的部件及具体的运动结，两根旋转轴选取具体哪一根优先防碰撞。提供了如下几个选择：</w:t>
            </w:r>
          </w:p>
          <w:p w14:paraId="2D4883DF">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2.具有回放功能：刀具路径可通过使用鼠标在模型上移动刀具来手动生成。定义后，软件将执行模型与刀具的碰撞检查。如果检测到碰撞，软件将修改刀具路径，将它们放置在模型的无碰撞点上。</w:t>
            </w:r>
          </w:p>
          <w:p w14:paraId="2C6E3E83">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3.五轴外形偏置粗加工：只需选取底面，就可以对整个模型进行5轴联动粗加工，刀路可以环绕的方式，同时可进行摆线式的5轴联动开粗；</w:t>
            </w:r>
          </w:p>
          <w:p w14:paraId="7840B1AC">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4.五轴外形偏置精加工：只需选取底面，就可以对侧壁或底面进行精加工，也可以进行5轴联动的清角加工；</w:t>
            </w:r>
          </w:p>
          <w:p w14:paraId="1B5C0DC8">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hAnsi="宋体" w:cs="宋体"/>
                <w:color w:val="auto"/>
                <w:kern w:val="0"/>
                <w:sz w:val="22"/>
                <w:szCs w:val="22"/>
                <w:highlight w:val="none"/>
                <w:lang w:val="en-US" w:eastAsia="zh-CN" w:bidi="ar"/>
              </w:rPr>
              <w:t>每成功完成1点</w:t>
            </w:r>
            <w:r>
              <w:rPr>
                <w:rFonts w:hint="eastAsia" w:ascii="宋体" w:hAnsi="宋体" w:eastAsia="宋体" w:cs="宋体"/>
                <w:color w:val="auto"/>
                <w:kern w:val="0"/>
                <w:sz w:val="22"/>
                <w:szCs w:val="22"/>
                <w:highlight w:val="none"/>
                <w:lang w:val="en-US" w:eastAsia="zh-CN" w:bidi="ar"/>
              </w:rPr>
              <w:t>演示内容，得</w:t>
            </w:r>
            <w:r>
              <w:rPr>
                <w:rFonts w:hint="eastAsia" w:hAnsi="宋体" w:cs="宋体"/>
                <w:color w:val="auto"/>
                <w:kern w:val="0"/>
                <w:sz w:val="22"/>
                <w:szCs w:val="22"/>
                <w:highlight w:val="none"/>
                <w:lang w:val="en-US" w:eastAsia="zh-CN" w:bidi="ar"/>
              </w:rPr>
              <w:t>1.5</w:t>
            </w:r>
            <w:r>
              <w:rPr>
                <w:rFonts w:hint="eastAsia" w:ascii="宋体" w:hAnsi="宋体" w:eastAsia="宋体" w:cs="宋体"/>
                <w:color w:val="auto"/>
                <w:kern w:val="0"/>
                <w:sz w:val="22"/>
                <w:szCs w:val="22"/>
                <w:highlight w:val="none"/>
                <w:lang w:val="en-US" w:eastAsia="zh-CN" w:bidi="ar"/>
              </w:rPr>
              <w:t>分</w:t>
            </w:r>
            <w:r>
              <w:rPr>
                <w:rFonts w:hint="eastAsia" w:hAnsi="宋体" w:cs="宋体"/>
                <w:color w:val="auto"/>
                <w:kern w:val="0"/>
                <w:sz w:val="22"/>
                <w:szCs w:val="22"/>
                <w:highlight w:val="none"/>
                <w:lang w:val="en-US" w:eastAsia="zh-CN" w:bidi="ar"/>
              </w:rPr>
              <w:t>，满分6分</w:t>
            </w:r>
            <w:r>
              <w:rPr>
                <w:rFonts w:hint="eastAsia" w:ascii="宋体" w:hAnsi="宋体" w:eastAsia="宋体" w:cs="宋体"/>
                <w:color w:val="auto"/>
                <w:kern w:val="0"/>
                <w:sz w:val="22"/>
                <w:szCs w:val="22"/>
                <w:highlight w:val="none"/>
                <w:lang w:val="en-US" w:eastAsia="zh-CN" w:bidi="ar"/>
              </w:rPr>
              <w:t>；</w:t>
            </w:r>
          </w:p>
          <w:p w14:paraId="71260642">
            <w:pPr>
              <w:keepNext w:val="0"/>
              <w:keepLines w:val="0"/>
              <w:widowControl/>
              <w:suppressLineNumbers w:val="0"/>
              <w:jc w:val="left"/>
              <w:rPr>
                <w:rFonts w:hint="eastAsia" w:hAnsi="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hAnsi="宋体" w:cs="宋体"/>
                <w:color w:val="auto"/>
                <w:kern w:val="0"/>
                <w:sz w:val="22"/>
                <w:szCs w:val="22"/>
                <w:highlight w:val="none"/>
                <w:lang w:val="en-US" w:eastAsia="zh-CN" w:bidi="ar"/>
              </w:rPr>
              <w:t>演示效果不符要求不得分；</w:t>
            </w:r>
          </w:p>
          <w:p w14:paraId="353668D8">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不提供现场演示不得分；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69DDDFB">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6</w:t>
            </w:r>
          </w:p>
        </w:tc>
      </w:tr>
      <w:tr w14:paraId="1F63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AB643">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default" w:hAnsi="宋体" w:cs="宋体"/>
                <w:i w:val="0"/>
                <w:color w:val="auto"/>
                <w:kern w:val="0"/>
                <w:sz w:val="22"/>
                <w:szCs w:val="22"/>
                <w:highlight w:val="none"/>
                <w:u w:val="none"/>
                <w:lang w:val="en-US" w:eastAsia="zh-CN" w:bidi="ar"/>
              </w:rPr>
              <w:t>6</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16D3E8EC">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工业互联协同制造MES系统视频演示</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62ABE528">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投标人以U盘的方式提供视频演示工业互联协同制造MES系统的以下功能</w:t>
            </w:r>
            <w:r>
              <w:rPr>
                <w:rFonts w:hint="eastAsia"/>
                <w:color w:val="auto"/>
                <w:sz w:val="22"/>
                <w:szCs w:val="22"/>
                <w:highlight w:val="none"/>
                <w:lang w:val="en-US" w:eastAsia="zh-CN"/>
              </w:rPr>
              <w:t>（本项目演示地点：海南省海口市美兰区蓝天路51号京航大酒店5楼评审室1）</w:t>
            </w:r>
            <w:r>
              <w:rPr>
                <w:rFonts w:hint="eastAsia" w:ascii="宋体" w:hAnsi="宋体" w:eastAsia="宋体" w:cs="宋体"/>
                <w:color w:val="auto"/>
                <w:kern w:val="0"/>
                <w:sz w:val="22"/>
                <w:szCs w:val="22"/>
                <w:highlight w:val="none"/>
                <w:lang w:val="en-US" w:eastAsia="zh-CN" w:bidi="ar"/>
              </w:rPr>
              <w:t>：</w:t>
            </w:r>
          </w:p>
          <w:p w14:paraId="29EF271A">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演示工单管理、派发，机器人自动接单功能。</w:t>
            </w:r>
          </w:p>
          <w:p w14:paraId="73CE35F0">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2、演示地图编辑，修改、增设虚拟器功能</w:t>
            </w:r>
          </w:p>
          <w:p w14:paraId="24CEECA1">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3、演示设备信息采集、展示功能（包括设备坐标信息、主轴信息、报警信息等）</w:t>
            </w:r>
          </w:p>
          <w:p w14:paraId="2ADFB323">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4、任务编辑、工序调整功能</w:t>
            </w:r>
          </w:p>
          <w:p w14:paraId="39BC83A3">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5、账户权限管理功能</w:t>
            </w:r>
          </w:p>
          <w:p w14:paraId="548D52B7">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1）每成功完成1点演示内容，得1分，满分5分；</w:t>
            </w:r>
          </w:p>
          <w:p w14:paraId="1360AAC0">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2）演示效果不符要求不得分；</w:t>
            </w:r>
          </w:p>
          <w:p w14:paraId="6325BFD7">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3）不提供现场演示不得分；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67161957">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5</w:t>
            </w:r>
          </w:p>
        </w:tc>
      </w:tr>
      <w:tr w14:paraId="368D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D131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bidi="ar-SA"/>
              </w:rPr>
            </w:pPr>
            <w:r>
              <w:rPr>
                <w:rFonts w:hint="default" w:hAnsi="宋体" w:cs="宋体"/>
                <w:i w:val="0"/>
                <w:color w:val="auto"/>
                <w:kern w:val="0"/>
                <w:sz w:val="22"/>
                <w:szCs w:val="22"/>
                <w:highlight w:val="none"/>
                <w:u w:val="none"/>
                <w:lang w:val="en-US" w:eastAsia="zh-CN" w:bidi="ar"/>
              </w:rPr>
              <w:t>7</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27EDB268">
            <w:pPr>
              <w:keepNext w:val="0"/>
              <w:keepLines w:val="0"/>
              <w:widowControl/>
              <w:suppressLineNumbers w:val="0"/>
              <w:jc w:val="left"/>
              <w:rPr>
                <w:rFonts w:hint="default" w:ascii="宋体" w:hAnsi="宋体" w:eastAsia="宋体" w:cs="宋体"/>
                <w:i w:val="0"/>
                <w:color w:val="auto"/>
                <w:sz w:val="22"/>
                <w:szCs w:val="22"/>
                <w:highlight w:val="none"/>
                <w:u w:val="none"/>
                <w:lang w:val="en-US" w:eastAsia="zh-CN"/>
              </w:rPr>
            </w:pPr>
            <w:r>
              <w:rPr>
                <w:rFonts w:ascii="????" w:hAnsi="????" w:eastAsia="????" w:cs="????"/>
                <w:color w:val="auto"/>
                <w:kern w:val="0"/>
                <w:sz w:val="21"/>
                <w:szCs w:val="21"/>
                <w:highlight w:val="none"/>
                <w:lang w:val="en-US" w:eastAsia="zh-CN" w:bidi="ar"/>
              </w:rPr>
              <w:t>项目售后服务方案</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0CB0D85C">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评标委员会根据各投标人提供的售后服务方案（包括：①投标人及所投产品制造商售后服务机构及对响应时间（投标单位须提供承诺函），②售后服务人员配备（投标人或所投产品制造商应有不少于</w:t>
            </w:r>
            <w:r>
              <w:rPr>
                <w:rFonts w:hint="eastAsia"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人的固定维护人员，至少提供不少于2人</w:t>
            </w:r>
            <w:r>
              <w:rPr>
                <w:rFonts w:hint="eastAsia" w:hAnsi="宋体" w:cs="宋体"/>
                <w:color w:val="auto"/>
                <w:kern w:val="0"/>
                <w:sz w:val="21"/>
                <w:szCs w:val="21"/>
                <w:highlight w:val="none"/>
                <w:lang w:val="en-US" w:eastAsia="zh-CN" w:bidi="ar"/>
              </w:rPr>
              <w:t>的专业证书</w:t>
            </w:r>
            <w:r>
              <w:rPr>
                <w:rFonts w:hint="eastAsia" w:ascii="宋体" w:hAnsi="宋体" w:eastAsia="宋体" w:cs="宋体"/>
                <w:color w:val="auto"/>
                <w:kern w:val="0"/>
                <w:sz w:val="21"/>
                <w:szCs w:val="21"/>
                <w:highlight w:val="none"/>
                <w:lang w:val="en-US" w:eastAsia="zh-CN" w:bidi="ar"/>
              </w:rPr>
              <w:t>及2023年1月1日至今连续3个月在本单位的社保证明复印件），③维护方式、维护提醒，④定期巡检制度，⑤售后服务体系及制度，⑥应急措施及预案，⑦备品备件及专用工具，⑧质保期后售后服务内容等）进行评审赋分：</w:t>
            </w:r>
          </w:p>
          <w:p w14:paraId="73373663">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（1）提供上述内容的，每提供一项得</w:t>
            </w:r>
            <w:r>
              <w:rPr>
                <w:rFonts w:hint="eastAsia" w:hAnsi="宋体" w:cs="宋体"/>
                <w:color w:val="auto"/>
                <w:kern w:val="0"/>
                <w:sz w:val="21"/>
                <w:szCs w:val="21"/>
                <w:highlight w:val="none"/>
                <w:lang w:val="en-US" w:eastAsia="zh-CN" w:bidi="ar"/>
              </w:rPr>
              <w:t>0.25</w:t>
            </w:r>
            <w:r>
              <w:rPr>
                <w:rFonts w:hint="eastAsia" w:ascii="宋体" w:hAnsi="宋体" w:eastAsia="宋体" w:cs="宋体"/>
                <w:color w:val="auto"/>
                <w:kern w:val="0"/>
                <w:sz w:val="21"/>
                <w:szCs w:val="21"/>
                <w:highlight w:val="none"/>
                <w:lang w:val="en-US" w:eastAsia="zh-CN" w:bidi="ar"/>
              </w:rPr>
              <w:t>分，满分</w:t>
            </w:r>
            <w:r>
              <w:rPr>
                <w:rFonts w:hint="eastAsia"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分，未提供则不得分。</w:t>
            </w:r>
          </w:p>
          <w:p w14:paraId="5CCC2DDA">
            <w:pPr>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1"/>
                <w:szCs w:val="21"/>
                <w:highlight w:val="none"/>
                <w:lang w:val="en-US" w:eastAsia="zh-CN" w:bidi="ar"/>
              </w:rPr>
              <w:t>（2）A.售后服务内容完整</w:t>
            </w:r>
            <w:r>
              <w:rPr>
                <w:rFonts w:hint="eastAsia" w:hAnsi="宋体" w:cs="宋体"/>
                <w:color w:val="auto"/>
                <w:kern w:val="0"/>
                <w:sz w:val="21"/>
                <w:szCs w:val="21"/>
                <w:highlight w:val="none"/>
                <w:lang w:val="en-US" w:eastAsia="zh-CN" w:bidi="ar"/>
              </w:rPr>
              <w:t>无堆叠：</w:t>
            </w:r>
            <w:r>
              <w:rPr>
                <w:rFonts w:hint="eastAsia" w:ascii="宋体" w:hAnsi="宋体" w:eastAsia="宋体" w:cs="宋体"/>
                <w:color w:val="auto"/>
                <w:kern w:val="0"/>
                <w:sz w:val="21"/>
                <w:szCs w:val="21"/>
                <w:highlight w:val="none"/>
                <w:lang w:val="en-US" w:eastAsia="zh-CN" w:bidi="ar"/>
              </w:rPr>
              <w:t>售后服务的合理性、可行性、针对性完全符合本项目实际情况的得</w:t>
            </w:r>
            <w:r>
              <w:rPr>
                <w:rFonts w:hint="eastAsia"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B.售后服务内容存在缺项漏项，售后服务的合理性、可行性，针对性基本符合本项目实际情况的得2分；C.售后服务内容严重缺失、售后服务的可行性、针对性不能符合本项目实际情况的得1分；D.无此项内容不得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618AA21">
            <w:pPr>
              <w:keepNext w:val="0"/>
              <w:keepLines w:val="0"/>
              <w:widowControl/>
              <w:suppressLineNumbers w:val="0"/>
              <w:jc w:val="center"/>
              <w:textAlignment w:val="bottom"/>
              <w:rPr>
                <w:rFonts w:hint="default" w:ascii="宋体" w:hAnsi="宋体" w:eastAsia="宋体" w:cs="宋体"/>
                <w:i w:val="0"/>
                <w:color w:val="auto"/>
                <w:sz w:val="22"/>
                <w:szCs w:val="22"/>
                <w:highlight w:val="none"/>
                <w:u w:val="none"/>
                <w:lang w:val="en-US"/>
              </w:rPr>
            </w:pPr>
            <w:r>
              <w:rPr>
                <w:rFonts w:hint="eastAsia" w:ascii="等线" w:hAnsi="等线" w:eastAsia="等线" w:cs="等线"/>
                <w:i w:val="0"/>
                <w:iCs w:val="0"/>
                <w:color w:val="auto"/>
                <w:kern w:val="0"/>
                <w:sz w:val="22"/>
                <w:szCs w:val="22"/>
                <w:highlight w:val="none"/>
                <w:u w:val="none"/>
                <w:lang w:val="en-US" w:eastAsia="zh-CN" w:bidi="ar"/>
              </w:rPr>
              <w:t>5</w:t>
            </w:r>
          </w:p>
        </w:tc>
      </w:tr>
      <w:tr w14:paraId="21C3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0BD6A36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default" w:hAnsi="宋体" w:cs="宋体"/>
                <w:i w:val="0"/>
                <w:color w:val="auto"/>
                <w:kern w:val="0"/>
                <w:sz w:val="22"/>
                <w:szCs w:val="22"/>
                <w:highlight w:val="none"/>
                <w:u w:val="none"/>
                <w:lang w:val="en-US" w:eastAsia="zh-CN" w:bidi="ar"/>
              </w:rPr>
              <w:t>8</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43A0A0C8">
            <w:pPr>
              <w:keepNext w:val="0"/>
              <w:keepLines w:val="0"/>
              <w:widowControl/>
              <w:suppressLineNumbers w:val="0"/>
              <w:jc w:val="left"/>
              <w:rPr>
                <w:rFonts w:hint="default" w:ascii="宋体" w:hAnsi="宋体" w:eastAsia="宋体" w:cs="宋体"/>
                <w:i w:val="0"/>
                <w:color w:val="auto"/>
                <w:sz w:val="22"/>
                <w:szCs w:val="22"/>
                <w:highlight w:val="none"/>
                <w:u w:val="none"/>
                <w:lang w:val="en-US" w:eastAsia="zh-CN"/>
              </w:rPr>
            </w:pPr>
            <w:r>
              <w:rPr>
                <w:rFonts w:ascii="????" w:hAnsi="????" w:eastAsia="????" w:cs="????"/>
                <w:color w:val="auto"/>
                <w:kern w:val="0"/>
                <w:sz w:val="21"/>
                <w:szCs w:val="21"/>
                <w:highlight w:val="none"/>
                <w:lang w:val="en-US" w:eastAsia="zh-CN" w:bidi="ar"/>
              </w:rPr>
              <w:t xml:space="preserve">项目培训方案 </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2C619B07">
            <w:pPr>
              <w:spacing w:line="28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评标委员会根据各投标人提供的培训方案进行评审赋分：内容包括但不限于①培训计划；②培训内容；③培训方式；</w:t>
            </w:r>
          </w:p>
          <w:p w14:paraId="7C0C7796">
            <w:pPr>
              <w:spacing w:line="28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上述三项内容分析描述要结合本项目的实际特点进行综合考虑。</w:t>
            </w:r>
          </w:p>
          <w:p w14:paraId="52DD4564">
            <w:pPr>
              <w:spacing w:line="28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（1）提供上述内容的，每提供一项得</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分，满分</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分，未提供则不得分。</w:t>
            </w:r>
          </w:p>
          <w:p w14:paraId="6B953790">
            <w:pPr>
              <w:rPr>
                <w:rFonts w:hint="eastAsia" w:ascii="宋体" w:hAnsi="宋体" w:eastAsia="宋体" w:cs="宋体"/>
                <w:i w:val="0"/>
                <w:color w:val="auto"/>
                <w:sz w:val="22"/>
                <w:szCs w:val="22"/>
                <w:highlight w:val="none"/>
                <w:u w:val="none"/>
              </w:rPr>
            </w:pPr>
            <w:r>
              <w:rPr>
                <w:rFonts w:hint="eastAsia" w:ascii="宋体" w:hAnsi="宋体" w:eastAsia="宋体" w:cs="宋体"/>
                <w:color w:val="auto"/>
                <w:sz w:val="22"/>
                <w:szCs w:val="22"/>
                <w:highlight w:val="none"/>
                <w:lang w:val="en-US" w:eastAsia="zh-CN"/>
              </w:rPr>
              <w:t>（2）A.方案内容完整</w:t>
            </w:r>
            <w:r>
              <w:rPr>
                <w:rFonts w:hint="eastAsia" w:hAnsi="宋体" w:cs="宋体"/>
                <w:color w:val="auto"/>
                <w:sz w:val="22"/>
                <w:szCs w:val="22"/>
                <w:highlight w:val="none"/>
                <w:lang w:val="en-US" w:eastAsia="zh-CN"/>
              </w:rPr>
              <w:t>无堆叠</w:t>
            </w:r>
            <w:r>
              <w:rPr>
                <w:rFonts w:hint="eastAsia" w:ascii="宋体" w:hAnsi="宋体" w:eastAsia="宋体" w:cs="宋体"/>
                <w:color w:val="auto"/>
                <w:sz w:val="22"/>
                <w:szCs w:val="22"/>
                <w:highlight w:val="none"/>
                <w:lang w:val="en-US" w:eastAsia="zh-CN"/>
              </w:rPr>
              <w:t>：每项内容的完整性、针对性、可操作性、清晰程度符合实际情况得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分；B.方案内容基本完整：描述内容的完整性、可操作性、清晰程度基本符合实际情况得</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分；C.方案内容缺项漏项不完整：描述内容的完整性、可操作性、清晰程度不符合实际情况得</w:t>
            </w:r>
            <w:r>
              <w:rPr>
                <w:rFonts w:hint="eastAsia"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分；D.不提供培训方案的得0分</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ADFFB8D">
            <w:pPr>
              <w:keepNext w:val="0"/>
              <w:keepLines w:val="0"/>
              <w:widowControl/>
              <w:suppressLineNumbers w:val="0"/>
              <w:jc w:val="center"/>
              <w:textAlignment w:val="bottom"/>
              <w:rPr>
                <w:rFonts w:hint="default" w:ascii="宋体" w:hAnsi="宋体" w:eastAsia="宋体" w:cs="宋体"/>
                <w:i w:val="0"/>
                <w:color w:val="auto"/>
                <w:sz w:val="22"/>
                <w:szCs w:val="22"/>
                <w:highlight w:val="none"/>
                <w:u w:val="none"/>
                <w:lang w:val="en-US"/>
              </w:rPr>
            </w:pPr>
            <w:r>
              <w:rPr>
                <w:rFonts w:hint="eastAsia" w:ascii="等线" w:hAnsi="等线" w:eastAsia="等线" w:cs="等线"/>
                <w:i w:val="0"/>
                <w:iCs w:val="0"/>
                <w:color w:val="auto"/>
                <w:kern w:val="0"/>
                <w:sz w:val="22"/>
                <w:szCs w:val="22"/>
                <w:highlight w:val="none"/>
                <w:u w:val="none"/>
                <w:lang w:val="en-US" w:eastAsia="zh-CN" w:bidi="ar"/>
              </w:rPr>
              <w:t>5</w:t>
            </w:r>
          </w:p>
        </w:tc>
      </w:tr>
      <w:tr w14:paraId="510A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35867206">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r>
              <w:rPr>
                <w:rFonts w:hint="default" w:hAnsi="宋体" w:cs="宋体"/>
                <w:i w:val="0"/>
                <w:color w:val="auto"/>
                <w:kern w:val="0"/>
                <w:sz w:val="22"/>
                <w:szCs w:val="22"/>
                <w:highlight w:val="none"/>
                <w:u w:val="none"/>
                <w:lang w:val="en-US" w:eastAsia="zh-CN" w:bidi="ar"/>
              </w:rPr>
              <w:t>9</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3F96F444">
            <w:pPr>
              <w:keepNext w:val="0"/>
              <w:keepLines w:val="0"/>
              <w:widowControl/>
              <w:suppressLineNumbers w:val="0"/>
              <w:jc w:val="left"/>
              <w:rPr>
                <w:rFonts w:hint="default" w:ascii="宋体" w:hAnsi="宋体" w:eastAsia="宋体" w:cs="宋体"/>
                <w:i w:val="0"/>
                <w:color w:val="auto"/>
                <w:sz w:val="22"/>
                <w:szCs w:val="22"/>
                <w:highlight w:val="none"/>
                <w:u w:val="none"/>
                <w:lang w:val="en-US" w:eastAsia="zh-CN"/>
              </w:rPr>
            </w:pPr>
            <w:r>
              <w:rPr>
                <w:rFonts w:ascii="????" w:hAnsi="????" w:eastAsia="????" w:cs="????"/>
                <w:color w:val="auto"/>
                <w:kern w:val="0"/>
                <w:sz w:val="21"/>
                <w:szCs w:val="21"/>
                <w:highlight w:val="none"/>
                <w:lang w:val="en-US" w:eastAsia="zh-CN" w:bidi="ar"/>
              </w:rPr>
              <w:t>类似业绩</w:t>
            </w:r>
          </w:p>
        </w:tc>
        <w:tc>
          <w:tcPr>
            <w:tcW w:w="5903" w:type="dxa"/>
            <w:tcBorders>
              <w:top w:val="single" w:color="000000" w:sz="4" w:space="0"/>
              <w:left w:val="single" w:color="000000" w:sz="4" w:space="0"/>
              <w:bottom w:val="single" w:color="000000" w:sz="4" w:space="0"/>
              <w:right w:val="single" w:color="000000" w:sz="4" w:space="0"/>
            </w:tcBorders>
            <w:noWrap w:val="0"/>
            <w:vAlign w:val="center"/>
          </w:tcPr>
          <w:p w14:paraId="222597C6">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投标人20</w:t>
            </w:r>
            <w:r>
              <w:rPr>
                <w:rFonts w:hint="eastAsia" w:hAnsi="宋体" w:cs="宋体"/>
                <w:i w:val="0"/>
                <w:color w:val="auto"/>
                <w:sz w:val="22"/>
                <w:szCs w:val="22"/>
                <w:highlight w:val="none"/>
                <w:u w:val="none"/>
                <w:lang w:val="en-US" w:eastAsia="zh-CN"/>
              </w:rPr>
              <w:t>21</w:t>
            </w:r>
            <w:r>
              <w:rPr>
                <w:rFonts w:hint="eastAsia" w:ascii="宋体" w:hAnsi="宋体" w:eastAsia="宋体" w:cs="宋体"/>
                <w:i w:val="0"/>
                <w:color w:val="auto"/>
                <w:sz w:val="22"/>
                <w:szCs w:val="22"/>
                <w:highlight w:val="none"/>
                <w:u w:val="none"/>
                <w:lang w:val="en-US" w:eastAsia="zh-CN"/>
              </w:rPr>
              <w:t>年1月1日（以合同签订时间为准）以来具有的类似项目业绩，提供一个项目得</w:t>
            </w:r>
            <w:r>
              <w:rPr>
                <w:rFonts w:hint="eastAsia" w:hAnsi="宋体" w:cs="宋体"/>
                <w:i w:val="0"/>
                <w:color w:val="auto"/>
                <w:sz w:val="22"/>
                <w:szCs w:val="22"/>
                <w:highlight w:val="none"/>
                <w:u w:val="none"/>
                <w:lang w:val="en-US" w:eastAsia="zh-CN"/>
              </w:rPr>
              <w:t>1</w:t>
            </w:r>
            <w:r>
              <w:rPr>
                <w:rFonts w:hint="eastAsia" w:ascii="宋体" w:hAnsi="宋体" w:eastAsia="宋体" w:cs="宋体"/>
                <w:i w:val="0"/>
                <w:color w:val="auto"/>
                <w:sz w:val="22"/>
                <w:szCs w:val="22"/>
                <w:highlight w:val="none"/>
                <w:u w:val="none"/>
                <w:lang w:val="en-US" w:eastAsia="zh-CN"/>
              </w:rPr>
              <w:t>分，满分</w:t>
            </w:r>
            <w:r>
              <w:rPr>
                <w:rFonts w:hint="eastAsia" w:hAnsi="宋体" w:cs="宋体"/>
                <w:i w:val="0"/>
                <w:color w:val="auto"/>
                <w:sz w:val="22"/>
                <w:szCs w:val="22"/>
                <w:highlight w:val="none"/>
                <w:u w:val="none"/>
                <w:lang w:val="en-US" w:eastAsia="zh-CN"/>
              </w:rPr>
              <w:t>2</w:t>
            </w:r>
            <w:r>
              <w:rPr>
                <w:rFonts w:hint="eastAsia" w:ascii="宋体" w:hAnsi="宋体" w:eastAsia="宋体" w:cs="宋体"/>
                <w:i w:val="0"/>
                <w:color w:val="auto"/>
                <w:sz w:val="22"/>
                <w:szCs w:val="22"/>
                <w:highlight w:val="none"/>
                <w:u w:val="none"/>
                <w:lang w:val="en-US" w:eastAsia="zh-CN"/>
              </w:rPr>
              <w:t>分。</w:t>
            </w:r>
          </w:p>
          <w:p w14:paraId="5BB131F8">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lang w:val="en-US" w:eastAsia="zh-CN"/>
              </w:rPr>
              <w:t>证明材料：需提供有效完整合同复印件作为评审依据</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1FE7E03">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w:t>
            </w:r>
          </w:p>
        </w:tc>
      </w:tr>
      <w:tr w14:paraId="50AA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B0A1B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695309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w:t>
            </w:r>
          </w:p>
        </w:tc>
      </w:tr>
    </w:tbl>
    <w:p w14:paraId="15A4E955">
      <w:pPr>
        <w:pStyle w:val="848"/>
        <w:spacing w:line="240" w:lineRule="auto"/>
        <w:rPr>
          <w:rFonts w:hint="eastAsia" w:ascii="宋体" w:hAnsi="宋体" w:eastAsia="宋体" w:cs="宋体"/>
          <w:b/>
          <w:bCs/>
          <w:color w:val="auto"/>
          <w:sz w:val="22"/>
          <w:szCs w:val="22"/>
          <w:highlight w:val="none"/>
          <w:lang w:val="en-US" w:eastAsia="zh-CN"/>
        </w:rPr>
      </w:pPr>
    </w:p>
    <w:p w14:paraId="200A22E0">
      <w:pPr>
        <w:pStyle w:val="848"/>
        <w:spacing w:line="240" w:lineRule="auto"/>
        <w:rPr>
          <w:rFonts w:hint="eastAsia" w:ascii="宋体" w:hAnsi="宋体" w:eastAsia="宋体" w:cs="宋体"/>
          <w:b/>
          <w:bCs/>
          <w:color w:val="FF0000"/>
          <w:sz w:val="22"/>
          <w:szCs w:val="22"/>
          <w:highlight w:val="none"/>
          <w:lang w:val="en-US" w:eastAsia="zh-CN"/>
        </w:rPr>
      </w:pPr>
    </w:p>
    <w:p w14:paraId="674A9CCE">
      <w:pPr>
        <w:pStyle w:val="848"/>
        <w:spacing w:line="240" w:lineRule="auto"/>
        <w:rPr>
          <w:rFonts w:hint="default" w:ascii="宋体" w:hAnsi="宋体" w:eastAsia="宋体" w:cs="宋体"/>
          <w:b/>
          <w:bCs/>
          <w:color w:val="FF0000"/>
          <w:sz w:val="22"/>
          <w:szCs w:val="22"/>
          <w:highlight w:val="none"/>
          <w:lang w:val="en-US" w:eastAsia="zh-CN"/>
        </w:rPr>
      </w:pPr>
      <w:r>
        <w:rPr>
          <w:rFonts w:hint="eastAsia" w:ascii="宋体" w:hAnsi="宋体" w:eastAsia="宋体" w:cs="宋体"/>
          <w:b/>
          <w:bCs/>
          <w:color w:val="FF0000"/>
          <w:sz w:val="22"/>
          <w:szCs w:val="22"/>
          <w:highlight w:val="none"/>
          <w:lang w:val="en-US" w:eastAsia="zh-CN"/>
        </w:rPr>
        <w:t>注：</w:t>
      </w:r>
      <w:r>
        <w:rPr>
          <w:rFonts w:hint="eastAsia" w:ascii="宋体" w:hAnsi="宋体" w:cs="宋体"/>
          <w:b/>
          <w:bCs/>
          <w:color w:val="FF0000"/>
          <w:sz w:val="22"/>
          <w:szCs w:val="22"/>
          <w:highlight w:val="none"/>
          <w:lang w:val="en-US" w:eastAsia="zh-CN"/>
        </w:rPr>
        <w:t>本项目产品涉及演示，请各投标人携带授权委托书及身份证原件于2024年10月28日10:30到达海南省海口市美兰区蓝天路 51号京航大酒店5楼评审室1进行演示（如未到达，视为放弃本次演示）</w:t>
      </w:r>
    </w:p>
    <w:bookmarkEnd w:id="107"/>
    <w:p w14:paraId="6E58DF3A">
      <w:pPr>
        <w:pStyle w:val="848"/>
        <w:spacing w:line="240" w:lineRule="auto"/>
        <w:rPr>
          <w:rFonts w:hint="eastAsia" w:ascii="宋体" w:hAnsi="宋体" w:eastAsia="宋体" w:cs="宋体"/>
          <w:color w:val="auto"/>
          <w:sz w:val="22"/>
          <w:szCs w:val="22"/>
          <w:highlight w:val="none"/>
          <w:lang w:val="en-US" w:eastAsia="zh-CN"/>
        </w:rPr>
      </w:pPr>
    </w:p>
    <w:bookmarkEnd w:id="102"/>
    <w:bookmarkEnd w:id="103"/>
    <w:p w14:paraId="0E642DA5">
      <w:pPr>
        <w:pStyle w:val="2"/>
        <w:pageBreakBefore/>
        <w:numPr>
          <w:ilvl w:val="0"/>
          <w:numId w:val="5"/>
        </w:numPr>
        <w:spacing w:before="0" w:after="0" w:line="276" w:lineRule="auto"/>
        <w:rPr>
          <w:rFonts w:hint="eastAsia" w:ascii="仿宋" w:hAnsi="仿宋" w:eastAsia="仿宋"/>
          <w:color w:val="auto"/>
          <w:sz w:val="44"/>
          <w:szCs w:val="44"/>
          <w:highlight w:val="none"/>
        </w:rPr>
      </w:pPr>
      <w:bookmarkStart w:id="104" w:name="_Toc19540"/>
      <w:r>
        <w:rPr>
          <w:rFonts w:hint="eastAsia" w:ascii="仿宋" w:hAnsi="仿宋" w:eastAsia="仿宋"/>
          <w:color w:val="auto"/>
          <w:sz w:val="44"/>
          <w:szCs w:val="44"/>
          <w:highlight w:val="none"/>
        </w:rPr>
        <w:t>合同条款及格式</w:t>
      </w:r>
      <w:bookmarkEnd w:id="104"/>
    </w:p>
    <w:p w14:paraId="0951BB44">
      <w:pPr>
        <w:pStyle w:val="22"/>
        <w:jc w:val="left"/>
        <w:rPr>
          <w:rFonts w:hint="eastAsia" w:ascii="方正小标宋简体" w:eastAsia="方正小标宋简体"/>
          <w:bCs/>
          <w:color w:val="auto"/>
          <w:sz w:val="44"/>
          <w:szCs w:val="44"/>
          <w:highlight w:val="none"/>
          <w:lang w:eastAsia="zh-CN"/>
        </w:rPr>
      </w:pPr>
      <w:bookmarkStart w:id="105" w:name="_Toc495679415"/>
      <w:bookmarkStart w:id="106" w:name="_Toc15636"/>
      <w:r>
        <w:rPr>
          <w:rFonts w:hint="eastAsia" w:ascii="宋体" w:hAnsi="Times New Roman" w:eastAsia="宋体" w:cs="Times New Roman"/>
          <w:b/>
          <w:color w:val="auto"/>
          <w:kern w:val="0"/>
          <w:sz w:val="24"/>
          <w:szCs w:val="20"/>
          <w:highlight w:val="none"/>
          <w:lang w:val="en-US" w:eastAsia="zh-CN" w:bidi="ar-SA"/>
        </w:rPr>
        <w:t>特别声明：本合同标的经采购代理机构依法定程序采购，本合同主要条款仅作为本次招标参考条款，最终有效合同以双方签字盖章生效版本为准。</w:t>
      </w:r>
    </w:p>
    <w:p w14:paraId="5DB3A9AB">
      <w:pPr>
        <w:spacing w:before="19"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通用合同条款</w:t>
      </w:r>
    </w:p>
    <w:p w14:paraId="1E8973AB">
      <w:pPr>
        <w:spacing w:line="360" w:lineRule="auto"/>
        <w:jc w:val="center"/>
        <w:rPr>
          <w:rFonts w:hint="eastAsia"/>
          <w:b/>
          <w:color w:val="auto"/>
          <w:sz w:val="24"/>
          <w:highlight w:val="none"/>
        </w:rPr>
      </w:pPr>
      <w:r>
        <w:rPr>
          <w:rFonts w:hint="eastAsia"/>
          <w:b/>
          <w:color w:val="auto"/>
          <w:sz w:val="24"/>
          <w:highlight w:val="none"/>
        </w:rPr>
        <w:t>（略）</w:t>
      </w:r>
    </w:p>
    <w:p w14:paraId="5D69F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sz w:val="32"/>
          <w:szCs w:val="32"/>
          <w:highlight w:val="none"/>
        </w:rPr>
      </w:pPr>
      <w:r>
        <w:rPr>
          <w:rFonts w:hint="eastAsia"/>
          <w:b/>
          <w:color w:val="auto"/>
          <w:sz w:val="32"/>
          <w:szCs w:val="32"/>
          <w:highlight w:val="none"/>
        </w:rPr>
        <w:t>合同专用条款部分</w:t>
      </w:r>
    </w:p>
    <w:p w14:paraId="44115328">
      <w:pPr>
        <w:spacing w:before="19" w:line="360" w:lineRule="auto"/>
        <w:rPr>
          <w:rFonts w:hint="eastAsia" w:ascii="宋体" w:hAnsi="宋体"/>
          <w:color w:val="auto"/>
          <w:sz w:val="24"/>
          <w:highlight w:val="none"/>
        </w:rPr>
      </w:pPr>
    </w:p>
    <w:p w14:paraId="4F4FED4C">
      <w:pPr>
        <w:pStyle w:val="14"/>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合同编号：XXXX。</w:t>
      </w:r>
    </w:p>
    <w:p w14:paraId="260DF7F4">
      <w:pPr>
        <w:pStyle w:val="14"/>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签订地点：XXXX。</w:t>
      </w:r>
    </w:p>
    <w:p w14:paraId="447BCE40">
      <w:pPr>
        <w:pStyle w:val="14"/>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签订时间：XXXX年XX月XX日。</w:t>
      </w:r>
    </w:p>
    <w:p w14:paraId="67D5D9D9">
      <w:pPr>
        <w:pStyle w:val="14"/>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采购人（甲方）：   </w:t>
      </w:r>
    </w:p>
    <w:p w14:paraId="69C610A1">
      <w:pPr>
        <w:pStyle w:val="14"/>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投标人（乙方）：</w:t>
      </w:r>
    </w:p>
    <w:p w14:paraId="08D1C76E">
      <w:pPr>
        <w:snapToGrid w:val="0"/>
        <w:spacing w:before="19"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DD67CAC">
      <w:pPr>
        <w:snapToGrid w:val="0"/>
        <w:spacing w:before="19"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项目（项目编号: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）竞争性磋商招标结果及招磋商文件的要求,经协商一致,达成以下意见。</w:t>
      </w:r>
    </w:p>
    <w:p w14:paraId="34B6A108">
      <w:pPr>
        <w:snapToGrid w:val="0"/>
        <w:spacing w:before="19"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（具体条款由甲、乙双方依据本项目招标文件、乙方投标文件进行协商。）</w:t>
      </w:r>
    </w:p>
    <w:p w14:paraId="3F4F15FD">
      <w:pPr>
        <w:numPr>
          <w:ilvl w:val="0"/>
          <w:numId w:val="14"/>
        </w:numPr>
        <w:snapToGrid w:val="0"/>
        <w:spacing w:before="19"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合同纠纷处理</w:t>
      </w:r>
    </w:p>
    <w:p w14:paraId="6E5988EC">
      <w:pPr>
        <w:tabs>
          <w:tab w:val="left" w:pos="1980"/>
        </w:tabs>
        <w:snapToGrid w:val="0"/>
        <w:spacing w:before="19" w:line="5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本合同执行过程中发生纠纷，作如下处理：</w:t>
      </w:r>
    </w:p>
    <w:p w14:paraId="095B3C82">
      <w:pPr>
        <w:tabs>
          <w:tab w:val="left" w:pos="1980"/>
        </w:tabs>
        <w:snapToGrid w:val="0"/>
        <w:spacing w:before="19" w:line="5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1、申请仲裁。仲裁机构为海南仲裁委员会。</w:t>
      </w:r>
    </w:p>
    <w:p w14:paraId="67F88F95">
      <w:pPr>
        <w:tabs>
          <w:tab w:val="left" w:pos="1980"/>
        </w:tabs>
        <w:snapToGrid w:val="0"/>
        <w:spacing w:before="19" w:line="5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2、提起诉讼。诉讼地点为采购人所在地。</w:t>
      </w:r>
    </w:p>
    <w:p w14:paraId="6D22F97B">
      <w:pPr>
        <w:numPr>
          <w:ilvl w:val="0"/>
          <w:numId w:val="14"/>
        </w:numPr>
        <w:snapToGrid w:val="0"/>
        <w:spacing w:before="19"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合同生效</w:t>
      </w:r>
    </w:p>
    <w:p w14:paraId="5EB477B0">
      <w:pPr>
        <w:snapToGrid w:val="0"/>
        <w:spacing w:before="19" w:line="500" w:lineRule="exact"/>
        <w:ind w:left="555"/>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本合同由甲乙双方签字盖章后生效。</w:t>
      </w:r>
    </w:p>
    <w:p w14:paraId="3AD4F7C2">
      <w:pPr>
        <w:snapToGrid w:val="0"/>
        <w:spacing w:before="19" w:line="500" w:lineRule="exact"/>
        <w:ind w:left="555"/>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p w14:paraId="0BDE0AE1">
      <w:pPr>
        <w:tabs>
          <w:tab w:val="center" w:pos="4275"/>
        </w:tabs>
        <w:snapToGrid w:val="0"/>
        <w:spacing w:before="19" w:line="500" w:lineRule="exact"/>
        <w:ind w:left="555"/>
        <w:rPr>
          <w:rFonts w:hint="eastAsia" w:ascii="仿宋" w:hAnsi="仿宋" w:eastAsia="仿宋" w:cs="仿宋"/>
          <w:color w:val="auto"/>
          <w:sz w:val="24"/>
          <w:highlight w:val="none"/>
        </w:rPr>
      </w:pPr>
    </w:p>
    <w:p w14:paraId="6853E699">
      <w:pPr>
        <w:numPr>
          <w:ilvl w:val="0"/>
          <w:numId w:val="14"/>
        </w:numPr>
        <w:snapToGrid w:val="0"/>
        <w:spacing w:before="19"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合同鉴证</w:t>
      </w:r>
    </w:p>
    <w:p w14:paraId="1867368B">
      <w:pPr>
        <w:snapToGrid w:val="0"/>
        <w:spacing w:before="19" w:line="5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招标人应当在本合同上签章，以证明本合同条款与采购文件、投标文件的相关要求相符并且未对采购货物（或服务）和技术参数进行实质性修改。</w:t>
      </w:r>
    </w:p>
    <w:p w14:paraId="68477E6A">
      <w:pPr>
        <w:numPr>
          <w:ilvl w:val="0"/>
          <w:numId w:val="14"/>
        </w:numPr>
        <w:snapToGrid w:val="0"/>
        <w:spacing w:before="19"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组成本合同的文件包括：</w:t>
      </w:r>
    </w:p>
    <w:p w14:paraId="7C1A2F10">
      <w:pPr>
        <w:snapToGrid w:val="0"/>
        <w:spacing w:before="19" w:line="500" w:lineRule="exact"/>
        <w:ind w:left="555"/>
        <w:rPr>
          <w:rFonts w:hint="eastAsia" w:ascii="仿宋" w:hAnsi="仿宋" w:eastAsia="仿宋" w:cs="仿宋"/>
          <w:color w:val="auto"/>
          <w:sz w:val="24"/>
          <w:highlight w:val="none"/>
        </w:rPr>
      </w:pPr>
      <w:r>
        <w:rPr>
          <w:rFonts w:hint="eastAsia" w:ascii="仿宋" w:hAnsi="仿宋" w:eastAsia="仿宋" w:cs="仿宋"/>
          <w:color w:val="auto"/>
          <w:sz w:val="24"/>
          <w:highlight w:val="none"/>
        </w:rPr>
        <w:t>（一）本项目招标文件；</w:t>
      </w:r>
    </w:p>
    <w:p w14:paraId="66C57893">
      <w:pPr>
        <w:snapToGrid w:val="0"/>
        <w:spacing w:before="19" w:line="500" w:lineRule="exact"/>
        <w:ind w:left="555"/>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（二）乙方的投标文件和询标时乙方的书面承诺（如有）；</w:t>
      </w:r>
    </w:p>
    <w:p w14:paraId="19809ADC">
      <w:pPr>
        <w:snapToGrid w:val="0"/>
        <w:spacing w:before="19" w:line="500" w:lineRule="exact"/>
        <w:ind w:left="555"/>
        <w:rPr>
          <w:rFonts w:hint="eastAsia" w:ascii="仿宋" w:hAnsi="仿宋" w:eastAsia="仿宋" w:cs="仿宋"/>
          <w:color w:val="auto"/>
          <w:sz w:val="24"/>
          <w:highlight w:val="none"/>
        </w:rPr>
      </w:pPr>
      <w:r>
        <w:rPr>
          <w:rFonts w:hint="eastAsia" w:ascii="仿宋" w:hAnsi="仿宋" w:eastAsia="仿宋" w:cs="仿宋"/>
          <w:color w:val="auto"/>
          <w:sz w:val="24"/>
          <w:highlight w:val="none"/>
        </w:rPr>
        <w:t>（三）中标通知书；</w:t>
      </w:r>
    </w:p>
    <w:p w14:paraId="0F0833BC">
      <w:pPr>
        <w:snapToGrid w:val="0"/>
        <w:spacing w:before="19" w:line="500" w:lineRule="exact"/>
        <w:ind w:left="555"/>
        <w:rPr>
          <w:rFonts w:hint="eastAsia" w:ascii="仿宋" w:hAnsi="仿宋" w:eastAsia="仿宋" w:cs="仿宋"/>
          <w:color w:val="auto"/>
          <w:sz w:val="24"/>
          <w:highlight w:val="none"/>
        </w:rPr>
      </w:pPr>
      <w:r>
        <w:rPr>
          <w:rFonts w:hint="eastAsia" w:ascii="仿宋" w:hAnsi="仿宋" w:eastAsia="仿宋" w:cs="仿宋"/>
          <w:color w:val="auto"/>
          <w:sz w:val="24"/>
          <w:highlight w:val="none"/>
        </w:rPr>
        <w:t>（四）甲乙双方商定的其他必要文件。</w:t>
      </w:r>
    </w:p>
    <w:p w14:paraId="02D9F751">
      <w:pPr>
        <w:snapToGrid w:val="0"/>
        <w:spacing w:before="19" w:line="5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上述合同文件内容互为补充，如有不明确，由甲方负责解释。</w:t>
      </w:r>
    </w:p>
    <w:p w14:paraId="253F4A86">
      <w:pPr>
        <w:snapToGrid w:val="0"/>
        <w:spacing w:before="19" w:line="500" w:lineRule="exact"/>
        <w:ind w:firstLine="480" w:firstLineChars="200"/>
        <w:rPr>
          <w:rFonts w:hint="eastAsia" w:ascii="仿宋" w:hAnsi="仿宋" w:eastAsia="仿宋" w:cs="仿宋"/>
          <w:bCs/>
          <w:color w:val="auto"/>
          <w:sz w:val="24"/>
          <w:highlight w:val="none"/>
        </w:rPr>
      </w:pPr>
    </w:p>
    <w:p w14:paraId="2A49A58A">
      <w:pPr>
        <w:numPr>
          <w:ilvl w:val="0"/>
          <w:numId w:val="14"/>
        </w:numPr>
        <w:snapToGrid w:val="0"/>
        <w:spacing w:before="19"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合同备案</w:t>
      </w:r>
    </w:p>
    <w:p w14:paraId="731345FD">
      <w:pPr>
        <w:snapToGrid w:val="0"/>
        <w:spacing w:before="19" w:line="5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本合同一式</w:t>
      </w: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份，中文书写。甲方</w:t>
      </w: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份、乙方</w:t>
      </w: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份、招标代理机构</w:t>
      </w:r>
      <w:r>
        <w:rPr>
          <w:rFonts w:hint="eastAsia" w:ascii="仿宋" w:hAnsi="仿宋" w:eastAsia="仿宋" w:cs="仿宋"/>
          <w:b/>
          <w:bCs/>
          <w:color w:val="auto"/>
          <w:sz w:val="24"/>
          <w:highlight w:val="none"/>
          <w:u w:val="single"/>
        </w:rPr>
        <w:t xml:space="preserve">  两 </w:t>
      </w:r>
      <w:r>
        <w:rPr>
          <w:rFonts w:hint="eastAsia" w:ascii="仿宋" w:hAnsi="仿宋" w:eastAsia="仿宋" w:cs="仿宋"/>
          <w:bCs/>
          <w:color w:val="auto"/>
          <w:sz w:val="24"/>
          <w:highlight w:val="none"/>
        </w:rPr>
        <w:t>份。</w:t>
      </w:r>
    </w:p>
    <w:p w14:paraId="5CB34440">
      <w:pPr>
        <w:snapToGrid w:val="0"/>
        <w:spacing w:before="19"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u w:val="single"/>
        </w:rPr>
        <w:t xml:space="preserve">                   （盖章）</w:t>
      </w:r>
      <w:r>
        <w:rPr>
          <w:rFonts w:hint="eastAsia" w:ascii="仿宋" w:hAnsi="仿宋" w:eastAsia="仿宋" w:cs="仿宋"/>
          <w:b/>
          <w:color w:val="auto"/>
          <w:sz w:val="24"/>
          <w:highlight w:val="none"/>
        </w:rPr>
        <w:t xml:space="preserve">     乙方：</w:t>
      </w:r>
      <w:r>
        <w:rPr>
          <w:rFonts w:hint="eastAsia" w:ascii="仿宋" w:hAnsi="仿宋" w:eastAsia="仿宋" w:cs="仿宋"/>
          <w:b/>
          <w:color w:val="auto"/>
          <w:sz w:val="24"/>
          <w:highlight w:val="none"/>
          <w:u w:val="single"/>
        </w:rPr>
        <w:t xml:space="preserve">                  （盖章）</w:t>
      </w:r>
    </w:p>
    <w:p w14:paraId="23090FFA">
      <w:pPr>
        <w:snapToGrid w:val="0"/>
        <w:spacing w:before="19" w:line="500" w:lineRule="exact"/>
        <w:rPr>
          <w:rFonts w:hint="eastAsia" w:ascii="仿宋" w:hAnsi="仿宋" w:eastAsia="仿宋" w:cs="仿宋"/>
          <w:b/>
          <w:color w:val="auto"/>
          <w:sz w:val="24"/>
          <w:highlight w:val="none"/>
          <w:u w:val="single"/>
        </w:rPr>
      </w:pPr>
    </w:p>
    <w:p w14:paraId="196CB101">
      <w:pPr>
        <w:snapToGrid w:val="0"/>
        <w:spacing w:before="19"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rPr>
        <w:t xml:space="preserve">                           </w:t>
      </w:r>
    </w:p>
    <w:p w14:paraId="244CB9EF">
      <w:pPr>
        <w:snapToGrid w:val="0"/>
        <w:spacing w:before="19"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法定（或授权）代表人：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法定（或授权）代表人：</w:t>
      </w:r>
      <w:r>
        <w:rPr>
          <w:rFonts w:hint="eastAsia" w:ascii="仿宋" w:hAnsi="仿宋" w:eastAsia="仿宋" w:cs="仿宋"/>
          <w:color w:val="auto"/>
          <w:sz w:val="24"/>
          <w:highlight w:val="none"/>
          <w:u w:val="single"/>
        </w:rPr>
        <w:t xml:space="preserve">            </w:t>
      </w:r>
    </w:p>
    <w:p w14:paraId="58775681">
      <w:pPr>
        <w:snapToGrid w:val="0"/>
        <w:spacing w:before="19"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034D634">
      <w:pPr>
        <w:snapToGrid w:val="0"/>
        <w:spacing w:before="19" w:line="500" w:lineRule="exact"/>
        <w:rPr>
          <w:rFonts w:hint="eastAsia" w:ascii="仿宋" w:hAnsi="仿宋" w:eastAsia="仿宋" w:cs="仿宋"/>
          <w:b/>
          <w:color w:val="auto"/>
          <w:sz w:val="24"/>
          <w:highlight w:val="none"/>
        </w:rPr>
      </w:pPr>
    </w:p>
    <w:p w14:paraId="4C3A1B69">
      <w:pPr>
        <w:snapToGrid w:val="0"/>
        <w:spacing w:before="19" w:line="500" w:lineRule="exact"/>
        <w:rPr>
          <w:rFonts w:hint="eastAsia" w:ascii="仿宋" w:hAnsi="仿宋" w:eastAsia="仿宋" w:cs="仿宋"/>
          <w:b/>
          <w:color w:val="auto"/>
          <w:sz w:val="28"/>
          <w:highlight w:val="none"/>
          <w:u w:val="single"/>
        </w:rPr>
      </w:pPr>
      <w:r>
        <w:rPr>
          <w:rFonts w:hint="eastAsia" w:ascii="仿宋" w:hAnsi="仿宋" w:eastAsia="仿宋" w:cs="仿宋"/>
          <w:b/>
          <w:color w:val="auto"/>
          <w:sz w:val="28"/>
          <w:highlight w:val="none"/>
        </w:rPr>
        <w:t>招标代理机构：</w:t>
      </w:r>
      <w:r>
        <w:rPr>
          <w:rFonts w:hint="eastAsia" w:ascii="仿宋" w:hAnsi="仿宋" w:eastAsia="仿宋" w:cs="仿宋"/>
          <w:b/>
          <w:color w:val="auto"/>
          <w:sz w:val="28"/>
          <w:highlight w:val="none"/>
          <w:u w:val="single"/>
          <w:lang w:eastAsia="zh-CN"/>
        </w:rPr>
        <w:t>海南政德项目管理有限公司</w:t>
      </w:r>
      <w:r>
        <w:rPr>
          <w:rFonts w:hint="eastAsia" w:ascii="仿宋" w:hAnsi="仿宋" w:eastAsia="仿宋" w:cs="仿宋"/>
          <w:b/>
          <w:color w:val="auto"/>
          <w:sz w:val="28"/>
          <w:highlight w:val="none"/>
          <w:u w:val="single"/>
        </w:rPr>
        <w:t>（盖章）</w:t>
      </w:r>
    </w:p>
    <w:p w14:paraId="4E9CC693">
      <w:pPr>
        <w:snapToGrid w:val="0"/>
        <w:spacing w:before="19" w:line="500" w:lineRule="exact"/>
        <w:rPr>
          <w:rFonts w:hint="eastAsia" w:ascii="仿宋" w:hAnsi="仿宋" w:eastAsia="仿宋" w:cs="仿宋"/>
          <w:color w:val="auto"/>
          <w:sz w:val="28"/>
          <w:highlight w:val="none"/>
        </w:rPr>
      </w:pPr>
      <w:r>
        <w:rPr>
          <w:rFonts w:hint="eastAsia" w:ascii="仿宋" w:hAnsi="仿宋" w:eastAsia="仿宋" w:cs="仿宋"/>
          <w:color w:val="auto"/>
          <w:sz w:val="28"/>
          <w:highlight w:val="none"/>
        </w:rPr>
        <w:t>经办人：</w:t>
      </w:r>
      <w:r>
        <w:rPr>
          <w:rFonts w:hint="eastAsia" w:ascii="仿宋" w:hAnsi="仿宋" w:eastAsia="仿宋" w:cs="仿宋"/>
          <w:color w:val="auto"/>
          <w:sz w:val="28"/>
          <w:highlight w:val="none"/>
          <w:u w:val="single"/>
        </w:rPr>
        <w:t xml:space="preserve">       </w:t>
      </w:r>
    </w:p>
    <w:p w14:paraId="3ADEB54B">
      <w:pP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日</w:t>
      </w:r>
    </w:p>
    <w:bookmarkEnd w:id="55"/>
    <w:bookmarkEnd w:id="56"/>
    <w:bookmarkEnd w:id="105"/>
    <w:bookmarkEnd w:id="106"/>
    <w:p w14:paraId="5D7621CF">
      <w:pPr>
        <w:rPr>
          <w:rFonts w:asciiTheme="minorEastAsia" w:hAnsiTheme="minorEastAsia" w:eastAsiaTheme="minorEastAsia" w:cstheme="minorEastAsia"/>
          <w:color w:val="auto"/>
          <w:sz w:val="24"/>
          <w:szCs w:val="24"/>
          <w:highlight w:val="none"/>
        </w:rPr>
      </w:pPr>
    </w:p>
    <w:sectPr>
      <w:footerReference r:id="rId8" w:type="first"/>
      <w:footerReference r:id="rId7" w:type="default"/>
      <w:pgSz w:w="11906" w:h="16838"/>
      <w:pgMar w:top="1440" w:right="1418" w:bottom="1259"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DE396BB-BD47-45D3-8E8B-A181F392B0DF}"/>
  </w:font>
  <w:font w:name="Arial">
    <w:panose1 w:val="020B0604020202020204"/>
    <w:charset w:val="01"/>
    <w:family w:val="swiss"/>
    <w:pitch w:val="default"/>
    <w:sig w:usb0="E0002EFF" w:usb1="C000785B" w:usb2="00000009" w:usb3="00000000" w:csb0="400001FF" w:csb1="FFFF0000"/>
    <w:embedRegular r:id="rId2" w:fontKey="{790B144B-6D0E-468A-A765-77DC0CAC15FC}"/>
  </w:font>
  <w:font w:name="黑体">
    <w:panose1 w:val="02010609060101010101"/>
    <w:charset w:val="86"/>
    <w:family w:val="auto"/>
    <w:pitch w:val="default"/>
    <w:sig w:usb0="800002BF" w:usb1="38CF7CFA" w:usb2="00000016" w:usb3="00000000" w:csb0="00040001" w:csb1="00000000"/>
    <w:embedRegular r:id="rId3" w:fontKey="{B59824E1-15FA-4C48-A7DB-4FE58CA711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Futura Bk">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BoldItalic">
    <w:altName w:val="Arial"/>
    <w:panose1 w:val="00000000000000000000"/>
    <w:charset w:val="00"/>
    <w:family w:val="swiss"/>
    <w:pitch w:val="default"/>
    <w:sig w:usb0="00000000" w:usb1="00000000" w:usb2="00000000" w:usb3="00000000" w:csb0="00000001" w:csb1="00000000"/>
  </w:font>
  <w:font w:name="New Century Schlbk">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_GB2312">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G Times">
    <w:altName w:val="Segoe Print"/>
    <w:panose1 w:val="00000000000000000000"/>
    <w:charset w:val="00"/>
    <w:family w:val="roman"/>
    <w:pitch w:val="default"/>
    <w:sig w:usb0="00000000" w:usb1="00000000" w:usb2="00000000" w:usb3="00000000" w:csb0="00000000" w:csb1="00000000"/>
  </w:font>
  <w:font w:name="Times New Roman;Symbol;Arial;婼">
    <w:altName w:val="Segoe Print"/>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Arial Black">
    <w:panose1 w:val="020B0A04020102020204"/>
    <w:charset w:val="00"/>
    <w:family w:val="swiss"/>
    <w:pitch w:val="default"/>
    <w:sig w:usb0="A00002AF" w:usb1="400078FB" w:usb2="00000000" w:usb3="00000000" w:csb0="6000009F" w:csb1="DFD70000"/>
  </w:font>
  <w:font w:name="Geneva">
    <w:altName w:val="Arial"/>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4" w:fontKey="{06DC98D9-425B-4127-B239-574ECC67DFC5}"/>
  </w:font>
  <w:font w:name="微软雅黑">
    <w:panose1 w:val="020B0503020204020204"/>
    <w:charset w:val="86"/>
    <w:family w:val="swiss"/>
    <w:pitch w:val="default"/>
    <w:sig w:usb0="80000287" w:usb1="2ACF3C50"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5" w:fontKey="{887A4596-ABEB-4A96-9932-8FEB3AC17DC6}"/>
  </w:font>
  <w:font w:name="????">
    <w:altName w:val="Segoe Print"/>
    <w:panose1 w:val="00000000000000000000"/>
    <w:charset w:val="00"/>
    <w:family w:val="auto"/>
    <w:pitch w:val="default"/>
    <w:sig w:usb0="00000000" w:usb1="00000000" w:usb2="00000000" w:usb3="00000000" w:csb0="00000000" w:csb1="00000000"/>
    <w:embedRegular r:id="rId6" w:fontKey="{8623C6C0-5737-4D2B-AA4D-FD60F2C9E876}"/>
  </w:font>
  <w:font w:name="方正小标宋简体">
    <w:panose1 w:val="02000000000000000000"/>
    <w:charset w:val="86"/>
    <w:family w:val="auto"/>
    <w:pitch w:val="default"/>
    <w:sig w:usb0="00000001" w:usb1="08000000" w:usb2="00000000" w:usb3="00000000" w:csb0="00040000" w:csb1="00000000"/>
    <w:embedRegular r:id="rId7" w:fontKey="{99F48FC9-BE49-4617-A6A8-274E98EF124F}"/>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C355">
    <w:pPr>
      <w:tabs>
        <w:tab w:val="center" w:pos="4410"/>
      </w:tabs>
      <w:autoSpaceDE w:val="0"/>
      <w:autoSpaceDN w:val="0"/>
      <w:snapToGrid w:val="0"/>
      <w:rPr>
        <w:rFonts w:ascii="仿宋" w:hAnsi="仿宋" w:eastAsia="仿宋"/>
        <w:sz w:val="18"/>
        <w:szCs w:val="18"/>
        <w:lang w:eastAsia="en-US"/>
      </w:rPr>
    </w:pPr>
    <w:r>
      <w:rPr>
        <w:rFonts w:hint="eastAsia" w:ascii="仿宋" w:hAnsi="仿宋" w:eastAsia="仿宋"/>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3A5E">
    <w:pPr>
      <w:autoSpaceDE w:val="0"/>
      <w:autoSpaceDN w:val="0"/>
      <w:snapToGrid w:val="0"/>
      <w:jc w:val="center"/>
      <w:rPr>
        <w:rFonts w:ascii="仿宋" w:hAnsi="仿宋" w:eastAsia="仿宋"/>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5213">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E264A">
                          <w:pPr>
                            <w:pStyle w:val="36"/>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RpN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po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S0aTXIAQAAmQMAAA4AAAAAAAAAAQAgAAAAHgEAAGRycy9lMm9Eb2Mu&#10;eG1sUEsFBgAAAAAGAAYAWQEAAFgFAAAAAA==&#10;">
              <v:fill on="f" focussize="0,0"/>
              <v:stroke on="f"/>
              <v:imagedata o:title=""/>
              <o:lock v:ext="edit" aspectratio="f"/>
              <v:textbox inset="0mm,0mm,0mm,0mm" style="mso-fit-shape-to-text:t;">
                <w:txbxContent>
                  <w:p w14:paraId="1F9E264A">
                    <w:pPr>
                      <w:pStyle w:val="3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6B3D">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AB591">
                          <w:pPr>
                            <w:pStyle w:val="36"/>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EWS8gBAACaAwAADgAAAGRycy9lMm9Eb2MueG1srVPNjtMwEL4j8Q6W&#10;79RpJ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Wv&#10;sz99gBrbHgI2puHOD9g75wGTWfagos1vFESwjlDnq7tySETkj9ar9brCksDafEB89vh5iJDeSm9J&#10;DhoacX3FVX56D2lsnVvyNOfvtTFlhcb9lUDMnGGZ+8gxR2nYD5OgvW/PqKfHzTfU4UWnxLxzaCzy&#10;S3MQ52A/B8cQ9aFDasvCC8LtMSGJwi1PGGGnwbiyom66XvlO/HkuXY+/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FkvIAQAAmgMAAA4AAAAAAAAAAQAgAAAAHgEAAGRycy9lMm9Eb2Mu&#10;eG1sUEsFBgAAAAAGAAYAWQEAAFgFAAAAAA==&#10;">
              <v:fill on="f" focussize="0,0"/>
              <v:stroke on="f"/>
              <v:imagedata o:title=""/>
              <o:lock v:ext="edit" aspectratio="f"/>
              <v:textbox inset="0mm,0mm,0mm,0mm" style="mso-fit-shape-to-text:t;">
                <w:txbxContent>
                  <w:p w14:paraId="186AB591">
                    <w:pPr>
                      <w:pStyle w:val="3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23BE">
    <w:pPr>
      <w:pStyle w:val="3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91AE7">
    <w:pPr>
      <w:pStyle w:val="37"/>
      <w:pBdr>
        <w:bottom w:val="none" w:color="auto" w:sz="0" w:space="1"/>
      </w:pBdr>
      <w:jc w:val="right"/>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A2300"/>
    <w:multiLevelType w:val="singleLevel"/>
    <w:tmpl w:val="98EA2300"/>
    <w:lvl w:ilvl="0" w:tentative="0">
      <w:start w:val="1"/>
      <w:numFmt w:val="decimal"/>
      <w:suff w:val="nothing"/>
      <w:lvlText w:val="（%1）"/>
      <w:lvlJc w:val="left"/>
    </w:lvl>
  </w:abstractNum>
  <w:abstractNum w:abstractNumId="1">
    <w:nsid w:val="9974032F"/>
    <w:multiLevelType w:val="singleLevel"/>
    <w:tmpl w:val="9974032F"/>
    <w:lvl w:ilvl="0" w:tentative="0">
      <w:start w:val="1"/>
      <w:numFmt w:val="decimal"/>
      <w:suff w:val="space"/>
      <w:lvlText w:val="%1）"/>
      <w:lvlJc w:val="left"/>
    </w:lvl>
  </w:abstractNum>
  <w:abstractNum w:abstractNumId="2">
    <w:nsid w:val="CFF4AFD7"/>
    <w:multiLevelType w:val="singleLevel"/>
    <w:tmpl w:val="CFF4AFD7"/>
    <w:lvl w:ilvl="0" w:tentative="0">
      <w:start w:val="2"/>
      <w:numFmt w:val="chineseCounting"/>
      <w:suff w:val="nothing"/>
      <w:lvlText w:val="%1、"/>
      <w:lvlJc w:val="left"/>
      <w:rPr>
        <w:rFonts w:hint="eastAsia"/>
        <w:sz w:val="24"/>
        <w:szCs w:val="24"/>
      </w:rPr>
    </w:lvl>
  </w:abstractNum>
  <w:abstractNum w:abstractNumId="3">
    <w:nsid w:val="00000004"/>
    <w:multiLevelType w:val="multilevel"/>
    <w:tmpl w:val="00000004"/>
    <w:lvl w:ilvl="0" w:tentative="0">
      <w:start w:val="1"/>
      <w:numFmt w:val="japaneseCounting"/>
      <w:lvlText w:val="%1、"/>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4">
    <w:nsid w:val="0000000C"/>
    <w:multiLevelType w:val="multilevel"/>
    <w:tmpl w:val="0000000C"/>
    <w:lvl w:ilvl="0" w:tentative="0">
      <w:start w:val="1"/>
      <w:numFmt w:val="upperLetter"/>
      <w:lvlText w:val="%1."/>
      <w:lvlJc w:val="left"/>
      <w:pPr>
        <w:tabs>
          <w:tab w:val="left" w:pos="960"/>
        </w:tabs>
        <w:ind w:left="960" w:hanging="420"/>
      </w:pPr>
      <w:rPr>
        <w:rFonts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5">
    <w:nsid w:val="0000000E"/>
    <w:multiLevelType w:val="multilevel"/>
    <w:tmpl w:val="0000000E"/>
    <w:lvl w:ilvl="0" w:tentative="0">
      <w:start w:val="1"/>
      <w:numFmt w:val="decimal"/>
      <w:pStyle w:val="16"/>
      <w:lvlText w:val="%1."/>
      <w:lvlJc w:val="left"/>
      <w:pPr>
        <w:tabs>
          <w:tab w:val="left" w:pos="709"/>
        </w:tabs>
        <w:ind w:left="709" w:hanging="709"/>
      </w:pPr>
      <w:rPr>
        <w:rFonts w:hint="eastAsia"/>
      </w:rPr>
    </w:lvl>
    <w:lvl w:ilvl="1" w:tentative="0">
      <w:start w:val="1"/>
      <w:numFmt w:val="decimal"/>
      <w:pStyle w:val="797"/>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10"/>
      <w:lvlText w:val="%1.%2.%3.%4.%5.%6.%7.%8.%9."/>
      <w:lvlJc w:val="left"/>
      <w:pPr>
        <w:tabs>
          <w:tab w:val="left" w:pos="1559"/>
        </w:tabs>
        <w:ind w:left="1559" w:hanging="1559"/>
      </w:pPr>
      <w:rPr>
        <w:rFonts w:hint="eastAsia"/>
      </w:rPr>
    </w:lvl>
  </w:abstractNum>
  <w:abstractNum w:abstractNumId="6">
    <w:nsid w:val="00000011"/>
    <w:multiLevelType w:val="multilevel"/>
    <w:tmpl w:val="00000011"/>
    <w:lvl w:ilvl="0" w:tentative="0">
      <w:start w:val="1"/>
      <w:numFmt w:val="decimal"/>
      <w:pStyle w:val="9"/>
      <w:lvlText w:val="%1."/>
      <w:lvlJc w:val="left"/>
      <w:pPr>
        <w:tabs>
          <w:tab w:val="left" w:pos="420"/>
        </w:tabs>
        <w:ind w:left="420" w:hanging="420"/>
      </w:pPr>
      <w:rPr>
        <w:rFonts w:hint="eastAsia"/>
        <w:b w:val="0"/>
        <w:i w:val="0"/>
        <w:sz w:val="24"/>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pStyle w:val="704"/>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17"/>
    <w:multiLevelType w:val="multilevel"/>
    <w:tmpl w:val="00000017"/>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850"/>
        </w:tabs>
        <w:ind w:left="850"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399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0000001A"/>
    <w:multiLevelType w:val="multilevel"/>
    <w:tmpl w:val="0000001A"/>
    <w:lvl w:ilvl="0" w:tentative="0">
      <w:start w:val="1"/>
      <w:numFmt w:val="decimal"/>
      <w:pStyle w:val="910"/>
      <w:lvlText w:val="%1"/>
      <w:lvlJc w:val="left"/>
      <w:pPr>
        <w:tabs>
          <w:tab w:val="left" w:pos="1134"/>
        </w:tabs>
        <w:ind w:left="1134" w:hanging="567"/>
      </w:pPr>
      <w:rPr>
        <w:rFonts w:hint="eastAsia" w:ascii="宋体" w:eastAsia="宋体"/>
        <w:b w:val="0"/>
        <w:i w:val="0"/>
        <w:sz w:val="21"/>
      </w:rPr>
    </w:lvl>
    <w:lvl w:ilvl="1" w:tentative="0">
      <w:start w:val="2"/>
      <w:numFmt w:val="japaneseCounting"/>
      <w:lvlText w:val="%2、"/>
      <w:lvlJc w:val="left"/>
      <w:pPr>
        <w:tabs>
          <w:tab w:val="left" w:pos="720"/>
        </w:tabs>
        <w:ind w:left="720" w:hanging="720"/>
      </w:pPr>
      <w:rPr>
        <w:rFonts w:hint="default"/>
      </w:rPr>
    </w:lvl>
    <w:lvl w:ilvl="2" w:tentative="0">
      <w:start w:val="3"/>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8E80A14"/>
    <w:multiLevelType w:val="multilevel"/>
    <w:tmpl w:val="28E80A14"/>
    <w:lvl w:ilvl="0" w:tentative="0">
      <w:start w:val="1"/>
      <w:numFmt w:val="japaneseCounting"/>
      <w:pStyle w:val="880"/>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5F92A7"/>
    <w:multiLevelType w:val="singleLevel"/>
    <w:tmpl w:val="4B5F92A7"/>
    <w:lvl w:ilvl="0" w:tentative="0">
      <w:start w:val="1"/>
      <w:numFmt w:val="chineseCounting"/>
      <w:pStyle w:val="859"/>
      <w:suff w:val="space"/>
      <w:lvlText w:val="第%1章"/>
      <w:lvlJc w:val="left"/>
      <w:rPr>
        <w:rFonts w:hint="eastAsia"/>
      </w:rPr>
    </w:lvl>
  </w:abstractNum>
  <w:abstractNum w:abstractNumId="11">
    <w:nsid w:val="579044A0"/>
    <w:multiLevelType w:val="singleLevel"/>
    <w:tmpl w:val="579044A0"/>
    <w:lvl w:ilvl="0" w:tentative="0">
      <w:start w:val="2"/>
      <w:numFmt w:val="decimal"/>
      <w:pStyle w:val="884"/>
      <w:suff w:val="space"/>
      <w:lvlText w:val="%1."/>
      <w:lvlJc w:val="left"/>
    </w:lvl>
  </w:abstractNum>
  <w:abstractNum w:abstractNumId="12">
    <w:nsid w:val="57904CB8"/>
    <w:multiLevelType w:val="singleLevel"/>
    <w:tmpl w:val="57904CB8"/>
    <w:lvl w:ilvl="0" w:tentative="0">
      <w:start w:val="32"/>
      <w:numFmt w:val="decimal"/>
      <w:pStyle w:val="716"/>
      <w:suff w:val="space"/>
      <w:lvlText w:val="%1."/>
      <w:lvlJc w:val="left"/>
    </w:lvl>
  </w:abstractNum>
  <w:abstractNum w:abstractNumId="13">
    <w:nsid w:val="57905C2A"/>
    <w:multiLevelType w:val="singleLevel"/>
    <w:tmpl w:val="57905C2A"/>
    <w:lvl w:ilvl="0" w:tentative="0">
      <w:start w:val="1"/>
      <w:numFmt w:val="decimal"/>
      <w:pStyle w:val="964"/>
      <w:lvlText w:val="%1)"/>
      <w:lvlJc w:val="left"/>
      <w:pPr>
        <w:tabs>
          <w:tab w:val="left" w:pos="425"/>
        </w:tabs>
        <w:ind w:left="425" w:hanging="425"/>
      </w:pPr>
      <w:rPr>
        <w:rFonts w:hint="default"/>
      </w:rPr>
    </w:lvl>
  </w:abstractNum>
  <w:num w:numId="1">
    <w:abstractNumId w:val="6"/>
  </w:num>
  <w:num w:numId="2">
    <w:abstractNumId w:val="5"/>
  </w:num>
  <w:num w:numId="3">
    <w:abstractNumId w:val="12"/>
  </w:num>
  <w:num w:numId="4">
    <w:abstractNumId w:val="10"/>
  </w:num>
  <w:num w:numId="5">
    <w:abstractNumId w:val="9"/>
  </w:num>
  <w:num w:numId="6">
    <w:abstractNumId w:val="11"/>
  </w:num>
  <w:num w:numId="7">
    <w:abstractNumId w:val="8"/>
  </w:num>
  <w:num w:numId="8">
    <w:abstractNumId w:val="13"/>
  </w:num>
  <w:num w:numId="9">
    <w:abstractNumId w:val="0"/>
  </w:num>
  <w:num w:numId="10">
    <w:abstractNumId w:val="7"/>
  </w:num>
  <w:num w:numId="11">
    <w:abstractNumId w:val="4"/>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MWE1ZjBhMjk0MzA2ZjNjYjRiMTU1MDBkNzQ5ZTYifQ=="/>
  </w:docVars>
  <w:rsids>
    <w:rsidRoot w:val="00172A27"/>
    <w:rsid w:val="00000B00"/>
    <w:rsid w:val="000034F4"/>
    <w:rsid w:val="000039A0"/>
    <w:rsid w:val="0000471B"/>
    <w:rsid w:val="000104AB"/>
    <w:rsid w:val="00017335"/>
    <w:rsid w:val="0001764C"/>
    <w:rsid w:val="00022591"/>
    <w:rsid w:val="00023D17"/>
    <w:rsid w:val="00025A1E"/>
    <w:rsid w:val="000265CC"/>
    <w:rsid w:val="00030535"/>
    <w:rsid w:val="00031241"/>
    <w:rsid w:val="000323C8"/>
    <w:rsid w:val="000326D4"/>
    <w:rsid w:val="00032766"/>
    <w:rsid w:val="00033190"/>
    <w:rsid w:val="00034FCC"/>
    <w:rsid w:val="00035459"/>
    <w:rsid w:val="00035640"/>
    <w:rsid w:val="0004034E"/>
    <w:rsid w:val="0004312B"/>
    <w:rsid w:val="000433F1"/>
    <w:rsid w:val="00043B4E"/>
    <w:rsid w:val="00044960"/>
    <w:rsid w:val="00044B77"/>
    <w:rsid w:val="00047E9E"/>
    <w:rsid w:val="00050AA7"/>
    <w:rsid w:val="000516AA"/>
    <w:rsid w:val="00052394"/>
    <w:rsid w:val="00053426"/>
    <w:rsid w:val="0005679D"/>
    <w:rsid w:val="0005723F"/>
    <w:rsid w:val="00060F7F"/>
    <w:rsid w:val="00061C15"/>
    <w:rsid w:val="000660E1"/>
    <w:rsid w:val="00066E90"/>
    <w:rsid w:val="00067E70"/>
    <w:rsid w:val="000704FF"/>
    <w:rsid w:val="00070DD1"/>
    <w:rsid w:val="000710C0"/>
    <w:rsid w:val="000715B7"/>
    <w:rsid w:val="000718B3"/>
    <w:rsid w:val="00071DAF"/>
    <w:rsid w:val="00073680"/>
    <w:rsid w:val="00074484"/>
    <w:rsid w:val="00074667"/>
    <w:rsid w:val="00077F6A"/>
    <w:rsid w:val="00083294"/>
    <w:rsid w:val="00085138"/>
    <w:rsid w:val="00085655"/>
    <w:rsid w:val="0008590D"/>
    <w:rsid w:val="00087BD2"/>
    <w:rsid w:val="00087D77"/>
    <w:rsid w:val="000900E3"/>
    <w:rsid w:val="00093DA4"/>
    <w:rsid w:val="00093FAD"/>
    <w:rsid w:val="00095A93"/>
    <w:rsid w:val="00095AA1"/>
    <w:rsid w:val="00096C6C"/>
    <w:rsid w:val="0009734E"/>
    <w:rsid w:val="000974A7"/>
    <w:rsid w:val="00097E3B"/>
    <w:rsid w:val="000A01B4"/>
    <w:rsid w:val="000A09DC"/>
    <w:rsid w:val="000A1837"/>
    <w:rsid w:val="000A4719"/>
    <w:rsid w:val="000A5A4F"/>
    <w:rsid w:val="000A5A53"/>
    <w:rsid w:val="000A66A4"/>
    <w:rsid w:val="000A71AA"/>
    <w:rsid w:val="000A7487"/>
    <w:rsid w:val="000A7C60"/>
    <w:rsid w:val="000A7FB0"/>
    <w:rsid w:val="000B0992"/>
    <w:rsid w:val="000B1747"/>
    <w:rsid w:val="000B1A9A"/>
    <w:rsid w:val="000B1C46"/>
    <w:rsid w:val="000B4A1E"/>
    <w:rsid w:val="000B554A"/>
    <w:rsid w:val="000B5A52"/>
    <w:rsid w:val="000B5E22"/>
    <w:rsid w:val="000C2219"/>
    <w:rsid w:val="000C2682"/>
    <w:rsid w:val="000C34DB"/>
    <w:rsid w:val="000C422D"/>
    <w:rsid w:val="000C56D1"/>
    <w:rsid w:val="000C69C0"/>
    <w:rsid w:val="000C707D"/>
    <w:rsid w:val="000D0ADA"/>
    <w:rsid w:val="000D1446"/>
    <w:rsid w:val="000D2C37"/>
    <w:rsid w:val="000D6765"/>
    <w:rsid w:val="000D690F"/>
    <w:rsid w:val="000E2907"/>
    <w:rsid w:val="000E2EAB"/>
    <w:rsid w:val="000E3A1E"/>
    <w:rsid w:val="000E4CD5"/>
    <w:rsid w:val="000E6DA3"/>
    <w:rsid w:val="000E77FD"/>
    <w:rsid w:val="000E7E40"/>
    <w:rsid w:val="000F08FA"/>
    <w:rsid w:val="000F4B6A"/>
    <w:rsid w:val="000F7BB9"/>
    <w:rsid w:val="000F7E39"/>
    <w:rsid w:val="00104A46"/>
    <w:rsid w:val="00104DCF"/>
    <w:rsid w:val="0011025F"/>
    <w:rsid w:val="00110C7F"/>
    <w:rsid w:val="0011149A"/>
    <w:rsid w:val="00111E84"/>
    <w:rsid w:val="00112684"/>
    <w:rsid w:val="00113493"/>
    <w:rsid w:val="00115D0C"/>
    <w:rsid w:val="00121CFA"/>
    <w:rsid w:val="00122F59"/>
    <w:rsid w:val="0012309F"/>
    <w:rsid w:val="00123F49"/>
    <w:rsid w:val="0012426B"/>
    <w:rsid w:val="00124309"/>
    <w:rsid w:val="001252A4"/>
    <w:rsid w:val="00125891"/>
    <w:rsid w:val="001278B2"/>
    <w:rsid w:val="00131DC6"/>
    <w:rsid w:val="00134184"/>
    <w:rsid w:val="00135A8B"/>
    <w:rsid w:val="00135BB4"/>
    <w:rsid w:val="00136154"/>
    <w:rsid w:val="00136DD4"/>
    <w:rsid w:val="00140BAE"/>
    <w:rsid w:val="001410C0"/>
    <w:rsid w:val="00141383"/>
    <w:rsid w:val="00141A67"/>
    <w:rsid w:val="0014257D"/>
    <w:rsid w:val="00142BD0"/>
    <w:rsid w:val="00144A0A"/>
    <w:rsid w:val="001456EF"/>
    <w:rsid w:val="00146CAE"/>
    <w:rsid w:val="0014701D"/>
    <w:rsid w:val="00147812"/>
    <w:rsid w:val="001479BF"/>
    <w:rsid w:val="00147D93"/>
    <w:rsid w:val="0015169D"/>
    <w:rsid w:val="00154207"/>
    <w:rsid w:val="0015495D"/>
    <w:rsid w:val="0015540F"/>
    <w:rsid w:val="0015657E"/>
    <w:rsid w:val="0015687E"/>
    <w:rsid w:val="00157279"/>
    <w:rsid w:val="00157D42"/>
    <w:rsid w:val="00160A66"/>
    <w:rsid w:val="001634E0"/>
    <w:rsid w:val="00165FFC"/>
    <w:rsid w:val="00172189"/>
    <w:rsid w:val="00172478"/>
    <w:rsid w:val="00172A27"/>
    <w:rsid w:val="00172EB9"/>
    <w:rsid w:val="00174135"/>
    <w:rsid w:val="00175E69"/>
    <w:rsid w:val="00176480"/>
    <w:rsid w:val="00176B7D"/>
    <w:rsid w:val="001771DB"/>
    <w:rsid w:val="00182580"/>
    <w:rsid w:val="00183ACC"/>
    <w:rsid w:val="00185CDC"/>
    <w:rsid w:val="00186E23"/>
    <w:rsid w:val="0018754B"/>
    <w:rsid w:val="001907D3"/>
    <w:rsid w:val="00190C18"/>
    <w:rsid w:val="001918FB"/>
    <w:rsid w:val="00196FAA"/>
    <w:rsid w:val="001A3264"/>
    <w:rsid w:val="001A4665"/>
    <w:rsid w:val="001A4DD9"/>
    <w:rsid w:val="001A5B16"/>
    <w:rsid w:val="001A63B2"/>
    <w:rsid w:val="001B2928"/>
    <w:rsid w:val="001B2965"/>
    <w:rsid w:val="001B345B"/>
    <w:rsid w:val="001B5603"/>
    <w:rsid w:val="001B6776"/>
    <w:rsid w:val="001B6DC3"/>
    <w:rsid w:val="001B7910"/>
    <w:rsid w:val="001C034E"/>
    <w:rsid w:val="001C26E5"/>
    <w:rsid w:val="001C30DD"/>
    <w:rsid w:val="001C54E9"/>
    <w:rsid w:val="001C5714"/>
    <w:rsid w:val="001C60BB"/>
    <w:rsid w:val="001C70E5"/>
    <w:rsid w:val="001D0DE1"/>
    <w:rsid w:val="001D238E"/>
    <w:rsid w:val="001D40FB"/>
    <w:rsid w:val="001D54CB"/>
    <w:rsid w:val="001E226D"/>
    <w:rsid w:val="001E4A05"/>
    <w:rsid w:val="001E624A"/>
    <w:rsid w:val="001F0622"/>
    <w:rsid w:val="001F2E7A"/>
    <w:rsid w:val="001F33AD"/>
    <w:rsid w:val="001F7D2B"/>
    <w:rsid w:val="002007DA"/>
    <w:rsid w:val="00201028"/>
    <w:rsid w:val="00206EC3"/>
    <w:rsid w:val="002072C8"/>
    <w:rsid w:val="00211B59"/>
    <w:rsid w:val="002144EF"/>
    <w:rsid w:val="00214C4A"/>
    <w:rsid w:val="00214CEF"/>
    <w:rsid w:val="00215B44"/>
    <w:rsid w:val="002219E8"/>
    <w:rsid w:val="002223CB"/>
    <w:rsid w:val="00223F4F"/>
    <w:rsid w:val="00224BD3"/>
    <w:rsid w:val="00225A6A"/>
    <w:rsid w:val="00225F25"/>
    <w:rsid w:val="0022760C"/>
    <w:rsid w:val="00227DB0"/>
    <w:rsid w:val="00231968"/>
    <w:rsid w:val="00233293"/>
    <w:rsid w:val="00235A88"/>
    <w:rsid w:val="002378ED"/>
    <w:rsid w:val="00240562"/>
    <w:rsid w:val="002431C8"/>
    <w:rsid w:val="00243D67"/>
    <w:rsid w:val="00245811"/>
    <w:rsid w:val="0024687E"/>
    <w:rsid w:val="002472E6"/>
    <w:rsid w:val="00251D67"/>
    <w:rsid w:val="00255334"/>
    <w:rsid w:val="00256010"/>
    <w:rsid w:val="0025711D"/>
    <w:rsid w:val="0025722C"/>
    <w:rsid w:val="00262227"/>
    <w:rsid w:val="002622F6"/>
    <w:rsid w:val="00262328"/>
    <w:rsid w:val="00263267"/>
    <w:rsid w:val="002648C4"/>
    <w:rsid w:val="00266164"/>
    <w:rsid w:val="002679E7"/>
    <w:rsid w:val="0027002B"/>
    <w:rsid w:val="002704E7"/>
    <w:rsid w:val="00272941"/>
    <w:rsid w:val="00272F58"/>
    <w:rsid w:val="00272FD9"/>
    <w:rsid w:val="0027313C"/>
    <w:rsid w:val="002732C0"/>
    <w:rsid w:val="00273A79"/>
    <w:rsid w:val="0027717A"/>
    <w:rsid w:val="00277687"/>
    <w:rsid w:val="002833D8"/>
    <w:rsid w:val="002851BC"/>
    <w:rsid w:val="002857BD"/>
    <w:rsid w:val="0028740F"/>
    <w:rsid w:val="002906F2"/>
    <w:rsid w:val="00291ED4"/>
    <w:rsid w:val="00293374"/>
    <w:rsid w:val="00293F99"/>
    <w:rsid w:val="0029439D"/>
    <w:rsid w:val="0029471B"/>
    <w:rsid w:val="00297B7E"/>
    <w:rsid w:val="00297C58"/>
    <w:rsid w:val="002A0CB2"/>
    <w:rsid w:val="002A18D9"/>
    <w:rsid w:val="002A200B"/>
    <w:rsid w:val="002A2DCA"/>
    <w:rsid w:val="002A43EB"/>
    <w:rsid w:val="002A5988"/>
    <w:rsid w:val="002A635B"/>
    <w:rsid w:val="002A6961"/>
    <w:rsid w:val="002A697E"/>
    <w:rsid w:val="002A7438"/>
    <w:rsid w:val="002B0E79"/>
    <w:rsid w:val="002B2CEC"/>
    <w:rsid w:val="002B3897"/>
    <w:rsid w:val="002B4137"/>
    <w:rsid w:val="002B4AFE"/>
    <w:rsid w:val="002B756F"/>
    <w:rsid w:val="002B7F66"/>
    <w:rsid w:val="002C24CF"/>
    <w:rsid w:val="002C4331"/>
    <w:rsid w:val="002C65EB"/>
    <w:rsid w:val="002C716C"/>
    <w:rsid w:val="002D1133"/>
    <w:rsid w:val="002D4821"/>
    <w:rsid w:val="002D51AE"/>
    <w:rsid w:val="002D6E80"/>
    <w:rsid w:val="002D76DE"/>
    <w:rsid w:val="002E050D"/>
    <w:rsid w:val="002E1B85"/>
    <w:rsid w:val="002E1DD4"/>
    <w:rsid w:val="002E254E"/>
    <w:rsid w:val="002E276A"/>
    <w:rsid w:val="002E4560"/>
    <w:rsid w:val="002E613F"/>
    <w:rsid w:val="002E791F"/>
    <w:rsid w:val="002F0BD3"/>
    <w:rsid w:val="002F131E"/>
    <w:rsid w:val="002F260D"/>
    <w:rsid w:val="002F3614"/>
    <w:rsid w:val="002F5B2E"/>
    <w:rsid w:val="002F7184"/>
    <w:rsid w:val="002F741E"/>
    <w:rsid w:val="00300DD7"/>
    <w:rsid w:val="00301F51"/>
    <w:rsid w:val="00302809"/>
    <w:rsid w:val="0031085A"/>
    <w:rsid w:val="003109D9"/>
    <w:rsid w:val="0031138B"/>
    <w:rsid w:val="00313197"/>
    <w:rsid w:val="003162A6"/>
    <w:rsid w:val="00316558"/>
    <w:rsid w:val="00317295"/>
    <w:rsid w:val="0031748A"/>
    <w:rsid w:val="003207D2"/>
    <w:rsid w:val="00320D6B"/>
    <w:rsid w:val="00322E51"/>
    <w:rsid w:val="003236CF"/>
    <w:rsid w:val="00326A1F"/>
    <w:rsid w:val="00327FA2"/>
    <w:rsid w:val="0033009A"/>
    <w:rsid w:val="00330910"/>
    <w:rsid w:val="003313C4"/>
    <w:rsid w:val="003336B4"/>
    <w:rsid w:val="003338CA"/>
    <w:rsid w:val="00335435"/>
    <w:rsid w:val="00335480"/>
    <w:rsid w:val="00337C22"/>
    <w:rsid w:val="003406FA"/>
    <w:rsid w:val="003408CD"/>
    <w:rsid w:val="00342050"/>
    <w:rsid w:val="0034211D"/>
    <w:rsid w:val="0034448C"/>
    <w:rsid w:val="00350C53"/>
    <w:rsid w:val="003521C9"/>
    <w:rsid w:val="003525DA"/>
    <w:rsid w:val="00355B61"/>
    <w:rsid w:val="0035655C"/>
    <w:rsid w:val="0036551C"/>
    <w:rsid w:val="00366283"/>
    <w:rsid w:val="00367320"/>
    <w:rsid w:val="003719FE"/>
    <w:rsid w:val="003740DA"/>
    <w:rsid w:val="00375BC4"/>
    <w:rsid w:val="0037696F"/>
    <w:rsid w:val="00380B7F"/>
    <w:rsid w:val="00382268"/>
    <w:rsid w:val="00384CFD"/>
    <w:rsid w:val="00385E02"/>
    <w:rsid w:val="003866D7"/>
    <w:rsid w:val="00386758"/>
    <w:rsid w:val="0038761F"/>
    <w:rsid w:val="00390119"/>
    <w:rsid w:val="00390B0A"/>
    <w:rsid w:val="003944B2"/>
    <w:rsid w:val="00396CC8"/>
    <w:rsid w:val="00397CEE"/>
    <w:rsid w:val="003A0B36"/>
    <w:rsid w:val="003A4DB8"/>
    <w:rsid w:val="003A5598"/>
    <w:rsid w:val="003A5B4D"/>
    <w:rsid w:val="003A7112"/>
    <w:rsid w:val="003A769F"/>
    <w:rsid w:val="003B0492"/>
    <w:rsid w:val="003B0D6C"/>
    <w:rsid w:val="003B554C"/>
    <w:rsid w:val="003B5588"/>
    <w:rsid w:val="003B6013"/>
    <w:rsid w:val="003B69CD"/>
    <w:rsid w:val="003C0CDA"/>
    <w:rsid w:val="003C2D73"/>
    <w:rsid w:val="003C323D"/>
    <w:rsid w:val="003C3746"/>
    <w:rsid w:val="003C3DCA"/>
    <w:rsid w:val="003C47B3"/>
    <w:rsid w:val="003C544A"/>
    <w:rsid w:val="003D169E"/>
    <w:rsid w:val="003D3364"/>
    <w:rsid w:val="003D3A1C"/>
    <w:rsid w:val="003D58AB"/>
    <w:rsid w:val="003D6E3D"/>
    <w:rsid w:val="003D71A5"/>
    <w:rsid w:val="003D7E36"/>
    <w:rsid w:val="003E0F28"/>
    <w:rsid w:val="003E15D7"/>
    <w:rsid w:val="003E1EA2"/>
    <w:rsid w:val="003F0199"/>
    <w:rsid w:val="003F1222"/>
    <w:rsid w:val="003F19F8"/>
    <w:rsid w:val="003F1B41"/>
    <w:rsid w:val="003F1D6D"/>
    <w:rsid w:val="003F2A00"/>
    <w:rsid w:val="003F366A"/>
    <w:rsid w:val="003F64A6"/>
    <w:rsid w:val="003F75A1"/>
    <w:rsid w:val="00400559"/>
    <w:rsid w:val="00400DCA"/>
    <w:rsid w:val="00401939"/>
    <w:rsid w:val="00401BE8"/>
    <w:rsid w:val="00401E52"/>
    <w:rsid w:val="004066B4"/>
    <w:rsid w:val="004069AF"/>
    <w:rsid w:val="00406DB9"/>
    <w:rsid w:val="00407D75"/>
    <w:rsid w:val="00410A31"/>
    <w:rsid w:val="00411038"/>
    <w:rsid w:val="00411BE7"/>
    <w:rsid w:val="00413455"/>
    <w:rsid w:val="004158D6"/>
    <w:rsid w:val="00416D5E"/>
    <w:rsid w:val="004211ED"/>
    <w:rsid w:val="00421C79"/>
    <w:rsid w:val="0042305E"/>
    <w:rsid w:val="00424391"/>
    <w:rsid w:val="00424436"/>
    <w:rsid w:val="004250E1"/>
    <w:rsid w:val="00425D4C"/>
    <w:rsid w:val="00430799"/>
    <w:rsid w:val="00450171"/>
    <w:rsid w:val="00450A97"/>
    <w:rsid w:val="00452DF1"/>
    <w:rsid w:val="00453DE3"/>
    <w:rsid w:val="00456207"/>
    <w:rsid w:val="004562BD"/>
    <w:rsid w:val="00461EDF"/>
    <w:rsid w:val="004645BE"/>
    <w:rsid w:val="00465C3A"/>
    <w:rsid w:val="00467F4B"/>
    <w:rsid w:val="004702F2"/>
    <w:rsid w:val="00470F14"/>
    <w:rsid w:val="004729A9"/>
    <w:rsid w:val="0047424A"/>
    <w:rsid w:val="00475FF1"/>
    <w:rsid w:val="00476CAF"/>
    <w:rsid w:val="00477EF1"/>
    <w:rsid w:val="004806C5"/>
    <w:rsid w:val="00481BEE"/>
    <w:rsid w:val="0048254B"/>
    <w:rsid w:val="0048363C"/>
    <w:rsid w:val="00483C1D"/>
    <w:rsid w:val="004902A3"/>
    <w:rsid w:val="00490AF4"/>
    <w:rsid w:val="00490AF9"/>
    <w:rsid w:val="00491F65"/>
    <w:rsid w:val="0049238B"/>
    <w:rsid w:val="00492F89"/>
    <w:rsid w:val="004945E5"/>
    <w:rsid w:val="00494C87"/>
    <w:rsid w:val="00496D93"/>
    <w:rsid w:val="004A00B4"/>
    <w:rsid w:val="004A3250"/>
    <w:rsid w:val="004A63F4"/>
    <w:rsid w:val="004A7604"/>
    <w:rsid w:val="004B1592"/>
    <w:rsid w:val="004B3624"/>
    <w:rsid w:val="004B3AAD"/>
    <w:rsid w:val="004B4FFD"/>
    <w:rsid w:val="004B5519"/>
    <w:rsid w:val="004B5C85"/>
    <w:rsid w:val="004B70C4"/>
    <w:rsid w:val="004B72F6"/>
    <w:rsid w:val="004B7B2F"/>
    <w:rsid w:val="004B7BBE"/>
    <w:rsid w:val="004C1808"/>
    <w:rsid w:val="004C1B6B"/>
    <w:rsid w:val="004C219D"/>
    <w:rsid w:val="004C280C"/>
    <w:rsid w:val="004C46FB"/>
    <w:rsid w:val="004D0086"/>
    <w:rsid w:val="004D2ECB"/>
    <w:rsid w:val="004D2F95"/>
    <w:rsid w:val="004D3C55"/>
    <w:rsid w:val="004E04BD"/>
    <w:rsid w:val="004E0C20"/>
    <w:rsid w:val="004E11B9"/>
    <w:rsid w:val="004E12FD"/>
    <w:rsid w:val="004E1789"/>
    <w:rsid w:val="004E23B8"/>
    <w:rsid w:val="004E3105"/>
    <w:rsid w:val="004E4DCF"/>
    <w:rsid w:val="004E5452"/>
    <w:rsid w:val="004E6990"/>
    <w:rsid w:val="004E7623"/>
    <w:rsid w:val="004E7A30"/>
    <w:rsid w:val="004E7BBB"/>
    <w:rsid w:val="004E7D11"/>
    <w:rsid w:val="004F0AA4"/>
    <w:rsid w:val="004F1270"/>
    <w:rsid w:val="004F1718"/>
    <w:rsid w:val="004F1CB0"/>
    <w:rsid w:val="004F1DFC"/>
    <w:rsid w:val="004F587B"/>
    <w:rsid w:val="004F5AEC"/>
    <w:rsid w:val="004F73AE"/>
    <w:rsid w:val="004F77FB"/>
    <w:rsid w:val="004F7DEB"/>
    <w:rsid w:val="00500546"/>
    <w:rsid w:val="0050167C"/>
    <w:rsid w:val="005043A0"/>
    <w:rsid w:val="0050475B"/>
    <w:rsid w:val="005073B1"/>
    <w:rsid w:val="00511B18"/>
    <w:rsid w:val="00512207"/>
    <w:rsid w:val="00512C89"/>
    <w:rsid w:val="00516AE5"/>
    <w:rsid w:val="0052248C"/>
    <w:rsid w:val="00522607"/>
    <w:rsid w:val="005274D5"/>
    <w:rsid w:val="005304ED"/>
    <w:rsid w:val="005311D6"/>
    <w:rsid w:val="005332F4"/>
    <w:rsid w:val="0053332D"/>
    <w:rsid w:val="0053375A"/>
    <w:rsid w:val="005369D9"/>
    <w:rsid w:val="00536A50"/>
    <w:rsid w:val="00541896"/>
    <w:rsid w:val="00542E07"/>
    <w:rsid w:val="005436F2"/>
    <w:rsid w:val="005444AA"/>
    <w:rsid w:val="00544910"/>
    <w:rsid w:val="00545B0A"/>
    <w:rsid w:val="00546897"/>
    <w:rsid w:val="00550CB4"/>
    <w:rsid w:val="005523BC"/>
    <w:rsid w:val="00555D82"/>
    <w:rsid w:val="005564B2"/>
    <w:rsid w:val="00561626"/>
    <w:rsid w:val="0056195F"/>
    <w:rsid w:val="00563293"/>
    <w:rsid w:val="00563DA5"/>
    <w:rsid w:val="00564283"/>
    <w:rsid w:val="00565215"/>
    <w:rsid w:val="00565240"/>
    <w:rsid w:val="00566E58"/>
    <w:rsid w:val="005671ED"/>
    <w:rsid w:val="005716A4"/>
    <w:rsid w:val="00572AD7"/>
    <w:rsid w:val="0057485F"/>
    <w:rsid w:val="00575931"/>
    <w:rsid w:val="00584378"/>
    <w:rsid w:val="00586A9B"/>
    <w:rsid w:val="00587055"/>
    <w:rsid w:val="005914CD"/>
    <w:rsid w:val="00592378"/>
    <w:rsid w:val="00597F4F"/>
    <w:rsid w:val="00597F86"/>
    <w:rsid w:val="00597FFD"/>
    <w:rsid w:val="005A096A"/>
    <w:rsid w:val="005A1408"/>
    <w:rsid w:val="005A4CCE"/>
    <w:rsid w:val="005A507A"/>
    <w:rsid w:val="005A67BB"/>
    <w:rsid w:val="005A7845"/>
    <w:rsid w:val="005B126F"/>
    <w:rsid w:val="005B3D16"/>
    <w:rsid w:val="005C43EF"/>
    <w:rsid w:val="005C449E"/>
    <w:rsid w:val="005C471A"/>
    <w:rsid w:val="005C5C75"/>
    <w:rsid w:val="005C6685"/>
    <w:rsid w:val="005C6891"/>
    <w:rsid w:val="005D15B4"/>
    <w:rsid w:val="005D1D49"/>
    <w:rsid w:val="005D23B7"/>
    <w:rsid w:val="005D264F"/>
    <w:rsid w:val="005D525F"/>
    <w:rsid w:val="005D6537"/>
    <w:rsid w:val="005D6D3C"/>
    <w:rsid w:val="005E0260"/>
    <w:rsid w:val="005E235E"/>
    <w:rsid w:val="005E2AE6"/>
    <w:rsid w:val="005E3396"/>
    <w:rsid w:val="005E4894"/>
    <w:rsid w:val="005E6CFC"/>
    <w:rsid w:val="005F2441"/>
    <w:rsid w:val="005F42D2"/>
    <w:rsid w:val="005F5000"/>
    <w:rsid w:val="005F5A6D"/>
    <w:rsid w:val="005F6DDB"/>
    <w:rsid w:val="00602F53"/>
    <w:rsid w:val="00603EA2"/>
    <w:rsid w:val="006045CC"/>
    <w:rsid w:val="006046EF"/>
    <w:rsid w:val="006068B7"/>
    <w:rsid w:val="00610A44"/>
    <w:rsid w:val="006114A8"/>
    <w:rsid w:val="00612377"/>
    <w:rsid w:val="00612D1B"/>
    <w:rsid w:val="00612E52"/>
    <w:rsid w:val="00615EC6"/>
    <w:rsid w:val="0061755F"/>
    <w:rsid w:val="00624B87"/>
    <w:rsid w:val="00625F26"/>
    <w:rsid w:val="0062611A"/>
    <w:rsid w:val="00626872"/>
    <w:rsid w:val="006270B5"/>
    <w:rsid w:val="006274F0"/>
    <w:rsid w:val="00631BBA"/>
    <w:rsid w:val="00633C7D"/>
    <w:rsid w:val="00633CFD"/>
    <w:rsid w:val="006341B2"/>
    <w:rsid w:val="006355AE"/>
    <w:rsid w:val="00637AD6"/>
    <w:rsid w:val="00637B49"/>
    <w:rsid w:val="00640C26"/>
    <w:rsid w:val="00640D3D"/>
    <w:rsid w:val="0064325A"/>
    <w:rsid w:val="00643B6D"/>
    <w:rsid w:val="0064636C"/>
    <w:rsid w:val="00651771"/>
    <w:rsid w:val="00653079"/>
    <w:rsid w:val="006539D6"/>
    <w:rsid w:val="00653F39"/>
    <w:rsid w:val="00654F40"/>
    <w:rsid w:val="00655132"/>
    <w:rsid w:val="00655485"/>
    <w:rsid w:val="00657996"/>
    <w:rsid w:val="006606FD"/>
    <w:rsid w:val="00661130"/>
    <w:rsid w:val="00661A32"/>
    <w:rsid w:val="006620EC"/>
    <w:rsid w:val="00662B29"/>
    <w:rsid w:val="00664D8D"/>
    <w:rsid w:val="0067312A"/>
    <w:rsid w:val="006733CA"/>
    <w:rsid w:val="006763CB"/>
    <w:rsid w:val="00677FF7"/>
    <w:rsid w:val="00680126"/>
    <w:rsid w:val="00680138"/>
    <w:rsid w:val="00681F83"/>
    <w:rsid w:val="0068260D"/>
    <w:rsid w:val="0068382C"/>
    <w:rsid w:val="00684522"/>
    <w:rsid w:val="00690E70"/>
    <w:rsid w:val="00691A6A"/>
    <w:rsid w:val="00691F09"/>
    <w:rsid w:val="006946C6"/>
    <w:rsid w:val="00697860"/>
    <w:rsid w:val="006A3D43"/>
    <w:rsid w:val="006A4F1E"/>
    <w:rsid w:val="006A5C60"/>
    <w:rsid w:val="006A72F2"/>
    <w:rsid w:val="006B0CF2"/>
    <w:rsid w:val="006B1079"/>
    <w:rsid w:val="006B510F"/>
    <w:rsid w:val="006B57C3"/>
    <w:rsid w:val="006B728D"/>
    <w:rsid w:val="006C401B"/>
    <w:rsid w:val="006D0814"/>
    <w:rsid w:val="006D1604"/>
    <w:rsid w:val="006D2C0E"/>
    <w:rsid w:val="006D3109"/>
    <w:rsid w:val="006D3E19"/>
    <w:rsid w:val="006D6E39"/>
    <w:rsid w:val="006D7E51"/>
    <w:rsid w:val="006E1B36"/>
    <w:rsid w:val="006E224E"/>
    <w:rsid w:val="006E2B04"/>
    <w:rsid w:val="006E2E1A"/>
    <w:rsid w:val="006E3B61"/>
    <w:rsid w:val="006E57A3"/>
    <w:rsid w:val="006F1104"/>
    <w:rsid w:val="006F1E0A"/>
    <w:rsid w:val="006F3E3A"/>
    <w:rsid w:val="006F48B6"/>
    <w:rsid w:val="006F4E5E"/>
    <w:rsid w:val="006F531D"/>
    <w:rsid w:val="006F5F41"/>
    <w:rsid w:val="006F7A2D"/>
    <w:rsid w:val="00700DEA"/>
    <w:rsid w:val="00705E70"/>
    <w:rsid w:val="00706471"/>
    <w:rsid w:val="00706B0D"/>
    <w:rsid w:val="00711C3F"/>
    <w:rsid w:val="0071302A"/>
    <w:rsid w:val="007130C8"/>
    <w:rsid w:val="00713DD1"/>
    <w:rsid w:val="00715400"/>
    <w:rsid w:val="00715BC6"/>
    <w:rsid w:val="00716DA1"/>
    <w:rsid w:val="007205BC"/>
    <w:rsid w:val="0072598C"/>
    <w:rsid w:val="00725E5F"/>
    <w:rsid w:val="00731C01"/>
    <w:rsid w:val="00731C28"/>
    <w:rsid w:val="00732A6D"/>
    <w:rsid w:val="007346C6"/>
    <w:rsid w:val="00735613"/>
    <w:rsid w:val="0074073C"/>
    <w:rsid w:val="0074239A"/>
    <w:rsid w:val="007449E7"/>
    <w:rsid w:val="00744E2E"/>
    <w:rsid w:val="007524D8"/>
    <w:rsid w:val="00752A11"/>
    <w:rsid w:val="00752B4B"/>
    <w:rsid w:val="00753203"/>
    <w:rsid w:val="00753556"/>
    <w:rsid w:val="00753FF8"/>
    <w:rsid w:val="00754E3A"/>
    <w:rsid w:val="007551DB"/>
    <w:rsid w:val="00755CBB"/>
    <w:rsid w:val="007566AE"/>
    <w:rsid w:val="00756C96"/>
    <w:rsid w:val="0075768E"/>
    <w:rsid w:val="007602CF"/>
    <w:rsid w:val="00761A53"/>
    <w:rsid w:val="007642DF"/>
    <w:rsid w:val="00765EDD"/>
    <w:rsid w:val="00766B9E"/>
    <w:rsid w:val="00767999"/>
    <w:rsid w:val="00771A8B"/>
    <w:rsid w:val="007725E8"/>
    <w:rsid w:val="00773EF2"/>
    <w:rsid w:val="007754FC"/>
    <w:rsid w:val="007757A3"/>
    <w:rsid w:val="00781128"/>
    <w:rsid w:val="007821D6"/>
    <w:rsid w:val="007829ED"/>
    <w:rsid w:val="00783EEF"/>
    <w:rsid w:val="00786843"/>
    <w:rsid w:val="0078797C"/>
    <w:rsid w:val="00790E9A"/>
    <w:rsid w:val="00792A9E"/>
    <w:rsid w:val="0079342B"/>
    <w:rsid w:val="00795405"/>
    <w:rsid w:val="00795B5B"/>
    <w:rsid w:val="007A18EE"/>
    <w:rsid w:val="007A1FF4"/>
    <w:rsid w:val="007A23C1"/>
    <w:rsid w:val="007A2EC6"/>
    <w:rsid w:val="007A6005"/>
    <w:rsid w:val="007B0978"/>
    <w:rsid w:val="007B0BF7"/>
    <w:rsid w:val="007B55C3"/>
    <w:rsid w:val="007B58D6"/>
    <w:rsid w:val="007B61FB"/>
    <w:rsid w:val="007C2FFF"/>
    <w:rsid w:val="007C5CCC"/>
    <w:rsid w:val="007C5D52"/>
    <w:rsid w:val="007C630F"/>
    <w:rsid w:val="007D0538"/>
    <w:rsid w:val="007D6495"/>
    <w:rsid w:val="007E33E1"/>
    <w:rsid w:val="007E4813"/>
    <w:rsid w:val="007E515D"/>
    <w:rsid w:val="007E6C95"/>
    <w:rsid w:val="007E7B13"/>
    <w:rsid w:val="007E7E27"/>
    <w:rsid w:val="007F03B9"/>
    <w:rsid w:val="007F2E5B"/>
    <w:rsid w:val="007F642D"/>
    <w:rsid w:val="007F6E4A"/>
    <w:rsid w:val="00801BDF"/>
    <w:rsid w:val="00801EFC"/>
    <w:rsid w:val="00802C9F"/>
    <w:rsid w:val="00802F80"/>
    <w:rsid w:val="00803C9B"/>
    <w:rsid w:val="00804EC0"/>
    <w:rsid w:val="00805C5F"/>
    <w:rsid w:val="0081177F"/>
    <w:rsid w:val="00813BD9"/>
    <w:rsid w:val="0081542D"/>
    <w:rsid w:val="00815D4B"/>
    <w:rsid w:val="00821776"/>
    <w:rsid w:val="00821C8A"/>
    <w:rsid w:val="00824543"/>
    <w:rsid w:val="008248A7"/>
    <w:rsid w:val="00824B45"/>
    <w:rsid w:val="00825A8C"/>
    <w:rsid w:val="00827B82"/>
    <w:rsid w:val="00832144"/>
    <w:rsid w:val="0083512F"/>
    <w:rsid w:val="0083560F"/>
    <w:rsid w:val="0083595E"/>
    <w:rsid w:val="00835C7C"/>
    <w:rsid w:val="00836136"/>
    <w:rsid w:val="008369C0"/>
    <w:rsid w:val="00836F0B"/>
    <w:rsid w:val="008406E4"/>
    <w:rsid w:val="008409ED"/>
    <w:rsid w:val="00840BCC"/>
    <w:rsid w:val="008436CD"/>
    <w:rsid w:val="00844AF3"/>
    <w:rsid w:val="008451A7"/>
    <w:rsid w:val="00845B80"/>
    <w:rsid w:val="0084741B"/>
    <w:rsid w:val="00850F5F"/>
    <w:rsid w:val="00851251"/>
    <w:rsid w:val="00851350"/>
    <w:rsid w:val="008553BC"/>
    <w:rsid w:val="00855B3A"/>
    <w:rsid w:val="0086149C"/>
    <w:rsid w:val="008642B5"/>
    <w:rsid w:val="00865650"/>
    <w:rsid w:val="00865D8D"/>
    <w:rsid w:val="00866241"/>
    <w:rsid w:val="00867E75"/>
    <w:rsid w:val="00867FFD"/>
    <w:rsid w:val="00872213"/>
    <w:rsid w:val="00875B15"/>
    <w:rsid w:val="00883FC2"/>
    <w:rsid w:val="00884C51"/>
    <w:rsid w:val="00884F67"/>
    <w:rsid w:val="008868DB"/>
    <w:rsid w:val="00887D32"/>
    <w:rsid w:val="00890AC8"/>
    <w:rsid w:val="00893824"/>
    <w:rsid w:val="00894DFD"/>
    <w:rsid w:val="00895D6D"/>
    <w:rsid w:val="008964F7"/>
    <w:rsid w:val="00897343"/>
    <w:rsid w:val="008A1198"/>
    <w:rsid w:val="008A3C18"/>
    <w:rsid w:val="008A4570"/>
    <w:rsid w:val="008A4B70"/>
    <w:rsid w:val="008A5A61"/>
    <w:rsid w:val="008A6122"/>
    <w:rsid w:val="008A713C"/>
    <w:rsid w:val="008A7FB8"/>
    <w:rsid w:val="008B1170"/>
    <w:rsid w:val="008B1A80"/>
    <w:rsid w:val="008B2468"/>
    <w:rsid w:val="008B2E5D"/>
    <w:rsid w:val="008B4AE9"/>
    <w:rsid w:val="008B4DFC"/>
    <w:rsid w:val="008B6955"/>
    <w:rsid w:val="008B6F58"/>
    <w:rsid w:val="008C1926"/>
    <w:rsid w:val="008C3472"/>
    <w:rsid w:val="008C37D6"/>
    <w:rsid w:val="008C7B1A"/>
    <w:rsid w:val="008D17B5"/>
    <w:rsid w:val="008D198F"/>
    <w:rsid w:val="008D1F9F"/>
    <w:rsid w:val="008D4132"/>
    <w:rsid w:val="008D7FBB"/>
    <w:rsid w:val="008E43AB"/>
    <w:rsid w:val="008E4772"/>
    <w:rsid w:val="008E4C6E"/>
    <w:rsid w:val="008E6946"/>
    <w:rsid w:val="008E7D83"/>
    <w:rsid w:val="008E7EBC"/>
    <w:rsid w:val="008F0CA2"/>
    <w:rsid w:val="008F0E2F"/>
    <w:rsid w:val="008F107B"/>
    <w:rsid w:val="008F53C5"/>
    <w:rsid w:val="008F7CE4"/>
    <w:rsid w:val="009001DC"/>
    <w:rsid w:val="009017C4"/>
    <w:rsid w:val="00904210"/>
    <w:rsid w:val="009044C1"/>
    <w:rsid w:val="00906DFA"/>
    <w:rsid w:val="009103EB"/>
    <w:rsid w:val="00910985"/>
    <w:rsid w:val="00911022"/>
    <w:rsid w:val="009127C5"/>
    <w:rsid w:val="00914127"/>
    <w:rsid w:val="0092688F"/>
    <w:rsid w:val="0092714F"/>
    <w:rsid w:val="009276C4"/>
    <w:rsid w:val="00930748"/>
    <w:rsid w:val="0093197F"/>
    <w:rsid w:val="00932A30"/>
    <w:rsid w:val="00933D4B"/>
    <w:rsid w:val="009340B9"/>
    <w:rsid w:val="00936D0B"/>
    <w:rsid w:val="0093724A"/>
    <w:rsid w:val="00940DAE"/>
    <w:rsid w:val="0094123F"/>
    <w:rsid w:val="00941B1F"/>
    <w:rsid w:val="0094343A"/>
    <w:rsid w:val="00946393"/>
    <w:rsid w:val="00950BE6"/>
    <w:rsid w:val="00950BFA"/>
    <w:rsid w:val="00951B67"/>
    <w:rsid w:val="00951DCC"/>
    <w:rsid w:val="0095706B"/>
    <w:rsid w:val="009603E4"/>
    <w:rsid w:val="009610F1"/>
    <w:rsid w:val="00963394"/>
    <w:rsid w:val="009713DF"/>
    <w:rsid w:val="0097299E"/>
    <w:rsid w:val="009751E9"/>
    <w:rsid w:val="00975F62"/>
    <w:rsid w:val="009778D8"/>
    <w:rsid w:val="00980DB9"/>
    <w:rsid w:val="00981645"/>
    <w:rsid w:val="009826DA"/>
    <w:rsid w:val="009836CE"/>
    <w:rsid w:val="00983DB7"/>
    <w:rsid w:val="00984EFC"/>
    <w:rsid w:val="00991449"/>
    <w:rsid w:val="00992385"/>
    <w:rsid w:val="0099510C"/>
    <w:rsid w:val="00995134"/>
    <w:rsid w:val="00996FB9"/>
    <w:rsid w:val="009A15E7"/>
    <w:rsid w:val="009A3AEB"/>
    <w:rsid w:val="009A6285"/>
    <w:rsid w:val="009B4CA2"/>
    <w:rsid w:val="009B592F"/>
    <w:rsid w:val="009B78C7"/>
    <w:rsid w:val="009B79F5"/>
    <w:rsid w:val="009B7D93"/>
    <w:rsid w:val="009C0BF7"/>
    <w:rsid w:val="009C3FAF"/>
    <w:rsid w:val="009C5BC8"/>
    <w:rsid w:val="009D106A"/>
    <w:rsid w:val="009D1B53"/>
    <w:rsid w:val="009D32AE"/>
    <w:rsid w:val="009D3D9D"/>
    <w:rsid w:val="009D411A"/>
    <w:rsid w:val="009D4D19"/>
    <w:rsid w:val="009D5878"/>
    <w:rsid w:val="009D661C"/>
    <w:rsid w:val="009D66E2"/>
    <w:rsid w:val="009D7193"/>
    <w:rsid w:val="009E09CE"/>
    <w:rsid w:val="009E405E"/>
    <w:rsid w:val="009E6039"/>
    <w:rsid w:val="009E64FE"/>
    <w:rsid w:val="009E7C69"/>
    <w:rsid w:val="009F0CF7"/>
    <w:rsid w:val="009F1B32"/>
    <w:rsid w:val="009F3307"/>
    <w:rsid w:val="009F60F7"/>
    <w:rsid w:val="00A017DE"/>
    <w:rsid w:val="00A03735"/>
    <w:rsid w:val="00A0585D"/>
    <w:rsid w:val="00A05D97"/>
    <w:rsid w:val="00A1065C"/>
    <w:rsid w:val="00A1162A"/>
    <w:rsid w:val="00A13093"/>
    <w:rsid w:val="00A1382B"/>
    <w:rsid w:val="00A14FA4"/>
    <w:rsid w:val="00A15011"/>
    <w:rsid w:val="00A1662B"/>
    <w:rsid w:val="00A173DF"/>
    <w:rsid w:val="00A17ACB"/>
    <w:rsid w:val="00A21ED9"/>
    <w:rsid w:val="00A22C14"/>
    <w:rsid w:val="00A24FA5"/>
    <w:rsid w:val="00A262F1"/>
    <w:rsid w:val="00A300A7"/>
    <w:rsid w:val="00A30817"/>
    <w:rsid w:val="00A31470"/>
    <w:rsid w:val="00A32386"/>
    <w:rsid w:val="00A3323B"/>
    <w:rsid w:val="00A33C83"/>
    <w:rsid w:val="00A36B6A"/>
    <w:rsid w:val="00A36D05"/>
    <w:rsid w:val="00A4112B"/>
    <w:rsid w:val="00A413D2"/>
    <w:rsid w:val="00A4210F"/>
    <w:rsid w:val="00A44623"/>
    <w:rsid w:val="00A44AB4"/>
    <w:rsid w:val="00A44FF0"/>
    <w:rsid w:val="00A454FB"/>
    <w:rsid w:val="00A455B7"/>
    <w:rsid w:val="00A456A1"/>
    <w:rsid w:val="00A46DC5"/>
    <w:rsid w:val="00A47D80"/>
    <w:rsid w:val="00A512CD"/>
    <w:rsid w:val="00A51EDA"/>
    <w:rsid w:val="00A5213B"/>
    <w:rsid w:val="00A52296"/>
    <w:rsid w:val="00A56361"/>
    <w:rsid w:val="00A627D6"/>
    <w:rsid w:val="00A62AD2"/>
    <w:rsid w:val="00A62EE8"/>
    <w:rsid w:val="00A652D2"/>
    <w:rsid w:val="00A6551E"/>
    <w:rsid w:val="00A7097C"/>
    <w:rsid w:val="00A72A5A"/>
    <w:rsid w:val="00A72D37"/>
    <w:rsid w:val="00A73CEA"/>
    <w:rsid w:val="00A74F1D"/>
    <w:rsid w:val="00A76ED7"/>
    <w:rsid w:val="00A82625"/>
    <w:rsid w:val="00A82D00"/>
    <w:rsid w:val="00A831C4"/>
    <w:rsid w:val="00A834E0"/>
    <w:rsid w:val="00A83571"/>
    <w:rsid w:val="00A83658"/>
    <w:rsid w:val="00A85342"/>
    <w:rsid w:val="00A85821"/>
    <w:rsid w:val="00A85A5D"/>
    <w:rsid w:val="00A85EF7"/>
    <w:rsid w:val="00A861C0"/>
    <w:rsid w:val="00A8667E"/>
    <w:rsid w:val="00A86855"/>
    <w:rsid w:val="00A87DBB"/>
    <w:rsid w:val="00A87E49"/>
    <w:rsid w:val="00A90219"/>
    <w:rsid w:val="00A90423"/>
    <w:rsid w:val="00A90500"/>
    <w:rsid w:val="00A92D15"/>
    <w:rsid w:val="00A92DE0"/>
    <w:rsid w:val="00A95838"/>
    <w:rsid w:val="00A9654E"/>
    <w:rsid w:val="00A9767D"/>
    <w:rsid w:val="00A9793D"/>
    <w:rsid w:val="00AA1F12"/>
    <w:rsid w:val="00AA3B8B"/>
    <w:rsid w:val="00AA5844"/>
    <w:rsid w:val="00AA5993"/>
    <w:rsid w:val="00AA69A0"/>
    <w:rsid w:val="00AB0246"/>
    <w:rsid w:val="00AB18C6"/>
    <w:rsid w:val="00AB23A5"/>
    <w:rsid w:val="00AB59DB"/>
    <w:rsid w:val="00AB611B"/>
    <w:rsid w:val="00AB6914"/>
    <w:rsid w:val="00AB6AFC"/>
    <w:rsid w:val="00AB6EE5"/>
    <w:rsid w:val="00AB701E"/>
    <w:rsid w:val="00AB73CB"/>
    <w:rsid w:val="00AB7FB5"/>
    <w:rsid w:val="00AC03D2"/>
    <w:rsid w:val="00AC0A42"/>
    <w:rsid w:val="00AC1778"/>
    <w:rsid w:val="00AC1DCF"/>
    <w:rsid w:val="00AC4A1B"/>
    <w:rsid w:val="00AC4ABD"/>
    <w:rsid w:val="00AC5417"/>
    <w:rsid w:val="00AC544B"/>
    <w:rsid w:val="00AC6948"/>
    <w:rsid w:val="00AC6954"/>
    <w:rsid w:val="00AD01C1"/>
    <w:rsid w:val="00AD3BE7"/>
    <w:rsid w:val="00AD5549"/>
    <w:rsid w:val="00AE043F"/>
    <w:rsid w:val="00AE3A2C"/>
    <w:rsid w:val="00AF43A1"/>
    <w:rsid w:val="00AF4ACF"/>
    <w:rsid w:val="00AF7108"/>
    <w:rsid w:val="00B00921"/>
    <w:rsid w:val="00B00C29"/>
    <w:rsid w:val="00B04737"/>
    <w:rsid w:val="00B04A8F"/>
    <w:rsid w:val="00B05FE7"/>
    <w:rsid w:val="00B079CD"/>
    <w:rsid w:val="00B12970"/>
    <w:rsid w:val="00B14178"/>
    <w:rsid w:val="00B14C1A"/>
    <w:rsid w:val="00B2161B"/>
    <w:rsid w:val="00B22A31"/>
    <w:rsid w:val="00B27BBD"/>
    <w:rsid w:val="00B30F42"/>
    <w:rsid w:val="00B30FF1"/>
    <w:rsid w:val="00B32F88"/>
    <w:rsid w:val="00B32FE1"/>
    <w:rsid w:val="00B32FEA"/>
    <w:rsid w:val="00B339E8"/>
    <w:rsid w:val="00B3452A"/>
    <w:rsid w:val="00B35582"/>
    <w:rsid w:val="00B35D4B"/>
    <w:rsid w:val="00B36AD9"/>
    <w:rsid w:val="00B36EEB"/>
    <w:rsid w:val="00B40657"/>
    <w:rsid w:val="00B40D29"/>
    <w:rsid w:val="00B45CAC"/>
    <w:rsid w:val="00B47A36"/>
    <w:rsid w:val="00B50D16"/>
    <w:rsid w:val="00B51110"/>
    <w:rsid w:val="00B533E3"/>
    <w:rsid w:val="00B55531"/>
    <w:rsid w:val="00B55C25"/>
    <w:rsid w:val="00B55E51"/>
    <w:rsid w:val="00B55F52"/>
    <w:rsid w:val="00B57428"/>
    <w:rsid w:val="00B6273D"/>
    <w:rsid w:val="00B65ED9"/>
    <w:rsid w:val="00B660C6"/>
    <w:rsid w:val="00B66DE0"/>
    <w:rsid w:val="00B6728F"/>
    <w:rsid w:val="00B70F26"/>
    <w:rsid w:val="00B73300"/>
    <w:rsid w:val="00B740C9"/>
    <w:rsid w:val="00B75D1B"/>
    <w:rsid w:val="00B75D86"/>
    <w:rsid w:val="00B85FD8"/>
    <w:rsid w:val="00B864DB"/>
    <w:rsid w:val="00B9281F"/>
    <w:rsid w:val="00B9287D"/>
    <w:rsid w:val="00B9397A"/>
    <w:rsid w:val="00B93D61"/>
    <w:rsid w:val="00B9725C"/>
    <w:rsid w:val="00B97C84"/>
    <w:rsid w:val="00BA1441"/>
    <w:rsid w:val="00BA28E9"/>
    <w:rsid w:val="00BA3A69"/>
    <w:rsid w:val="00BA5FFF"/>
    <w:rsid w:val="00BA621D"/>
    <w:rsid w:val="00BA7E18"/>
    <w:rsid w:val="00BB3774"/>
    <w:rsid w:val="00BB4015"/>
    <w:rsid w:val="00BB4838"/>
    <w:rsid w:val="00BB5872"/>
    <w:rsid w:val="00BB5D87"/>
    <w:rsid w:val="00BB5E4B"/>
    <w:rsid w:val="00BB5F6C"/>
    <w:rsid w:val="00BB638D"/>
    <w:rsid w:val="00BB6D7D"/>
    <w:rsid w:val="00BB71ED"/>
    <w:rsid w:val="00BB780F"/>
    <w:rsid w:val="00BC167B"/>
    <w:rsid w:val="00BC17E8"/>
    <w:rsid w:val="00BC19C6"/>
    <w:rsid w:val="00BC4131"/>
    <w:rsid w:val="00BC6B7B"/>
    <w:rsid w:val="00BD3A4A"/>
    <w:rsid w:val="00BD4EA5"/>
    <w:rsid w:val="00BE018E"/>
    <w:rsid w:val="00BE0384"/>
    <w:rsid w:val="00BE085C"/>
    <w:rsid w:val="00BE1142"/>
    <w:rsid w:val="00BE1E75"/>
    <w:rsid w:val="00BE2B55"/>
    <w:rsid w:val="00BE4F43"/>
    <w:rsid w:val="00BE6DC2"/>
    <w:rsid w:val="00BE754F"/>
    <w:rsid w:val="00BE7857"/>
    <w:rsid w:val="00BE7CE4"/>
    <w:rsid w:val="00BF028A"/>
    <w:rsid w:val="00BF4A18"/>
    <w:rsid w:val="00BF4A28"/>
    <w:rsid w:val="00BF7D36"/>
    <w:rsid w:val="00C01599"/>
    <w:rsid w:val="00C029C6"/>
    <w:rsid w:val="00C02E4B"/>
    <w:rsid w:val="00C03013"/>
    <w:rsid w:val="00C03152"/>
    <w:rsid w:val="00C043AC"/>
    <w:rsid w:val="00C046E9"/>
    <w:rsid w:val="00C047D5"/>
    <w:rsid w:val="00C05CD2"/>
    <w:rsid w:val="00C066B5"/>
    <w:rsid w:val="00C067D9"/>
    <w:rsid w:val="00C10136"/>
    <w:rsid w:val="00C11496"/>
    <w:rsid w:val="00C1190B"/>
    <w:rsid w:val="00C133B5"/>
    <w:rsid w:val="00C1355D"/>
    <w:rsid w:val="00C15C7A"/>
    <w:rsid w:val="00C167F4"/>
    <w:rsid w:val="00C17008"/>
    <w:rsid w:val="00C17FE7"/>
    <w:rsid w:val="00C24E3A"/>
    <w:rsid w:val="00C26660"/>
    <w:rsid w:val="00C27860"/>
    <w:rsid w:val="00C32461"/>
    <w:rsid w:val="00C34DE4"/>
    <w:rsid w:val="00C34E24"/>
    <w:rsid w:val="00C36BC2"/>
    <w:rsid w:val="00C403FC"/>
    <w:rsid w:val="00C41268"/>
    <w:rsid w:val="00C453C3"/>
    <w:rsid w:val="00C45494"/>
    <w:rsid w:val="00C50BD7"/>
    <w:rsid w:val="00C51417"/>
    <w:rsid w:val="00C5278A"/>
    <w:rsid w:val="00C52833"/>
    <w:rsid w:val="00C5537B"/>
    <w:rsid w:val="00C5741F"/>
    <w:rsid w:val="00C639EA"/>
    <w:rsid w:val="00C65BC3"/>
    <w:rsid w:val="00C66A2F"/>
    <w:rsid w:val="00C6774A"/>
    <w:rsid w:val="00C70438"/>
    <w:rsid w:val="00C716C5"/>
    <w:rsid w:val="00C719C3"/>
    <w:rsid w:val="00C73013"/>
    <w:rsid w:val="00C7504D"/>
    <w:rsid w:val="00C84BE7"/>
    <w:rsid w:val="00C85300"/>
    <w:rsid w:val="00C854E8"/>
    <w:rsid w:val="00C85D48"/>
    <w:rsid w:val="00C8622E"/>
    <w:rsid w:val="00C943B8"/>
    <w:rsid w:val="00C94A76"/>
    <w:rsid w:val="00C94B5C"/>
    <w:rsid w:val="00C973E8"/>
    <w:rsid w:val="00CA01C4"/>
    <w:rsid w:val="00CA28B9"/>
    <w:rsid w:val="00CA35A1"/>
    <w:rsid w:val="00CA4024"/>
    <w:rsid w:val="00CA6632"/>
    <w:rsid w:val="00CA7B2A"/>
    <w:rsid w:val="00CB1E7C"/>
    <w:rsid w:val="00CB27FA"/>
    <w:rsid w:val="00CB446D"/>
    <w:rsid w:val="00CB5384"/>
    <w:rsid w:val="00CB54E0"/>
    <w:rsid w:val="00CB74D8"/>
    <w:rsid w:val="00CB77BE"/>
    <w:rsid w:val="00CC00F3"/>
    <w:rsid w:val="00CC37A5"/>
    <w:rsid w:val="00CC3DB5"/>
    <w:rsid w:val="00CC545F"/>
    <w:rsid w:val="00CC6E6F"/>
    <w:rsid w:val="00CD18BA"/>
    <w:rsid w:val="00CD3F21"/>
    <w:rsid w:val="00CD4642"/>
    <w:rsid w:val="00CD528B"/>
    <w:rsid w:val="00CD5A00"/>
    <w:rsid w:val="00CD5BDC"/>
    <w:rsid w:val="00CD7690"/>
    <w:rsid w:val="00CD796D"/>
    <w:rsid w:val="00CE1948"/>
    <w:rsid w:val="00CE40C4"/>
    <w:rsid w:val="00CE663A"/>
    <w:rsid w:val="00CE7F5C"/>
    <w:rsid w:val="00CF0ADC"/>
    <w:rsid w:val="00CF17C4"/>
    <w:rsid w:val="00CF499E"/>
    <w:rsid w:val="00CF68C3"/>
    <w:rsid w:val="00CF6985"/>
    <w:rsid w:val="00CF728C"/>
    <w:rsid w:val="00D000C6"/>
    <w:rsid w:val="00D0207F"/>
    <w:rsid w:val="00D0211D"/>
    <w:rsid w:val="00D04D51"/>
    <w:rsid w:val="00D04D59"/>
    <w:rsid w:val="00D05833"/>
    <w:rsid w:val="00D06957"/>
    <w:rsid w:val="00D15080"/>
    <w:rsid w:val="00D16223"/>
    <w:rsid w:val="00D206D1"/>
    <w:rsid w:val="00D21FC7"/>
    <w:rsid w:val="00D223A7"/>
    <w:rsid w:val="00D233DD"/>
    <w:rsid w:val="00D23EE4"/>
    <w:rsid w:val="00D23FF2"/>
    <w:rsid w:val="00D25D1E"/>
    <w:rsid w:val="00D27205"/>
    <w:rsid w:val="00D2722C"/>
    <w:rsid w:val="00D27800"/>
    <w:rsid w:val="00D35C38"/>
    <w:rsid w:val="00D42E5B"/>
    <w:rsid w:val="00D445AB"/>
    <w:rsid w:val="00D45CE4"/>
    <w:rsid w:val="00D46E25"/>
    <w:rsid w:val="00D47E43"/>
    <w:rsid w:val="00D5279B"/>
    <w:rsid w:val="00D53636"/>
    <w:rsid w:val="00D539A8"/>
    <w:rsid w:val="00D53C50"/>
    <w:rsid w:val="00D56139"/>
    <w:rsid w:val="00D56BD4"/>
    <w:rsid w:val="00D57946"/>
    <w:rsid w:val="00D65FA2"/>
    <w:rsid w:val="00D67FE2"/>
    <w:rsid w:val="00D73C8B"/>
    <w:rsid w:val="00D747AF"/>
    <w:rsid w:val="00D76BB9"/>
    <w:rsid w:val="00D8100F"/>
    <w:rsid w:val="00D81F77"/>
    <w:rsid w:val="00D830BC"/>
    <w:rsid w:val="00D85A6C"/>
    <w:rsid w:val="00D90161"/>
    <w:rsid w:val="00D91795"/>
    <w:rsid w:val="00D92343"/>
    <w:rsid w:val="00D9594B"/>
    <w:rsid w:val="00D95C1B"/>
    <w:rsid w:val="00D97C07"/>
    <w:rsid w:val="00D97FDB"/>
    <w:rsid w:val="00DA0701"/>
    <w:rsid w:val="00DA1D74"/>
    <w:rsid w:val="00DA22DB"/>
    <w:rsid w:val="00DB134D"/>
    <w:rsid w:val="00DB3AEA"/>
    <w:rsid w:val="00DB4E5E"/>
    <w:rsid w:val="00DB7734"/>
    <w:rsid w:val="00DB7A56"/>
    <w:rsid w:val="00DC295F"/>
    <w:rsid w:val="00DC46DB"/>
    <w:rsid w:val="00DC5907"/>
    <w:rsid w:val="00DD05F6"/>
    <w:rsid w:val="00DD1EB4"/>
    <w:rsid w:val="00DD2425"/>
    <w:rsid w:val="00DD3799"/>
    <w:rsid w:val="00DD3B1A"/>
    <w:rsid w:val="00DD7BF2"/>
    <w:rsid w:val="00DE0BB9"/>
    <w:rsid w:val="00DE3BFA"/>
    <w:rsid w:val="00DE3DFB"/>
    <w:rsid w:val="00DE5D04"/>
    <w:rsid w:val="00DE5EE7"/>
    <w:rsid w:val="00DE5FC7"/>
    <w:rsid w:val="00DE6B93"/>
    <w:rsid w:val="00DE71DA"/>
    <w:rsid w:val="00DF1D52"/>
    <w:rsid w:val="00DF435E"/>
    <w:rsid w:val="00DF515F"/>
    <w:rsid w:val="00DF6A1F"/>
    <w:rsid w:val="00DF736B"/>
    <w:rsid w:val="00E002ED"/>
    <w:rsid w:val="00E0041C"/>
    <w:rsid w:val="00E02B74"/>
    <w:rsid w:val="00E03289"/>
    <w:rsid w:val="00E034F0"/>
    <w:rsid w:val="00E039AA"/>
    <w:rsid w:val="00E06A92"/>
    <w:rsid w:val="00E10089"/>
    <w:rsid w:val="00E11E88"/>
    <w:rsid w:val="00E12B27"/>
    <w:rsid w:val="00E1406F"/>
    <w:rsid w:val="00E14637"/>
    <w:rsid w:val="00E14855"/>
    <w:rsid w:val="00E14978"/>
    <w:rsid w:val="00E15557"/>
    <w:rsid w:val="00E178BF"/>
    <w:rsid w:val="00E20F10"/>
    <w:rsid w:val="00E210E0"/>
    <w:rsid w:val="00E21D2A"/>
    <w:rsid w:val="00E22880"/>
    <w:rsid w:val="00E2566C"/>
    <w:rsid w:val="00E27492"/>
    <w:rsid w:val="00E3036D"/>
    <w:rsid w:val="00E30840"/>
    <w:rsid w:val="00E3198E"/>
    <w:rsid w:val="00E32AF7"/>
    <w:rsid w:val="00E3470C"/>
    <w:rsid w:val="00E3487F"/>
    <w:rsid w:val="00E34B97"/>
    <w:rsid w:val="00E34BEF"/>
    <w:rsid w:val="00E35DC3"/>
    <w:rsid w:val="00E366C6"/>
    <w:rsid w:val="00E40D89"/>
    <w:rsid w:val="00E43BD0"/>
    <w:rsid w:val="00E43ED0"/>
    <w:rsid w:val="00E4487E"/>
    <w:rsid w:val="00E44CAD"/>
    <w:rsid w:val="00E467E6"/>
    <w:rsid w:val="00E50B5E"/>
    <w:rsid w:val="00E51344"/>
    <w:rsid w:val="00E51E24"/>
    <w:rsid w:val="00E53DBA"/>
    <w:rsid w:val="00E557EB"/>
    <w:rsid w:val="00E55FA2"/>
    <w:rsid w:val="00E604A8"/>
    <w:rsid w:val="00E63329"/>
    <w:rsid w:val="00E67E91"/>
    <w:rsid w:val="00E73E47"/>
    <w:rsid w:val="00E776F3"/>
    <w:rsid w:val="00E817A0"/>
    <w:rsid w:val="00E82550"/>
    <w:rsid w:val="00E83499"/>
    <w:rsid w:val="00E84312"/>
    <w:rsid w:val="00E85516"/>
    <w:rsid w:val="00E86C4F"/>
    <w:rsid w:val="00E86E6A"/>
    <w:rsid w:val="00E877F9"/>
    <w:rsid w:val="00E87CFB"/>
    <w:rsid w:val="00E87F0C"/>
    <w:rsid w:val="00E91057"/>
    <w:rsid w:val="00E93582"/>
    <w:rsid w:val="00E93634"/>
    <w:rsid w:val="00E9745F"/>
    <w:rsid w:val="00E97CDD"/>
    <w:rsid w:val="00EA09C5"/>
    <w:rsid w:val="00EA2596"/>
    <w:rsid w:val="00EA61A1"/>
    <w:rsid w:val="00EA6AEB"/>
    <w:rsid w:val="00EA736F"/>
    <w:rsid w:val="00EB48DD"/>
    <w:rsid w:val="00EB5C62"/>
    <w:rsid w:val="00EB689D"/>
    <w:rsid w:val="00EC5083"/>
    <w:rsid w:val="00EC5456"/>
    <w:rsid w:val="00EC5564"/>
    <w:rsid w:val="00EC6BEF"/>
    <w:rsid w:val="00ED7092"/>
    <w:rsid w:val="00ED741C"/>
    <w:rsid w:val="00EE0647"/>
    <w:rsid w:val="00EE1BC0"/>
    <w:rsid w:val="00EE7530"/>
    <w:rsid w:val="00EF08AC"/>
    <w:rsid w:val="00EF0BC1"/>
    <w:rsid w:val="00EF13CF"/>
    <w:rsid w:val="00EF4F93"/>
    <w:rsid w:val="00F0201B"/>
    <w:rsid w:val="00F02A27"/>
    <w:rsid w:val="00F03958"/>
    <w:rsid w:val="00F0513F"/>
    <w:rsid w:val="00F079D1"/>
    <w:rsid w:val="00F130A9"/>
    <w:rsid w:val="00F16E34"/>
    <w:rsid w:val="00F16FA0"/>
    <w:rsid w:val="00F2131C"/>
    <w:rsid w:val="00F261DF"/>
    <w:rsid w:val="00F27632"/>
    <w:rsid w:val="00F27BC3"/>
    <w:rsid w:val="00F30327"/>
    <w:rsid w:val="00F33155"/>
    <w:rsid w:val="00F34C07"/>
    <w:rsid w:val="00F36667"/>
    <w:rsid w:val="00F37EB8"/>
    <w:rsid w:val="00F37FB2"/>
    <w:rsid w:val="00F40538"/>
    <w:rsid w:val="00F443A8"/>
    <w:rsid w:val="00F44652"/>
    <w:rsid w:val="00F47180"/>
    <w:rsid w:val="00F47ECF"/>
    <w:rsid w:val="00F50613"/>
    <w:rsid w:val="00F5212E"/>
    <w:rsid w:val="00F52F76"/>
    <w:rsid w:val="00F53365"/>
    <w:rsid w:val="00F550B1"/>
    <w:rsid w:val="00F5675F"/>
    <w:rsid w:val="00F62E44"/>
    <w:rsid w:val="00F64B0C"/>
    <w:rsid w:val="00F65889"/>
    <w:rsid w:val="00F658ED"/>
    <w:rsid w:val="00F66B15"/>
    <w:rsid w:val="00F66D3A"/>
    <w:rsid w:val="00F67010"/>
    <w:rsid w:val="00F74C23"/>
    <w:rsid w:val="00F76EBA"/>
    <w:rsid w:val="00F80333"/>
    <w:rsid w:val="00F81BD3"/>
    <w:rsid w:val="00F821B3"/>
    <w:rsid w:val="00F82372"/>
    <w:rsid w:val="00F82C05"/>
    <w:rsid w:val="00F8427F"/>
    <w:rsid w:val="00F8570B"/>
    <w:rsid w:val="00F862DE"/>
    <w:rsid w:val="00F871CE"/>
    <w:rsid w:val="00F90E14"/>
    <w:rsid w:val="00F924A4"/>
    <w:rsid w:val="00F92A97"/>
    <w:rsid w:val="00F9309F"/>
    <w:rsid w:val="00F93F1E"/>
    <w:rsid w:val="00FA147A"/>
    <w:rsid w:val="00FA1F24"/>
    <w:rsid w:val="00FA451C"/>
    <w:rsid w:val="00FA4D07"/>
    <w:rsid w:val="00FA4EF6"/>
    <w:rsid w:val="00FA52D5"/>
    <w:rsid w:val="00FA5498"/>
    <w:rsid w:val="00FA6118"/>
    <w:rsid w:val="00FA6188"/>
    <w:rsid w:val="00FA644F"/>
    <w:rsid w:val="00FA66B0"/>
    <w:rsid w:val="00FA6CCB"/>
    <w:rsid w:val="00FB05A9"/>
    <w:rsid w:val="00FB11B4"/>
    <w:rsid w:val="00FB2B64"/>
    <w:rsid w:val="00FB3FDD"/>
    <w:rsid w:val="00FB613A"/>
    <w:rsid w:val="00FB65C4"/>
    <w:rsid w:val="00FB6768"/>
    <w:rsid w:val="00FC757B"/>
    <w:rsid w:val="00FC7865"/>
    <w:rsid w:val="00FD27D5"/>
    <w:rsid w:val="00FD2861"/>
    <w:rsid w:val="00FD35F2"/>
    <w:rsid w:val="00FD37AA"/>
    <w:rsid w:val="00FD67DD"/>
    <w:rsid w:val="00FE049B"/>
    <w:rsid w:val="00FE0719"/>
    <w:rsid w:val="00FE074A"/>
    <w:rsid w:val="00FE1D4A"/>
    <w:rsid w:val="00FE20FD"/>
    <w:rsid w:val="00FE2521"/>
    <w:rsid w:val="00FE269A"/>
    <w:rsid w:val="00FE3A98"/>
    <w:rsid w:val="00FE4250"/>
    <w:rsid w:val="00FE4258"/>
    <w:rsid w:val="00FE429D"/>
    <w:rsid w:val="00FE4ECB"/>
    <w:rsid w:val="00FE6039"/>
    <w:rsid w:val="00FE7E25"/>
    <w:rsid w:val="00FF1181"/>
    <w:rsid w:val="00FF1E33"/>
    <w:rsid w:val="00FF55B0"/>
    <w:rsid w:val="00FF5DF3"/>
    <w:rsid w:val="00FF7963"/>
    <w:rsid w:val="011919E1"/>
    <w:rsid w:val="0157093F"/>
    <w:rsid w:val="016043AA"/>
    <w:rsid w:val="01654685"/>
    <w:rsid w:val="01872805"/>
    <w:rsid w:val="01947C65"/>
    <w:rsid w:val="01BB7833"/>
    <w:rsid w:val="01BF54BF"/>
    <w:rsid w:val="01CC7C92"/>
    <w:rsid w:val="01F7553A"/>
    <w:rsid w:val="02015DF0"/>
    <w:rsid w:val="02082F55"/>
    <w:rsid w:val="020954F9"/>
    <w:rsid w:val="026C31B4"/>
    <w:rsid w:val="027645C6"/>
    <w:rsid w:val="02827B4E"/>
    <w:rsid w:val="02854B70"/>
    <w:rsid w:val="02A57977"/>
    <w:rsid w:val="02AC5A37"/>
    <w:rsid w:val="02B66DFB"/>
    <w:rsid w:val="02CF7A3A"/>
    <w:rsid w:val="031150F2"/>
    <w:rsid w:val="032B409F"/>
    <w:rsid w:val="032C431D"/>
    <w:rsid w:val="03661E5D"/>
    <w:rsid w:val="03755DB5"/>
    <w:rsid w:val="0385634A"/>
    <w:rsid w:val="039B344C"/>
    <w:rsid w:val="03B43C6E"/>
    <w:rsid w:val="03BA3483"/>
    <w:rsid w:val="03C809BA"/>
    <w:rsid w:val="03FB1497"/>
    <w:rsid w:val="04243417"/>
    <w:rsid w:val="04510922"/>
    <w:rsid w:val="045E5477"/>
    <w:rsid w:val="04693109"/>
    <w:rsid w:val="04781A0B"/>
    <w:rsid w:val="047D5D25"/>
    <w:rsid w:val="049C4521"/>
    <w:rsid w:val="04A750AD"/>
    <w:rsid w:val="04B2316F"/>
    <w:rsid w:val="04BA14E9"/>
    <w:rsid w:val="04BF393A"/>
    <w:rsid w:val="04C149FC"/>
    <w:rsid w:val="04D97BC4"/>
    <w:rsid w:val="050339CA"/>
    <w:rsid w:val="051C3A80"/>
    <w:rsid w:val="05394C65"/>
    <w:rsid w:val="053F077B"/>
    <w:rsid w:val="05465F6B"/>
    <w:rsid w:val="05553F18"/>
    <w:rsid w:val="058C16B4"/>
    <w:rsid w:val="05AE003D"/>
    <w:rsid w:val="05B178CA"/>
    <w:rsid w:val="05B46EB4"/>
    <w:rsid w:val="05B871A7"/>
    <w:rsid w:val="0601528C"/>
    <w:rsid w:val="06060999"/>
    <w:rsid w:val="06710E08"/>
    <w:rsid w:val="06B22C47"/>
    <w:rsid w:val="06C53634"/>
    <w:rsid w:val="06CF4033"/>
    <w:rsid w:val="06E02CE6"/>
    <w:rsid w:val="07101E24"/>
    <w:rsid w:val="075B0773"/>
    <w:rsid w:val="076B0D46"/>
    <w:rsid w:val="07720928"/>
    <w:rsid w:val="07C228EB"/>
    <w:rsid w:val="07C32CAA"/>
    <w:rsid w:val="07C552A0"/>
    <w:rsid w:val="08091093"/>
    <w:rsid w:val="083615C2"/>
    <w:rsid w:val="08571F17"/>
    <w:rsid w:val="085E35BA"/>
    <w:rsid w:val="086A66FD"/>
    <w:rsid w:val="086E679E"/>
    <w:rsid w:val="08935065"/>
    <w:rsid w:val="08B27032"/>
    <w:rsid w:val="08C94250"/>
    <w:rsid w:val="08D31906"/>
    <w:rsid w:val="08ED6E6B"/>
    <w:rsid w:val="08F2634C"/>
    <w:rsid w:val="094141D1"/>
    <w:rsid w:val="094B3B92"/>
    <w:rsid w:val="095E6DF3"/>
    <w:rsid w:val="09750C0F"/>
    <w:rsid w:val="09A92667"/>
    <w:rsid w:val="09C45E9B"/>
    <w:rsid w:val="09E013D8"/>
    <w:rsid w:val="09E66CEC"/>
    <w:rsid w:val="0A0565F8"/>
    <w:rsid w:val="0A0846C7"/>
    <w:rsid w:val="0A1A0C0E"/>
    <w:rsid w:val="0A1A247D"/>
    <w:rsid w:val="0A216E62"/>
    <w:rsid w:val="0A2B309D"/>
    <w:rsid w:val="0A32755C"/>
    <w:rsid w:val="0A575F04"/>
    <w:rsid w:val="0A5D7CB6"/>
    <w:rsid w:val="0A610B55"/>
    <w:rsid w:val="0A7E4D3D"/>
    <w:rsid w:val="0A8510AF"/>
    <w:rsid w:val="0AC23898"/>
    <w:rsid w:val="0AF616E7"/>
    <w:rsid w:val="0AF659DB"/>
    <w:rsid w:val="0B0B35D9"/>
    <w:rsid w:val="0B213CDB"/>
    <w:rsid w:val="0B305ED9"/>
    <w:rsid w:val="0B5506D6"/>
    <w:rsid w:val="0B8E05D5"/>
    <w:rsid w:val="0BB61EAD"/>
    <w:rsid w:val="0BDE367E"/>
    <w:rsid w:val="0C346B5F"/>
    <w:rsid w:val="0C582436"/>
    <w:rsid w:val="0CA659AF"/>
    <w:rsid w:val="0CC05CDB"/>
    <w:rsid w:val="0CDD70E1"/>
    <w:rsid w:val="0CF307C8"/>
    <w:rsid w:val="0CF61A6F"/>
    <w:rsid w:val="0D2F68CA"/>
    <w:rsid w:val="0D48118B"/>
    <w:rsid w:val="0D6B2F98"/>
    <w:rsid w:val="0DB85C18"/>
    <w:rsid w:val="0DDC63A0"/>
    <w:rsid w:val="0E1E21CE"/>
    <w:rsid w:val="0E294466"/>
    <w:rsid w:val="0E5500FB"/>
    <w:rsid w:val="0E5922EE"/>
    <w:rsid w:val="0E5D12B1"/>
    <w:rsid w:val="0E9C25DB"/>
    <w:rsid w:val="0E9E6512"/>
    <w:rsid w:val="0EAC31A4"/>
    <w:rsid w:val="0ECC2920"/>
    <w:rsid w:val="0ED30BF9"/>
    <w:rsid w:val="0EEF6D6E"/>
    <w:rsid w:val="0EFD17BB"/>
    <w:rsid w:val="0F1C55BC"/>
    <w:rsid w:val="0F1F4D1C"/>
    <w:rsid w:val="0F504B9E"/>
    <w:rsid w:val="0F5D6CE1"/>
    <w:rsid w:val="0F8751FD"/>
    <w:rsid w:val="0FA52BCF"/>
    <w:rsid w:val="0FA865E5"/>
    <w:rsid w:val="0FB056A7"/>
    <w:rsid w:val="0FF00B94"/>
    <w:rsid w:val="0FF65A4D"/>
    <w:rsid w:val="10563548"/>
    <w:rsid w:val="10727C56"/>
    <w:rsid w:val="10883615"/>
    <w:rsid w:val="10AA68DB"/>
    <w:rsid w:val="10AB7F64"/>
    <w:rsid w:val="10B40297"/>
    <w:rsid w:val="10C22F90"/>
    <w:rsid w:val="10C37449"/>
    <w:rsid w:val="10D74A29"/>
    <w:rsid w:val="10DB1CB0"/>
    <w:rsid w:val="10E30864"/>
    <w:rsid w:val="110811FF"/>
    <w:rsid w:val="111F6068"/>
    <w:rsid w:val="119F2560"/>
    <w:rsid w:val="11B00446"/>
    <w:rsid w:val="11C87379"/>
    <w:rsid w:val="12016949"/>
    <w:rsid w:val="122C7774"/>
    <w:rsid w:val="1239107F"/>
    <w:rsid w:val="12921C8F"/>
    <w:rsid w:val="12DA6AE1"/>
    <w:rsid w:val="12FC5526"/>
    <w:rsid w:val="13340A61"/>
    <w:rsid w:val="134B5600"/>
    <w:rsid w:val="13985C26"/>
    <w:rsid w:val="13C765E5"/>
    <w:rsid w:val="13CE33F5"/>
    <w:rsid w:val="13D757FE"/>
    <w:rsid w:val="13E44965"/>
    <w:rsid w:val="13FF3EF7"/>
    <w:rsid w:val="140D7EA9"/>
    <w:rsid w:val="141A0E7D"/>
    <w:rsid w:val="14224A69"/>
    <w:rsid w:val="143A0A8B"/>
    <w:rsid w:val="146B158C"/>
    <w:rsid w:val="148B7538"/>
    <w:rsid w:val="148D505F"/>
    <w:rsid w:val="149421A1"/>
    <w:rsid w:val="14DD4396"/>
    <w:rsid w:val="14E53CF3"/>
    <w:rsid w:val="150C3F70"/>
    <w:rsid w:val="15212CA8"/>
    <w:rsid w:val="152407D3"/>
    <w:rsid w:val="152A0E2F"/>
    <w:rsid w:val="152E0448"/>
    <w:rsid w:val="15373DF0"/>
    <w:rsid w:val="15410D8E"/>
    <w:rsid w:val="15511874"/>
    <w:rsid w:val="155D1902"/>
    <w:rsid w:val="15757921"/>
    <w:rsid w:val="15973CBB"/>
    <w:rsid w:val="15B9009D"/>
    <w:rsid w:val="15D0679A"/>
    <w:rsid w:val="15D345D8"/>
    <w:rsid w:val="15D46CBD"/>
    <w:rsid w:val="161D2412"/>
    <w:rsid w:val="16560885"/>
    <w:rsid w:val="16895CFA"/>
    <w:rsid w:val="16907088"/>
    <w:rsid w:val="169A5605"/>
    <w:rsid w:val="169C37FF"/>
    <w:rsid w:val="16AB5178"/>
    <w:rsid w:val="16C60CFC"/>
    <w:rsid w:val="17000D10"/>
    <w:rsid w:val="170C206A"/>
    <w:rsid w:val="17272E80"/>
    <w:rsid w:val="17413DC8"/>
    <w:rsid w:val="1743298E"/>
    <w:rsid w:val="174D4F79"/>
    <w:rsid w:val="175E666B"/>
    <w:rsid w:val="17756BED"/>
    <w:rsid w:val="17B14816"/>
    <w:rsid w:val="17B53E1D"/>
    <w:rsid w:val="17E4768B"/>
    <w:rsid w:val="180706D5"/>
    <w:rsid w:val="186A66A8"/>
    <w:rsid w:val="18E100B5"/>
    <w:rsid w:val="18F210CF"/>
    <w:rsid w:val="19131575"/>
    <w:rsid w:val="1915670B"/>
    <w:rsid w:val="19187364"/>
    <w:rsid w:val="19194D4A"/>
    <w:rsid w:val="191B1425"/>
    <w:rsid w:val="192A64F3"/>
    <w:rsid w:val="19390846"/>
    <w:rsid w:val="199518F9"/>
    <w:rsid w:val="19960E59"/>
    <w:rsid w:val="19C12855"/>
    <w:rsid w:val="19EB5EE1"/>
    <w:rsid w:val="1A002777"/>
    <w:rsid w:val="1A3674DF"/>
    <w:rsid w:val="1A583E34"/>
    <w:rsid w:val="1A597FD2"/>
    <w:rsid w:val="1A5C3CCA"/>
    <w:rsid w:val="1A752FB2"/>
    <w:rsid w:val="1A766595"/>
    <w:rsid w:val="1A7D7923"/>
    <w:rsid w:val="1B065B6B"/>
    <w:rsid w:val="1B122762"/>
    <w:rsid w:val="1B576BDC"/>
    <w:rsid w:val="1B7A31E4"/>
    <w:rsid w:val="1B84364E"/>
    <w:rsid w:val="1B9555EC"/>
    <w:rsid w:val="1C1B58DD"/>
    <w:rsid w:val="1C4564DB"/>
    <w:rsid w:val="1C516318"/>
    <w:rsid w:val="1C6C796D"/>
    <w:rsid w:val="1C7D1754"/>
    <w:rsid w:val="1C896DC4"/>
    <w:rsid w:val="1C8F5731"/>
    <w:rsid w:val="1CA23671"/>
    <w:rsid w:val="1CAB69CA"/>
    <w:rsid w:val="1CCD2D50"/>
    <w:rsid w:val="1CF80E11"/>
    <w:rsid w:val="1D09216B"/>
    <w:rsid w:val="1D1F1166"/>
    <w:rsid w:val="1D4F136B"/>
    <w:rsid w:val="1D5A0435"/>
    <w:rsid w:val="1D68517E"/>
    <w:rsid w:val="1D6B0A38"/>
    <w:rsid w:val="1D7414B2"/>
    <w:rsid w:val="1D866EEF"/>
    <w:rsid w:val="1D94745E"/>
    <w:rsid w:val="1DA96254"/>
    <w:rsid w:val="1DC6338F"/>
    <w:rsid w:val="1DD060CA"/>
    <w:rsid w:val="1DD934AF"/>
    <w:rsid w:val="1DFC73D8"/>
    <w:rsid w:val="1DFD22DA"/>
    <w:rsid w:val="1E0345E3"/>
    <w:rsid w:val="1E134189"/>
    <w:rsid w:val="1E403BEF"/>
    <w:rsid w:val="1E663431"/>
    <w:rsid w:val="1E876FC3"/>
    <w:rsid w:val="1E937715"/>
    <w:rsid w:val="1EA250EB"/>
    <w:rsid w:val="1EF059C8"/>
    <w:rsid w:val="1EFB56B9"/>
    <w:rsid w:val="1F06641D"/>
    <w:rsid w:val="1F1422C9"/>
    <w:rsid w:val="1F367F59"/>
    <w:rsid w:val="1F4948B1"/>
    <w:rsid w:val="1F6F0182"/>
    <w:rsid w:val="1F9D26C4"/>
    <w:rsid w:val="1FBB2B00"/>
    <w:rsid w:val="1FF14ED7"/>
    <w:rsid w:val="1FF4168B"/>
    <w:rsid w:val="1FF461A5"/>
    <w:rsid w:val="20060CEE"/>
    <w:rsid w:val="200679F5"/>
    <w:rsid w:val="200A6390"/>
    <w:rsid w:val="202711E4"/>
    <w:rsid w:val="20A81CDE"/>
    <w:rsid w:val="20B43BF6"/>
    <w:rsid w:val="20D301CC"/>
    <w:rsid w:val="20F14BC7"/>
    <w:rsid w:val="210B54D1"/>
    <w:rsid w:val="211A411E"/>
    <w:rsid w:val="211F003A"/>
    <w:rsid w:val="212E3725"/>
    <w:rsid w:val="21464F13"/>
    <w:rsid w:val="21520E39"/>
    <w:rsid w:val="216E59E5"/>
    <w:rsid w:val="217A5B68"/>
    <w:rsid w:val="217E5C9A"/>
    <w:rsid w:val="21913B1B"/>
    <w:rsid w:val="21FC539C"/>
    <w:rsid w:val="22036E5D"/>
    <w:rsid w:val="22242B56"/>
    <w:rsid w:val="22421B7E"/>
    <w:rsid w:val="2244522C"/>
    <w:rsid w:val="22643966"/>
    <w:rsid w:val="226D28E4"/>
    <w:rsid w:val="227B3AA1"/>
    <w:rsid w:val="228C2DF9"/>
    <w:rsid w:val="229323DA"/>
    <w:rsid w:val="22D36C7A"/>
    <w:rsid w:val="23127E42"/>
    <w:rsid w:val="231352C9"/>
    <w:rsid w:val="2314249A"/>
    <w:rsid w:val="231B438A"/>
    <w:rsid w:val="235D657A"/>
    <w:rsid w:val="2369131B"/>
    <w:rsid w:val="236C0CB3"/>
    <w:rsid w:val="237478A2"/>
    <w:rsid w:val="237E19BB"/>
    <w:rsid w:val="238166D6"/>
    <w:rsid w:val="23B662FD"/>
    <w:rsid w:val="23C757EB"/>
    <w:rsid w:val="2409047A"/>
    <w:rsid w:val="2413175A"/>
    <w:rsid w:val="241D3927"/>
    <w:rsid w:val="248F6BD1"/>
    <w:rsid w:val="24A84769"/>
    <w:rsid w:val="24D26ABE"/>
    <w:rsid w:val="24E30CCB"/>
    <w:rsid w:val="24E72569"/>
    <w:rsid w:val="25331047"/>
    <w:rsid w:val="25453733"/>
    <w:rsid w:val="254E083A"/>
    <w:rsid w:val="2552194F"/>
    <w:rsid w:val="255F2A47"/>
    <w:rsid w:val="258A6CEB"/>
    <w:rsid w:val="258B2DED"/>
    <w:rsid w:val="25F11C81"/>
    <w:rsid w:val="269D194F"/>
    <w:rsid w:val="26C92B10"/>
    <w:rsid w:val="26CD5C49"/>
    <w:rsid w:val="27067665"/>
    <w:rsid w:val="2713006C"/>
    <w:rsid w:val="272C0707"/>
    <w:rsid w:val="27367D6F"/>
    <w:rsid w:val="276500BD"/>
    <w:rsid w:val="27740956"/>
    <w:rsid w:val="278C2016"/>
    <w:rsid w:val="27910CCB"/>
    <w:rsid w:val="27C77984"/>
    <w:rsid w:val="27F37477"/>
    <w:rsid w:val="280B2959"/>
    <w:rsid w:val="281F7575"/>
    <w:rsid w:val="28435545"/>
    <w:rsid w:val="28445F24"/>
    <w:rsid w:val="28482BD3"/>
    <w:rsid w:val="28525791"/>
    <w:rsid w:val="28720696"/>
    <w:rsid w:val="289F28E9"/>
    <w:rsid w:val="28A24610"/>
    <w:rsid w:val="28A602F5"/>
    <w:rsid w:val="28DB73F6"/>
    <w:rsid w:val="29046C05"/>
    <w:rsid w:val="290645B3"/>
    <w:rsid w:val="29485A46"/>
    <w:rsid w:val="296C6B91"/>
    <w:rsid w:val="297F7660"/>
    <w:rsid w:val="299815A5"/>
    <w:rsid w:val="29A924E3"/>
    <w:rsid w:val="29F12D11"/>
    <w:rsid w:val="29FA03F7"/>
    <w:rsid w:val="2A100351"/>
    <w:rsid w:val="2A282186"/>
    <w:rsid w:val="2A3931C2"/>
    <w:rsid w:val="2A4B5C0E"/>
    <w:rsid w:val="2A506AFE"/>
    <w:rsid w:val="2AED7F8A"/>
    <w:rsid w:val="2AFF2173"/>
    <w:rsid w:val="2B323CFD"/>
    <w:rsid w:val="2B3C5581"/>
    <w:rsid w:val="2BB523BA"/>
    <w:rsid w:val="2BE10DB4"/>
    <w:rsid w:val="2BF77852"/>
    <w:rsid w:val="2C0A4D8F"/>
    <w:rsid w:val="2C1300E8"/>
    <w:rsid w:val="2C25004D"/>
    <w:rsid w:val="2C442BDA"/>
    <w:rsid w:val="2C4E7372"/>
    <w:rsid w:val="2C532BDA"/>
    <w:rsid w:val="2C5E4952"/>
    <w:rsid w:val="2C747A52"/>
    <w:rsid w:val="2C7843EE"/>
    <w:rsid w:val="2C811BFB"/>
    <w:rsid w:val="2CAD1B37"/>
    <w:rsid w:val="2CEF0901"/>
    <w:rsid w:val="2D020BE3"/>
    <w:rsid w:val="2D3A3A54"/>
    <w:rsid w:val="2D5240A5"/>
    <w:rsid w:val="2D5C161A"/>
    <w:rsid w:val="2D727090"/>
    <w:rsid w:val="2D8B0602"/>
    <w:rsid w:val="2D8F7C42"/>
    <w:rsid w:val="2E1E352B"/>
    <w:rsid w:val="2E5F194C"/>
    <w:rsid w:val="2E60419F"/>
    <w:rsid w:val="2E60513A"/>
    <w:rsid w:val="2E611AC4"/>
    <w:rsid w:val="2E76583D"/>
    <w:rsid w:val="2E91197C"/>
    <w:rsid w:val="2E9E5F28"/>
    <w:rsid w:val="2EC35DF5"/>
    <w:rsid w:val="2F0A6EF0"/>
    <w:rsid w:val="2F1468B3"/>
    <w:rsid w:val="2F250AF9"/>
    <w:rsid w:val="2F3A3614"/>
    <w:rsid w:val="2F425F2A"/>
    <w:rsid w:val="2F4C48DB"/>
    <w:rsid w:val="2F576526"/>
    <w:rsid w:val="2F687C76"/>
    <w:rsid w:val="2F6F4551"/>
    <w:rsid w:val="2FA95CB5"/>
    <w:rsid w:val="2FF636C3"/>
    <w:rsid w:val="2FFD145B"/>
    <w:rsid w:val="2FFD70E5"/>
    <w:rsid w:val="303D0391"/>
    <w:rsid w:val="30626A22"/>
    <w:rsid w:val="30A12589"/>
    <w:rsid w:val="30C3704B"/>
    <w:rsid w:val="3170721A"/>
    <w:rsid w:val="3186236F"/>
    <w:rsid w:val="31B41B66"/>
    <w:rsid w:val="31B517C5"/>
    <w:rsid w:val="31D11AC9"/>
    <w:rsid w:val="31DF4237"/>
    <w:rsid w:val="326E52EF"/>
    <w:rsid w:val="328272AE"/>
    <w:rsid w:val="328F62D2"/>
    <w:rsid w:val="32A8271E"/>
    <w:rsid w:val="32B31943"/>
    <w:rsid w:val="32B819E9"/>
    <w:rsid w:val="32BB1BDE"/>
    <w:rsid w:val="32CA5211"/>
    <w:rsid w:val="32E80726"/>
    <w:rsid w:val="32F339BD"/>
    <w:rsid w:val="32FD56A2"/>
    <w:rsid w:val="32FF1826"/>
    <w:rsid w:val="33142411"/>
    <w:rsid w:val="33192F95"/>
    <w:rsid w:val="33277684"/>
    <w:rsid w:val="33333E0C"/>
    <w:rsid w:val="333D229E"/>
    <w:rsid w:val="33462B51"/>
    <w:rsid w:val="33957634"/>
    <w:rsid w:val="339C09C3"/>
    <w:rsid w:val="33C15A66"/>
    <w:rsid w:val="33D61457"/>
    <w:rsid w:val="33DB0DA6"/>
    <w:rsid w:val="33DB4DDD"/>
    <w:rsid w:val="341972AA"/>
    <w:rsid w:val="341A0F8A"/>
    <w:rsid w:val="34267A37"/>
    <w:rsid w:val="344252B4"/>
    <w:rsid w:val="344E2246"/>
    <w:rsid w:val="345D45F6"/>
    <w:rsid w:val="348903C2"/>
    <w:rsid w:val="34D22D53"/>
    <w:rsid w:val="34D67F04"/>
    <w:rsid w:val="34DF14AF"/>
    <w:rsid w:val="34E84371"/>
    <w:rsid w:val="35046DE9"/>
    <w:rsid w:val="35220087"/>
    <w:rsid w:val="35852A3D"/>
    <w:rsid w:val="35FB7873"/>
    <w:rsid w:val="360F36CE"/>
    <w:rsid w:val="364F0409"/>
    <w:rsid w:val="367D30BF"/>
    <w:rsid w:val="369435B9"/>
    <w:rsid w:val="36992D93"/>
    <w:rsid w:val="36A325CA"/>
    <w:rsid w:val="36B4341F"/>
    <w:rsid w:val="36C721FA"/>
    <w:rsid w:val="36FF0751"/>
    <w:rsid w:val="37217F8D"/>
    <w:rsid w:val="372907BF"/>
    <w:rsid w:val="372E0CF4"/>
    <w:rsid w:val="372F4E32"/>
    <w:rsid w:val="37461CB2"/>
    <w:rsid w:val="37597E1C"/>
    <w:rsid w:val="376A0CF4"/>
    <w:rsid w:val="37745C3D"/>
    <w:rsid w:val="37913037"/>
    <w:rsid w:val="38222E11"/>
    <w:rsid w:val="384A0FC9"/>
    <w:rsid w:val="386A108F"/>
    <w:rsid w:val="38960554"/>
    <w:rsid w:val="38C34749"/>
    <w:rsid w:val="39137E32"/>
    <w:rsid w:val="391D5627"/>
    <w:rsid w:val="392F2A4B"/>
    <w:rsid w:val="397D3044"/>
    <w:rsid w:val="398C4B98"/>
    <w:rsid w:val="39937CC3"/>
    <w:rsid w:val="399A50D8"/>
    <w:rsid w:val="39AA2880"/>
    <w:rsid w:val="39B10BD6"/>
    <w:rsid w:val="39B43E4A"/>
    <w:rsid w:val="39C92D03"/>
    <w:rsid w:val="39E06DF1"/>
    <w:rsid w:val="39F1069A"/>
    <w:rsid w:val="39FC21BB"/>
    <w:rsid w:val="3A1E22DA"/>
    <w:rsid w:val="3AC058DE"/>
    <w:rsid w:val="3ACC7AF9"/>
    <w:rsid w:val="3B0B651B"/>
    <w:rsid w:val="3B450A85"/>
    <w:rsid w:val="3B5079AD"/>
    <w:rsid w:val="3B5E144C"/>
    <w:rsid w:val="3B71241F"/>
    <w:rsid w:val="3BA92318"/>
    <w:rsid w:val="3BBF4875"/>
    <w:rsid w:val="3BED44B1"/>
    <w:rsid w:val="3BF40737"/>
    <w:rsid w:val="3BF75330"/>
    <w:rsid w:val="3C0107DA"/>
    <w:rsid w:val="3C3A2CBB"/>
    <w:rsid w:val="3C575DCE"/>
    <w:rsid w:val="3C5F6349"/>
    <w:rsid w:val="3C7954BD"/>
    <w:rsid w:val="3CC33EFA"/>
    <w:rsid w:val="3CCA4E37"/>
    <w:rsid w:val="3D186BC2"/>
    <w:rsid w:val="3D354A28"/>
    <w:rsid w:val="3D4823F4"/>
    <w:rsid w:val="3D583BAC"/>
    <w:rsid w:val="3D7601D4"/>
    <w:rsid w:val="3D803574"/>
    <w:rsid w:val="3D9878C1"/>
    <w:rsid w:val="3DA52FA6"/>
    <w:rsid w:val="3DAA0180"/>
    <w:rsid w:val="3E1F573B"/>
    <w:rsid w:val="3E454CF0"/>
    <w:rsid w:val="3E530817"/>
    <w:rsid w:val="3E5A1BA6"/>
    <w:rsid w:val="3E842A26"/>
    <w:rsid w:val="3EC06912"/>
    <w:rsid w:val="3EC31D26"/>
    <w:rsid w:val="3EFB0C93"/>
    <w:rsid w:val="3F62751C"/>
    <w:rsid w:val="3F953A76"/>
    <w:rsid w:val="3FC92B3F"/>
    <w:rsid w:val="3FCE64DE"/>
    <w:rsid w:val="40114563"/>
    <w:rsid w:val="402B02D4"/>
    <w:rsid w:val="40362BA2"/>
    <w:rsid w:val="403A6EEF"/>
    <w:rsid w:val="40464190"/>
    <w:rsid w:val="40920CE6"/>
    <w:rsid w:val="40B84951"/>
    <w:rsid w:val="40DB5220"/>
    <w:rsid w:val="40DB5DAD"/>
    <w:rsid w:val="40E30C4E"/>
    <w:rsid w:val="40EF42D0"/>
    <w:rsid w:val="410B1343"/>
    <w:rsid w:val="4123482E"/>
    <w:rsid w:val="412E745D"/>
    <w:rsid w:val="4154384F"/>
    <w:rsid w:val="419B675D"/>
    <w:rsid w:val="41BB2CC4"/>
    <w:rsid w:val="41E719A3"/>
    <w:rsid w:val="41ED615D"/>
    <w:rsid w:val="41FD530C"/>
    <w:rsid w:val="420A73AD"/>
    <w:rsid w:val="42321CE2"/>
    <w:rsid w:val="42330E73"/>
    <w:rsid w:val="42615C1A"/>
    <w:rsid w:val="42725710"/>
    <w:rsid w:val="427809F5"/>
    <w:rsid w:val="427B0E18"/>
    <w:rsid w:val="42C50F68"/>
    <w:rsid w:val="42F14348"/>
    <w:rsid w:val="43153675"/>
    <w:rsid w:val="433D2165"/>
    <w:rsid w:val="43407670"/>
    <w:rsid w:val="434105BD"/>
    <w:rsid w:val="43612715"/>
    <w:rsid w:val="4392353F"/>
    <w:rsid w:val="439E6707"/>
    <w:rsid w:val="43AC6626"/>
    <w:rsid w:val="43DA7031"/>
    <w:rsid w:val="43F33CA0"/>
    <w:rsid w:val="43FB47F4"/>
    <w:rsid w:val="44000AFA"/>
    <w:rsid w:val="44136A7F"/>
    <w:rsid w:val="442944F4"/>
    <w:rsid w:val="44797A5C"/>
    <w:rsid w:val="447F76AC"/>
    <w:rsid w:val="44875F3E"/>
    <w:rsid w:val="44A32E40"/>
    <w:rsid w:val="44AA1404"/>
    <w:rsid w:val="44CC07DE"/>
    <w:rsid w:val="44F057A4"/>
    <w:rsid w:val="44F723AC"/>
    <w:rsid w:val="44FF6125"/>
    <w:rsid w:val="44FF7C59"/>
    <w:rsid w:val="450F45BF"/>
    <w:rsid w:val="45227C6E"/>
    <w:rsid w:val="452F78E8"/>
    <w:rsid w:val="457A32E7"/>
    <w:rsid w:val="45A5176B"/>
    <w:rsid w:val="45B94045"/>
    <w:rsid w:val="45E36925"/>
    <w:rsid w:val="461222CA"/>
    <w:rsid w:val="46195074"/>
    <w:rsid w:val="463D60F6"/>
    <w:rsid w:val="463D6FB7"/>
    <w:rsid w:val="468F3954"/>
    <w:rsid w:val="46934054"/>
    <w:rsid w:val="469466E5"/>
    <w:rsid w:val="46957C1F"/>
    <w:rsid w:val="46A439D1"/>
    <w:rsid w:val="46BD444A"/>
    <w:rsid w:val="46EB69E6"/>
    <w:rsid w:val="476B05B9"/>
    <w:rsid w:val="477041E8"/>
    <w:rsid w:val="477947D7"/>
    <w:rsid w:val="478804A4"/>
    <w:rsid w:val="47941C85"/>
    <w:rsid w:val="47BF7BF3"/>
    <w:rsid w:val="47ED5839"/>
    <w:rsid w:val="48035750"/>
    <w:rsid w:val="48047AEC"/>
    <w:rsid w:val="48755785"/>
    <w:rsid w:val="48841A34"/>
    <w:rsid w:val="48847F4B"/>
    <w:rsid w:val="489839F4"/>
    <w:rsid w:val="48F02ED7"/>
    <w:rsid w:val="48F73C01"/>
    <w:rsid w:val="492033B5"/>
    <w:rsid w:val="49284D7B"/>
    <w:rsid w:val="492B224B"/>
    <w:rsid w:val="49311755"/>
    <w:rsid w:val="49516B6D"/>
    <w:rsid w:val="49830203"/>
    <w:rsid w:val="49900E67"/>
    <w:rsid w:val="49A168DB"/>
    <w:rsid w:val="49B20AE8"/>
    <w:rsid w:val="49F6271F"/>
    <w:rsid w:val="4A0C28AD"/>
    <w:rsid w:val="4A34774F"/>
    <w:rsid w:val="4A495A47"/>
    <w:rsid w:val="4A4F0367"/>
    <w:rsid w:val="4A65527C"/>
    <w:rsid w:val="4A9D3546"/>
    <w:rsid w:val="4AF3366E"/>
    <w:rsid w:val="4B15128D"/>
    <w:rsid w:val="4B240D53"/>
    <w:rsid w:val="4B49547C"/>
    <w:rsid w:val="4B4E749F"/>
    <w:rsid w:val="4B5B6FCC"/>
    <w:rsid w:val="4B6A5500"/>
    <w:rsid w:val="4B6A6380"/>
    <w:rsid w:val="4BF74088"/>
    <w:rsid w:val="4C013CFC"/>
    <w:rsid w:val="4C0849EF"/>
    <w:rsid w:val="4C4A325A"/>
    <w:rsid w:val="4C59661E"/>
    <w:rsid w:val="4CA44C61"/>
    <w:rsid w:val="4D143403"/>
    <w:rsid w:val="4D1B5161"/>
    <w:rsid w:val="4D735F9D"/>
    <w:rsid w:val="4D7978CB"/>
    <w:rsid w:val="4D7B1F91"/>
    <w:rsid w:val="4DB34E2F"/>
    <w:rsid w:val="4DC31516"/>
    <w:rsid w:val="4DDD6607"/>
    <w:rsid w:val="4DE617A9"/>
    <w:rsid w:val="4DEA3C46"/>
    <w:rsid w:val="4DF116D8"/>
    <w:rsid w:val="4E072AA8"/>
    <w:rsid w:val="4E077BBD"/>
    <w:rsid w:val="4E0B4C6B"/>
    <w:rsid w:val="4E127DA7"/>
    <w:rsid w:val="4E2A3474"/>
    <w:rsid w:val="4E5959D6"/>
    <w:rsid w:val="4E5C2FF0"/>
    <w:rsid w:val="4E697BF2"/>
    <w:rsid w:val="4E6B74B7"/>
    <w:rsid w:val="4E7C1CD8"/>
    <w:rsid w:val="4E805DD8"/>
    <w:rsid w:val="4EB52AB8"/>
    <w:rsid w:val="4EBA1A29"/>
    <w:rsid w:val="4EEC2B0C"/>
    <w:rsid w:val="4F2A29EC"/>
    <w:rsid w:val="4F3B09DF"/>
    <w:rsid w:val="4F43203B"/>
    <w:rsid w:val="4F4A531F"/>
    <w:rsid w:val="4F5031DF"/>
    <w:rsid w:val="4F5B0D4C"/>
    <w:rsid w:val="4F5E40AA"/>
    <w:rsid w:val="4FC4483C"/>
    <w:rsid w:val="4FD47288"/>
    <w:rsid w:val="50772144"/>
    <w:rsid w:val="508725B3"/>
    <w:rsid w:val="50BB49B8"/>
    <w:rsid w:val="50C07CC9"/>
    <w:rsid w:val="50C704C9"/>
    <w:rsid w:val="50E341CC"/>
    <w:rsid w:val="50F96FAB"/>
    <w:rsid w:val="510E3F09"/>
    <w:rsid w:val="51376AEB"/>
    <w:rsid w:val="513C71D0"/>
    <w:rsid w:val="518B2DED"/>
    <w:rsid w:val="51C55131"/>
    <w:rsid w:val="523E4510"/>
    <w:rsid w:val="524934E1"/>
    <w:rsid w:val="525319F9"/>
    <w:rsid w:val="526B217C"/>
    <w:rsid w:val="52707792"/>
    <w:rsid w:val="52B70290"/>
    <w:rsid w:val="52C87172"/>
    <w:rsid w:val="52D10017"/>
    <w:rsid w:val="52DF4FC6"/>
    <w:rsid w:val="52F65EE9"/>
    <w:rsid w:val="530028C4"/>
    <w:rsid w:val="532D11DF"/>
    <w:rsid w:val="5357762A"/>
    <w:rsid w:val="53591FD4"/>
    <w:rsid w:val="53606A9E"/>
    <w:rsid w:val="53656B1C"/>
    <w:rsid w:val="53776207"/>
    <w:rsid w:val="53944038"/>
    <w:rsid w:val="53D224B3"/>
    <w:rsid w:val="53D35190"/>
    <w:rsid w:val="53D405A9"/>
    <w:rsid w:val="53F60874"/>
    <w:rsid w:val="54272D16"/>
    <w:rsid w:val="54293AD1"/>
    <w:rsid w:val="543842E0"/>
    <w:rsid w:val="54550678"/>
    <w:rsid w:val="545E5892"/>
    <w:rsid w:val="54613177"/>
    <w:rsid w:val="54B162A7"/>
    <w:rsid w:val="54BA6AA3"/>
    <w:rsid w:val="54E9535F"/>
    <w:rsid w:val="54FB7894"/>
    <w:rsid w:val="550657A8"/>
    <w:rsid w:val="55093538"/>
    <w:rsid w:val="555F7B4C"/>
    <w:rsid w:val="557C7E62"/>
    <w:rsid w:val="5588097D"/>
    <w:rsid w:val="55944C7A"/>
    <w:rsid w:val="55A42A03"/>
    <w:rsid w:val="56146641"/>
    <w:rsid w:val="561D7AD2"/>
    <w:rsid w:val="56224C20"/>
    <w:rsid w:val="56226FF5"/>
    <w:rsid w:val="562379E2"/>
    <w:rsid w:val="56251788"/>
    <w:rsid w:val="562F24C6"/>
    <w:rsid w:val="56322970"/>
    <w:rsid w:val="56494582"/>
    <w:rsid w:val="56526F5D"/>
    <w:rsid w:val="56711F73"/>
    <w:rsid w:val="56840A60"/>
    <w:rsid w:val="569560BF"/>
    <w:rsid w:val="56A70150"/>
    <w:rsid w:val="56CE52C9"/>
    <w:rsid w:val="570E0690"/>
    <w:rsid w:val="573174F0"/>
    <w:rsid w:val="573D36E3"/>
    <w:rsid w:val="57563CB6"/>
    <w:rsid w:val="5760275D"/>
    <w:rsid w:val="57715412"/>
    <w:rsid w:val="577661F6"/>
    <w:rsid w:val="579D2DD8"/>
    <w:rsid w:val="57A22C31"/>
    <w:rsid w:val="57B8080B"/>
    <w:rsid w:val="57C67626"/>
    <w:rsid w:val="57C739B1"/>
    <w:rsid w:val="57E963BD"/>
    <w:rsid w:val="57FF139C"/>
    <w:rsid w:val="585A6A2F"/>
    <w:rsid w:val="585E654E"/>
    <w:rsid w:val="586C4281"/>
    <w:rsid w:val="588E2140"/>
    <w:rsid w:val="58B8511B"/>
    <w:rsid w:val="58BF04E0"/>
    <w:rsid w:val="58E76EE6"/>
    <w:rsid w:val="5970191B"/>
    <w:rsid w:val="597307C2"/>
    <w:rsid w:val="597E2795"/>
    <w:rsid w:val="5992454E"/>
    <w:rsid w:val="59C60635"/>
    <w:rsid w:val="59F1326F"/>
    <w:rsid w:val="5A0E1B82"/>
    <w:rsid w:val="5A593EEE"/>
    <w:rsid w:val="5A5D5BF4"/>
    <w:rsid w:val="5A7749D5"/>
    <w:rsid w:val="5AE73C03"/>
    <w:rsid w:val="5B141017"/>
    <w:rsid w:val="5B293B48"/>
    <w:rsid w:val="5B2965F1"/>
    <w:rsid w:val="5B35428A"/>
    <w:rsid w:val="5B4B5EB8"/>
    <w:rsid w:val="5B5B13B2"/>
    <w:rsid w:val="5B9444F1"/>
    <w:rsid w:val="5BA04C44"/>
    <w:rsid w:val="5BAF1236"/>
    <w:rsid w:val="5BC75792"/>
    <w:rsid w:val="5BCF63A9"/>
    <w:rsid w:val="5BD42752"/>
    <w:rsid w:val="5BD4669C"/>
    <w:rsid w:val="5BDA7F66"/>
    <w:rsid w:val="5BDF3462"/>
    <w:rsid w:val="5BEA7545"/>
    <w:rsid w:val="5BFA528F"/>
    <w:rsid w:val="5BFB53F6"/>
    <w:rsid w:val="5C150AFE"/>
    <w:rsid w:val="5C1D523E"/>
    <w:rsid w:val="5C2123A3"/>
    <w:rsid w:val="5C245489"/>
    <w:rsid w:val="5C2B0CBF"/>
    <w:rsid w:val="5C310E23"/>
    <w:rsid w:val="5C3A21F6"/>
    <w:rsid w:val="5C6300BB"/>
    <w:rsid w:val="5C692C23"/>
    <w:rsid w:val="5C7D6E27"/>
    <w:rsid w:val="5C9139CA"/>
    <w:rsid w:val="5CFD1C22"/>
    <w:rsid w:val="5CFF3BED"/>
    <w:rsid w:val="5D047EB1"/>
    <w:rsid w:val="5D3A7D6A"/>
    <w:rsid w:val="5D4831DB"/>
    <w:rsid w:val="5D4A4FC4"/>
    <w:rsid w:val="5D6036A4"/>
    <w:rsid w:val="5D771FD4"/>
    <w:rsid w:val="5D9308D3"/>
    <w:rsid w:val="5DC40032"/>
    <w:rsid w:val="5DD26CE9"/>
    <w:rsid w:val="5DE6796D"/>
    <w:rsid w:val="5DEC11F9"/>
    <w:rsid w:val="5E0314BA"/>
    <w:rsid w:val="5E196F30"/>
    <w:rsid w:val="5E1D124D"/>
    <w:rsid w:val="5E2C27BF"/>
    <w:rsid w:val="5E450D0A"/>
    <w:rsid w:val="5E454BA5"/>
    <w:rsid w:val="5E750881"/>
    <w:rsid w:val="5E992711"/>
    <w:rsid w:val="5EAF087C"/>
    <w:rsid w:val="5EBB10C4"/>
    <w:rsid w:val="5EC55D32"/>
    <w:rsid w:val="5ED05841"/>
    <w:rsid w:val="5F5E7C34"/>
    <w:rsid w:val="5F9B105E"/>
    <w:rsid w:val="5FAA3B8B"/>
    <w:rsid w:val="5FE5356E"/>
    <w:rsid w:val="60243AEA"/>
    <w:rsid w:val="602945AE"/>
    <w:rsid w:val="602B6AA7"/>
    <w:rsid w:val="603B36C6"/>
    <w:rsid w:val="60650533"/>
    <w:rsid w:val="61073070"/>
    <w:rsid w:val="61377DF9"/>
    <w:rsid w:val="61681C30"/>
    <w:rsid w:val="617D7B91"/>
    <w:rsid w:val="61817D7F"/>
    <w:rsid w:val="619C1A0A"/>
    <w:rsid w:val="620206B9"/>
    <w:rsid w:val="622874F4"/>
    <w:rsid w:val="622E7786"/>
    <w:rsid w:val="62302D16"/>
    <w:rsid w:val="624A259F"/>
    <w:rsid w:val="624C127E"/>
    <w:rsid w:val="62637388"/>
    <w:rsid w:val="62A3507D"/>
    <w:rsid w:val="62A63523"/>
    <w:rsid w:val="62AF64FE"/>
    <w:rsid w:val="62B61379"/>
    <w:rsid w:val="62B90B85"/>
    <w:rsid w:val="62BE3324"/>
    <w:rsid w:val="62E26B13"/>
    <w:rsid w:val="62E33669"/>
    <w:rsid w:val="630737FB"/>
    <w:rsid w:val="634641C8"/>
    <w:rsid w:val="634D5AA7"/>
    <w:rsid w:val="636E387A"/>
    <w:rsid w:val="638C612A"/>
    <w:rsid w:val="63B21EEF"/>
    <w:rsid w:val="63C8797F"/>
    <w:rsid w:val="63DA2E5E"/>
    <w:rsid w:val="63DC7C27"/>
    <w:rsid w:val="64430566"/>
    <w:rsid w:val="64594245"/>
    <w:rsid w:val="64D8544F"/>
    <w:rsid w:val="64EF51C3"/>
    <w:rsid w:val="650132C2"/>
    <w:rsid w:val="65186B36"/>
    <w:rsid w:val="651E63B6"/>
    <w:rsid w:val="652714A5"/>
    <w:rsid w:val="65346BE8"/>
    <w:rsid w:val="655774F3"/>
    <w:rsid w:val="6569458C"/>
    <w:rsid w:val="65947405"/>
    <w:rsid w:val="659B022A"/>
    <w:rsid w:val="65A34743"/>
    <w:rsid w:val="65B06115"/>
    <w:rsid w:val="65B3555B"/>
    <w:rsid w:val="65BB2DAA"/>
    <w:rsid w:val="65BC6B1F"/>
    <w:rsid w:val="65D218E1"/>
    <w:rsid w:val="65D33E68"/>
    <w:rsid w:val="65F7152B"/>
    <w:rsid w:val="65FF4E50"/>
    <w:rsid w:val="662B5873"/>
    <w:rsid w:val="663368E9"/>
    <w:rsid w:val="66507961"/>
    <w:rsid w:val="668C52F9"/>
    <w:rsid w:val="66944FDC"/>
    <w:rsid w:val="67160204"/>
    <w:rsid w:val="676C1E7F"/>
    <w:rsid w:val="678374FB"/>
    <w:rsid w:val="679E6B89"/>
    <w:rsid w:val="67CC4E9E"/>
    <w:rsid w:val="67E9168B"/>
    <w:rsid w:val="6808114D"/>
    <w:rsid w:val="68201F24"/>
    <w:rsid w:val="68420708"/>
    <w:rsid w:val="68B158C3"/>
    <w:rsid w:val="68BC2C41"/>
    <w:rsid w:val="68BD3F3E"/>
    <w:rsid w:val="68E02B24"/>
    <w:rsid w:val="69117181"/>
    <w:rsid w:val="691349B1"/>
    <w:rsid w:val="69586B5E"/>
    <w:rsid w:val="697256A7"/>
    <w:rsid w:val="699F1247"/>
    <w:rsid w:val="69F80176"/>
    <w:rsid w:val="6A02276C"/>
    <w:rsid w:val="6A6E71B4"/>
    <w:rsid w:val="6A710A0B"/>
    <w:rsid w:val="6A9040D6"/>
    <w:rsid w:val="6A955212"/>
    <w:rsid w:val="6AA337F2"/>
    <w:rsid w:val="6ADA3845"/>
    <w:rsid w:val="6B0E6106"/>
    <w:rsid w:val="6B575706"/>
    <w:rsid w:val="6B8639E0"/>
    <w:rsid w:val="6BBC71B6"/>
    <w:rsid w:val="6C083B8F"/>
    <w:rsid w:val="6C4C6750"/>
    <w:rsid w:val="6C8B02D1"/>
    <w:rsid w:val="6CA26D11"/>
    <w:rsid w:val="6CC80B73"/>
    <w:rsid w:val="6CE801F9"/>
    <w:rsid w:val="6CED130E"/>
    <w:rsid w:val="6D1E551B"/>
    <w:rsid w:val="6DAA2E3C"/>
    <w:rsid w:val="6DE74955"/>
    <w:rsid w:val="6DE8393A"/>
    <w:rsid w:val="6DE96D32"/>
    <w:rsid w:val="6DED7748"/>
    <w:rsid w:val="6E041367"/>
    <w:rsid w:val="6E0B6809"/>
    <w:rsid w:val="6E102AEB"/>
    <w:rsid w:val="6E167F58"/>
    <w:rsid w:val="6E2E25F7"/>
    <w:rsid w:val="6E3200D8"/>
    <w:rsid w:val="6E386F5E"/>
    <w:rsid w:val="6E7A4E65"/>
    <w:rsid w:val="6E8B4C73"/>
    <w:rsid w:val="6E8F5F08"/>
    <w:rsid w:val="6EE426A3"/>
    <w:rsid w:val="6EF971A6"/>
    <w:rsid w:val="6F0775FA"/>
    <w:rsid w:val="6F202FF2"/>
    <w:rsid w:val="6F271E09"/>
    <w:rsid w:val="6F451933"/>
    <w:rsid w:val="6F592996"/>
    <w:rsid w:val="6F9D427D"/>
    <w:rsid w:val="6FA254A9"/>
    <w:rsid w:val="6FAF55A8"/>
    <w:rsid w:val="6FB7647C"/>
    <w:rsid w:val="6FBA35F7"/>
    <w:rsid w:val="6FC0720B"/>
    <w:rsid w:val="70016160"/>
    <w:rsid w:val="70042D62"/>
    <w:rsid w:val="70082960"/>
    <w:rsid w:val="70112C5B"/>
    <w:rsid w:val="7011453E"/>
    <w:rsid w:val="702E0AA4"/>
    <w:rsid w:val="70B4257E"/>
    <w:rsid w:val="70D936C6"/>
    <w:rsid w:val="70D94A29"/>
    <w:rsid w:val="70FB3A2A"/>
    <w:rsid w:val="711D253A"/>
    <w:rsid w:val="71347F3C"/>
    <w:rsid w:val="714C7912"/>
    <w:rsid w:val="716713F7"/>
    <w:rsid w:val="71732394"/>
    <w:rsid w:val="718F3EC8"/>
    <w:rsid w:val="71901115"/>
    <w:rsid w:val="71985018"/>
    <w:rsid w:val="719E4BA7"/>
    <w:rsid w:val="71BE699F"/>
    <w:rsid w:val="71DE326E"/>
    <w:rsid w:val="720E56DC"/>
    <w:rsid w:val="721E0D06"/>
    <w:rsid w:val="72457E9C"/>
    <w:rsid w:val="72600586"/>
    <w:rsid w:val="72952BD1"/>
    <w:rsid w:val="72BB29D9"/>
    <w:rsid w:val="72C009B1"/>
    <w:rsid w:val="72D012D3"/>
    <w:rsid w:val="72D74F98"/>
    <w:rsid w:val="72EE38A3"/>
    <w:rsid w:val="73134177"/>
    <w:rsid w:val="733E0935"/>
    <w:rsid w:val="735E4BD1"/>
    <w:rsid w:val="736658A9"/>
    <w:rsid w:val="73715409"/>
    <w:rsid w:val="73CD03E3"/>
    <w:rsid w:val="748B215F"/>
    <w:rsid w:val="748D7860"/>
    <w:rsid w:val="749156AC"/>
    <w:rsid w:val="749173C8"/>
    <w:rsid w:val="74C05AB2"/>
    <w:rsid w:val="74C257D4"/>
    <w:rsid w:val="74D04BB6"/>
    <w:rsid w:val="753C37D8"/>
    <w:rsid w:val="75495DF4"/>
    <w:rsid w:val="756725B0"/>
    <w:rsid w:val="75696230"/>
    <w:rsid w:val="757413E5"/>
    <w:rsid w:val="7597109E"/>
    <w:rsid w:val="75A05125"/>
    <w:rsid w:val="75BA314C"/>
    <w:rsid w:val="75BD7D8E"/>
    <w:rsid w:val="75BF2A5C"/>
    <w:rsid w:val="75FE10BB"/>
    <w:rsid w:val="761C75C8"/>
    <w:rsid w:val="76700E0C"/>
    <w:rsid w:val="76830F93"/>
    <w:rsid w:val="768858BC"/>
    <w:rsid w:val="769970DF"/>
    <w:rsid w:val="76AB7490"/>
    <w:rsid w:val="76B2738E"/>
    <w:rsid w:val="76D53D51"/>
    <w:rsid w:val="76D8308D"/>
    <w:rsid w:val="76E0721F"/>
    <w:rsid w:val="77042518"/>
    <w:rsid w:val="772F58B8"/>
    <w:rsid w:val="773D1879"/>
    <w:rsid w:val="77447A25"/>
    <w:rsid w:val="77617526"/>
    <w:rsid w:val="7795013C"/>
    <w:rsid w:val="77AE264D"/>
    <w:rsid w:val="77BF424C"/>
    <w:rsid w:val="77C43F06"/>
    <w:rsid w:val="77DC4DFE"/>
    <w:rsid w:val="77EA1C6F"/>
    <w:rsid w:val="77F64995"/>
    <w:rsid w:val="77FE0269"/>
    <w:rsid w:val="7805067E"/>
    <w:rsid w:val="782F68A5"/>
    <w:rsid w:val="78372035"/>
    <w:rsid w:val="785E6808"/>
    <w:rsid w:val="78EA72D1"/>
    <w:rsid w:val="78EB4A1F"/>
    <w:rsid w:val="78F909BD"/>
    <w:rsid w:val="791C4FBA"/>
    <w:rsid w:val="793F7589"/>
    <w:rsid w:val="79C2004D"/>
    <w:rsid w:val="79F108EF"/>
    <w:rsid w:val="7A064762"/>
    <w:rsid w:val="7A13262E"/>
    <w:rsid w:val="7A2A1AF4"/>
    <w:rsid w:val="7A493E2A"/>
    <w:rsid w:val="7A791F8A"/>
    <w:rsid w:val="7A925263"/>
    <w:rsid w:val="7AA524F7"/>
    <w:rsid w:val="7AAD2A82"/>
    <w:rsid w:val="7ABC1973"/>
    <w:rsid w:val="7ACA0083"/>
    <w:rsid w:val="7ACF29F8"/>
    <w:rsid w:val="7ADF4B82"/>
    <w:rsid w:val="7AED781A"/>
    <w:rsid w:val="7B1E50C9"/>
    <w:rsid w:val="7B230961"/>
    <w:rsid w:val="7B2E3BC3"/>
    <w:rsid w:val="7B5B0730"/>
    <w:rsid w:val="7B701D2A"/>
    <w:rsid w:val="7B7942EF"/>
    <w:rsid w:val="7B8A7CFC"/>
    <w:rsid w:val="7B9E4546"/>
    <w:rsid w:val="7BA57582"/>
    <w:rsid w:val="7BBC2800"/>
    <w:rsid w:val="7C090B2F"/>
    <w:rsid w:val="7C1D7826"/>
    <w:rsid w:val="7C2E5E9C"/>
    <w:rsid w:val="7C3120BD"/>
    <w:rsid w:val="7C4B624B"/>
    <w:rsid w:val="7C5226C8"/>
    <w:rsid w:val="7C840A89"/>
    <w:rsid w:val="7CA71C60"/>
    <w:rsid w:val="7CAA54CB"/>
    <w:rsid w:val="7CD35530"/>
    <w:rsid w:val="7CDF411E"/>
    <w:rsid w:val="7CF608FF"/>
    <w:rsid w:val="7D0A26B8"/>
    <w:rsid w:val="7D2D253F"/>
    <w:rsid w:val="7D4D5E56"/>
    <w:rsid w:val="7D5316BF"/>
    <w:rsid w:val="7D62537A"/>
    <w:rsid w:val="7D8050C0"/>
    <w:rsid w:val="7DD8213B"/>
    <w:rsid w:val="7E0E3F69"/>
    <w:rsid w:val="7E515B2A"/>
    <w:rsid w:val="7E5971A9"/>
    <w:rsid w:val="7E7D7768"/>
    <w:rsid w:val="7EB06469"/>
    <w:rsid w:val="7EC16AFC"/>
    <w:rsid w:val="7EC25AA8"/>
    <w:rsid w:val="7EC54098"/>
    <w:rsid w:val="7ECE4356"/>
    <w:rsid w:val="7F163FF2"/>
    <w:rsid w:val="7F2922F3"/>
    <w:rsid w:val="7F410CC7"/>
    <w:rsid w:val="7F570C73"/>
    <w:rsid w:val="7F600C36"/>
    <w:rsid w:val="7F6158B6"/>
    <w:rsid w:val="7F9E6C89"/>
    <w:rsid w:val="7FDA1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498"/>
    <w:autoRedefine/>
    <w:qFormat/>
    <w:uiPriority w:val="0"/>
    <w:pPr>
      <w:keepNext/>
      <w:keepLines/>
      <w:autoSpaceDE w:val="0"/>
      <w:autoSpaceDN w:val="0"/>
      <w:adjustRightInd w:val="0"/>
      <w:spacing w:before="240" w:after="120" w:line="300" w:lineRule="auto"/>
      <w:jc w:val="center"/>
      <w:outlineLvl w:val="0"/>
    </w:pPr>
    <w:rPr>
      <w:b/>
      <w:kern w:val="44"/>
      <w:sz w:val="32"/>
    </w:rPr>
  </w:style>
  <w:style w:type="paragraph" w:styleId="3">
    <w:name w:val="heading 2"/>
    <w:basedOn w:val="1"/>
    <w:next w:val="1"/>
    <w:link w:val="499"/>
    <w:autoRedefine/>
    <w:qFormat/>
    <w:uiPriority w:val="0"/>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500"/>
    <w:autoRedefine/>
    <w:qFormat/>
    <w:uiPriority w:val="0"/>
    <w:pPr>
      <w:keepNext/>
      <w:keepLines/>
      <w:widowControl/>
      <w:spacing w:before="260" w:after="260" w:line="413" w:lineRule="auto"/>
      <w:jc w:val="left"/>
      <w:outlineLvl w:val="2"/>
    </w:pPr>
    <w:rPr>
      <w:rFonts w:ascii="Times New Roman"/>
      <w:b/>
      <w:bCs/>
      <w:sz w:val="32"/>
      <w:szCs w:val="32"/>
    </w:rPr>
  </w:style>
  <w:style w:type="paragraph" w:styleId="5">
    <w:name w:val="heading 4"/>
    <w:basedOn w:val="1"/>
    <w:next w:val="1"/>
    <w:link w:val="501"/>
    <w:autoRedefine/>
    <w:qFormat/>
    <w:uiPriority w:val="0"/>
    <w:pPr>
      <w:keepNext/>
      <w:keepLines/>
      <w:spacing w:before="280" w:after="290" w:line="372" w:lineRule="auto"/>
      <w:outlineLvl w:val="3"/>
    </w:pPr>
    <w:rPr>
      <w:rFonts w:ascii="Arial" w:hAnsi="Arial" w:eastAsia="黑体"/>
      <w:b/>
      <w:bCs/>
      <w:kern w:val="2"/>
      <w:sz w:val="28"/>
      <w:szCs w:val="28"/>
    </w:rPr>
  </w:style>
  <w:style w:type="paragraph" w:styleId="6">
    <w:name w:val="heading 5"/>
    <w:basedOn w:val="1"/>
    <w:next w:val="1"/>
    <w:link w:val="502"/>
    <w:autoRedefine/>
    <w:qFormat/>
    <w:uiPriority w:val="0"/>
    <w:pPr>
      <w:keepNext/>
      <w:keepLines/>
      <w:spacing w:before="280" w:after="290" w:line="376" w:lineRule="auto"/>
      <w:outlineLvl w:val="4"/>
    </w:pPr>
    <w:rPr>
      <w:rFonts w:ascii="仿宋_GB2312" w:hAnsi="Courier New" w:eastAsia="仿宋_GB2312"/>
      <w:b/>
      <w:bCs/>
      <w:kern w:val="2"/>
      <w:sz w:val="28"/>
      <w:szCs w:val="28"/>
    </w:rPr>
  </w:style>
  <w:style w:type="paragraph" w:styleId="7">
    <w:name w:val="heading 6"/>
    <w:basedOn w:val="1"/>
    <w:next w:val="1"/>
    <w:link w:val="503"/>
    <w:autoRedefine/>
    <w:qFormat/>
    <w:uiPriority w:val="0"/>
    <w:pPr>
      <w:keepNext/>
      <w:keepLines/>
      <w:spacing w:before="240" w:after="64" w:line="320" w:lineRule="auto"/>
      <w:outlineLvl w:val="5"/>
    </w:pPr>
    <w:rPr>
      <w:rFonts w:ascii="Cambria" w:hAnsi="Cambria"/>
      <w:b/>
      <w:bCs/>
      <w:kern w:val="2"/>
      <w:sz w:val="24"/>
      <w:szCs w:val="24"/>
    </w:rPr>
  </w:style>
  <w:style w:type="paragraph" w:styleId="8">
    <w:name w:val="heading 7"/>
    <w:basedOn w:val="1"/>
    <w:next w:val="1"/>
    <w:link w:val="504"/>
    <w:autoRedefine/>
    <w:qFormat/>
    <w:uiPriority w:val="0"/>
    <w:pPr>
      <w:keepNext/>
      <w:keepLines/>
      <w:spacing w:before="240" w:after="64" w:line="320" w:lineRule="auto"/>
      <w:outlineLvl w:val="6"/>
    </w:pPr>
    <w:rPr>
      <w:b/>
      <w:bCs/>
      <w:kern w:val="2"/>
      <w:sz w:val="24"/>
      <w:szCs w:val="24"/>
    </w:rPr>
  </w:style>
  <w:style w:type="paragraph" w:styleId="9">
    <w:name w:val="heading 8"/>
    <w:basedOn w:val="1"/>
    <w:next w:val="1"/>
    <w:link w:val="505"/>
    <w:autoRedefine/>
    <w:qFormat/>
    <w:uiPriority w:val="0"/>
    <w:pPr>
      <w:keepNext/>
      <w:keepLines/>
      <w:numPr>
        <w:ilvl w:val="0"/>
        <w:numId w:val="1"/>
      </w:numPr>
      <w:spacing w:before="240" w:after="64" w:line="317" w:lineRule="auto"/>
      <w:outlineLvl w:val="7"/>
    </w:pPr>
    <w:rPr>
      <w:rFonts w:ascii="Times New Roman"/>
      <w:kern w:val="2"/>
      <w:sz w:val="24"/>
    </w:rPr>
  </w:style>
  <w:style w:type="paragraph" w:styleId="10">
    <w:name w:val="heading 9"/>
    <w:basedOn w:val="1"/>
    <w:next w:val="1"/>
    <w:link w:val="506"/>
    <w:autoRedefine/>
    <w:qFormat/>
    <w:uiPriority w:val="0"/>
    <w:pPr>
      <w:keepNext/>
      <w:keepLines/>
      <w:numPr>
        <w:ilvl w:val="8"/>
        <w:numId w:val="2"/>
      </w:numPr>
      <w:tabs>
        <w:tab w:val="left" w:pos="709"/>
        <w:tab w:val="left" w:pos="4200"/>
        <w:tab w:val="clear" w:pos="1559"/>
      </w:tabs>
      <w:spacing w:before="120" w:line="360" w:lineRule="auto"/>
      <w:outlineLvl w:val="8"/>
    </w:pPr>
    <w:rPr>
      <w:rFonts w:ascii="Arial" w:hAnsi="Arial"/>
      <w:kern w:val="2"/>
      <w:sz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widowControl/>
      <w:spacing w:before="100" w:beforeAutospacing="1" w:after="100" w:afterAutospacing="1"/>
      <w:jc w:val="left"/>
    </w:pPr>
    <w:rPr>
      <w:rFonts w:ascii="Arial Unicode MS" w:hAnsi="Arial Unicode MS" w:eastAsia="Arial Unicode MS"/>
      <w:sz w:val="24"/>
      <w:szCs w:val="24"/>
    </w:rPr>
  </w:style>
  <w:style w:type="paragraph" w:styleId="12">
    <w:name w:val="toc 7"/>
    <w:basedOn w:val="1"/>
    <w:next w:val="1"/>
    <w:autoRedefine/>
    <w:qFormat/>
    <w:uiPriority w:val="0"/>
    <w:pPr>
      <w:ind w:left="2040"/>
      <w:jc w:val="left"/>
    </w:pPr>
    <w:rPr>
      <w:rFonts w:asciiTheme="minorHAnsi" w:hAnsiTheme="minorHAnsi"/>
      <w:sz w:val="18"/>
      <w:szCs w:val="18"/>
    </w:rPr>
  </w:style>
  <w:style w:type="paragraph" w:styleId="13">
    <w:name w:val="Note Heading"/>
    <w:basedOn w:val="1"/>
    <w:next w:val="1"/>
    <w:link w:val="634"/>
    <w:autoRedefine/>
    <w:qFormat/>
    <w:uiPriority w:val="0"/>
    <w:pPr>
      <w:spacing w:line="480" w:lineRule="auto"/>
      <w:jc w:val="center"/>
    </w:pPr>
    <w:rPr>
      <w:rFonts w:ascii="Times New Roman"/>
      <w:sz w:val="20"/>
      <w:szCs w:val="24"/>
    </w:rPr>
  </w:style>
  <w:style w:type="paragraph" w:styleId="14">
    <w:name w:val="Normal Indent"/>
    <w:basedOn w:val="1"/>
    <w:link w:val="566"/>
    <w:autoRedefine/>
    <w:qFormat/>
    <w:uiPriority w:val="0"/>
    <w:pPr>
      <w:autoSpaceDE w:val="0"/>
      <w:autoSpaceDN w:val="0"/>
      <w:adjustRightInd w:val="0"/>
      <w:ind w:firstLine="420"/>
      <w:jc w:val="left"/>
    </w:pPr>
    <w:rPr>
      <w:sz w:val="24"/>
    </w:rPr>
  </w:style>
  <w:style w:type="paragraph" w:styleId="15">
    <w:name w:val="caption"/>
    <w:basedOn w:val="1"/>
    <w:next w:val="1"/>
    <w:autoRedefine/>
    <w:qFormat/>
    <w:uiPriority w:val="0"/>
    <w:pPr>
      <w:jc w:val="center"/>
    </w:pPr>
    <w:rPr>
      <w:rFonts w:ascii="华文彩云" w:hAnsi="Century Gothic" w:cs="Arial"/>
      <w:b/>
      <w:bCs/>
      <w:sz w:val="52"/>
      <w:szCs w:val="72"/>
    </w:rPr>
  </w:style>
  <w:style w:type="paragraph" w:styleId="16">
    <w:name w:val="List Bullet"/>
    <w:basedOn w:val="1"/>
    <w:autoRedefine/>
    <w:qFormat/>
    <w:uiPriority w:val="0"/>
    <w:pPr>
      <w:numPr>
        <w:ilvl w:val="0"/>
        <w:numId w:val="2"/>
      </w:numPr>
      <w:tabs>
        <w:tab w:val="left" w:pos="986"/>
      </w:tabs>
    </w:pPr>
    <w:rPr>
      <w:rFonts w:ascii="Times New Roman"/>
      <w:kern w:val="2"/>
      <w:sz w:val="21"/>
    </w:rPr>
  </w:style>
  <w:style w:type="paragraph" w:styleId="17">
    <w:name w:val="Document Map"/>
    <w:basedOn w:val="1"/>
    <w:link w:val="545"/>
    <w:autoRedefine/>
    <w:unhideWhenUsed/>
    <w:qFormat/>
    <w:uiPriority w:val="0"/>
    <w:rPr>
      <w:bCs/>
      <w:sz w:val="18"/>
      <w:szCs w:val="18"/>
    </w:rPr>
  </w:style>
  <w:style w:type="paragraph" w:styleId="18">
    <w:name w:val="annotation text"/>
    <w:basedOn w:val="1"/>
    <w:link w:val="532"/>
    <w:autoRedefine/>
    <w:unhideWhenUsed/>
    <w:qFormat/>
    <w:uiPriority w:val="0"/>
    <w:pPr>
      <w:jc w:val="left"/>
    </w:pPr>
    <w:rPr>
      <w:kern w:val="2"/>
      <w:sz w:val="21"/>
    </w:rPr>
  </w:style>
  <w:style w:type="paragraph" w:styleId="19">
    <w:name w:val="Salutation"/>
    <w:basedOn w:val="1"/>
    <w:next w:val="1"/>
    <w:link w:val="649"/>
    <w:autoRedefine/>
    <w:qFormat/>
    <w:uiPriority w:val="0"/>
    <w:rPr>
      <w:color w:val="000000"/>
      <w:szCs w:val="23"/>
    </w:rPr>
  </w:style>
  <w:style w:type="paragraph" w:styleId="20">
    <w:name w:val="Body Text 3"/>
    <w:basedOn w:val="1"/>
    <w:link w:val="645"/>
    <w:autoRedefine/>
    <w:qFormat/>
    <w:uiPriority w:val="0"/>
    <w:pPr>
      <w:spacing w:line="360" w:lineRule="auto"/>
      <w:jc w:val="left"/>
    </w:pPr>
    <w:rPr>
      <w:iCs/>
      <w:sz w:val="24"/>
      <w:szCs w:val="24"/>
    </w:rPr>
  </w:style>
  <w:style w:type="paragraph" w:styleId="21">
    <w:name w:val="Closing"/>
    <w:basedOn w:val="1"/>
    <w:link w:val="661"/>
    <w:autoRedefine/>
    <w:qFormat/>
    <w:uiPriority w:val="0"/>
    <w:pPr>
      <w:ind w:left="100" w:leftChars="2100"/>
    </w:pPr>
    <w:rPr>
      <w:color w:val="000000"/>
      <w:szCs w:val="23"/>
    </w:rPr>
  </w:style>
  <w:style w:type="paragraph" w:styleId="22">
    <w:name w:val="Body Text"/>
    <w:basedOn w:val="1"/>
    <w:next w:val="1"/>
    <w:link w:val="587"/>
    <w:autoRedefine/>
    <w:qFormat/>
    <w:uiPriority w:val="0"/>
    <w:pPr>
      <w:widowControl/>
      <w:spacing w:before="28" w:after="120" w:line="440" w:lineRule="exact"/>
      <w:ind w:firstLine="480" w:firstLineChars="200"/>
      <w:jc w:val="left"/>
    </w:pPr>
    <w:rPr>
      <w:rFonts w:asciiTheme="minorEastAsia" w:hAnsiTheme="minorEastAsia" w:eastAsiaTheme="minorEastAsia" w:cstheme="minorEastAsia"/>
      <w:color w:val="000000" w:themeColor="text1"/>
      <w:kern w:val="2"/>
      <w:sz w:val="24"/>
      <w:szCs w:val="24"/>
      <w14:textFill>
        <w14:solidFill>
          <w14:schemeClr w14:val="tx1"/>
        </w14:solidFill>
      </w14:textFill>
    </w:rPr>
  </w:style>
  <w:style w:type="paragraph" w:styleId="23">
    <w:name w:val="Body Text Indent"/>
    <w:basedOn w:val="1"/>
    <w:link w:val="539"/>
    <w:autoRedefine/>
    <w:qFormat/>
    <w:uiPriority w:val="0"/>
    <w:pPr>
      <w:spacing w:after="120"/>
      <w:ind w:left="420" w:leftChars="200"/>
    </w:pPr>
    <w:rPr>
      <w:rFonts w:ascii="Times New Roman"/>
      <w:sz w:val="20"/>
    </w:rPr>
  </w:style>
  <w:style w:type="paragraph" w:styleId="24">
    <w:name w:val="List Number 3"/>
    <w:basedOn w:val="1"/>
    <w:autoRedefine/>
    <w:qFormat/>
    <w:uiPriority w:val="0"/>
    <w:pPr>
      <w:widowControl/>
      <w:tabs>
        <w:tab w:val="left" w:pos="425"/>
        <w:tab w:val="left" w:pos="851"/>
        <w:tab w:val="left" w:pos="1134"/>
      </w:tabs>
      <w:spacing w:line="280" w:lineRule="atLeast"/>
      <w:ind w:left="1135" w:hanging="284"/>
      <w:jc w:val="left"/>
    </w:pPr>
    <w:rPr>
      <w:rFonts w:ascii="Arial" w:hAnsi="Arial"/>
      <w:sz w:val="16"/>
      <w:lang w:eastAsia="en-US"/>
    </w:rPr>
  </w:style>
  <w:style w:type="paragraph" w:styleId="25">
    <w:name w:val="List 2"/>
    <w:basedOn w:val="1"/>
    <w:autoRedefine/>
    <w:qFormat/>
    <w:uiPriority w:val="0"/>
    <w:pPr>
      <w:ind w:left="100" w:leftChars="200" w:hanging="200" w:hangingChars="200"/>
    </w:pPr>
    <w:rPr>
      <w:szCs w:val="24"/>
    </w:rPr>
  </w:style>
  <w:style w:type="paragraph" w:styleId="26">
    <w:name w:val="Block Text"/>
    <w:basedOn w:val="1"/>
    <w:link w:val="784"/>
    <w:autoRedefine/>
    <w:qFormat/>
    <w:uiPriority w:val="0"/>
    <w:pPr>
      <w:adjustRightInd w:val="0"/>
      <w:ind w:left="420" w:right="33"/>
      <w:jc w:val="left"/>
      <w:textAlignment w:val="baseline"/>
    </w:pPr>
    <w:rPr>
      <w:sz w:val="24"/>
    </w:rPr>
  </w:style>
  <w:style w:type="paragraph" w:styleId="27">
    <w:name w:val="List Bullet 2"/>
    <w:basedOn w:val="1"/>
    <w:autoRedefine/>
    <w:qFormat/>
    <w:uiPriority w:val="0"/>
    <w:pPr>
      <w:spacing w:line="360" w:lineRule="auto"/>
    </w:pPr>
    <w:rPr>
      <w:rFonts w:hAnsi="宋体"/>
      <w:spacing w:val="20"/>
      <w:sz w:val="24"/>
      <w:szCs w:val="24"/>
    </w:rPr>
  </w:style>
  <w:style w:type="paragraph" w:styleId="28">
    <w:name w:val="index 4"/>
    <w:basedOn w:val="1"/>
    <w:next w:val="1"/>
    <w:autoRedefine/>
    <w:qFormat/>
    <w:uiPriority w:val="0"/>
    <w:pPr>
      <w:ind w:left="600" w:leftChars="600"/>
    </w:pPr>
    <w:rPr>
      <w:rFonts w:ascii="Times New Roman"/>
      <w:kern w:val="2"/>
      <w:sz w:val="21"/>
      <w:szCs w:val="24"/>
    </w:rPr>
  </w:style>
  <w:style w:type="paragraph" w:styleId="29">
    <w:name w:val="toc 5"/>
    <w:basedOn w:val="1"/>
    <w:next w:val="1"/>
    <w:autoRedefine/>
    <w:qFormat/>
    <w:uiPriority w:val="0"/>
    <w:pPr>
      <w:ind w:left="1360"/>
      <w:jc w:val="left"/>
    </w:pPr>
    <w:rPr>
      <w:rFonts w:asciiTheme="minorHAnsi" w:hAnsiTheme="minorHAnsi"/>
      <w:sz w:val="18"/>
      <w:szCs w:val="18"/>
    </w:rPr>
  </w:style>
  <w:style w:type="paragraph" w:styleId="30">
    <w:name w:val="toc 3"/>
    <w:basedOn w:val="1"/>
    <w:next w:val="1"/>
    <w:autoRedefine/>
    <w:unhideWhenUsed/>
    <w:qFormat/>
    <w:uiPriority w:val="39"/>
    <w:pPr>
      <w:ind w:left="680"/>
      <w:jc w:val="left"/>
    </w:pPr>
    <w:rPr>
      <w:rFonts w:asciiTheme="minorHAnsi" w:hAnsiTheme="minorHAnsi"/>
      <w:i/>
      <w:iCs/>
      <w:sz w:val="20"/>
    </w:rPr>
  </w:style>
  <w:style w:type="paragraph" w:styleId="31">
    <w:name w:val="Plain Text"/>
    <w:basedOn w:val="1"/>
    <w:link w:val="589"/>
    <w:autoRedefine/>
    <w:qFormat/>
    <w:uiPriority w:val="0"/>
    <w:rPr>
      <w:rFonts w:hAnsi="Courier New"/>
      <w:sz w:val="20"/>
    </w:rPr>
  </w:style>
  <w:style w:type="paragraph" w:styleId="32">
    <w:name w:val="toc 8"/>
    <w:basedOn w:val="1"/>
    <w:next w:val="1"/>
    <w:autoRedefine/>
    <w:qFormat/>
    <w:uiPriority w:val="0"/>
    <w:pPr>
      <w:ind w:left="2380"/>
      <w:jc w:val="left"/>
    </w:pPr>
    <w:rPr>
      <w:rFonts w:asciiTheme="minorHAnsi" w:hAnsiTheme="minorHAnsi"/>
      <w:sz w:val="18"/>
      <w:szCs w:val="18"/>
    </w:rPr>
  </w:style>
  <w:style w:type="paragraph" w:styleId="33">
    <w:name w:val="Date"/>
    <w:basedOn w:val="1"/>
    <w:next w:val="1"/>
    <w:link w:val="612"/>
    <w:autoRedefine/>
    <w:qFormat/>
    <w:uiPriority w:val="0"/>
    <w:rPr>
      <w:rFonts w:ascii="Times New Roman" w:eastAsia="楷体"/>
      <w:sz w:val="32"/>
    </w:rPr>
  </w:style>
  <w:style w:type="paragraph" w:styleId="34">
    <w:name w:val="Body Text Indent 2"/>
    <w:basedOn w:val="1"/>
    <w:link w:val="523"/>
    <w:autoRedefine/>
    <w:qFormat/>
    <w:uiPriority w:val="0"/>
    <w:pPr>
      <w:spacing w:after="120" w:line="480" w:lineRule="auto"/>
      <w:ind w:left="420" w:leftChars="200"/>
    </w:pPr>
    <w:rPr>
      <w:rFonts w:ascii="Times New Roman"/>
      <w:sz w:val="20"/>
    </w:rPr>
  </w:style>
  <w:style w:type="paragraph" w:styleId="35">
    <w:name w:val="Balloon Text"/>
    <w:basedOn w:val="1"/>
    <w:link w:val="626"/>
    <w:autoRedefine/>
    <w:qFormat/>
    <w:uiPriority w:val="0"/>
    <w:rPr>
      <w:rFonts w:ascii="Times New Roman"/>
      <w:sz w:val="18"/>
      <w:szCs w:val="18"/>
    </w:rPr>
  </w:style>
  <w:style w:type="paragraph" w:styleId="36">
    <w:name w:val="footer"/>
    <w:basedOn w:val="1"/>
    <w:link w:val="573"/>
    <w:autoRedefine/>
    <w:qFormat/>
    <w:uiPriority w:val="99"/>
    <w:pPr>
      <w:tabs>
        <w:tab w:val="center" w:pos="4153"/>
        <w:tab w:val="right" w:pos="8306"/>
      </w:tabs>
      <w:autoSpaceDE w:val="0"/>
      <w:autoSpaceDN w:val="0"/>
      <w:adjustRightInd w:val="0"/>
      <w:snapToGrid w:val="0"/>
      <w:jc w:val="left"/>
    </w:pPr>
    <w:rPr>
      <w:sz w:val="18"/>
    </w:rPr>
  </w:style>
  <w:style w:type="paragraph" w:styleId="37">
    <w:name w:val="header"/>
    <w:basedOn w:val="1"/>
    <w:link w:val="525"/>
    <w:autoRedefine/>
    <w:qFormat/>
    <w:uiPriority w:val="99"/>
    <w:pPr>
      <w:pBdr>
        <w:bottom w:val="single" w:color="auto" w:sz="6" w:space="1"/>
      </w:pBdr>
      <w:tabs>
        <w:tab w:val="center" w:pos="4153"/>
        <w:tab w:val="right" w:pos="8306"/>
      </w:tabs>
      <w:snapToGrid w:val="0"/>
      <w:jc w:val="center"/>
    </w:pPr>
    <w:rPr>
      <w:rFonts w:ascii="Times New Roman"/>
      <w:sz w:val="18"/>
      <w:szCs w:val="18"/>
    </w:rPr>
  </w:style>
  <w:style w:type="paragraph" w:styleId="38">
    <w:name w:val="Signature"/>
    <w:basedOn w:val="1"/>
    <w:link w:val="809"/>
    <w:autoRedefine/>
    <w:qFormat/>
    <w:uiPriority w:val="0"/>
    <w:pPr>
      <w:widowControl/>
      <w:jc w:val="right"/>
    </w:pPr>
    <w:rPr>
      <w:rFonts w:asciiTheme="minorHAnsi" w:hAnsiTheme="minorHAnsi" w:eastAsiaTheme="minorEastAsia" w:cstheme="minorBidi"/>
      <w:kern w:val="2"/>
      <w:sz w:val="21"/>
      <w:szCs w:val="21"/>
    </w:rPr>
  </w:style>
  <w:style w:type="paragraph" w:styleId="39">
    <w:name w:val="toc 1"/>
    <w:basedOn w:val="1"/>
    <w:next w:val="1"/>
    <w:autoRedefine/>
    <w:qFormat/>
    <w:uiPriority w:val="39"/>
    <w:pPr>
      <w:spacing w:before="120" w:after="120"/>
      <w:jc w:val="left"/>
    </w:pPr>
    <w:rPr>
      <w:rFonts w:asciiTheme="minorHAnsi" w:hAnsiTheme="minorHAnsi"/>
      <w:b/>
      <w:bCs/>
      <w:caps/>
      <w:sz w:val="20"/>
    </w:rPr>
  </w:style>
  <w:style w:type="paragraph" w:styleId="40">
    <w:name w:val="toc 4"/>
    <w:basedOn w:val="1"/>
    <w:next w:val="1"/>
    <w:autoRedefine/>
    <w:qFormat/>
    <w:uiPriority w:val="0"/>
    <w:pPr>
      <w:ind w:left="1020"/>
      <w:jc w:val="left"/>
    </w:pPr>
    <w:rPr>
      <w:rFonts w:asciiTheme="minorHAnsi" w:hAnsiTheme="minorHAnsi"/>
      <w:sz w:val="18"/>
      <w:szCs w:val="18"/>
    </w:rPr>
  </w:style>
  <w:style w:type="paragraph" w:styleId="41">
    <w:name w:val="Subtitle"/>
    <w:basedOn w:val="1"/>
    <w:next w:val="14"/>
    <w:link w:val="662"/>
    <w:autoRedefine/>
    <w:qFormat/>
    <w:uiPriority w:val="0"/>
    <w:pPr>
      <w:widowControl/>
      <w:spacing w:before="240" w:after="60" w:line="312" w:lineRule="auto"/>
      <w:jc w:val="center"/>
      <w:outlineLvl w:val="1"/>
    </w:pPr>
    <w:rPr>
      <w:rFonts w:ascii="Arial" w:hAnsi="Arial"/>
      <w:b/>
      <w:kern w:val="28"/>
      <w:sz w:val="32"/>
    </w:rPr>
  </w:style>
  <w:style w:type="paragraph" w:styleId="42">
    <w:name w:val="List"/>
    <w:basedOn w:val="1"/>
    <w:autoRedefine/>
    <w:qFormat/>
    <w:uiPriority w:val="0"/>
    <w:pPr>
      <w:ind w:left="200" w:hanging="200" w:hangingChars="200"/>
    </w:pPr>
    <w:rPr>
      <w:szCs w:val="24"/>
    </w:rPr>
  </w:style>
  <w:style w:type="paragraph" w:styleId="43">
    <w:name w:val="footnote text"/>
    <w:basedOn w:val="1"/>
    <w:link w:val="739"/>
    <w:autoRedefine/>
    <w:unhideWhenUsed/>
    <w:qFormat/>
    <w:uiPriority w:val="0"/>
    <w:pPr>
      <w:snapToGrid w:val="0"/>
      <w:jc w:val="left"/>
    </w:pPr>
    <w:rPr>
      <w:sz w:val="18"/>
      <w:szCs w:val="18"/>
    </w:rPr>
  </w:style>
  <w:style w:type="paragraph" w:styleId="44">
    <w:name w:val="toc 6"/>
    <w:basedOn w:val="1"/>
    <w:next w:val="1"/>
    <w:autoRedefine/>
    <w:qFormat/>
    <w:uiPriority w:val="0"/>
    <w:pPr>
      <w:ind w:left="1700"/>
      <w:jc w:val="left"/>
    </w:pPr>
    <w:rPr>
      <w:rFonts w:asciiTheme="minorHAnsi" w:hAnsiTheme="minorHAnsi"/>
      <w:sz w:val="18"/>
      <w:szCs w:val="18"/>
    </w:rPr>
  </w:style>
  <w:style w:type="paragraph" w:styleId="45">
    <w:name w:val="Body Text Indent 3"/>
    <w:basedOn w:val="1"/>
    <w:link w:val="629"/>
    <w:autoRedefine/>
    <w:qFormat/>
    <w:uiPriority w:val="0"/>
    <w:pPr>
      <w:spacing w:after="120"/>
      <w:ind w:left="420" w:leftChars="200"/>
    </w:pPr>
    <w:rPr>
      <w:sz w:val="16"/>
      <w:szCs w:val="16"/>
    </w:rPr>
  </w:style>
  <w:style w:type="paragraph" w:styleId="46">
    <w:name w:val="table of figures"/>
    <w:basedOn w:val="1"/>
    <w:next w:val="1"/>
    <w:autoRedefine/>
    <w:qFormat/>
    <w:uiPriority w:val="0"/>
    <w:pPr>
      <w:ind w:left="200" w:leftChars="200" w:hanging="200" w:hangingChars="200"/>
    </w:pPr>
    <w:rPr>
      <w:szCs w:val="24"/>
    </w:rPr>
  </w:style>
  <w:style w:type="paragraph" w:styleId="47">
    <w:name w:val="toc 2"/>
    <w:basedOn w:val="1"/>
    <w:next w:val="1"/>
    <w:autoRedefine/>
    <w:qFormat/>
    <w:uiPriority w:val="39"/>
    <w:pPr>
      <w:ind w:left="340"/>
      <w:jc w:val="left"/>
    </w:pPr>
    <w:rPr>
      <w:rFonts w:asciiTheme="minorHAnsi" w:hAnsiTheme="minorHAnsi"/>
      <w:smallCaps/>
      <w:sz w:val="20"/>
    </w:rPr>
  </w:style>
  <w:style w:type="paragraph" w:styleId="48">
    <w:name w:val="toc 9"/>
    <w:basedOn w:val="1"/>
    <w:next w:val="1"/>
    <w:autoRedefine/>
    <w:qFormat/>
    <w:uiPriority w:val="0"/>
    <w:pPr>
      <w:ind w:left="2720"/>
      <w:jc w:val="left"/>
    </w:pPr>
    <w:rPr>
      <w:rFonts w:asciiTheme="minorHAnsi" w:hAnsiTheme="minorHAnsi"/>
      <w:sz w:val="18"/>
      <w:szCs w:val="18"/>
    </w:rPr>
  </w:style>
  <w:style w:type="paragraph" w:styleId="49">
    <w:name w:val="Body Text 2"/>
    <w:basedOn w:val="1"/>
    <w:link w:val="660"/>
    <w:autoRedefine/>
    <w:qFormat/>
    <w:uiPriority w:val="0"/>
    <w:pPr>
      <w:widowControl/>
      <w:spacing w:after="120" w:line="480" w:lineRule="auto"/>
      <w:jc w:val="left"/>
    </w:pPr>
  </w:style>
  <w:style w:type="paragraph" w:styleId="50">
    <w:name w:val="List 4"/>
    <w:basedOn w:val="1"/>
    <w:autoRedefine/>
    <w:qFormat/>
    <w:uiPriority w:val="0"/>
    <w:pPr>
      <w:adjustRightInd w:val="0"/>
      <w:spacing w:line="360" w:lineRule="atLeast"/>
      <w:ind w:left="100" w:leftChars="600" w:hanging="200" w:hangingChars="200"/>
      <w:jc w:val="left"/>
      <w:textAlignment w:val="baseline"/>
    </w:pPr>
    <w:rPr>
      <w:sz w:val="24"/>
    </w:rPr>
  </w:style>
  <w:style w:type="paragraph" w:styleId="51">
    <w:name w:val="List Continue 2"/>
    <w:basedOn w:val="1"/>
    <w:autoRedefine/>
    <w:qFormat/>
    <w:uiPriority w:val="0"/>
    <w:pPr>
      <w:adjustRightInd w:val="0"/>
      <w:spacing w:after="120" w:line="360" w:lineRule="atLeast"/>
      <w:ind w:left="840" w:leftChars="400"/>
      <w:jc w:val="left"/>
      <w:textAlignment w:val="baseline"/>
    </w:pPr>
    <w:rPr>
      <w:sz w:val="24"/>
    </w:rPr>
  </w:style>
  <w:style w:type="paragraph" w:styleId="52">
    <w:name w:val="Message Header"/>
    <w:basedOn w:val="22"/>
    <w:link w:val="642"/>
    <w:autoRedefine/>
    <w:qFormat/>
    <w:uiPriority w:val="0"/>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styleId="53">
    <w:name w:val="HTML Preformatted"/>
    <w:basedOn w:val="1"/>
    <w:link w:val="5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styleId="54">
    <w:name w:val="Normal (Web)"/>
    <w:basedOn w:val="1"/>
    <w:link w:val="654"/>
    <w:autoRedefine/>
    <w:qFormat/>
    <w:uiPriority w:val="99"/>
    <w:pPr>
      <w:widowControl/>
      <w:spacing w:before="100" w:beforeAutospacing="1" w:after="100" w:afterAutospacing="1"/>
      <w:jc w:val="left"/>
    </w:pPr>
    <w:rPr>
      <w:rFonts w:hAnsi="宋体"/>
      <w:sz w:val="24"/>
      <w:szCs w:val="24"/>
    </w:rPr>
  </w:style>
  <w:style w:type="paragraph" w:styleId="55">
    <w:name w:val="index 1"/>
    <w:basedOn w:val="1"/>
    <w:next w:val="1"/>
    <w:autoRedefine/>
    <w:qFormat/>
    <w:uiPriority w:val="0"/>
    <w:rPr>
      <w:szCs w:val="24"/>
    </w:rPr>
  </w:style>
  <w:style w:type="paragraph" w:styleId="56">
    <w:name w:val="Title"/>
    <w:basedOn w:val="1"/>
    <w:link w:val="653"/>
    <w:autoRedefine/>
    <w:qFormat/>
    <w:uiPriority w:val="0"/>
    <w:pPr>
      <w:spacing w:before="240" w:after="60"/>
      <w:jc w:val="center"/>
      <w:outlineLvl w:val="0"/>
    </w:pPr>
    <w:rPr>
      <w:rFonts w:ascii="Arial" w:hAnsi="Arial" w:cs="Arial"/>
      <w:b/>
      <w:bCs/>
      <w:sz w:val="32"/>
      <w:szCs w:val="32"/>
    </w:rPr>
  </w:style>
  <w:style w:type="paragraph" w:styleId="57">
    <w:name w:val="annotation subject"/>
    <w:basedOn w:val="18"/>
    <w:next w:val="18"/>
    <w:link w:val="531"/>
    <w:autoRedefine/>
    <w:qFormat/>
    <w:uiPriority w:val="0"/>
    <w:rPr>
      <w:rFonts w:ascii="Times New Roman"/>
      <w:b/>
      <w:bCs/>
      <w:kern w:val="0"/>
      <w:sz w:val="20"/>
    </w:rPr>
  </w:style>
  <w:style w:type="paragraph" w:styleId="58">
    <w:name w:val="Body Text First Indent"/>
    <w:basedOn w:val="1"/>
    <w:link w:val="659"/>
    <w:autoRedefine/>
    <w:qFormat/>
    <w:uiPriority w:val="0"/>
    <w:pPr>
      <w:adjustRightInd w:val="0"/>
      <w:snapToGrid w:val="0"/>
      <w:spacing w:after="120" w:line="400" w:lineRule="exact"/>
      <w:ind w:firstLine="510"/>
    </w:pPr>
    <w:rPr>
      <w:sz w:val="24"/>
    </w:rPr>
  </w:style>
  <w:style w:type="paragraph" w:styleId="59">
    <w:name w:val="Body Text First Indent 2"/>
    <w:basedOn w:val="23"/>
    <w:link w:val="538"/>
    <w:autoRedefine/>
    <w:qFormat/>
    <w:uiPriority w:val="0"/>
    <w:pPr>
      <w:ind w:firstLine="420" w:firstLineChars="200"/>
    </w:pPr>
    <w:rPr>
      <w:rFonts w:ascii="Arial" w:hAnsi="Arial"/>
      <w:b/>
      <w:bCs/>
      <w:szCs w:val="28"/>
    </w:rPr>
  </w:style>
  <w:style w:type="table" w:styleId="61">
    <w:name w:val="Table Grid"/>
    <w:basedOn w:val="60"/>
    <w:autoRedefine/>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3">
    <w:name w:val="Strong"/>
    <w:autoRedefine/>
    <w:qFormat/>
    <w:uiPriority w:val="99"/>
    <w:rPr>
      <w:b/>
      <w:bCs/>
    </w:rPr>
  </w:style>
  <w:style w:type="character" w:styleId="64">
    <w:name w:val="page number"/>
    <w:basedOn w:val="62"/>
    <w:autoRedefine/>
    <w:qFormat/>
    <w:uiPriority w:val="0"/>
  </w:style>
  <w:style w:type="character" w:styleId="65">
    <w:name w:val="FollowedHyperlink"/>
    <w:basedOn w:val="62"/>
    <w:autoRedefine/>
    <w:unhideWhenUsed/>
    <w:qFormat/>
    <w:uiPriority w:val="99"/>
    <w:rPr>
      <w:color w:val="338DE6"/>
      <w:u w:val="none"/>
    </w:rPr>
  </w:style>
  <w:style w:type="character" w:styleId="66">
    <w:name w:val="Emphasis"/>
    <w:autoRedefine/>
    <w:qFormat/>
    <w:uiPriority w:val="0"/>
    <w:rPr>
      <w:rFonts w:cs="Times New Roman"/>
      <w:i/>
      <w:iCs/>
    </w:rPr>
  </w:style>
  <w:style w:type="character" w:styleId="67">
    <w:name w:val="HTML Definition"/>
    <w:basedOn w:val="62"/>
    <w:autoRedefine/>
    <w:unhideWhenUsed/>
    <w:qFormat/>
    <w:uiPriority w:val="99"/>
  </w:style>
  <w:style w:type="character" w:styleId="68">
    <w:name w:val="HTML Variable"/>
    <w:basedOn w:val="62"/>
    <w:autoRedefine/>
    <w:unhideWhenUsed/>
    <w:qFormat/>
    <w:uiPriority w:val="0"/>
  </w:style>
  <w:style w:type="character" w:styleId="69">
    <w:name w:val="Hyperlink"/>
    <w:basedOn w:val="62"/>
    <w:autoRedefine/>
    <w:qFormat/>
    <w:uiPriority w:val="99"/>
    <w:rPr>
      <w:color w:val="1771B7"/>
    </w:rPr>
  </w:style>
  <w:style w:type="character" w:styleId="70">
    <w:name w:val="HTML Code"/>
    <w:basedOn w:val="62"/>
    <w:autoRedefine/>
    <w:unhideWhenUsed/>
    <w:qFormat/>
    <w:uiPriority w:val="99"/>
    <w:rPr>
      <w:rFonts w:ascii="serif" w:hAnsi="serif" w:eastAsia="serif" w:cs="serif"/>
      <w:sz w:val="21"/>
      <w:szCs w:val="21"/>
    </w:rPr>
  </w:style>
  <w:style w:type="character" w:styleId="71">
    <w:name w:val="annotation reference"/>
    <w:autoRedefine/>
    <w:qFormat/>
    <w:uiPriority w:val="0"/>
    <w:rPr>
      <w:sz w:val="21"/>
      <w:szCs w:val="21"/>
    </w:rPr>
  </w:style>
  <w:style w:type="character" w:styleId="72">
    <w:name w:val="HTML Cite"/>
    <w:basedOn w:val="62"/>
    <w:autoRedefine/>
    <w:unhideWhenUsed/>
    <w:qFormat/>
    <w:uiPriority w:val="0"/>
  </w:style>
  <w:style w:type="character" w:styleId="73">
    <w:name w:val="footnote reference"/>
    <w:basedOn w:val="62"/>
    <w:autoRedefine/>
    <w:unhideWhenUsed/>
    <w:qFormat/>
    <w:uiPriority w:val="99"/>
    <w:rPr>
      <w:vertAlign w:val="superscript"/>
    </w:rPr>
  </w:style>
  <w:style w:type="character" w:styleId="74">
    <w:name w:val="HTML Keyboard"/>
    <w:basedOn w:val="62"/>
    <w:autoRedefine/>
    <w:unhideWhenUsed/>
    <w:qFormat/>
    <w:uiPriority w:val="99"/>
    <w:rPr>
      <w:rFonts w:hint="default" w:ascii="serif" w:hAnsi="serif" w:eastAsia="serif" w:cs="serif"/>
      <w:sz w:val="21"/>
      <w:szCs w:val="21"/>
    </w:rPr>
  </w:style>
  <w:style w:type="character" w:styleId="75">
    <w:name w:val="HTML Sample"/>
    <w:basedOn w:val="62"/>
    <w:autoRedefine/>
    <w:unhideWhenUsed/>
    <w:qFormat/>
    <w:uiPriority w:val="99"/>
    <w:rPr>
      <w:rFonts w:hint="default" w:ascii="serif" w:hAnsi="serif" w:eastAsia="serif" w:cs="serif"/>
      <w:sz w:val="21"/>
      <w:szCs w:val="21"/>
    </w:rPr>
  </w:style>
  <w:style w:type="paragraph" w:customStyle="1" w:styleId="76">
    <w:name w:val="Default"/>
    <w:link w:val="69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77">
    <w:name w:val="标题 3 Char"/>
    <w:basedOn w:val="62"/>
    <w:autoRedefine/>
    <w:qFormat/>
    <w:uiPriority w:val="0"/>
    <w:rPr>
      <w:rFonts w:ascii="宋体" w:hAnsi="Times New Roman" w:eastAsia="宋体" w:cs="Times New Roman"/>
      <w:b/>
      <w:bCs/>
      <w:kern w:val="0"/>
      <w:sz w:val="32"/>
      <w:szCs w:val="32"/>
    </w:rPr>
  </w:style>
  <w:style w:type="character" w:customStyle="1" w:styleId="78">
    <w:name w:val="批注文字 Char"/>
    <w:autoRedefine/>
    <w:qFormat/>
    <w:uiPriority w:val="0"/>
    <w:rPr>
      <w:rFonts w:eastAsia="宋体"/>
      <w:kern w:val="2"/>
      <w:sz w:val="21"/>
      <w:lang w:val="en-US" w:eastAsia="zh-CN" w:bidi="ar-SA"/>
    </w:rPr>
  </w:style>
  <w:style w:type="character" w:customStyle="1" w:styleId="79">
    <w:name w:val="页脚 Char"/>
    <w:autoRedefine/>
    <w:qFormat/>
    <w:uiPriority w:val="99"/>
    <w:rPr>
      <w:rFonts w:ascii="宋体" w:eastAsia="宋体"/>
      <w:sz w:val="18"/>
      <w:lang w:val="en-US" w:eastAsia="zh-CN" w:bidi="ar-SA"/>
    </w:rPr>
  </w:style>
  <w:style w:type="character" w:customStyle="1" w:styleId="80">
    <w:name w:val="页眉 Char"/>
    <w:autoRedefine/>
    <w:qFormat/>
    <w:uiPriority w:val="99"/>
    <w:rPr>
      <w:rFonts w:ascii="宋体" w:eastAsia="宋体"/>
      <w:sz w:val="18"/>
      <w:lang w:val="en-US" w:eastAsia="zh-CN" w:bidi="ar-SA"/>
    </w:rPr>
  </w:style>
  <w:style w:type="paragraph" w:customStyle="1" w:styleId="81">
    <w:name w:val="标准文件_标准正文"/>
    <w:basedOn w:val="1"/>
    <w:link w:val="514"/>
    <w:autoRedefine/>
    <w:qFormat/>
    <w:uiPriority w:val="0"/>
    <w:pPr>
      <w:widowControl/>
      <w:adjustRightInd w:val="0"/>
      <w:snapToGrid w:val="0"/>
      <w:spacing w:line="300" w:lineRule="auto"/>
      <w:ind w:firstLine="200" w:firstLineChars="200"/>
      <w:jc w:val="left"/>
    </w:pPr>
    <w:rPr>
      <w:rFonts w:ascii="Times New Roman"/>
      <w:bCs/>
      <w:color w:val="000000"/>
      <w:spacing w:val="2"/>
      <w:sz w:val="24"/>
      <w:szCs w:val="24"/>
    </w:rPr>
  </w:style>
  <w:style w:type="paragraph" w:customStyle="1" w:styleId="82">
    <w:name w:val="正文（绿盟科技）"/>
    <w:link w:val="535"/>
    <w:autoRedefine/>
    <w:qFormat/>
    <w:uiPriority w:val="0"/>
    <w:pPr>
      <w:spacing w:line="300" w:lineRule="auto"/>
    </w:pPr>
    <w:rPr>
      <w:rFonts w:ascii="Times New Roman" w:hAnsi="Times New Roman" w:eastAsia="宋体" w:cs="Times New Roman"/>
      <w:szCs w:val="21"/>
      <w:lang w:val="en-US" w:eastAsia="zh-CN" w:bidi="ar-SA"/>
    </w:rPr>
  </w:style>
  <w:style w:type="paragraph" w:customStyle="1" w:styleId="83">
    <w:name w:val="金宏发行正文 Char"/>
    <w:basedOn w:val="1"/>
    <w:link w:val="561"/>
    <w:autoRedefine/>
    <w:qFormat/>
    <w:uiPriority w:val="0"/>
    <w:pPr>
      <w:spacing w:line="500" w:lineRule="exact"/>
      <w:ind w:firstLine="560" w:firstLineChars="200"/>
    </w:pPr>
    <w:rPr>
      <w:rFonts w:ascii="Times New Roman" w:eastAsia="仿宋_GB2312"/>
      <w:sz w:val="28"/>
    </w:rPr>
  </w:style>
  <w:style w:type="paragraph" w:customStyle="1" w:styleId="84">
    <w:name w:val="aaaaa"/>
    <w:basedOn w:val="1"/>
    <w:link w:val="564"/>
    <w:autoRedefine/>
    <w:qFormat/>
    <w:uiPriority w:val="0"/>
    <w:pPr>
      <w:spacing w:line="360" w:lineRule="auto"/>
      <w:ind w:firstLine="480" w:firstLineChars="200"/>
    </w:pPr>
    <w:rPr>
      <w:rFonts w:ascii="Times New Roman"/>
      <w:sz w:val="24"/>
      <w:szCs w:val="24"/>
    </w:rPr>
  </w:style>
  <w:style w:type="paragraph" w:customStyle="1" w:styleId="85">
    <w:name w:val="标准文件_一级项目符号 Char Char"/>
    <w:next w:val="81"/>
    <w:link w:val="565"/>
    <w:autoRedefine/>
    <w:qFormat/>
    <w:uiPriority w:val="0"/>
    <w:pPr>
      <w:tabs>
        <w:tab w:val="left" w:pos="907"/>
      </w:tabs>
      <w:adjustRightInd w:val="0"/>
      <w:snapToGrid w:val="0"/>
      <w:spacing w:line="300" w:lineRule="auto"/>
      <w:ind w:left="1134" w:hanging="567"/>
    </w:pPr>
    <w:rPr>
      <w:rFonts w:ascii="Verdana" w:hAnsi="Verdana" w:eastAsia="Times New Roman" w:cs="Times New Roman"/>
      <w:b/>
      <w:bCs/>
      <w:color w:val="000000"/>
      <w:spacing w:val="2"/>
      <w:sz w:val="24"/>
      <w:szCs w:val="24"/>
      <w:lang w:val="en-US" w:eastAsia="zh-CN" w:bidi="ar-SA"/>
    </w:rPr>
  </w:style>
  <w:style w:type="paragraph" w:customStyle="1" w:styleId="86">
    <w:name w:val="Numbered list 2.3"/>
    <w:basedOn w:val="4"/>
    <w:next w:val="1"/>
    <w:link w:val="568"/>
    <w:autoRedefine/>
    <w:qFormat/>
    <w:uiPriority w:val="0"/>
    <w:pPr>
      <w:tabs>
        <w:tab w:val="left" w:pos="1080"/>
      </w:tabs>
      <w:spacing w:before="240" w:after="60" w:line="240" w:lineRule="auto"/>
      <w:ind w:left="1560" w:hanging="720"/>
    </w:pPr>
    <w:rPr>
      <w:rFonts w:ascii="Futura Bk" w:hAnsi="Futura Bk"/>
      <w:bCs w:val="0"/>
      <w:sz w:val="22"/>
      <w:szCs w:val="20"/>
      <w:lang w:eastAsia="en-US"/>
    </w:rPr>
  </w:style>
  <w:style w:type="paragraph" w:customStyle="1" w:styleId="87">
    <w:name w:val="无间隔1"/>
    <w:next w:val="1"/>
    <w:link w:val="569"/>
    <w:autoRedefine/>
    <w:qFormat/>
    <w:uiPriority w:val="1"/>
    <w:rPr>
      <w:rFonts w:ascii="Calibri" w:hAnsi="Calibri" w:eastAsia="宋体" w:cs="Times New Roman"/>
      <w:sz w:val="22"/>
      <w:lang w:val="en-US" w:eastAsia="zh-CN" w:bidi="ar-SA"/>
    </w:rPr>
  </w:style>
  <w:style w:type="paragraph" w:customStyle="1" w:styleId="88">
    <w:name w:val="标书正文:  0.74 厘米"/>
    <w:basedOn w:val="1"/>
    <w:link w:val="574"/>
    <w:autoRedefine/>
    <w:qFormat/>
    <w:uiPriority w:val="0"/>
    <w:pPr>
      <w:snapToGrid w:val="0"/>
      <w:spacing w:line="360" w:lineRule="auto"/>
      <w:ind w:firstLine="420"/>
    </w:pPr>
    <w:rPr>
      <w:rFonts w:ascii="Times New Roman"/>
      <w:sz w:val="24"/>
    </w:rPr>
  </w:style>
  <w:style w:type="paragraph" w:customStyle="1" w:styleId="89">
    <w:name w:val="正文111"/>
    <w:basedOn w:val="1"/>
    <w:link w:val="576"/>
    <w:autoRedefine/>
    <w:qFormat/>
    <w:uiPriority w:val="0"/>
    <w:pPr>
      <w:spacing w:beforeLines="50" w:line="360" w:lineRule="auto"/>
      <w:ind w:firstLine="200" w:firstLineChars="200"/>
    </w:pPr>
    <w:rPr>
      <w:rFonts w:ascii="Times New Roman"/>
      <w:sz w:val="24"/>
    </w:rPr>
  </w:style>
  <w:style w:type="paragraph" w:customStyle="1" w:styleId="90">
    <w:name w:val="样式 样式 标书正文 + 首行缩进:  0.01 字符 + 首行缩进:  0.01 字符"/>
    <w:basedOn w:val="1"/>
    <w:link w:val="580"/>
    <w:autoRedefine/>
    <w:qFormat/>
    <w:uiPriority w:val="0"/>
    <w:pPr>
      <w:adjustRightInd w:val="0"/>
      <w:snapToGrid w:val="0"/>
      <w:spacing w:afterLines="50" w:line="360" w:lineRule="auto"/>
      <w:ind w:left="-2" w:leftChars="-2" w:firstLine="200" w:firstLineChars="200"/>
    </w:pPr>
    <w:rPr>
      <w:rFonts w:hAnsi="宋体"/>
      <w:sz w:val="28"/>
    </w:rPr>
  </w:style>
  <w:style w:type="paragraph" w:customStyle="1" w:styleId="91">
    <w:name w:val="正文段落"/>
    <w:basedOn w:val="1"/>
    <w:link w:val="583"/>
    <w:autoRedefine/>
    <w:qFormat/>
    <w:uiPriority w:val="0"/>
    <w:pPr>
      <w:spacing w:line="360" w:lineRule="auto"/>
      <w:ind w:right="320" w:firstLine="480" w:firstLineChars="200"/>
    </w:pPr>
    <w:rPr>
      <w:rFonts w:hAnsi="宋体"/>
      <w:sz w:val="24"/>
      <w:szCs w:val="24"/>
    </w:rPr>
  </w:style>
  <w:style w:type="paragraph" w:customStyle="1" w:styleId="92">
    <w:name w:val="正文（首行缩进）"/>
    <w:basedOn w:val="1"/>
    <w:link w:val="590"/>
    <w:autoRedefine/>
    <w:qFormat/>
    <w:uiPriority w:val="0"/>
    <w:pPr>
      <w:spacing w:line="360" w:lineRule="auto"/>
      <w:ind w:firstLine="420"/>
    </w:pPr>
    <w:rPr>
      <w:rFonts w:ascii="Times New Roman"/>
      <w:sz w:val="24"/>
    </w:rPr>
  </w:style>
  <w:style w:type="paragraph" w:customStyle="1" w:styleId="93">
    <w:name w:val="文档正文"/>
    <w:basedOn w:val="1"/>
    <w:link w:val="529"/>
    <w:autoRedefine/>
    <w:qFormat/>
    <w:uiPriority w:val="0"/>
    <w:rPr>
      <w:rFonts w:ascii="Arial" w:hAnsi="Arial"/>
      <w:b/>
      <w:color w:val="FF0000"/>
      <w:sz w:val="20"/>
    </w:rPr>
  </w:style>
  <w:style w:type="paragraph" w:customStyle="1" w:styleId="94">
    <w:name w:val="正文(首行缩进)"/>
    <w:link w:val="599"/>
    <w:autoRedefine/>
    <w:qFormat/>
    <w:uiPriority w:val="0"/>
    <w:pPr>
      <w:ind w:firstLine="500" w:firstLineChars="200"/>
      <w:jc w:val="both"/>
    </w:pPr>
    <w:rPr>
      <w:rFonts w:ascii="宋体" w:hAnsi="宋体" w:eastAsia="Times New Roman" w:cs="Times New Roman"/>
      <w:spacing w:val="20"/>
      <w:kern w:val="24"/>
      <w:szCs w:val="21"/>
      <w:lang w:val="en-US" w:eastAsia="zh-CN" w:bidi="ar-SA"/>
    </w:rPr>
  </w:style>
  <w:style w:type="paragraph" w:customStyle="1" w:styleId="95">
    <w:name w:val="正文 首行缩进:  2 字符"/>
    <w:basedOn w:val="1"/>
    <w:link w:val="603"/>
    <w:autoRedefine/>
    <w:qFormat/>
    <w:uiPriority w:val="0"/>
    <w:pPr>
      <w:widowControl/>
      <w:spacing w:line="360" w:lineRule="auto"/>
      <w:ind w:firstLine="200" w:firstLineChars="200"/>
      <w:jc w:val="left"/>
    </w:pPr>
    <w:rPr>
      <w:rFonts w:ascii="Verdana" w:hAnsi="Verdana"/>
      <w:sz w:val="24"/>
    </w:rPr>
  </w:style>
  <w:style w:type="paragraph" w:customStyle="1" w:styleId="96">
    <w:name w:val="正文 + 首行缩进:  2 字符"/>
    <w:basedOn w:val="1"/>
    <w:link w:val="606"/>
    <w:autoRedefine/>
    <w:qFormat/>
    <w:uiPriority w:val="0"/>
    <w:pPr>
      <w:widowControl/>
      <w:spacing w:line="360" w:lineRule="auto"/>
      <w:ind w:firstLine="480" w:firstLineChars="200"/>
      <w:jc w:val="left"/>
    </w:pPr>
    <w:rPr>
      <w:rFonts w:ascii="Verdana" w:hAnsi="Verdana"/>
      <w:sz w:val="24"/>
    </w:rPr>
  </w:style>
  <w:style w:type="paragraph" w:customStyle="1" w:styleId="97">
    <w:name w:val="tytytyty"/>
    <w:basedOn w:val="1"/>
    <w:link w:val="616"/>
    <w:autoRedefine/>
    <w:qFormat/>
    <w:uiPriority w:val="0"/>
    <w:pPr>
      <w:spacing w:line="360" w:lineRule="auto"/>
      <w:ind w:left="359" w:leftChars="171" w:firstLine="480" w:firstLineChars="200"/>
    </w:pPr>
    <w:rPr>
      <w:rFonts w:ascii="Times New Roman"/>
      <w:sz w:val="24"/>
    </w:rPr>
  </w:style>
  <w:style w:type="paragraph" w:customStyle="1" w:styleId="98">
    <w:name w:val="题注xhxia2"/>
    <w:basedOn w:val="15"/>
    <w:link w:val="617"/>
    <w:autoRedefine/>
    <w:qFormat/>
    <w:uiPriority w:val="0"/>
    <w:pPr>
      <w:keepNext/>
      <w:spacing w:line="360" w:lineRule="auto"/>
    </w:pPr>
    <w:rPr>
      <w:rFonts w:ascii="黑体" w:hAnsi="黑体" w:eastAsia="黑体" w:cs="Times New Roman"/>
      <w:b w:val="0"/>
      <w:bCs w:val="0"/>
      <w:sz w:val="20"/>
      <w:szCs w:val="21"/>
    </w:rPr>
  </w:style>
  <w:style w:type="paragraph" w:customStyle="1" w:styleId="99">
    <w:name w:val="模板正文"/>
    <w:basedOn w:val="45"/>
    <w:link w:val="628"/>
    <w:autoRedefine/>
    <w:qFormat/>
    <w:uiPriority w:val="0"/>
    <w:pPr>
      <w:widowControl/>
      <w:spacing w:before="200" w:after="0" w:line="360" w:lineRule="auto"/>
      <w:ind w:left="0" w:leftChars="0" w:firstLine="480" w:firstLineChars="200"/>
      <w:jc w:val="left"/>
    </w:pPr>
    <w:rPr>
      <w:rFonts w:ascii="Calibri" w:hAnsi="Calibri"/>
      <w:sz w:val="24"/>
      <w:szCs w:val="24"/>
      <w:lang w:bidi="en-US"/>
    </w:rPr>
  </w:style>
  <w:style w:type="paragraph" w:customStyle="1" w:styleId="100">
    <w:name w:val="列出段落1"/>
    <w:basedOn w:val="1"/>
    <w:link w:val="632"/>
    <w:autoRedefine/>
    <w:qFormat/>
    <w:uiPriority w:val="0"/>
    <w:pPr>
      <w:ind w:firstLine="420" w:firstLineChars="200"/>
    </w:pPr>
    <w:rPr>
      <w:rFonts w:ascii="Calibri" w:hAnsi="Calibri"/>
      <w:sz w:val="20"/>
    </w:rPr>
  </w:style>
  <w:style w:type="paragraph" w:customStyle="1" w:styleId="101">
    <w:name w:val="标准文件_标准正文 Char Char"/>
    <w:basedOn w:val="1"/>
    <w:link w:val="638"/>
    <w:autoRedefine/>
    <w:qFormat/>
    <w:uiPriority w:val="0"/>
    <w:pPr>
      <w:widowControl/>
      <w:adjustRightInd w:val="0"/>
      <w:snapToGrid w:val="0"/>
      <w:spacing w:line="300" w:lineRule="auto"/>
      <w:ind w:firstLine="200" w:firstLineChars="200"/>
      <w:jc w:val="left"/>
    </w:pPr>
    <w:rPr>
      <w:rFonts w:ascii="Times New Roman"/>
      <w:bCs/>
      <w:color w:val="000000"/>
      <w:spacing w:val="2"/>
      <w:sz w:val="24"/>
      <w:szCs w:val="24"/>
    </w:rPr>
  </w:style>
  <w:style w:type="paragraph" w:customStyle="1" w:styleId="102">
    <w:name w:val="Numbered list 2.4"/>
    <w:basedOn w:val="5"/>
    <w:next w:val="1"/>
    <w:link w:val="639"/>
    <w:autoRedefine/>
    <w:qFormat/>
    <w:uiPriority w:val="0"/>
    <w:pPr>
      <w:widowControl/>
      <w:tabs>
        <w:tab w:val="left" w:pos="1080"/>
        <w:tab w:val="left" w:pos="1440"/>
        <w:tab w:val="left" w:pos="1800"/>
      </w:tabs>
      <w:spacing w:before="240" w:after="60" w:line="240" w:lineRule="auto"/>
      <w:ind w:left="1680" w:hanging="420"/>
      <w:jc w:val="left"/>
    </w:pPr>
    <w:rPr>
      <w:rFonts w:ascii="Futura Bk" w:hAnsi="Futura Bk" w:eastAsia="宋体"/>
      <w:bCs w:val="0"/>
      <w:kern w:val="0"/>
      <w:szCs w:val="20"/>
      <w:lang w:eastAsia="en-US"/>
    </w:rPr>
  </w:style>
  <w:style w:type="paragraph" w:customStyle="1" w:styleId="103">
    <w:name w:val="Char Char Char Char Char Char Char Char Char Char"/>
    <w:basedOn w:val="1"/>
    <w:autoRedefine/>
    <w:qFormat/>
    <w:uiPriority w:val="0"/>
    <w:rPr>
      <w:rFonts w:ascii="Tahoma" w:hAnsi="Tahoma"/>
      <w:sz w:val="24"/>
    </w:rPr>
  </w:style>
  <w:style w:type="paragraph" w:customStyle="1" w:styleId="104">
    <w:name w:val="zi"/>
    <w:basedOn w:val="1"/>
    <w:autoRedefine/>
    <w:qFormat/>
    <w:uiPriority w:val="0"/>
    <w:pPr>
      <w:widowControl/>
      <w:spacing w:before="100" w:beforeAutospacing="1" w:after="100" w:afterAutospacing="1" w:line="336" w:lineRule="atLeast"/>
      <w:jc w:val="left"/>
    </w:pPr>
    <w:rPr>
      <w:rFonts w:ascii="ˎ̥" w:hAnsi="ˎ̥"/>
      <w:color w:val="000000"/>
      <w:sz w:val="22"/>
    </w:rPr>
  </w:style>
  <w:style w:type="paragraph" w:customStyle="1" w:styleId="105">
    <w:name w:val="正文2"/>
    <w:basedOn w:val="106"/>
    <w:autoRedefine/>
    <w:qFormat/>
    <w:uiPriority w:val="0"/>
    <w:pPr>
      <w:tabs>
        <w:tab w:val="left" w:pos="420"/>
      </w:tabs>
      <w:ind w:left="420" w:hanging="420" w:firstLineChars="0"/>
    </w:pPr>
  </w:style>
  <w:style w:type="paragraph" w:customStyle="1" w:styleId="106">
    <w:name w:val="正文1"/>
    <w:basedOn w:val="1"/>
    <w:autoRedefine/>
    <w:qFormat/>
    <w:uiPriority w:val="0"/>
    <w:pPr>
      <w:spacing w:line="360" w:lineRule="auto"/>
      <w:ind w:firstLine="480" w:firstLineChars="200"/>
    </w:pPr>
    <w:rPr>
      <w:sz w:val="24"/>
      <w:szCs w:val="24"/>
    </w:rPr>
  </w:style>
  <w:style w:type="paragraph" w:customStyle="1" w:styleId="107">
    <w:name w:val="xl57"/>
    <w:basedOn w:val="1"/>
    <w:autoRedefine/>
    <w:qFormat/>
    <w:uiPriority w:val="0"/>
    <w:pPr>
      <w:widowControl/>
      <w:pBdr>
        <w:top w:val="single" w:color="000000" w:sz="2" w:space="0"/>
        <w:left w:val="single" w:color="000000" w:sz="2" w:space="0"/>
        <w:right w:val="single" w:color="000000" w:sz="2" w:space="0"/>
      </w:pBdr>
      <w:suppressAutoHyphens/>
      <w:spacing w:before="280" w:after="280"/>
      <w:jc w:val="left"/>
      <w:textAlignment w:val="center"/>
    </w:pPr>
    <w:rPr>
      <w:rFonts w:ascii="黑体" w:hAnsi="黑体" w:eastAsia="黑体"/>
      <w:kern w:val="1"/>
      <w:sz w:val="20"/>
      <w:lang w:eastAsia="ar-SA"/>
    </w:rPr>
  </w:style>
  <w:style w:type="paragraph" w:customStyle="1" w:styleId="108">
    <w:name w:val="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109">
    <w:name w:val="Char Char Char"/>
    <w:basedOn w:val="1"/>
    <w:autoRedefine/>
    <w:qFormat/>
    <w:uiPriority w:val="0"/>
    <w:pPr>
      <w:widowControl/>
      <w:spacing w:after="160" w:line="240" w:lineRule="exact"/>
      <w:jc w:val="left"/>
    </w:pPr>
    <w:rPr>
      <w:rFonts w:ascii="Verdana" w:hAnsi="Verdana" w:cs="Verdana"/>
      <w:szCs w:val="21"/>
      <w:lang w:eastAsia="en-US"/>
    </w:rPr>
  </w:style>
  <w:style w:type="paragraph" w:customStyle="1" w:styleId="110">
    <w:name w:val="列出段落11"/>
    <w:basedOn w:val="1"/>
    <w:autoRedefine/>
    <w:qFormat/>
    <w:uiPriority w:val="0"/>
    <w:pPr>
      <w:ind w:firstLine="420" w:firstLineChars="200"/>
    </w:pPr>
    <w:rPr>
      <w:rFonts w:ascii="Calibri" w:hAnsi="Calibri"/>
      <w:szCs w:val="22"/>
    </w:rPr>
  </w:style>
  <w:style w:type="paragraph" w:customStyle="1" w:styleId="111">
    <w:name w:val="标题 3（网御星云）"/>
    <w:basedOn w:val="4"/>
    <w:next w:val="1"/>
    <w:autoRedefine/>
    <w:qFormat/>
    <w:uiPriority w:val="0"/>
    <w:pPr>
      <w:widowControl w:val="0"/>
      <w:tabs>
        <w:tab w:val="left" w:pos="960"/>
      </w:tabs>
      <w:ind w:left="907" w:hanging="907"/>
    </w:pPr>
    <w:rPr>
      <w:rFonts w:ascii="Arial" w:hAnsi="Arial" w:eastAsia="黑体"/>
      <w:bCs w:val="0"/>
      <w:sz w:val="30"/>
      <w:szCs w:val="30"/>
    </w:rPr>
  </w:style>
  <w:style w:type="paragraph" w:customStyle="1" w:styleId="112">
    <w:name w:val="样式 标题 55l4第四层条H5标题5Block Labelh5Second SubheadingLevel ..."/>
    <w:basedOn w:val="6"/>
    <w:autoRedefine/>
    <w:qFormat/>
    <w:uiPriority w:val="0"/>
    <w:pPr>
      <w:tabs>
        <w:tab w:val="left" w:pos="1080"/>
        <w:tab w:val="left" w:pos="3600"/>
      </w:tabs>
      <w:spacing w:before="120" w:after="120" w:line="480" w:lineRule="exact"/>
      <w:ind w:left="3600" w:hanging="360"/>
    </w:pPr>
    <w:rPr>
      <w:rFonts w:ascii="Times New Roman" w:hAnsi="Times New Roman" w:eastAsia="宋体"/>
      <w:szCs w:val="20"/>
    </w:rPr>
  </w:style>
  <w:style w:type="paragraph" w:customStyle="1" w:styleId="113">
    <w:name w:val="Table Text"/>
    <w:basedOn w:val="1"/>
    <w:autoRedefine/>
    <w:qFormat/>
    <w:uiPriority w:val="0"/>
    <w:pPr>
      <w:widowControl/>
      <w:tabs>
        <w:tab w:val="left" w:pos="1680"/>
      </w:tabs>
      <w:spacing w:before="60" w:after="60"/>
    </w:pPr>
    <w:rPr>
      <w:rFonts w:ascii="Arial" w:hAnsi="Arial"/>
      <w:sz w:val="20"/>
    </w:rPr>
  </w:style>
  <w:style w:type="paragraph" w:customStyle="1" w:styleId="114">
    <w:name w:val="样式 标题 1H1h1Level 1 Topic HeadingHeading 0Heading OnePIM 1..."/>
    <w:basedOn w:val="2"/>
    <w:autoRedefine/>
    <w:qFormat/>
    <w:uiPriority w:val="0"/>
    <w:pPr>
      <w:tabs>
        <w:tab w:val="left" w:pos="431"/>
      </w:tabs>
      <w:adjustRightInd/>
      <w:spacing w:before="340" w:after="330" w:line="576" w:lineRule="auto"/>
      <w:ind w:left="431" w:hanging="431"/>
      <w:jc w:val="both"/>
    </w:pPr>
    <w:rPr>
      <w:rFonts w:ascii="黑体" w:hAnsi="黑体" w:eastAsia="黑体"/>
      <w:bCs/>
      <w:color w:val="000000"/>
      <w:szCs w:val="44"/>
    </w:rPr>
  </w:style>
  <w:style w:type="paragraph" w:customStyle="1" w:styleId="115">
    <w:name w:val="页脚 New New New New"/>
    <w:basedOn w:val="116"/>
    <w:autoRedefine/>
    <w:qFormat/>
    <w:uiPriority w:val="0"/>
    <w:pPr>
      <w:tabs>
        <w:tab w:val="center" w:pos="4153"/>
        <w:tab w:val="right" w:pos="8306"/>
      </w:tabs>
      <w:snapToGrid w:val="0"/>
      <w:jc w:val="left"/>
    </w:pPr>
    <w:rPr>
      <w:sz w:val="18"/>
      <w:szCs w:val="18"/>
    </w:rPr>
  </w:style>
  <w:style w:type="paragraph" w:customStyle="1" w:styleId="116">
    <w:name w:val="正文 New New New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17">
    <w:name w:val="pa-20"/>
    <w:basedOn w:val="1"/>
    <w:autoRedefine/>
    <w:qFormat/>
    <w:uiPriority w:val="0"/>
    <w:pPr>
      <w:widowControl/>
      <w:spacing w:line="280" w:lineRule="atLeast"/>
      <w:ind w:firstLine="480"/>
    </w:pPr>
    <w:rPr>
      <w:rFonts w:hAnsi="宋体" w:cs="宋体"/>
      <w:sz w:val="24"/>
      <w:szCs w:val="24"/>
    </w:rPr>
  </w:style>
  <w:style w:type="paragraph" w:customStyle="1" w:styleId="118">
    <w:name w:val="xl2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hint="eastAsia" w:ascii="仿宋_GB2312" w:hAnsi="Arial Unicode MS" w:eastAsia="仿宋_GB2312"/>
      <w:b/>
      <w:bCs/>
      <w:sz w:val="24"/>
      <w:szCs w:val="24"/>
    </w:rPr>
  </w:style>
  <w:style w:type="paragraph" w:customStyle="1" w:styleId="119">
    <w:name w:val="标题 21"/>
    <w:basedOn w:val="76"/>
    <w:next w:val="76"/>
    <w:autoRedefine/>
    <w:qFormat/>
    <w:uiPriority w:val="0"/>
    <w:rPr>
      <w:rFonts w:ascii="Arial,BoldItalic" w:hAnsi="Arial,BoldItalic" w:cs="Times New Roman"/>
      <w:color w:val="auto"/>
    </w:rPr>
  </w:style>
  <w:style w:type="paragraph" w:customStyle="1" w:styleId="120">
    <w:name w:val="Dokumententext"/>
    <w:autoRedefine/>
    <w:qFormat/>
    <w:uiPriority w:val="0"/>
    <w:pPr>
      <w:tabs>
        <w:tab w:val="left" w:pos="1680"/>
      </w:tabs>
      <w:ind w:left="992"/>
    </w:pPr>
    <w:rPr>
      <w:rFonts w:ascii="Arial" w:hAnsi="Arial" w:eastAsia="宋体" w:cs="Times New Roman"/>
      <w:lang w:val="en-US" w:eastAsia="zh-CN" w:bidi="ar-SA"/>
    </w:rPr>
  </w:style>
  <w:style w:type="paragraph" w:customStyle="1" w:styleId="121">
    <w:name w:val="xl65"/>
    <w:basedOn w:val="1"/>
    <w:autoRedefine/>
    <w:qFormat/>
    <w:uiPriority w:val="0"/>
    <w:pPr>
      <w:widowControl/>
      <w:pBdr>
        <w:top w:val="single" w:color="000000" w:sz="8" w:space="0"/>
        <w:bottom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122">
    <w:name w:val="pa-2"/>
    <w:basedOn w:val="1"/>
    <w:autoRedefine/>
    <w:qFormat/>
    <w:uiPriority w:val="0"/>
    <w:pPr>
      <w:widowControl/>
      <w:spacing w:line="280" w:lineRule="atLeast"/>
    </w:pPr>
    <w:rPr>
      <w:rFonts w:hAnsi="宋体" w:cs="宋体"/>
      <w:sz w:val="24"/>
      <w:szCs w:val="24"/>
    </w:rPr>
  </w:style>
  <w:style w:type="paragraph" w:customStyle="1" w:styleId="123">
    <w:name w:val="目录"/>
    <w:basedOn w:val="1"/>
    <w:autoRedefine/>
    <w:qFormat/>
    <w:uiPriority w:val="0"/>
    <w:pPr>
      <w:widowControl/>
      <w:jc w:val="center"/>
    </w:pPr>
    <w:rPr>
      <w:b/>
      <w:sz w:val="36"/>
    </w:rPr>
  </w:style>
  <w:style w:type="paragraph" w:customStyle="1" w:styleId="124">
    <w:name w:val="二级无标题条"/>
    <w:basedOn w:val="1"/>
    <w:autoRedefine/>
    <w:qFormat/>
    <w:uiPriority w:val="0"/>
    <w:pPr>
      <w:tabs>
        <w:tab w:val="left" w:pos="2880"/>
      </w:tabs>
      <w:ind w:left="2880" w:hanging="360"/>
    </w:pPr>
  </w:style>
  <w:style w:type="paragraph" w:customStyle="1" w:styleId="125">
    <w:name w:val="样式16"/>
    <w:basedOn w:val="2"/>
    <w:autoRedefine/>
    <w:qFormat/>
    <w:uiPriority w:val="0"/>
  </w:style>
  <w:style w:type="paragraph" w:customStyle="1" w:styleId="126">
    <w:name w:val="页脚 New New New New New New New New"/>
    <w:basedOn w:val="127"/>
    <w:autoRedefine/>
    <w:qFormat/>
    <w:uiPriority w:val="0"/>
    <w:pPr>
      <w:tabs>
        <w:tab w:val="center" w:pos="4153"/>
        <w:tab w:val="right" w:pos="8306"/>
      </w:tabs>
      <w:snapToGrid w:val="0"/>
      <w:jc w:val="left"/>
    </w:pPr>
    <w:rPr>
      <w:sz w:val="18"/>
      <w:szCs w:val="18"/>
    </w:rPr>
  </w:style>
  <w:style w:type="paragraph" w:customStyle="1" w:styleId="127">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标题 31"/>
    <w:basedOn w:val="76"/>
    <w:next w:val="76"/>
    <w:autoRedefine/>
    <w:qFormat/>
    <w:uiPriority w:val="0"/>
    <w:rPr>
      <w:rFonts w:ascii="Arial,BoldItalic" w:hAnsi="Arial,BoldItalic" w:cs="Times New Roman"/>
      <w:color w:val="auto"/>
    </w:rPr>
  </w:style>
  <w:style w:type="paragraph" w:customStyle="1" w:styleId="129">
    <w:name w:val="p15"/>
    <w:basedOn w:val="1"/>
    <w:autoRedefine/>
    <w:qFormat/>
    <w:uiPriority w:val="0"/>
    <w:pPr>
      <w:widowControl/>
      <w:ind w:left="5250"/>
    </w:pPr>
    <w:rPr>
      <w:szCs w:val="21"/>
    </w:rPr>
  </w:style>
  <w:style w:type="paragraph" w:customStyle="1" w:styleId="130">
    <w:name w:val="正文-宋体五号"/>
    <w:basedOn w:val="1"/>
    <w:autoRedefine/>
    <w:qFormat/>
    <w:uiPriority w:val="0"/>
    <w:pPr>
      <w:widowControl/>
      <w:spacing w:after="160" w:line="240" w:lineRule="exact"/>
      <w:jc w:val="left"/>
    </w:pPr>
    <w:rPr>
      <w:rFonts w:ascii="Verdana" w:hAnsi="Verdana"/>
      <w:sz w:val="20"/>
      <w:lang w:eastAsia="en-US"/>
    </w:rPr>
  </w:style>
  <w:style w:type="paragraph" w:customStyle="1" w:styleId="131">
    <w:name w:val="表格文字"/>
    <w:basedOn w:val="1"/>
    <w:autoRedefine/>
    <w:qFormat/>
    <w:uiPriority w:val="0"/>
    <w:rPr>
      <w:rFonts w:hAnsi="宋体"/>
      <w:sz w:val="18"/>
      <w:szCs w:val="18"/>
    </w:rPr>
  </w:style>
  <w:style w:type="paragraph" w:customStyle="1" w:styleId="132">
    <w:name w:val="p16"/>
    <w:basedOn w:val="1"/>
    <w:autoRedefine/>
    <w:qFormat/>
    <w:uiPriority w:val="0"/>
    <w:pPr>
      <w:widowControl/>
    </w:pPr>
    <w:rPr>
      <w:szCs w:val="21"/>
    </w:rPr>
  </w:style>
  <w:style w:type="paragraph" w:customStyle="1" w:styleId="133">
    <w:name w:val="样式 左 首行缩进:  1 字符1"/>
    <w:basedOn w:val="1"/>
    <w:autoRedefine/>
    <w:qFormat/>
    <w:uiPriority w:val="0"/>
    <w:pPr>
      <w:ind w:firstLine="240" w:firstLineChars="100"/>
      <w:jc w:val="left"/>
    </w:pPr>
    <w:rPr>
      <w:rFonts w:cs="宋体"/>
      <w:sz w:val="24"/>
    </w:rPr>
  </w:style>
  <w:style w:type="paragraph" w:customStyle="1" w:styleId="134">
    <w:name w:val="符号标题3"/>
    <w:basedOn w:val="1"/>
    <w:autoRedefine/>
    <w:qFormat/>
    <w:uiPriority w:val="0"/>
    <w:pPr>
      <w:spacing w:line="360" w:lineRule="auto"/>
      <w:ind w:firstLine="482" w:firstLineChars="200"/>
    </w:pPr>
    <w:rPr>
      <w:rFonts w:hAnsi="宋体"/>
      <w:szCs w:val="24"/>
    </w:rPr>
  </w:style>
  <w:style w:type="paragraph" w:customStyle="1" w:styleId="135">
    <w:name w:val="xl44"/>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rFonts w:ascii="黑体" w:hAnsi="黑体" w:eastAsia="黑体"/>
      <w:kern w:val="1"/>
      <w:sz w:val="20"/>
      <w:lang w:eastAsia="ar-SA"/>
    </w:rPr>
  </w:style>
  <w:style w:type="paragraph" w:customStyle="1" w:styleId="136">
    <w:name w:val="样式 首行缩进:  0.74 厘米"/>
    <w:basedOn w:val="1"/>
    <w:autoRedefine/>
    <w:qFormat/>
    <w:uiPriority w:val="0"/>
    <w:pPr>
      <w:spacing w:line="360" w:lineRule="auto"/>
      <w:ind w:left="75" w:leftChars="75" w:firstLine="200" w:firstLineChars="200"/>
    </w:pPr>
    <w:rPr>
      <w:sz w:val="24"/>
    </w:rPr>
  </w:style>
  <w:style w:type="paragraph" w:customStyle="1" w:styleId="137">
    <w:name w:val="xl77"/>
    <w:basedOn w:val="1"/>
    <w:autoRedefine/>
    <w:qFormat/>
    <w:uiPriority w:val="0"/>
    <w:pPr>
      <w:widowControl/>
      <w:pBdr>
        <w:left w:val="single" w:color="000000" w:sz="2" w:space="0"/>
        <w:bottom w:val="single" w:color="000000" w:sz="2" w:space="0"/>
        <w:right w:val="single" w:color="000000" w:sz="2" w:space="0"/>
      </w:pBdr>
      <w:suppressAutoHyphens/>
      <w:spacing w:before="280" w:after="280"/>
      <w:jc w:val="left"/>
      <w:textAlignment w:val="center"/>
    </w:pPr>
    <w:rPr>
      <w:rFonts w:ascii="黑体" w:hAnsi="黑体" w:eastAsia="黑体"/>
      <w:b/>
      <w:bCs/>
      <w:kern w:val="1"/>
      <w:sz w:val="20"/>
      <w:lang w:eastAsia="ar-SA"/>
    </w:rPr>
  </w:style>
  <w:style w:type="paragraph" w:customStyle="1" w:styleId="138">
    <w:name w:val="Body"/>
    <w:basedOn w:val="1"/>
    <w:autoRedefine/>
    <w:qFormat/>
    <w:uiPriority w:val="0"/>
    <w:pPr>
      <w:widowControl/>
      <w:spacing w:before="120" w:after="60" w:line="280" w:lineRule="exact"/>
      <w:jc w:val="left"/>
    </w:pPr>
    <w:rPr>
      <w:kern w:val="20"/>
      <w:sz w:val="20"/>
    </w:rPr>
  </w:style>
  <w:style w:type="paragraph" w:customStyle="1" w:styleId="139">
    <w:name w:val="pa-0"/>
    <w:basedOn w:val="1"/>
    <w:autoRedefine/>
    <w:qFormat/>
    <w:uiPriority w:val="0"/>
    <w:pPr>
      <w:widowControl/>
      <w:spacing w:line="240" w:lineRule="atLeast"/>
    </w:pPr>
    <w:rPr>
      <w:rFonts w:hAnsi="宋体" w:cs="宋体"/>
      <w:sz w:val="24"/>
      <w:szCs w:val="24"/>
    </w:rPr>
  </w:style>
  <w:style w:type="paragraph" w:customStyle="1" w:styleId="140">
    <w:name w:val="jin3"/>
    <w:basedOn w:val="4"/>
    <w:autoRedefine/>
    <w:qFormat/>
    <w:uiPriority w:val="0"/>
    <w:pPr>
      <w:tabs>
        <w:tab w:val="left" w:pos="855"/>
      </w:tabs>
      <w:overflowPunct w:val="0"/>
      <w:autoSpaceDE w:val="0"/>
      <w:autoSpaceDN w:val="0"/>
      <w:adjustRightInd w:val="0"/>
      <w:spacing w:before="360" w:after="120" w:line="300" w:lineRule="auto"/>
      <w:jc w:val="both"/>
      <w:textAlignment w:val="baseline"/>
      <w:outlineLvl w:val="9"/>
    </w:pPr>
    <w:rPr>
      <w:rFonts w:ascii="宋体" w:hAnsi="Arial"/>
      <w:bCs w:val="0"/>
      <w:sz w:val="24"/>
      <w:szCs w:val="20"/>
    </w:rPr>
  </w:style>
  <w:style w:type="paragraph" w:customStyle="1" w:styleId="141">
    <w:name w:val="SideBar"/>
    <w:basedOn w:val="1"/>
    <w:autoRedefine/>
    <w:qFormat/>
    <w:uiPriority w:val="0"/>
    <w:pPr>
      <w:widowControl/>
      <w:spacing w:before="120"/>
      <w:jc w:val="left"/>
    </w:pPr>
    <w:rPr>
      <w:rFonts w:ascii="New Century Schlbk" w:hAnsi="New Century Schlbk"/>
      <w:sz w:val="22"/>
    </w:rPr>
  </w:style>
  <w:style w:type="paragraph" w:customStyle="1" w:styleId="142">
    <w:name w:val="标签"/>
    <w:basedOn w:val="1"/>
    <w:autoRedefine/>
    <w:qFormat/>
    <w:uiPriority w:val="0"/>
    <w:pPr>
      <w:suppressLineNumbers/>
      <w:suppressAutoHyphens/>
      <w:spacing w:before="120" w:after="120" w:line="360" w:lineRule="auto"/>
    </w:pPr>
    <w:rPr>
      <w:rFonts w:cs="Tahoma"/>
      <w:i/>
      <w:iCs/>
      <w:kern w:val="1"/>
      <w:sz w:val="20"/>
      <w:lang w:eastAsia="ar-SA"/>
    </w:rPr>
  </w:style>
  <w:style w:type="paragraph" w:customStyle="1" w:styleId="143">
    <w:name w:val="普通 (Web)"/>
    <w:basedOn w:val="1"/>
    <w:autoRedefine/>
    <w:qFormat/>
    <w:uiPriority w:val="0"/>
    <w:pPr>
      <w:widowControl/>
      <w:spacing w:before="100" w:beforeAutospacing="1" w:after="100" w:afterAutospacing="1"/>
      <w:jc w:val="left"/>
    </w:pPr>
    <w:rPr>
      <w:rFonts w:hAnsi="宋体"/>
      <w:color w:val="000000"/>
      <w:sz w:val="24"/>
      <w:szCs w:val="24"/>
    </w:rPr>
  </w:style>
  <w:style w:type="paragraph" w:customStyle="1" w:styleId="144">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42"/>
    <w:basedOn w:val="1"/>
    <w:autoRedefine/>
    <w:qFormat/>
    <w:uiPriority w:val="0"/>
    <w:pPr>
      <w:widowControl/>
      <w:pBdr>
        <w:top w:val="single" w:color="000000" w:sz="2" w:space="0"/>
        <w:bottom w:val="single" w:color="000000" w:sz="2" w:space="0"/>
        <w:right w:val="single" w:color="000000" w:sz="2" w:space="0"/>
      </w:pBdr>
      <w:suppressAutoHyphens/>
      <w:spacing w:before="280" w:after="280"/>
      <w:jc w:val="left"/>
      <w:textAlignment w:val="center"/>
    </w:pPr>
    <w:rPr>
      <w:rFonts w:ascii="黑体" w:hAnsi="黑体" w:eastAsia="黑体"/>
      <w:kern w:val="1"/>
      <w:sz w:val="20"/>
      <w:lang w:eastAsia="ar-SA"/>
    </w:rPr>
  </w:style>
  <w:style w:type="paragraph" w:customStyle="1" w:styleId="146">
    <w:name w:val="标准文件_四级条标题"/>
    <w:basedOn w:val="147"/>
    <w:next w:val="1"/>
    <w:autoRedefine/>
    <w:qFormat/>
    <w:uiPriority w:val="0"/>
    <w:pPr>
      <w:spacing w:before="0" w:after="0"/>
      <w:ind w:left="0"/>
      <w:jc w:val="left"/>
      <w:outlineLvl w:val="5"/>
    </w:pPr>
    <w:rPr>
      <w:sz w:val="24"/>
    </w:rPr>
  </w:style>
  <w:style w:type="paragraph" w:customStyle="1" w:styleId="147">
    <w:name w:val="标准文件_章标题"/>
    <w:next w:val="1"/>
    <w:autoRedefine/>
    <w:qFormat/>
    <w:uiPriority w:val="0"/>
    <w:pPr>
      <w:adjustRightInd w:val="0"/>
      <w:snapToGrid w:val="0"/>
      <w:spacing w:before="240" w:after="240" w:line="300" w:lineRule="auto"/>
      <w:ind w:left="3240"/>
      <w:jc w:val="both"/>
      <w:outlineLvl w:val="1"/>
    </w:pPr>
    <w:rPr>
      <w:rFonts w:ascii="黑体" w:hAnsi="Times New Roman" w:eastAsia="黑体" w:cs="Times New Roman"/>
      <w:spacing w:val="2"/>
      <w:sz w:val="44"/>
      <w:lang w:val="en-US" w:eastAsia="zh-CN" w:bidi="ar-SA"/>
    </w:rPr>
  </w:style>
  <w:style w:type="paragraph" w:customStyle="1" w:styleId="148">
    <w:name w:val="xl76"/>
    <w:basedOn w:val="1"/>
    <w:autoRedefine/>
    <w:qFormat/>
    <w:uiPriority w:val="0"/>
    <w:pPr>
      <w:widowControl/>
      <w:pBdr>
        <w:bottom w:val="single" w:color="000000" w:sz="2" w:space="0"/>
        <w:right w:val="single" w:color="000000" w:sz="2" w:space="0"/>
      </w:pBdr>
      <w:suppressAutoHyphens/>
      <w:spacing w:before="280" w:after="280"/>
      <w:jc w:val="left"/>
      <w:textAlignment w:val="center"/>
    </w:pPr>
    <w:rPr>
      <w:rFonts w:ascii="黑体" w:hAnsi="黑体" w:eastAsia="黑体"/>
      <w:b/>
      <w:bCs/>
      <w:kern w:val="1"/>
      <w:sz w:val="20"/>
      <w:lang w:eastAsia="ar-SA"/>
    </w:rPr>
  </w:style>
  <w:style w:type="paragraph" w:customStyle="1" w:styleId="149">
    <w:name w:val="xl90"/>
    <w:basedOn w:val="1"/>
    <w:autoRedefine/>
    <w:qFormat/>
    <w:uiPriority w:val="0"/>
    <w:pPr>
      <w:widowControl/>
      <w:pBdr>
        <w:top w:val="single" w:color="000000" w:sz="8" w:space="0"/>
        <w:bottom w:val="single" w:color="000000" w:sz="2" w:space="0"/>
      </w:pBdr>
      <w:suppressAutoHyphens/>
      <w:spacing w:before="280" w:after="280"/>
      <w:jc w:val="center"/>
      <w:textAlignment w:val="center"/>
    </w:pPr>
    <w:rPr>
      <w:kern w:val="1"/>
      <w:sz w:val="20"/>
      <w:lang w:eastAsia="ar-SA"/>
    </w:rPr>
  </w:style>
  <w:style w:type="paragraph" w:customStyle="1" w:styleId="150">
    <w:name w:val="1226"/>
    <w:basedOn w:val="2"/>
    <w:autoRedefine/>
    <w:qFormat/>
    <w:uiPriority w:val="0"/>
    <w:pPr>
      <w:adjustRightInd/>
      <w:spacing w:before="340" w:after="330" w:line="576" w:lineRule="auto"/>
      <w:jc w:val="both"/>
    </w:pPr>
    <w:rPr>
      <w:rFonts w:ascii="Times New Roman"/>
      <w:bCs/>
      <w:sz w:val="44"/>
      <w:szCs w:val="44"/>
    </w:rPr>
  </w:style>
  <w:style w:type="paragraph" w:customStyle="1" w:styleId="151">
    <w:name w:val="样式1"/>
    <w:basedOn w:val="1"/>
    <w:autoRedefine/>
    <w:qFormat/>
    <w:uiPriority w:val="0"/>
    <w:pPr>
      <w:tabs>
        <w:tab w:val="left" w:pos="709"/>
      </w:tabs>
      <w:adjustRightInd w:val="0"/>
      <w:ind w:left="709" w:hanging="709"/>
      <w:textAlignment w:val="baseline"/>
    </w:pPr>
    <w:rPr>
      <w:rFonts w:hAnsi="宋体"/>
      <w:szCs w:val="21"/>
    </w:rPr>
  </w:style>
  <w:style w:type="paragraph" w:customStyle="1" w:styleId="15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z w:val="24"/>
      <w:szCs w:val="24"/>
      <w:lang w:eastAsia="en-US"/>
    </w:rPr>
  </w:style>
  <w:style w:type="paragraph" w:customStyle="1" w:styleId="153">
    <w:name w:val="font7"/>
    <w:basedOn w:val="1"/>
    <w:autoRedefine/>
    <w:qFormat/>
    <w:uiPriority w:val="0"/>
    <w:pPr>
      <w:widowControl/>
      <w:spacing w:before="100" w:beforeAutospacing="1" w:after="100" w:afterAutospacing="1"/>
      <w:jc w:val="left"/>
    </w:pPr>
    <w:rPr>
      <w:rFonts w:eastAsia="Arial Unicode MS"/>
      <w:sz w:val="22"/>
      <w:szCs w:val="22"/>
    </w:rPr>
  </w:style>
  <w:style w:type="paragraph" w:customStyle="1" w:styleId="154">
    <w:name w:val="contentnoteheader"/>
    <w:basedOn w:val="1"/>
    <w:autoRedefine/>
    <w:qFormat/>
    <w:uiPriority w:val="0"/>
    <w:pPr>
      <w:widowControl/>
      <w:spacing w:before="40" w:after="100" w:afterAutospacing="1"/>
      <w:ind w:left="120"/>
      <w:jc w:val="left"/>
    </w:pPr>
    <w:rPr>
      <w:rFonts w:ascii="Arial" w:hAnsi="Arial" w:cs="Arial"/>
      <w:b/>
      <w:bCs/>
      <w:color w:val="990000"/>
      <w:sz w:val="24"/>
      <w:szCs w:val="24"/>
    </w:rPr>
  </w:style>
  <w:style w:type="paragraph" w:customStyle="1" w:styleId="15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56">
    <w:name w:val="正文 New New New New New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57">
    <w:name w:val="标题 4(1.1.1)"/>
    <w:basedOn w:val="1"/>
    <w:autoRedefine/>
    <w:qFormat/>
    <w:uiPriority w:val="0"/>
    <w:pPr>
      <w:spacing w:line="360" w:lineRule="auto"/>
      <w:ind w:firstLine="200" w:firstLineChars="200"/>
      <w:outlineLvl w:val="3"/>
    </w:pPr>
    <w:rPr>
      <w:rFonts w:ascii="黑体" w:hAnsi="宋体" w:eastAsia="黑体"/>
      <w:color w:val="000000"/>
      <w:sz w:val="28"/>
    </w:rPr>
  </w:style>
  <w:style w:type="paragraph" w:customStyle="1" w:styleId="158">
    <w:name w:val="xl93"/>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hAnsi="宋体" w:cs="宋体"/>
      <w:sz w:val="20"/>
    </w:rPr>
  </w:style>
  <w:style w:type="paragraph" w:customStyle="1" w:styleId="159">
    <w:name w:val="符号"/>
    <w:basedOn w:val="1"/>
    <w:autoRedefine/>
    <w:qFormat/>
    <w:uiPriority w:val="0"/>
    <w:pPr>
      <w:tabs>
        <w:tab w:val="left" w:pos="840"/>
      </w:tabs>
      <w:adjustRightInd w:val="0"/>
      <w:snapToGrid w:val="0"/>
      <w:spacing w:line="420" w:lineRule="atLeast"/>
      <w:ind w:left="840" w:hanging="420"/>
      <w:jc w:val="left"/>
      <w:textAlignment w:val="baseline"/>
    </w:pPr>
    <w:rPr>
      <w:sz w:val="24"/>
    </w:rPr>
  </w:style>
  <w:style w:type="paragraph" w:customStyle="1" w:styleId="160">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161">
    <w:name w:val="正文3"/>
    <w:basedOn w:val="1"/>
    <w:autoRedefine/>
    <w:qFormat/>
    <w:uiPriority w:val="0"/>
    <w:pPr>
      <w:spacing w:before="60" w:after="60" w:line="360" w:lineRule="auto"/>
      <w:outlineLvl w:val="8"/>
    </w:pPr>
    <w:rPr>
      <w:sz w:val="24"/>
      <w:szCs w:val="21"/>
    </w:rPr>
  </w:style>
  <w:style w:type="paragraph" w:customStyle="1" w:styleId="162">
    <w:name w:val="font0"/>
    <w:basedOn w:val="1"/>
    <w:autoRedefine/>
    <w:qFormat/>
    <w:uiPriority w:val="0"/>
    <w:pPr>
      <w:widowControl/>
      <w:spacing w:before="100" w:beforeAutospacing="1" w:after="100" w:afterAutospacing="1"/>
      <w:jc w:val="left"/>
    </w:pPr>
    <w:rPr>
      <w:rFonts w:hint="eastAsia" w:hAnsi="宋体" w:cs="Arial Unicode MS"/>
      <w:sz w:val="24"/>
      <w:szCs w:val="24"/>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hAnsi="宋体"/>
      <w:sz w:val="24"/>
      <w:szCs w:val="24"/>
    </w:rPr>
  </w:style>
  <w:style w:type="paragraph" w:customStyle="1" w:styleId="164">
    <w:name w:val="Char Char1 Char Char Char Char Char Char Char"/>
    <w:basedOn w:val="1"/>
    <w:autoRedefine/>
    <w:qFormat/>
    <w:uiPriority w:val="0"/>
    <w:pPr>
      <w:adjustRightInd w:val="0"/>
      <w:spacing w:line="360" w:lineRule="auto"/>
    </w:pPr>
    <w:rPr>
      <w:sz w:val="24"/>
    </w:rPr>
  </w:style>
  <w:style w:type="paragraph" w:customStyle="1" w:styleId="165">
    <w:name w:val="Char Char1 Char Char Char Char Char Char Char Char Char Char Char Char Char Char Char Char Char Char"/>
    <w:basedOn w:val="1"/>
    <w:autoRedefine/>
    <w:qFormat/>
    <w:uiPriority w:val="0"/>
    <w:pPr>
      <w:widowControl/>
      <w:spacing w:after="160" w:line="240" w:lineRule="exact"/>
      <w:ind w:firstLine="567" w:firstLineChars="236"/>
    </w:pPr>
    <w:rPr>
      <w:rFonts w:ascii="Verdana" w:hAnsi="Verdana"/>
      <w:sz w:val="20"/>
      <w:lang w:eastAsia="en-US"/>
    </w:rPr>
  </w:style>
  <w:style w:type="paragraph" w:customStyle="1" w:styleId="166">
    <w:name w:val="Char2 Char Char Char Char Char Char"/>
    <w:basedOn w:val="1"/>
    <w:autoRedefine/>
    <w:qFormat/>
    <w:uiPriority w:val="0"/>
    <w:pPr>
      <w:widowControl/>
      <w:spacing w:after="160" w:line="240" w:lineRule="exact"/>
      <w:jc w:val="left"/>
    </w:pPr>
    <w:rPr>
      <w:rFonts w:ascii="Verdana" w:hAnsi="Verdana"/>
      <w:sz w:val="20"/>
      <w:szCs w:val="24"/>
      <w:lang w:eastAsia="en-US"/>
    </w:rPr>
  </w:style>
  <w:style w:type="paragraph" w:customStyle="1" w:styleId="167">
    <w:name w:val="样式 宋体 小四 首行缩进:  0.74 厘米 行距: 1.5 倍行距"/>
    <w:basedOn w:val="1"/>
    <w:autoRedefine/>
    <w:qFormat/>
    <w:uiPriority w:val="0"/>
    <w:pPr>
      <w:widowControl/>
      <w:spacing w:line="360" w:lineRule="auto"/>
      <w:ind w:firstLine="420"/>
      <w:jc w:val="left"/>
    </w:pPr>
    <w:rPr>
      <w:rFonts w:hAnsi="宋体" w:cs="宋体"/>
      <w:sz w:val="24"/>
    </w:rPr>
  </w:style>
  <w:style w:type="paragraph" w:customStyle="1" w:styleId="168">
    <w:name w:val="Char"/>
    <w:basedOn w:val="1"/>
    <w:link w:val="799"/>
    <w:autoRedefine/>
    <w:qFormat/>
    <w:uiPriority w:val="0"/>
    <w:pPr>
      <w:widowControl/>
      <w:spacing w:line="400" w:lineRule="exact"/>
      <w:jc w:val="center"/>
    </w:pPr>
    <w:rPr>
      <w:rFonts w:ascii="Verdana" w:hAnsi="Verdana"/>
      <w:lang w:eastAsia="en-US"/>
    </w:rPr>
  </w:style>
  <w:style w:type="paragraph" w:customStyle="1" w:styleId="169">
    <w:name w:val="标准文件_二级条标题"/>
    <w:basedOn w:val="1"/>
    <w:next w:val="1"/>
    <w:autoRedefine/>
    <w:qFormat/>
    <w:uiPriority w:val="0"/>
    <w:pPr>
      <w:widowControl/>
      <w:wordWrap w:val="0"/>
      <w:overflowPunct w:val="0"/>
      <w:autoSpaceDE w:val="0"/>
      <w:adjustRightInd w:val="0"/>
      <w:snapToGrid w:val="0"/>
      <w:spacing w:line="300" w:lineRule="auto"/>
      <w:jc w:val="left"/>
      <w:textAlignment w:val="baseline"/>
      <w:outlineLvl w:val="3"/>
    </w:pPr>
    <w:rPr>
      <w:rFonts w:ascii="黑体" w:hAnsi="宋体" w:eastAsia="黑体"/>
      <w:bCs/>
      <w:color w:val="000000"/>
      <w:spacing w:val="2"/>
      <w:sz w:val="24"/>
      <w:lang w:val="zh-CN"/>
    </w:rPr>
  </w:style>
  <w:style w:type="paragraph" w:customStyle="1" w:styleId="170">
    <w:name w:val="章标题"/>
    <w:next w:val="171"/>
    <w:autoRedefine/>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17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2">
    <w:name w:val="标题3（编号）"/>
    <w:basedOn w:val="1"/>
    <w:autoRedefine/>
    <w:qFormat/>
    <w:uiPriority w:val="0"/>
    <w:pPr>
      <w:ind w:left="420"/>
    </w:pPr>
    <w:rPr>
      <w:b/>
      <w:sz w:val="28"/>
      <w:szCs w:val="24"/>
    </w:rPr>
  </w:style>
  <w:style w:type="paragraph" w:customStyle="1" w:styleId="173">
    <w:name w:val="正文_Han_5_4.44"/>
    <w:basedOn w:val="1"/>
    <w:autoRedefine/>
    <w:qFormat/>
    <w:uiPriority w:val="0"/>
    <w:pPr>
      <w:adjustRightInd w:val="0"/>
      <w:spacing w:before="60" w:after="60" w:line="288" w:lineRule="auto"/>
      <w:ind w:left="2517"/>
      <w:textAlignment w:val="baseline"/>
    </w:pPr>
    <w:rPr>
      <w:rFonts w:ascii="Arial" w:hAnsi="Arial"/>
    </w:rPr>
  </w:style>
  <w:style w:type="paragraph" w:customStyle="1" w:styleId="174">
    <w:name w:val="xl64"/>
    <w:basedOn w:val="1"/>
    <w:autoRedefine/>
    <w:qFormat/>
    <w:uiPriority w:val="0"/>
    <w:pPr>
      <w:widowControl/>
      <w:pBdr>
        <w:left w:val="single" w:color="000000" w:sz="2" w:space="0"/>
        <w:bottom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175">
    <w:name w:val="页脚 New New New New New New"/>
    <w:basedOn w:val="156"/>
    <w:autoRedefine/>
    <w:qFormat/>
    <w:uiPriority w:val="0"/>
    <w:pPr>
      <w:tabs>
        <w:tab w:val="center" w:pos="4153"/>
        <w:tab w:val="right" w:pos="8306"/>
      </w:tabs>
      <w:snapToGrid w:val="0"/>
      <w:jc w:val="left"/>
    </w:pPr>
    <w:rPr>
      <w:sz w:val="18"/>
      <w:szCs w:val="18"/>
    </w:rPr>
  </w:style>
  <w:style w:type="paragraph" w:customStyle="1" w:styleId="176">
    <w:name w:val="修订1"/>
    <w:autoRedefine/>
    <w:qFormat/>
    <w:uiPriority w:val="0"/>
    <w:rPr>
      <w:rFonts w:ascii="Times New Roman" w:hAnsi="Times New Roman" w:eastAsia="宋体" w:cs="Times New Roman"/>
      <w:kern w:val="2"/>
      <w:sz w:val="21"/>
      <w:lang w:val="en-US" w:eastAsia="zh-CN" w:bidi="ar-SA"/>
    </w:rPr>
  </w:style>
  <w:style w:type="paragraph" w:customStyle="1" w:styleId="177">
    <w:name w:val="标题3下标题"/>
    <w:basedOn w:val="1"/>
    <w:next w:val="1"/>
    <w:autoRedefine/>
    <w:qFormat/>
    <w:uiPriority w:val="0"/>
    <w:pPr>
      <w:suppressAutoHyphens/>
    </w:pPr>
    <w:rPr>
      <w:rFonts w:eastAsia="楷体_GB2312"/>
      <w:b/>
      <w:bCs/>
      <w:kern w:val="1"/>
      <w:sz w:val="24"/>
      <w:szCs w:val="24"/>
      <w:lang w:eastAsia="ar-SA"/>
    </w:rPr>
  </w:style>
  <w:style w:type="paragraph" w:customStyle="1" w:styleId="178">
    <w:name w:val="xl3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sz w:val="24"/>
      <w:szCs w:val="24"/>
    </w:rPr>
  </w:style>
  <w:style w:type="paragraph" w:customStyle="1" w:styleId="180">
    <w:name w:val="Char1 Char Char Char Char Char1 Char Char Char Char"/>
    <w:basedOn w:val="1"/>
    <w:autoRedefine/>
    <w:qFormat/>
    <w:uiPriority w:val="0"/>
    <w:pPr>
      <w:tabs>
        <w:tab w:val="left" w:pos="780"/>
      </w:tabs>
      <w:ind w:left="709" w:hanging="709"/>
    </w:pPr>
    <w:rPr>
      <w:sz w:val="24"/>
      <w:szCs w:val="24"/>
    </w:rPr>
  </w:style>
  <w:style w:type="paragraph" w:customStyle="1" w:styleId="181">
    <w:name w:val="前言、引言标题"/>
    <w:next w:val="1"/>
    <w:autoRedefine/>
    <w:qFormat/>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182">
    <w:name w:val="Char Char Char Char Char Char Char Char Char Char Char Char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183">
    <w:name w:val="È±Ê¡ÎÄ±¾"/>
    <w:basedOn w:val="1"/>
    <w:autoRedefine/>
    <w:qFormat/>
    <w:uiPriority w:val="0"/>
    <w:pPr>
      <w:widowControl/>
      <w:overflowPunct w:val="0"/>
      <w:autoSpaceDE w:val="0"/>
      <w:autoSpaceDN w:val="0"/>
      <w:adjustRightInd w:val="0"/>
      <w:spacing w:line="360" w:lineRule="auto"/>
      <w:textAlignment w:val="baseline"/>
    </w:pPr>
  </w:style>
  <w:style w:type="paragraph" w:customStyle="1" w:styleId="184">
    <w:name w:val="样式 样式 标题 3H3sect1.2.3BOD 0Heading 3 - oldh3l3CTLevel 3 Head... +..."/>
    <w:basedOn w:val="1"/>
    <w:autoRedefine/>
    <w:qFormat/>
    <w:uiPriority w:val="0"/>
    <w:pPr>
      <w:keepNext/>
      <w:keepLines/>
      <w:spacing w:before="120" w:after="120"/>
      <w:jc w:val="left"/>
      <w:outlineLvl w:val="2"/>
    </w:pPr>
    <w:rPr>
      <w:b/>
      <w:sz w:val="24"/>
    </w:rPr>
  </w:style>
  <w:style w:type="paragraph" w:customStyle="1" w:styleId="185">
    <w:name w:val="WW-正文（首行缩进两字）"/>
    <w:basedOn w:val="1"/>
    <w:autoRedefine/>
    <w:qFormat/>
    <w:uiPriority w:val="0"/>
    <w:pPr>
      <w:suppressAutoHyphens/>
      <w:spacing w:line="420" w:lineRule="auto"/>
      <w:ind w:left="630"/>
    </w:pPr>
    <w:rPr>
      <w:rFonts w:hAnsi="宋体"/>
      <w:kern w:val="1"/>
      <w:sz w:val="24"/>
      <w:szCs w:val="24"/>
      <w:lang w:eastAsia="ar-SA"/>
    </w:rPr>
  </w:style>
  <w:style w:type="paragraph" w:customStyle="1" w:styleId="186">
    <w:name w:val="页脚 New New New"/>
    <w:basedOn w:val="187"/>
    <w:autoRedefine/>
    <w:qFormat/>
    <w:uiPriority w:val="0"/>
    <w:pPr>
      <w:tabs>
        <w:tab w:val="center" w:pos="4153"/>
        <w:tab w:val="right" w:pos="8306"/>
      </w:tabs>
      <w:snapToGrid w:val="0"/>
      <w:jc w:val="left"/>
    </w:pPr>
    <w:rPr>
      <w:sz w:val="18"/>
      <w:szCs w:val="18"/>
    </w:rPr>
  </w:style>
  <w:style w:type="paragraph" w:customStyle="1" w:styleId="187">
    <w:name w:val="正文 New New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88">
    <w:name w:val="题注(图注)"/>
    <w:next w:val="1"/>
    <w:autoRedefine/>
    <w:qFormat/>
    <w:uiPriority w:val="0"/>
    <w:pPr>
      <w:spacing w:before="120" w:after="120"/>
      <w:jc w:val="center"/>
    </w:pPr>
    <w:rPr>
      <w:rFonts w:ascii="Times New Roman" w:hAnsi="Times New Roman" w:eastAsia="黑体" w:cs="宋体"/>
      <w:kern w:val="2"/>
      <w:lang w:val="en-US" w:eastAsia="zh-CN" w:bidi="ar-SA"/>
    </w:rPr>
  </w:style>
  <w:style w:type="paragraph" w:customStyle="1" w:styleId="189">
    <w:name w:val="xl46"/>
    <w:basedOn w:val="1"/>
    <w:autoRedefine/>
    <w:qFormat/>
    <w:uiPriority w:val="0"/>
    <w:pPr>
      <w:widowControl/>
      <w:pBdr>
        <w:left w:val="single" w:color="000000" w:sz="2" w:space="0"/>
        <w:bottom w:val="single" w:color="000000" w:sz="2" w:space="0"/>
        <w:right w:val="single" w:color="000000" w:sz="2" w:space="0"/>
      </w:pBdr>
      <w:suppressAutoHyphens/>
      <w:spacing w:before="280" w:after="280"/>
      <w:jc w:val="right"/>
      <w:textAlignment w:val="center"/>
    </w:pPr>
    <w:rPr>
      <w:rFonts w:ascii="黑体" w:hAnsi="黑体" w:eastAsia="黑体"/>
      <w:kern w:val="1"/>
      <w:sz w:val="20"/>
      <w:lang w:eastAsia="ar-SA"/>
    </w:rPr>
  </w:style>
  <w:style w:type="paragraph" w:customStyle="1" w:styleId="190">
    <w:name w:val="设计正文 Char Char Char"/>
    <w:basedOn w:val="1"/>
    <w:autoRedefine/>
    <w:qFormat/>
    <w:uiPriority w:val="0"/>
    <w:pPr>
      <w:spacing w:line="300" w:lineRule="auto"/>
      <w:ind w:firstLine="480" w:firstLineChars="200"/>
    </w:pPr>
    <w:rPr>
      <w:rFonts w:ascii="仿宋_GB2312" w:eastAsia="仿宋_GB2312" w:cs="宋体"/>
      <w:sz w:val="28"/>
    </w:rPr>
  </w:style>
  <w:style w:type="paragraph" w:customStyle="1" w:styleId="191">
    <w:name w:val="Bullet 4"/>
    <w:basedOn w:val="1"/>
    <w:autoRedefine/>
    <w:qFormat/>
    <w:uiPriority w:val="0"/>
    <w:pPr>
      <w:widowControl/>
      <w:tabs>
        <w:tab w:val="left" w:pos="1680"/>
      </w:tabs>
      <w:spacing w:line="290" w:lineRule="atLeast"/>
      <w:jc w:val="left"/>
    </w:pPr>
    <w:rPr>
      <w:rFonts w:eastAsia="Times New Roman"/>
      <w:sz w:val="24"/>
      <w:lang w:eastAsia="en-US"/>
    </w:rPr>
  </w:style>
  <w:style w:type="paragraph" w:customStyle="1" w:styleId="192">
    <w:name w:val="首页标题2"/>
    <w:basedOn w:val="1"/>
    <w:autoRedefine/>
    <w:qFormat/>
    <w:uiPriority w:val="0"/>
    <w:pPr>
      <w:suppressAutoHyphens/>
      <w:textAlignment w:val="baseline"/>
    </w:pPr>
    <w:rPr>
      <w:rFonts w:ascii="隶书_GB2312" w:hAnsi="隶书_GB2312" w:eastAsia="隶书_GB2312"/>
      <w:kern w:val="1"/>
      <w:sz w:val="24"/>
      <w:szCs w:val="24"/>
      <w:lang w:eastAsia="ar-SA"/>
    </w:rPr>
  </w:style>
  <w:style w:type="paragraph" w:customStyle="1" w:styleId="193">
    <w:name w:val="xl88"/>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center"/>
    </w:pPr>
    <w:rPr>
      <w:rFonts w:ascii="Arial Unicode MS" w:hAnsi="Arial Unicode MS"/>
      <w:kern w:val="1"/>
      <w:sz w:val="20"/>
      <w:lang w:eastAsia="ar-SA"/>
    </w:rPr>
  </w:style>
  <w:style w:type="paragraph" w:customStyle="1" w:styleId="194">
    <w:name w:val="WW-正文（首行缩进两字）1"/>
    <w:basedOn w:val="1"/>
    <w:autoRedefine/>
    <w:qFormat/>
    <w:uiPriority w:val="0"/>
    <w:pPr>
      <w:suppressAutoHyphens/>
      <w:ind w:firstLine="560"/>
    </w:pPr>
    <w:rPr>
      <w:rFonts w:ascii="仿宋_GB2312" w:hAnsi="仿宋_GB2312" w:eastAsia="仿宋_GB2312"/>
      <w:kern w:val="1"/>
      <w:sz w:val="28"/>
      <w:szCs w:val="24"/>
      <w:lang w:eastAsia="ar-SA"/>
    </w:rPr>
  </w:style>
  <w:style w:type="paragraph" w:customStyle="1" w:styleId="195">
    <w:name w:val="xl86"/>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pPr>
    <w:rPr>
      <w:rFonts w:ascii="Arial Unicode MS" w:hAnsi="Arial Unicode MS"/>
      <w:kern w:val="1"/>
      <w:sz w:val="20"/>
      <w:lang w:eastAsia="ar-SA"/>
    </w:rPr>
  </w:style>
  <w:style w:type="paragraph" w:customStyle="1" w:styleId="196">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7">
    <w:name w:val="xl52"/>
    <w:basedOn w:val="1"/>
    <w:autoRedefine/>
    <w:qFormat/>
    <w:uiPriority w:val="0"/>
    <w:pPr>
      <w:widowControl/>
      <w:suppressAutoHyphens/>
      <w:spacing w:before="280" w:after="280"/>
      <w:jc w:val="right"/>
      <w:textAlignment w:val="center"/>
    </w:pPr>
    <w:rPr>
      <w:kern w:val="1"/>
      <w:sz w:val="20"/>
      <w:lang w:eastAsia="ar-SA"/>
    </w:rPr>
  </w:style>
  <w:style w:type="paragraph" w:customStyle="1" w:styleId="198">
    <w:name w:val="xl50"/>
    <w:basedOn w:val="1"/>
    <w:autoRedefine/>
    <w:qFormat/>
    <w:uiPriority w:val="0"/>
    <w:pPr>
      <w:widowControl/>
      <w:pBdr>
        <w:top w:val="single" w:color="000000" w:sz="2" w:space="0"/>
        <w:left w:val="single" w:color="000000" w:sz="2" w:space="0"/>
        <w:bottom w:val="single" w:color="000000" w:sz="2" w:space="0"/>
      </w:pBdr>
      <w:suppressAutoHyphens/>
      <w:spacing w:before="280" w:after="280"/>
      <w:jc w:val="right"/>
      <w:textAlignment w:val="center"/>
    </w:pPr>
    <w:rPr>
      <w:kern w:val="1"/>
      <w:sz w:val="20"/>
      <w:lang w:eastAsia="ar-SA"/>
    </w:rPr>
  </w:style>
  <w:style w:type="paragraph" w:customStyle="1" w:styleId="199">
    <w:name w:val="tableheading"/>
    <w:basedOn w:val="1"/>
    <w:autoRedefine/>
    <w:qFormat/>
    <w:uiPriority w:val="0"/>
    <w:pPr>
      <w:widowControl/>
      <w:spacing w:before="100" w:beforeAutospacing="1" w:after="100" w:afterAutospacing="1"/>
      <w:jc w:val="left"/>
    </w:pPr>
    <w:rPr>
      <w:rFonts w:hAnsi="宋体" w:cs="宋体"/>
      <w:sz w:val="24"/>
      <w:szCs w:val="24"/>
    </w:rPr>
  </w:style>
  <w:style w:type="paragraph" w:customStyle="1" w:styleId="200">
    <w:name w:val="xl84"/>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textAlignment w:val="center"/>
    </w:pPr>
    <w:rPr>
      <w:rFonts w:ascii="Arial Unicode MS" w:hAnsi="Arial Unicode MS"/>
      <w:kern w:val="1"/>
      <w:sz w:val="20"/>
      <w:lang w:eastAsia="ar-SA"/>
    </w:rPr>
  </w:style>
  <w:style w:type="paragraph" w:customStyle="1" w:styleId="201">
    <w:name w:val="样式 正文（首行缩进两字）四号表正文正文非缩进正文不缩进特点Normal Indent段1缩进ALT+Z + ..."/>
    <w:basedOn w:val="185"/>
    <w:autoRedefine/>
    <w:qFormat/>
    <w:uiPriority w:val="0"/>
    <w:pPr>
      <w:spacing w:line="360" w:lineRule="auto"/>
      <w:ind w:left="0"/>
    </w:pPr>
    <w:rPr>
      <w:b/>
      <w:bCs/>
    </w:rPr>
  </w:style>
  <w:style w:type="paragraph" w:customStyle="1" w:styleId="202">
    <w:name w:val="我的正文"/>
    <w:basedOn w:val="1"/>
    <w:autoRedefine/>
    <w:qFormat/>
    <w:uiPriority w:val="0"/>
    <w:pPr>
      <w:keepNext/>
      <w:keepLines/>
      <w:tabs>
        <w:tab w:val="left" w:pos="780"/>
      </w:tabs>
      <w:adjustRightInd w:val="0"/>
      <w:snapToGrid w:val="0"/>
      <w:spacing w:before="60" w:after="60" w:line="360" w:lineRule="auto"/>
      <w:ind w:left="780" w:hanging="420"/>
      <w:textAlignment w:val="baseline"/>
    </w:pPr>
    <w:rPr>
      <w:b/>
      <w:iCs/>
      <w:sz w:val="24"/>
      <w:szCs w:val="24"/>
    </w:rPr>
  </w:style>
  <w:style w:type="paragraph" w:customStyle="1" w:styleId="203">
    <w:name w:val="正文 样式"/>
    <w:basedOn w:val="1"/>
    <w:autoRedefine/>
    <w:qFormat/>
    <w:uiPriority w:val="0"/>
    <w:pPr>
      <w:spacing w:line="360" w:lineRule="auto"/>
      <w:ind w:firstLine="480" w:firstLineChars="200"/>
    </w:pPr>
    <w:rPr>
      <w:sz w:val="24"/>
      <w:szCs w:val="24"/>
    </w:rPr>
  </w:style>
  <w:style w:type="paragraph" w:customStyle="1" w:styleId="204">
    <w:name w:val="标题 4（网御星云）"/>
    <w:basedOn w:val="5"/>
    <w:next w:val="1"/>
    <w:autoRedefine/>
    <w:qFormat/>
    <w:uiPriority w:val="0"/>
    <w:pPr>
      <w:widowControl/>
      <w:tabs>
        <w:tab w:val="left" w:pos="840"/>
      </w:tabs>
      <w:spacing w:after="156" w:line="374" w:lineRule="auto"/>
      <w:ind w:left="1021" w:hanging="1021"/>
      <w:jc w:val="left"/>
    </w:pPr>
    <w:rPr>
      <w:bCs w:val="0"/>
      <w:kern w:val="0"/>
    </w:rPr>
  </w:style>
  <w:style w:type="paragraph" w:customStyle="1" w:styleId="205">
    <w:name w:val="样式 (西文) 宋体 小四 首行缩进:  0.95 厘米 段前: 5 磅 段后: 5 磅 行距: 1.5 倍行距"/>
    <w:basedOn w:val="1"/>
    <w:autoRedefine/>
    <w:qFormat/>
    <w:uiPriority w:val="0"/>
    <w:pPr>
      <w:widowControl/>
      <w:spacing w:before="100" w:after="100" w:line="360" w:lineRule="auto"/>
      <w:ind w:firstLine="540"/>
      <w:jc w:val="left"/>
    </w:pPr>
    <w:rPr>
      <w:rFonts w:hAnsi="宋体" w:cs="宋体"/>
      <w:sz w:val="24"/>
    </w:rPr>
  </w:style>
  <w:style w:type="paragraph" w:customStyle="1" w:styleId="206">
    <w:name w:val="样式 样式 首行缩进:  1 字符 + 首行缩进:  1 字符"/>
    <w:basedOn w:val="1"/>
    <w:autoRedefine/>
    <w:qFormat/>
    <w:uiPriority w:val="0"/>
    <w:pPr>
      <w:ind w:firstLine="240" w:firstLineChars="100"/>
    </w:pPr>
    <w:rPr>
      <w:rFonts w:cs="宋体"/>
      <w:sz w:val="24"/>
    </w:rPr>
  </w:style>
  <w:style w:type="paragraph" w:customStyle="1" w:styleId="207">
    <w:name w:val="维标4"/>
    <w:basedOn w:val="1"/>
    <w:autoRedefine/>
    <w:qFormat/>
    <w:uiPriority w:val="0"/>
    <w:pPr>
      <w:widowControl/>
      <w:tabs>
        <w:tab w:val="left" w:pos="425"/>
        <w:tab w:val="left" w:pos="1296"/>
      </w:tabs>
      <w:spacing w:line="360" w:lineRule="auto"/>
      <w:ind w:left="425" w:hanging="653"/>
    </w:pPr>
    <w:rPr>
      <w:rFonts w:hAnsi="宋体"/>
      <w:b/>
      <w:szCs w:val="21"/>
    </w:rPr>
  </w:style>
  <w:style w:type="paragraph" w:customStyle="1" w:styleId="208">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209">
    <w:name w:val="tabletext"/>
    <w:basedOn w:val="1"/>
    <w:autoRedefine/>
    <w:qFormat/>
    <w:uiPriority w:val="0"/>
    <w:pPr>
      <w:widowControl/>
      <w:spacing w:before="100" w:beforeAutospacing="1" w:after="100" w:afterAutospacing="1" w:line="240" w:lineRule="atLeast"/>
      <w:jc w:val="left"/>
    </w:pPr>
    <w:rPr>
      <w:rFonts w:hAnsi="宋体" w:cs="宋体"/>
      <w:sz w:val="18"/>
      <w:szCs w:val="18"/>
    </w:rPr>
  </w:style>
  <w:style w:type="paragraph" w:customStyle="1" w:styleId="210">
    <w:name w:val="xl67"/>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211">
    <w:name w:val="正文（表格）"/>
    <w:basedOn w:val="1"/>
    <w:autoRedefine/>
    <w:qFormat/>
    <w:uiPriority w:val="0"/>
    <w:pPr>
      <w:widowControl/>
      <w:spacing w:line="300" w:lineRule="auto"/>
    </w:pPr>
    <w:rPr>
      <w:szCs w:val="24"/>
    </w:rPr>
  </w:style>
  <w:style w:type="paragraph" w:customStyle="1" w:styleId="212">
    <w:name w:val="xl75"/>
    <w:basedOn w:val="1"/>
    <w:autoRedefine/>
    <w:qFormat/>
    <w:uiPriority w:val="0"/>
    <w:pPr>
      <w:widowControl/>
      <w:pBdr>
        <w:left w:val="single" w:color="000000" w:sz="2" w:space="0"/>
        <w:bottom w:val="single" w:color="000000" w:sz="2" w:space="0"/>
      </w:pBdr>
      <w:suppressAutoHyphens/>
      <w:spacing w:before="280" w:after="280"/>
      <w:jc w:val="right"/>
      <w:textAlignment w:val="center"/>
    </w:pPr>
    <w:rPr>
      <w:b/>
      <w:bCs/>
      <w:kern w:val="1"/>
      <w:sz w:val="20"/>
      <w:lang w:eastAsia="ar-SA"/>
    </w:rPr>
  </w:style>
  <w:style w:type="paragraph" w:customStyle="1" w:styleId="213">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body"/>
    <w:basedOn w:val="1"/>
    <w:autoRedefine/>
    <w:qFormat/>
    <w:uiPriority w:val="0"/>
    <w:pPr>
      <w:keepLines/>
      <w:widowControl/>
      <w:spacing w:before="80"/>
      <w:jc w:val="left"/>
    </w:pPr>
    <w:rPr>
      <w:rFonts w:ascii="Helvetica" w:hAnsi="Helvetica"/>
      <w:sz w:val="18"/>
      <w:szCs w:val="24"/>
      <w:lang w:eastAsia="en-US"/>
    </w:rPr>
  </w:style>
  <w:style w:type="paragraph" w:customStyle="1" w:styleId="215">
    <w:name w:val="图形文字"/>
    <w:basedOn w:val="1"/>
    <w:autoRedefine/>
    <w:qFormat/>
    <w:uiPriority w:val="0"/>
    <w:pPr>
      <w:widowControl/>
      <w:tabs>
        <w:tab w:val="left" w:pos="1134"/>
      </w:tabs>
      <w:spacing w:line="0" w:lineRule="atLeast"/>
      <w:jc w:val="center"/>
    </w:pPr>
  </w:style>
  <w:style w:type="paragraph" w:customStyle="1" w:styleId="216">
    <w:name w:val="WW-列表 5"/>
    <w:basedOn w:val="1"/>
    <w:autoRedefine/>
    <w:qFormat/>
    <w:uiPriority w:val="0"/>
    <w:pPr>
      <w:suppressAutoHyphens/>
      <w:spacing w:before="156" w:after="156"/>
    </w:pPr>
    <w:rPr>
      <w:rFonts w:eastAsia="仿宋_GB2312"/>
      <w:kern w:val="1"/>
      <w:sz w:val="28"/>
      <w:szCs w:val="24"/>
      <w:lang w:eastAsia="ar-SA"/>
    </w:rPr>
  </w:style>
  <w:style w:type="paragraph" w:customStyle="1" w:styleId="217">
    <w:name w:val="项目"/>
    <w:basedOn w:val="1"/>
    <w:autoRedefine/>
    <w:qFormat/>
    <w:uiPriority w:val="0"/>
    <w:pPr>
      <w:suppressAutoHyphens/>
      <w:spacing w:line="360" w:lineRule="auto"/>
      <w:jc w:val="left"/>
      <w:textAlignment w:val="baseline"/>
    </w:pPr>
    <w:rPr>
      <w:rFonts w:hAnsi="宋体"/>
      <w:kern w:val="1"/>
      <w:sz w:val="24"/>
      <w:lang w:eastAsia="ar-SA"/>
    </w:rPr>
  </w:style>
  <w:style w:type="paragraph" w:customStyle="1" w:styleId="2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rPr>
  </w:style>
  <w:style w:type="paragraph" w:customStyle="1" w:styleId="219">
    <w:name w:val="Char Char3 Char Char Char Char Char Char"/>
    <w:basedOn w:val="3"/>
    <w:autoRedefine/>
    <w:qFormat/>
    <w:uiPriority w:val="0"/>
    <w:pPr>
      <w:widowControl/>
      <w:spacing w:before="0" w:after="0" w:line="416" w:lineRule="auto"/>
      <w:ind w:left="756" w:hanging="576"/>
      <w:jc w:val="left"/>
    </w:pPr>
    <w:rPr>
      <w:rFonts w:ascii="Times New Roman" w:hAnsi="Times New Roman" w:eastAsia="宋体"/>
      <w:b w:val="0"/>
      <w:bCs w:val="0"/>
      <w:sz w:val="24"/>
      <w:szCs w:val="24"/>
    </w:rPr>
  </w:style>
  <w:style w:type="paragraph" w:customStyle="1" w:styleId="220">
    <w:name w:val="样式 标题 2 + 楷体 四号 非加粗"/>
    <w:basedOn w:val="3"/>
    <w:autoRedefine/>
    <w:qFormat/>
    <w:uiPriority w:val="0"/>
    <w:pPr>
      <w:pageBreakBefore/>
      <w:widowControl/>
      <w:tabs>
        <w:tab w:val="left" w:pos="1134"/>
      </w:tabs>
      <w:spacing w:before="240" w:afterLines="100" w:line="240" w:lineRule="atLeast"/>
      <w:jc w:val="center"/>
    </w:pPr>
    <w:rPr>
      <w:rFonts w:ascii="宋体" w:hAnsi="宋体" w:eastAsia="宋体"/>
      <w:bCs w:val="0"/>
      <w:kern w:val="0"/>
      <w:sz w:val="30"/>
      <w:szCs w:val="30"/>
    </w:rPr>
  </w:style>
  <w:style w:type="paragraph" w:customStyle="1" w:styleId="221">
    <w:name w:val="xl3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222">
    <w:name w:val="wellhope正文"/>
    <w:basedOn w:val="1"/>
    <w:autoRedefine/>
    <w:qFormat/>
    <w:uiPriority w:val="0"/>
    <w:pPr>
      <w:spacing w:before="60" w:after="60" w:line="360" w:lineRule="auto"/>
      <w:ind w:firstLine="200" w:firstLineChars="200"/>
    </w:pPr>
    <w:rPr>
      <w:rFonts w:eastAsia="楷体_GB2312"/>
      <w:sz w:val="24"/>
    </w:rPr>
  </w:style>
  <w:style w:type="paragraph" w:customStyle="1" w:styleId="223">
    <w:name w:val="样式 样式 标题 2h2l2sect 1.22l1Heading 2 HiddenHeading 2 CCBSH2P...1 +..."/>
    <w:basedOn w:val="1"/>
    <w:autoRedefine/>
    <w:qFormat/>
    <w:uiPriority w:val="0"/>
    <w:pPr>
      <w:keepNext/>
      <w:keepLines/>
      <w:tabs>
        <w:tab w:val="left" w:pos="883"/>
      </w:tabs>
      <w:spacing w:beforeLines="50" w:afterLines="50"/>
      <w:outlineLvl w:val="1"/>
    </w:pPr>
    <w:rPr>
      <w:rFonts w:eastAsia="黑体"/>
      <w:b/>
      <w:bCs/>
      <w:sz w:val="30"/>
      <w:szCs w:val="30"/>
    </w:rPr>
  </w:style>
  <w:style w:type="paragraph" w:customStyle="1" w:styleId="224">
    <w:name w:val="三级无标题条"/>
    <w:basedOn w:val="1"/>
    <w:autoRedefine/>
    <w:qFormat/>
    <w:uiPriority w:val="0"/>
    <w:pPr>
      <w:tabs>
        <w:tab w:val="left" w:pos="3600"/>
      </w:tabs>
      <w:ind w:left="3600" w:hanging="360"/>
    </w:pPr>
  </w:style>
  <w:style w:type="paragraph" w:customStyle="1" w:styleId="225">
    <w:name w:val="正文 New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26">
    <w:name w:val="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227">
    <w:name w:val="标题5"/>
    <w:basedOn w:val="1"/>
    <w:link w:val="685"/>
    <w:autoRedefine/>
    <w:qFormat/>
    <w:uiPriority w:val="0"/>
    <w:pPr>
      <w:tabs>
        <w:tab w:val="left" w:pos="0"/>
      </w:tabs>
      <w:spacing w:before="120" w:after="120" w:line="360" w:lineRule="auto"/>
      <w:ind w:left="1134" w:hanging="567"/>
    </w:pPr>
    <w:rPr>
      <w:rFonts w:eastAsia="楷体_GB2312"/>
      <w:sz w:val="28"/>
      <w:szCs w:val="24"/>
    </w:rPr>
  </w:style>
  <w:style w:type="paragraph" w:customStyle="1" w:styleId="228">
    <w:name w:val="时间"/>
    <w:basedOn w:val="1"/>
    <w:next w:val="1"/>
    <w:autoRedefine/>
    <w:qFormat/>
    <w:uiPriority w:val="0"/>
    <w:pPr>
      <w:widowControl/>
      <w:spacing w:beforeLines="50" w:line="360" w:lineRule="auto"/>
      <w:ind w:firstLine="482" w:firstLineChars="200"/>
      <w:jc w:val="center"/>
    </w:pPr>
    <w:rPr>
      <w:rFonts w:hAnsi="宋体"/>
      <w:b/>
      <w:sz w:val="24"/>
      <w:szCs w:val="22"/>
      <w:lang w:bidi="en-US"/>
    </w:rPr>
  </w:style>
  <w:style w:type="paragraph" w:customStyle="1" w:styleId="229">
    <w:name w:val="普通(网站)1"/>
    <w:basedOn w:val="1"/>
    <w:autoRedefine/>
    <w:qFormat/>
    <w:uiPriority w:val="0"/>
    <w:pPr>
      <w:widowControl/>
      <w:spacing w:before="100" w:beforeAutospacing="1" w:after="100" w:afterAutospacing="1"/>
      <w:jc w:val="left"/>
    </w:pPr>
    <w:rPr>
      <w:rFonts w:ascii="Arial Unicode MS" w:hAnsi="Arial Unicode MS" w:eastAsia="Arial Unicode MS"/>
      <w:sz w:val="24"/>
      <w:szCs w:val="24"/>
      <w:lang w:eastAsia="en-US"/>
    </w:rPr>
  </w:style>
  <w:style w:type="paragraph" w:customStyle="1" w:styleId="230">
    <w:name w:val="xl66"/>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231">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Ansi="宋体" w:cs="宋体"/>
      <w:sz w:val="20"/>
    </w:rPr>
  </w:style>
  <w:style w:type="paragraph" w:customStyle="1" w:styleId="232">
    <w:name w:val="_Style 1"/>
    <w:basedOn w:val="1"/>
    <w:autoRedefine/>
    <w:qFormat/>
    <w:uiPriority w:val="0"/>
    <w:pPr>
      <w:ind w:firstLine="200" w:firstLineChars="200"/>
    </w:pPr>
  </w:style>
  <w:style w:type="paragraph" w:customStyle="1" w:styleId="233">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234">
    <w:name w:val="正文序号 1"/>
    <w:basedOn w:val="1"/>
    <w:autoRedefine/>
    <w:qFormat/>
    <w:uiPriority w:val="0"/>
    <w:pPr>
      <w:tabs>
        <w:tab w:val="left" w:pos="839"/>
      </w:tabs>
      <w:spacing w:before="60"/>
      <w:ind w:left="709" w:hanging="709"/>
    </w:pPr>
    <w:rPr>
      <w:szCs w:val="24"/>
    </w:rPr>
  </w:style>
  <w:style w:type="paragraph" w:customStyle="1" w:styleId="235">
    <w:name w:val="pa-39"/>
    <w:basedOn w:val="1"/>
    <w:autoRedefine/>
    <w:qFormat/>
    <w:uiPriority w:val="0"/>
    <w:pPr>
      <w:widowControl/>
      <w:spacing w:line="280" w:lineRule="atLeast"/>
      <w:ind w:firstLine="360"/>
    </w:pPr>
    <w:rPr>
      <w:rFonts w:hAnsi="宋体" w:cs="宋体"/>
      <w:sz w:val="24"/>
      <w:szCs w:val="24"/>
    </w:rPr>
  </w:style>
  <w:style w:type="paragraph" w:customStyle="1" w:styleId="236">
    <w:name w:val="表格文字2"/>
    <w:basedOn w:val="1"/>
    <w:autoRedefine/>
    <w:qFormat/>
    <w:uiPriority w:val="0"/>
    <w:pPr>
      <w:spacing w:line="360" w:lineRule="auto"/>
      <w:jc w:val="center"/>
    </w:pPr>
    <w:rPr>
      <w:spacing w:val="22"/>
      <w:szCs w:val="24"/>
    </w:rPr>
  </w:style>
  <w:style w:type="paragraph" w:customStyle="1" w:styleId="237">
    <w:name w:val="文本"/>
    <w:autoRedefine/>
    <w:qFormat/>
    <w:uiPriority w:val="0"/>
    <w:pPr>
      <w:tabs>
        <w:tab w:val="left" w:pos="780"/>
      </w:tabs>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238">
    <w:name w:val="WW-列表 2"/>
    <w:basedOn w:val="1"/>
    <w:autoRedefine/>
    <w:qFormat/>
    <w:uiPriority w:val="0"/>
    <w:pPr>
      <w:suppressAutoHyphens/>
      <w:spacing w:before="156" w:after="156"/>
    </w:pPr>
    <w:rPr>
      <w:rFonts w:eastAsia="仿宋_GB2312"/>
      <w:kern w:val="1"/>
      <w:sz w:val="28"/>
      <w:szCs w:val="24"/>
      <w:lang w:eastAsia="ar-SA"/>
    </w:rPr>
  </w:style>
  <w:style w:type="paragraph" w:customStyle="1" w:styleId="239">
    <w:name w:val="WW-正文文字缩进 2"/>
    <w:basedOn w:val="1"/>
    <w:autoRedefine/>
    <w:qFormat/>
    <w:uiPriority w:val="0"/>
    <w:pPr>
      <w:tabs>
        <w:tab w:val="left" w:pos="1440"/>
      </w:tabs>
      <w:suppressAutoHyphens/>
      <w:spacing w:line="360" w:lineRule="auto"/>
      <w:ind w:firstLine="420"/>
    </w:pPr>
    <w:rPr>
      <w:kern w:val="1"/>
      <w:sz w:val="24"/>
      <w:szCs w:val="24"/>
      <w:lang w:eastAsia="ar-SA"/>
    </w:rPr>
  </w:style>
  <w:style w:type="paragraph" w:customStyle="1" w:styleId="240">
    <w:name w:val="Text"/>
    <w:autoRedefine/>
    <w:qFormat/>
    <w:uiPriority w:val="0"/>
    <w:pPr>
      <w:spacing w:before="60" w:after="60" w:line="260" w:lineRule="exact"/>
    </w:pPr>
    <w:rPr>
      <w:rFonts w:ascii="Verdana" w:hAnsi="Verdana" w:eastAsia="宋体" w:cs="Times New Roman"/>
      <w:color w:val="000000"/>
      <w:lang w:val="en-US" w:eastAsia="en-US" w:bidi="ar-SA"/>
    </w:rPr>
  </w:style>
  <w:style w:type="paragraph" w:customStyle="1" w:styleId="241">
    <w:name w:val="xl70"/>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b/>
      <w:bCs/>
      <w:kern w:val="1"/>
      <w:sz w:val="20"/>
      <w:lang w:eastAsia="ar-SA"/>
    </w:rPr>
  </w:style>
  <w:style w:type="paragraph" w:customStyle="1" w:styleId="242">
    <w:name w:val="Char Char1"/>
    <w:basedOn w:val="1"/>
    <w:autoRedefine/>
    <w:qFormat/>
    <w:uiPriority w:val="0"/>
    <w:pPr>
      <w:widowControl/>
      <w:spacing w:after="160" w:line="240" w:lineRule="exact"/>
      <w:jc w:val="left"/>
    </w:pPr>
    <w:rPr>
      <w:szCs w:val="24"/>
    </w:rPr>
  </w:style>
  <w:style w:type="paragraph" w:customStyle="1" w:styleId="243">
    <w:name w:val="pt14"/>
    <w:basedOn w:val="1"/>
    <w:autoRedefine/>
    <w:qFormat/>
    <w:uiPriority w:val="0"/>
    <w:pPr>
      <w:widowControl/>
      <w:spacing w:before="100" w:beforeAutospacing="1" w:after="100" w:afterAutospacing="1"/>
      <w:jc w:val="left"/>
    </w:pPr>
    <w:rPr>
      <w:rFonts w:hAnsi="宋体" w:cs="宋体"/>
      <w:sz w:val="24"/>
      <w:szCs w:val="24"/>
    </w:rPr>
  </w:style>
  <w:style w:type="paragraph" w:customStyle="1" w:styleId="244">
    <w:name w:val="汉仪细等线简8BOLD"/>
    <w:basedOn w:val="1"/>
    <w:autoRedefine/>
    <w:qFormat/>
    <w:uiPriority w:val="0"/>
    <w:pPr>
      <w:autoSpaceDE w:val="0"/>
      <w:autoSpaceDN w:val="0"/>
      <w:adjustRightInd w:val="0"/>
      <w:spacing w:line="240" w:lineRule="atLeast"/>
    </w:pPr>
    <w:rPr>
      <w:rFonts w:ascii="汉仪细等线简" w:eastAsia="汉仪细等线简"/>
      <w:b/>
      <w:bCs/>
      <w:sz w:val="16"/>
      <w:szCs w:val="16"/>
    </w:rPr>
  </w:style>
  <w:style w:type="paragraph" w:customStyle="1" w:styleId="245">
    <w:name w:val="默认段落字体 Para Char"/>
    <w:basedOn w:val="1"/>
    <w:autoRedefine/>
    <w:qFormat/>
    <w:uiPriority w:val="0"/>
    <w:pPr>
      <w:adjustRightInd w:val="0"/>
      <w:spacing w:line="360" w:lineRule="auto"/>
    </w:pPr>
    <w:rPr>
      <w:sz w:val="24"/>
    </w:rPr>
  </w:style>
  <w:style w:type="paragraph" w:customStyle="1" w:styleId="246">
    <w:name w:val="五级无标题条"/>
    <w:basedOn w:val="1"/>
    <w:autoRedefine/>
    <w:qFormat/>
    <w:uiPriority w:val="0"/>
    <w:pPr>
      <w:tabs>
        <w:tab w:val="left" w:pos="5040"/>
      </w:tabs>
      <w:ind w:left="5040" w:hanging="360"/>
    </w:pPr>
  </w:style>
  <w:style w:type="paragraph" w:customStyle="1" w:styleId="247">
    <w:name w:val="TABLE"/>
    <w:basedOn w:val="1"/>
    <w:autoRedefine/>
    <w:qFormat/>
    <w:uiPriority w:val="0"/>
    <w:pPr>
      <w:autoSpaceDE w:val="0"/>
      <w:autoSpaceDN w:val="0"/>
      <w:adjustRightInd w:val="0"/>
      <w:spacing w:before="50" w:after="50" w:line="240" w:lineRule="exact"/>
    </w:pPr>
    <w:rPr>
      <w:b/>
      <w:i/>
      <w:sz w:val="18"/>
    </w:rPr>
  </w:style>
  <w:style w:type="paragraph" w:customStyle="1" w:styleId="248">
    <w:name w:val="xl51"/>
    <w:basedOn w:val="1"/>
    <w:autoRedefine/>
    <w:qFormat/>
    <w:uiPriority w:val="0"/>
    <w:pPr>
      <w:widowControl/>
      <w:pBdr>
        <w:bottom w:val="single" w:color="000000" w:sz="2" w:space="0"/>
        <w:right w:val="single" w:color="000000" w:sz="2" w:space="0"/>
      </w:pBdr>
      <w:suppressAutoHyphens/>
      <w:spacing w:before="280" w:after="280"/>
      <w:jc w:val="left"/>
      <w:textAlignment w:val="center"/>
    </w:pPr>
    <w:rPr>
      <w:kern w:val="1"/>
      <w:sz w:val="20"/>
      <w:lang w:eastAsia="ar-SA"/>
    </w:rPr>
  </w:style>
  <w:style w:type="paragraph" w:customStyle="1" w:styleId="249">
    <w:name w:val="样式 正文首行缩进 + 宋体 小四 段前: 3 磅 段后: 3 磅 行距: 多倍行距 1.25 字行"/>
    <w:basedOn w:val="58"/>
    <w:autoRedefine/>
    <w:qFormat/>
    <w:uiPriority w:val="0"/>
    <w:pPr>
      <w:adjustRightInd/>
      <w:snapToGrid/>
      <w:spacing w:before="60" w:after="60" w:line="360" w:lineRule="auto"/>
      <w:ind w:firstLine="480" w:firstLineChars="200"/>
    </w:pPr>
    <w:rPr>
      <w:rFonts w:hAnsi="宋体" w:cs="宋体"/>
      <w:szCs w:val="24"/>
    </w:rPr>
  </w:style>
  <w:style w:type="paragraph" w:customStyle="1" w:styleId="250">
    <w:name w:val="正文首行缩进2字符"/>
    <w:basedOn w:val="1"/>
    <w:autoRedefine/>
    <w:qFormat/>
    <w:uiPriority w:val="0"/>
    <w:pPr>
      <w:spacing w:line="300" w:lineRule="auto"/>
      <w:ind w:firstLine="200" w:firstLineChars="200"/>
    </w:pPr>
    <w:rPr>
      <w:szCs w:val="21"/>
    </w:rPr>
  </w:style>
  <w:style w:type="paragraph" w:customStyle="1" w:styleId="251">
    <w:name w:val="xl35"/>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252">
    <w:name w:val="样式17"/>
    <w:basedOn w:val="2"/>
    <w:autoRedefine/>
    <w:qFormat/>
    <w:uiPriority w:val="0"/>
    <w:rPr>
      <w:rFonts w:eastAsia="黑体"/>
      <w:sz w:val="36"/>
    </w:rPr>
  </w:style>
  <w:style w:type="paragraph" w:customStyle="1" w:styleId="253">
    <w:name w:val="表9"/>
    <w:basedOn w:val="1"/>
    <w:autoRedefine/>
    <w:qFormat/>
    <w:uiPriority w:val="0"/>
    <w:pPr>
      <w:tabs>
        <w:tab w:val="left" w:pos="0"/>
      </w:tabs>
      <w:spacing w:after="120" w:line="360" w:lineRule="auto"/>
      <w:jc w:val="center"/>
    </w:pPr>
    <w:rPr>
      <w:rFonts w:eastAsia="华文细黑"/>
      <w:sz w:val="24"/>
      <w:szCs w:val="24"/>
    </w:rPr>
  </w:style>
  <w:style w:type="paragraph" w:customStyle="1" w:styleId="254">
    <w:name w:val="xl68"/>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textAlignment w:val="center"/>
    </w:pPr>
    <w:rPr>
      <w:kern w:val="1"/>
      <w:sz w:val="20"/>
      <w:lang w:eastAsia="ar-SA"/>
    </w:rPr>
  </w:style>
  <w:style w:type="paragraph" w:customStyle="1" w:styleId="255">
    <w:name w:val="Char Char Char Char Char Char1 Char"/>
    <w:basedOn w:val="1"/>
    <w:autoRedefine/>
    <w:qFormat/>
    <w:uiPriority w:val="0"/>
    <w:pPr>
      <w:widowControl/>
      <w:spacing w:after="160" w:line="240" w:lineRule="exact"/>
      <w:jc w:val="left"/>
    </w:pPr>
    <w:rPr>
      <w:rFonts w:ascii="Verdana" w:hAnsi="Verdana"/>
      <w:lang w:eastAsia="en-US"/>
    </w:rPr>
  </w:style>
  <w:style w:type="paragraph" w:customStyle="1" w:styleId="256">
    <w:name w:val="xl45"/>
    <w:basedOn w:val="1"/>
    <w:autoRedefine/>
    <w:qFormat/>
    <w:uiPriority w:val="0"/>
    <w:pPr>
      <w:widowControl/>
      <w:pBdr>
        <w:left w:val="single" w:color="000000" w:sz="2" w:space="0"/>
        <w:bottom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257">
    <w:name w:val="四级条标题"/>
    <w:basedOn w:val="258"/>
    <w:next w:val="171"/>
    <w:autoRedefine/>
    <w:qFormat/>
    <w:uiPriority w:val="0"/>
    <w:pPr>
      <w:tabs>
        <w:tab w:val="left" w:pos="1800"/>
        <w:tab w:val="left" w:pos="2100"/>
        <w:tab w:val="left" w:pos="2220"/>
        <w:tab w:val="left" w:pos="2520"/>
      </w:tabs>
      <w:ind w:left="2520"/>
      <w:outlineLvl w:val="5"/>
    </w:pPr>
  </w:style>
  <w:style w:type="paragraph" w:customStyle="1" w:styleId="258">
    <w:name w:val="三级条标题"/>
    <w:basedOn w:val="259"/>
    <w:next w:val="171"/>
    <w:autoRedefine/>
    <w:qFormat/>
    <w:uiPriority w:val="0"/>
    <w:pPr>
      <w:tabs>
        <w:tab w:val="left" w:pos="1800"/>
        <w:tab w:val="left" w:pos="2100"/>
        <w:tab w:val="left" w:pos="2220"/>
      </w:tabs>
      <w:ind w:left="2100" w:hanging="420"/>
      <w:outlineLvl w:val="4"/>
    </w:pPr>
  </w:style>
  <w:style w:type="paragraph" w:customStyle="1" w:styleId="259">
    <w:name w:val="二级条标题"/>
    <w:basedOn w:val="260"/>
    <w:next w:val="171"/>
    <w:autoRedefine/>
    <w:qFormat/>
    <w:uiPriority w:val="0"/>
    <w:pPr>
      <w:tabs>
        <w:tab w:val="left" w:pos="1800"/>
        <w:tab w:val="left" w:pos="2220"/>
      </w:tabs>
      <w:ind w:left="2220"/>
      <w:outlineLvl w:val="3"/>
    </w:pPr>
  </w:style>
  <w:style w:type="paragraph" w:customStyle="1" w:styleId="260">
    <w:name w:val="一级条标题"/>
    <w:basedOn w:val="1"/>
    <w:next w:val="171"/>
    <w:autoRedefine/>
    <w:qFormat/>
    <w:uiPriority w:val="0"/>
    <w:pPr>
      <w:widowControl/>
      <w:tabs>
        <w:tab w:val="left" w:pos="1800"/>
      </w:tabs>
      <w:ind w:left="1800" w:hanging="425"/>
      <w:outlineLvl w:val="2"/>
    </w:pPr>
    <w:rPr>
      <w:rFonts w:ascii="黑体" w:eastAsia="黑体"/>
    </w:rPr>
  </w:style>
  <w:style w:type="paragraph" w:customStyle="1" w:styleId="261">
    <w:name w:val="xl55"/>
    <w:basedOn w:val="1"/>
    <w:autoRedefine/>
    <w:qFormat/>
    <w:uiPriority w:val="0"/>
    <w:pPr>
      <w:widowControl/>
      <w:pBdr>
        <w:left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262">
    <w:name w:val="TOC 标题1"/>
    <w:basedOn w:val="2"/>
    <w:next w:val="1"/>
    <w:autoRedefine/>
    <w:qFormat/>
    <w:uiPriority w:val="0"/>
    <w:pPr>
      <w:widowControl/>
      <w:adjustRightInd/>
      <w:spacing w:before="480" w:after="0" w:line="276" w:lineRule="auto"/>
      <w:jc w:val="left"/>
      <w:outlineLvl w:val="9"/>
    </w:pPr>
    <w:rPr>
      <w:rFonts w:ascii="Cambria" w:hAnsi="Cambria"/>
      <w:bCs/>
      <w:color w:val="365F91"/>
      <w:kern w:val="0"/>
      <w:sz w:val="28"/>
      <w:szCs w:val="28"/>
    </w:rPr>
  </w:style>
  <w:style w:type="paragraph" w:customStyle="1" w:styleId="263">
    <w:name w:val="xl80"/>
    <w:basedOn w:val="1"/>
    <w:autoRedefine/>
    <w:qFormat/>
    <w:uiPriority w:val="0"/>
    <w:pPr>
      <w:widowControl/>
      <w:pBdr>
        <w:top w:val="single" w:color="000000" w:sz="8" w:space="0"/>
        <w:bottom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264">
    <w:name w:val="样式 首行缩进:  2 字符 行距: 2 倍行距"/>
    <w:basedOn w:val="1"/>
    <w:autoRedefine/>
    <w:qFormat/>
    <w:uiPriority w:val="0"/>
    <w:pPr>
      <w:spacing w:line="360" w:lineRule="auto"/>
      <w:ind w:firstLine="200" w:firstLineChars="200"/>
    </w:pPr>
    <w:rPr>
      <w:sz w:val="24"/>
    </w:rPr>
  </w:style>
  <w:style w:type="paragraph" w:customStyle="1" w:styleId="265">
    <w:name w:val="图号"/>
    <w:basedOn w:val="1"/>
    <w:autoRedefine/>
    <w:qFormat/>
    <w:uiPriority w:val="0"/>
    <w:pPr>
      <w:widowControl/>
      <w:tabs>
        <w:tab w:val="left" w:pos="432"/>
      </w:tabs>
      <w:suppressAutoHyphens/>
      <w:overflowPunct w:val="0"/>
      <w:autoSpaceDE w:val="0"/>
      <w:ind w:left="432" w:hanging="432"/>
      <w:jc w:val="right"/>
    </w:pPr>
    <w:rPr>
      <w:rFonts w:hAnsi="宋体"/>
      <w:kern w:val="1"/>
      <w:sz w:val="24"/>
      <w:lang w:eastAsia="ar-SA"/>
    </w:rPr>
  </w:style>
  <w:style w:type="paragraph" w:customStyle="1" w:styleId="266">
    <w:name w:val="00"/>
    <w:basedOn w:val="1"/>
    <w:autoRedefine/>
    <w:qFormat/>
    <w:uiPriority w:val="0"/>
    <w:pPr>
      <w:autoSpaceDE w:val="0"/>
      <w:autoSpaceDN w:val="0"/>
      <w:adjustRightInd w:val="0"/>
      <w:jc w:val="left"/>
    </w:pPr>
    <w:rPr>
      <w:rFonts w:ascii="黑体" w:eastAsia="黑体"/>
      <w:b/>
      <w:bCs/>
      <w:sz w:val="20"/>
    </w:rPr>
  </w:style>
  <w:style w:type="paragraph" w:customStyle="1" w:styleId="267">
    <w:name w:val="标准正文"/>
    <w:basedOn w:val="1"/>
    <w:link w:val="714"/>
    <w:autoRedefine/>
    <w:qFormat/>
    <w:uiPriority w:val="0"/>
    <w:pPr>
      <w:spacing w:beforeLines="50" w:afterLines="50"/>
      <w:ind w:firstLine="200" w:firstLineChars="200"/>
    </w:pPr>
    <w:rPr>
      <w:sz w:val="28"/>
      <w:szCs w:val="24"/>
    </w:rPr>
  </w:style>
  <w:style w:type="paragraph" w:customStyle="1" w:styleId="268">
    <w:name w:val="tabletextcharchar"/>
    <w:basedOn w:val="1"/>
    <w:autoRedefine/>
    <w:qFormat/>
    <w:uiPriority w:val="0"/>
    <w:pPr>
      <w:widowControl/>
      <w:spacing w:before="100" w:beforeAutospacing="1" w:after="100" w:afterAutospacing="1" w:line="240" w:lineRule="atLeast"/>
      <w:jc w:val="left"/>
    </w:pPr>
    <w:rPr>
      <w:rFonts w:hAnsi="宋体" w:cs="宋体"/>
      <w:sz w:val="18"/>
      <w:szCs w:val="18"/>
    </w:rPr>
  </w:style>
  <w:style w:type="paragraph" w:customStyle="1" w:styleId="269">
    <w:name w:val="6"/>
    <w:basedOn w:val="270"/>
    <w:autoRedefine/>
    <w:qFormat/>
    <w:uiPriority w:val="0"/>
    <w:pPr>
      <w:spacing w:line="270" w:lineRule="atLeast"/>
      <w:jc w:val="both"/>
    </w:pPr>
    <w:rPr>
      <w:b w:val="0"/>
      <w:bCs w:val="0"/>
    </w:rPr>
  </w:style>
  <w:style w:type="paragraph" w:customStyle="1" w:styleId="270">
    <w:name w:val="5"/>
    <w:basedOn w:val="1"/>
    <w:autoRedefine/>
    <w:qFormat/>
    <w:uiPriority w:val="0"/>
    <w:pPr>
      <w:autoSpaceDE w:val="0"/>
      <w:autoSpaceDN w:val="0"/>
      <w:adjustRightInd w:val="0"/>
      <w:jc w:val="left"/>
    </w:pPr>
    <w:rPr>
      <w:b/>
      <w:bCs/>
      <w:sz w:val="18"/>
      <w:szCs w:val="18"/>
    </w:rPr>
  </w:style>
  <w:style w:type="paragraph" w:customStyle="1" w:styleId="271">
    <w:name w:val="Char1"/>
    <w:basedOn w:val="1"/>
    <w:autoRedefine/>
    <w:qFormat/>
    <w:uiPriority w:val="0"/>
    <w:pPr>
      <w:spacing w:line="360" w:lineRule="auto"/>
      <w:ind w:firstLine="560" w:firstLineChars="200"/>
    </w:pPr>
    <w:rPr>
      <w:rFonts w:hAnsi="宋体"/>
      <w:sz w:val="28"/>
      <w:szCs w:val="28"/>
    </w:rPr>
  </w:style>
  <w:style w:type="paragraph" w:customStyle="1" w:styleId="272">
    <w:name w:val="p9"/>
    <w:basedOn w:val="1"/>
    <w:autoRedefine/>
    <w:qFormat/>
    <w:uiPriority w:val="0"/>
    <w:pPr>
      <w:widowControl/>
      <w:spacing w:before="100" w:beforeAutospacing="1" w:after="100" w:afterAutospacing="1"/>
      <w:jc w:val="left"/>
    </w:pPr>
    <w:rPr>
      <w:rFonts w:hAnsi="宋体" w:cs="宋体"/>
      <w:sz w:val="18"/>
      <w:szCs w:val="18"/>
    </w:rPr>
  </w:style>
  <w:style w:type="paragraph" w:customStyle="1" w:styleId="273">
    <w:name w:val="Char6"/>
    <w:basedOn w:val="1"/>
    <w:autoRedefine/>
    <w:qFormat/>
    <w:uiPriority w:val="0"/>
    <w:pPr>
      <w:widowControl/>
      <w:spacing w:line="360" w:lineRule="auto"/>
      <w:jc w:val="left"/>
    </w:pPr>
    <w:rPr>
      <w:rFonts w:hAnsi="宋体"/>
      <w:sz w:val="24"/>
      <w:szCs w:val="24"/>
    </w:rPr>
  </w:style>
  <w:style w:type="paragraph" w:customStyle="1" w:styleId="274">
    <w:name w:val="WW-正文文字缩进 3"/>
    <w:basedOn w:val="1"/>
    <w:autoRedefine/>
    <w:qFormat/>
    <w:uiPriority w:val="0"/>
    <w:pPr>
      <w:suppressAutoHyphens/>
      <w:spacing w:line="360" w:lineRule="auto"/>
      <w:ind w:firstLine="482"/>
    </w:pPr>
    <w:rPr>
      <w:rFonts w:hAnsi="宋体"/>
      <w:kern w:val="1"/>
      <w:sz w:val="24"/>
      <w:szCs w:val="24"/>
      <w:lang w:eastAsia="ar-SA"/>
    </w:rPr>
  </w:style>
  <w:style w:type="paragraph" w:customStyle="1" w:styleId="275">
    <w:name w:val="样式3"/>
    <w:basedOn w:val="4"/>
    <w:autoRedefine/>
    <w:qFormat/>
    <w:uiPriority w:val="0"/>
    <w:pPr>
      <w:widowControl w:val="0"/>
      <w:tabs>
        <w:tab w:val="left" w:pos="851"/>
        <w:tab w:val="left" w:pos="1444"/>
      </w:tabs>
      <w:spacing w:line="416" w:lineRule="auto"/>
      <w:ind w:left="1560" w:hanging="720"/>
      <w:jc w:val="both"/>
    </w:pPr>
    <w:rPr>
      <w:rFonts w:eastAsia="黑体"/>
      <w:kern w:val="2"/>
      <w:sz w:val="28"/>
      <w:szCs w:val="24"/>
    </w:rPr>
  </w:style>
  <w:style w:type="paragraph" w:customStyle="1" w:styleId="276">
    <w:name w:val="xl62"/>
    <w:basedOn w:val="1"/>
    <w:autoRedefine/>
    <w:qFormat/>
    <w:uiPriority w:val="0"/>
    <w:pPr>
      <w:widowControl/>
      <w:pBdr>
        <w:top w:val="single" w:color="000000" w:sz="8" w:space="0"/>
        <w:left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277">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paragraph" w:customStyle="1" w:styleId="278">
    <w:name w:val="MPara-4th Line"/>
    <w:basedOn w:val="1"/>
    <w:autoRedefine/>
    <w:qFormat/>
    <w:uiPriority w:val="0"/>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sz w:val="22"/>
      <w:lang w:eastAsia="en-US"/>
    </w:rPr>
  </w:style>
  <w:style w:type="paragraph" w:customStyle="1" w:styleId="279">
    <w:name w:val="z-窗体底端1"/>
    <w:basedOn w:val="1"/>
    <w:next w:val="1"/>
    <w:link w:val="663"/>
    <w:autoRedefine/>
    <w:qFormat/>
    <w:uiPriority w:val="0"/>
    <w:pPr>
      <w:widowControl/>
      <w:pBdr>
        <w:top w:val="single" w:color="auto" w:sz="6" w:space="1"/>
      </w:pBdr>
      <w:jc w:val="center"/>
    </w:pPr>
    <w:rPr>
      <w:rFonts w:ascii="Arial" w:hAnsi="Arial" w:cs="Arial"/>
      <w:vanish/>
      <w:sz w:val="16"/>
      <w:szCs w:val="16"/>
    </w:rPr>
  </w:style>
  <w:style w:type="paragraph" w:customStyle="1" w:styleId="280">
    <w:name w:val="正文(悬挂缩进)"/>
    <w:autoRedefine/>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281">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282">
    <w:name w:val="pa-9"/>
    <w:basedOn w:val="1"/>
    <w:autoRedefine/>
    <w:qFormat/>
    <w:uiPriority w:val="0"/>
    <w:pPr>
      <w:widowControl/>
      <w:spacing w:line="280" w:lineRule="atLeast"/>
      <w:ind w:firstLine="480"/>
      <w:jc w:val="left"/>
    </w:pPr>
    <w:rPr>
      <w:rFonts w:hAnsi="宋体" w:cs="宋体"/>
      <w:sz w:val="24"/>
      <w:szCs w:val="24"/>
    </w:rPr>
  </w:style>
  <w:style w:type="paragraph" w:customStyle="1" w:styleId="283">
    <w:name w:val="xl63"/>
    <w:basedOn w:val="1"/>
    <w:autoRedefine/>
    <w:qFormat/>
    <w:uiPriority w:val="0"/>
    <w:pPr>
      <w:widowControl/>
      <w:pBdr>
        <w:top w:val="single" w:color="000000" w:sz="8" w:space="0"/>
        <w:left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284">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85">
    <w:name w:val="页脚 New New New New New New New New New"/>
    <w:basedOn w:val="286"/>
    <w:autoRedefine/>
    <w:qFormat/>
    <w:uiPriority w:val="0"/>
    <w:pPr>
      <w:widowControl/>
      <w:snapToGrid w:val="0"/>
      <w:jc w:val="left"/>
    </w:pPr>
    <w:rPr>
      <w:sz w:val="18"/>
      <w:szCs w:val="18"/>
    </w:rPr>
  </w:style>
  <w:style w:type="paragraph" w:customStyle="1" w:styleId="286">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xl79"/>
    <w:basedOn w:val="1"/>
    <w:autoRedefine/>
    <w:qFormat/>
    <w:uiPriority w:val="0"/>
    <w:pPr>
      <w:widowControl/>
      <w:pBdr>
        <w:left w:val="single" w:color="000000" w:sz="2" w:space="0"/>
        <w:bottom w:val="single" w:color="000000" w:sz="2" w:space="0"/>
        <w:right w:val="single" w:color="000000" w:sz="2" w:space="0"/>
      </w:pBdr>
      <w:suppressAutoHyphens/>
      <w:spacing w:before="280" w:after="280"/>
      <w:jc w:val="right"/>
      <w:textAlignment w:val="center"/>
    </w:pPr>
    <w:rPr>
      <w:b/>
      <w:bCs/>
      <w:kern w:val="1"/>
      <w:sz w:val="20"/>
      <w:lang w:eastAsia="ar-SA"/>
    </w:rPr>
  </w:style>
  <w:style w:type="paragraph" w:customStyle="1" w:styleId="288">
    <w:name w:val="pa-4"/>
    <w:basedOn w:val="1"/>
    <w:autoRedefine/>
    <w:qFormat/>
    <w:uiPriority w:val="0"/>
    <w:pPr>
      <w:widowControl/>
      <w:spacing w:line="240" w:lineRule="atLeast"/>
      <w:ind w:hanging="420"/>
    </w:pPr>
    <w:rPr>
      <w:rFonts w:hAnsi="宋体" w:cs="宋体"/>
      <w:sz w:val="24"/>
      <w:szCs w:val="24"/>
    </w:rPr>
  </w:style>
  <w:style w:type="paragraph" w:customStyle="1" w:styleId="289">
    <w:name w:val="报告正文一"/>
    <w:basedOn w:val="1"/>
    <w:autoRedefine/>
    <w:qFormat/>
    <w:uiPriority w:val="0"/>
    <w:pPr>
      <w:spacing w:line="360" w:lineRule="auto"/>
      <w:ind w:firstLine="200" w:firstLineChars="200"/>
    </w:pPr>
    <w:rPr>
      <w:rFonts w:hAnsi="宋体"/>
      <w:sz w:val="28"/>
      <w:szCs w:val="28"/>
    </w:rPr>
  </w:style>
  <w:style w:type="paragraph" w:customStyle="1" w:styleId="290">
    <w:name w:val="文字"/>
    <w:basedOn w:val="1"/>
    <w:autoRedefine/>
    <w:qFormat/>
    <w:uiPriority w:val="0"/>
    <w:pPr>
      <w:spacing w:before="120" w:line="300" w:lineRule="auto"/>
    </w:pPr>
    <w:rPr>
      <w:snapToGrid w:val="0"/>
      <w:sz w:val="24"/>
      <w:szCs w:val="24"/>
    </w:rPr>
  </w:style>
  <w:style w:type="paragraph" w:customStyle="1" w:styleId="291">
    <w:name w:val="xl60"/>
    <w:basedOn w:val="1"/>
    <w:autoRedefine/>
    <w:qFormat/>
    <w:uiPriority w:val="0"/>
    <w:pPr>
      <w:widowControl/>
      <w:pBdr>
        <w:top w:val="single" w:color="000000" w:sz="2" w:space="0"/>
        <w:left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292">
    <w:name w:val="表格标题"/>
    <w:basedOn w:val="293"/>
    <w:link w:val="700"/>
    <w:autoRedefine/>
    <w:qFormat/>
    <w:uiPriority w:val="0"/>
    <w:pPr>
      <w:jc w:val="center"/>
    </w:pPr>
    <w:rPr>
      <w:b/>
      <w:bCs/>
      <w:i/>
      <w:iCs/>
    </w:rPr>
  </w:style>
  <w:style w:type="paragraph" w:customStyle="1" w:styleId="293">
    <w:name w:val="表格内容"/>
    <w:basedOn w:val="22"/>
    <w:autoRedefine/>
    <w:qFormat/>
    <w:uiPriority w:val="0"/>
    <w:pPr>
      <w:widowControl w:val="0"/>
      <w:suppressLineNumbers/>
      <w:suppressAutoHyphens/>
      <w:spacing w:before="156"/>
      <w:ind w:firstLine="560"/>
      <w:jc w:val="both"/>
    </w:pPr>
    <w:rPr>
      <w:rFonts w:eastAsia="仿宋_GB2312"/>
      <w:kern w:val="1"/>
      <w:sz w:val="28"/>
      <w:lang w:eastAsia="ar-SA"/>
    </w:rPr>
  </w:style>
  <w:style w:type="paragraph" w:customStyle="1" w:styleId="294">
    <w:name w:val="Body Text 22"/>
    <w:basedOn w:val="1"/>
    <w:autoRedefine/>
    <w:qFormat/>
    <w:uiPriority w:val="0"/>
    <w:pPr>
      <w:adjustRightInd w:val="0"/>
      <w:spacing w:before="120" w:line="360" w:lineRule="auto"/>
      <w:ind w:firstLine="480"/>
      <w:textAlignment w:val="baseline"/>
    </w:pPr>
    <w:rPr>
      <w:sz w:val="24"/>
    </w:rPr>
  </w:style>
  <w:style w:type="paragraph" w:customStyle="1" w:styleId="295">
    <w:name w:val="mmm1"/>
    <w:basedOn w:val="1"/>
    <w:autoRedefine/>
    <w:qFormat/>
    <w:uiPriority w:val="0"/>
    <w:pPr>
      <w:widowControl/>
      <w:spacing w:before="100" w:beforeAutospacing="1" w:after="100" w:afterAutospacing="1" w:line="240" w:lineRule="atLeast"/>
      <w:jc w:val="left"/>
    </w:pPr>
    <w:rPr>
      <w:rFonts w:hAnsi="宋体" w:cs="宋体"/>
      <w:sz w:val="18"/>
      <w:szCs w:val="18"/>
    </w:rPr>
  </w:style>
  <w:style w:type="paragraph" w:customStyle="1" w:styleId="296">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rFonts w:hAnsi="宋体"/>
      <w:sz w:val="28"/>
      <w:szCs w:val="28"/>
      <w:lang w:eastAsia="en-US"/>
    </w:rPr>
  </w:style>
  <w:style w:type="paragraph" w:customStyle="1" w:styleId="297">
    <w:name w:val="首行缩进:  2 字符"/>
    <w:basedOn w:val="1"/>
    <w:autoRedefine/>
    <w:qFormat/>
    <w:uiPriority w:val="0"/>
    <w:pPr>
      <w:ind w:firstLine="562"/>
    </w:pPr>
    <w:rPr>
      <w:rFonts w:ascii="仿宋_GB2312" w:hAnsi="Arial" w:eastAsia="仿宋_GB2312" w:cs="宋体"/>
      <w:sz w:val="28"/>
      <w:szCs w:val="28"/>
    </w:rPr>
  </w:style>
  <w:style w:type="paragraph" w:customStyle="1" w:styleId="298">
    <w:name w:val="列出段落2"/>
    <w:basedOn w:val="1"/>
    <w:autoRedefine/>
    <w:qFormat/>
    <w:uiPriority w:val="0"/>
    <w:pPr>
      <w:ind w:firstLine="420" w:firstLineChars="200"/>
    </w:pPr>
  </w:style>
  <w:style w:type="paragraph" w:customStyle="1" w:styleId="299">
    <w:name w:val="xl98"/>
    <w:basedOn w:val="1"/>
    <w:autoRedefine/>
    <w:qFormat/>
    <w:uiPriority w:val="0"/>
    <w:pPr>
      <w:widowControl/>
      <w:pBdr>
        <w:left w:val="single" w:color="auto" w:sz="8" w:space="0"/>
        <w:bottom w:val="single" w:color="auto" w:sz="8" w:space="0"/>
        <w:right w:val="single" w:color="auto" w:sz="8" w:space="0"/>
      </w:pBdr>
      <w:shd w:val="clear" w:color="auto" w:fill="CCFFFF"/>
      <w:spacing w:before="100" w:beforeAutospacing="1" w:after="100" w:afterAutospacing="1"/>
      <w:jc w:val="left"/>
    </w:pPr>
    <w:rPr>
      <w:rFonts w:hAnsi="宋体" w:cs="宋体"/>
      <w:b/>
      <w:bCs/>
      <w:sz w:val="18"/>
      <w:szCs w:val="18"/>
    </w:rPr>
  </w:style>
  <w:style w:type="paragraph" w:customStyle="1" w:styleId="300">
    <w:name w:val="正文（利国）"/>
    <w:basedOn w:val="1"/>
    <w:autoRedefine/>
    <w:qFormat/>
    <w:uiPriority w:val="0"/>
    <w:pPr>
      <w:ind w:firstLine="200" w:firstLineChars="200"/>
    </w:pPr>
    <w:rPr>
      <w:szCs w:val="24"/>
    </w:rPr>
  </w:style>
  <w:style w:type="paragraph" w:customStyle="1" w:styleId="301">
    <w:name w:val="xl48"/>
    <w:basedOn w:val="1"/>
    <w:autoRedefine/>
    <w:qFormat/>
    <w:uiPriority w:val="0"/>
    <w:pPr>
      <w:widowControl/>
      <w:pBdr>
        <w:top w:val="single" w:color="000000" w:sz="2" w:space="0"/>
        <w:left w:val="single" w:color="000000" w:sz="2" w:space="0"/>
        <w:bottom w:val="single" w:color="000000" w:sz="8" w:space="0"/>
        <w:right w:val="single" w:color="000000" w:sz="2" w:space="0"/>
      </w:pBdr>
      <w:suppressAutoHyphens/>
      <w:spacing w:before="280" w:after="280"/>
      <w:jc w:val="right"/>
      <w:textAlignment w:val="center"/>
    </w:pPr>
    <w:rPr>
      <w:kern w:val="1"/>
      <w:sz w:val="20"/>
      <w:lang w:eastAsia="ar-SA"/>
    </w:rPr>
  </w:style>
  <w:style w:type="paragraph" w:customStyle="1" w:styleId="302">
    <w:name w:val="文章正文"/>
    <w:basedOn w:val="1"/>
    <w:autoRedefine/>
    <w:qFormat/>
    <w:uiPriority w:val="0"/>
    <w:pPr>
      <w:spacing w:line="360" w:lineRule="auto"/>
      <w:ind w:firstLine="560" w:firstLineChars="200"/>
    </w:pPr>
    <w:rPr>
      <w:rFonts w:eastAsia="仿宋_GB2312"/>
      <w:sz w:val="28"/>
    </w:rPr>
  </w:style>
  <w:style w:type="paragraph" w:customStyle="1" w:styleId="303">
    <w:name w:val="标准文件-图标题 Char Char"/>
    <w:basedOn w:val="1"/>
    <w:next w:val="1"/>
    <w:autoRedefine/>
    <w:qFormat/>
    <w:uiPriority w:val="0"/>
    <w:pPr>
      <w:widowControl/>
      <w:tabs>
        <w:tab w:val="left" w:pos="1559"/>
      </w:tabs>
      <w:adjustRightInd w:val="0"/>
      <w:snapToGrid w:val="0"/>
      <w:spacing w:line="300" w:lineRule="auto"/>
      <w:ind w:left="1559" w:hanging="1559"/>
      <w:jc w:val="center"/>
    </w:pPr>
    <w:rPr>
      <w:rFonts w:ascii="黑体" w:eastAsia="黑体"/>
      <w:color w:val="000000"/>
      <w:spacing w:val="2"/>
      <w:sz w:val="24"/>
      <w:szCs w:val="24"/>
    </w:rPr>
  </w:style>
  <w:style w:type="paragraph" w:customStyle="1" w:styleId="304">
    <w:name w:val="l18"/>
    <w:basedOn w:val="1"/>
    <w:autoRedefine/>
    <w:qFormat/>
    <w:uiPriority w:val="0"/>
    <w:pPr>
      <w:widowControl/>
      <w:spacing w:before="30" w:after="100" w:afterAutospacing="1" w:line="270" w:lineRule="atLeast"/>
      <w:ind w:left="90"/>
      <w:jc w:val="left"/>
    </w:pPr>
    <w:rPr>
      <w:rFonts w:ascii="Arial" w:hAnsi="Arial" w:cs="Arial"/>
      <w:color w:val="000000"/>
      <w:sz w:val="18"/>
      <w:szCs w:val="18"/>
      <w:lang w:eastAsia="en-US"/>
    </w:rPr>
  </w:style>
  <w:style w:type="paragraph" w:customStyle="1" w:styleId="305">
    <w:name w:val="样式 段后: 6 磅"/>
    <w:basedOn w:val="1"/>
    <w:autoRedefine/>
    <w:qFormat/>
    <w:uiPriority w:val="0"/>
    <w:pPr>
      <w:spacing w:after="120"/>
      <w:ind w:firstLine="420" w:firstLineChars="200"/>
      <w:jc w:val="left"/>
    </w:pPr>
    <w:rPr>
      <w:rFonts w:cs="宋体"/>
    </w:rPr>
  </w:style>
  <w:style w:type="paragraph" w:customStyle="1" w:styleId="306">
    <w:name w:val="Tabelle"/>
    <w:basedOn w:val="1"/>
    <w:autoRedefine/>
    <w:qFormat/>
    <w:uiPriority w:val="0"/>
    <w:pPr>
      <w:widowControl/>
      <w:spacing w:before="40" w:after="40"/>
      <w:jc w:val="left"/>
    </w:pPr>
    <w:rPr>
      <w:rFonts w:ascii="Arial" w:hAnsi="Arial"/>
      <w:sz w:val="20"/>
    </w:rPr>
  </w:style>
  <w:style w:type="paragraph" w:customStyle="1" w:styleId="307">
    <w:name w:val="标准文件_一级项目符号内容"/>
    <w:basedOn w:val="1"/>
    <w:autoRedefine/>
    <w:qFormat/>
    <w:uiPriority w:val="0"/>
    <w:pPr>
      <w:spacing w:line="300" w:lineRule="auto"/>
      <w:ind w:left="420" w:leftChars="200" w:firstLine="480" w:firstLineChars="200"/>
    </w:pPr>
    <w:rPr>
      <w:sz w:val="24"/>
      <w:szCs w:val="24"/>
    </w:rPr>
  </w:style>
  <w:style w:type="paragraph" w:customStyle="1" w:styleId="308">
    <w:name w:val="样式 首行缩进:  2 字符4"/>
    <w:basedOn w:val="1"/>
    <w:autoRedefine/>
    <w:qFormat/>
    <w:uiPriority w:val="0"/>
    <w:pPr>
      <w:ind w:firstLine="480"/>
    </w:pPr>
  </w:style>
  <w:style w:type="paragraph" w:customStyle="1" w:styleId="309">
    <w:name w:val="我的正文1"/>
    <w:basedOn w:val="14"/>
    <w:autoRedefine/>
    <w:qFormat/>
    <w:uiPriority w:val="0"/>
    <w:pPr>
      <w:adjustRightInd/>
      <w:spacing w:line="360" w:lineRule="auto"/>
      <w:ind w:firstLine="200" w:firstLineChars="200"/>
      <w:jc w:val="both"/>
    </w:pPr>
    <w:rPr>
      <w:rFonts w:ascii="Times New Roman" w:eastAsia="仿宋_GB2312"/>
      <w:sz w:val="28"/>
      <w:szCs w:val="24"/>
    </w:rPr>
  </w:style>
  <w:style w:type="paragraph" w:customStyle="1" w:styleId="310">
    <w:name w:val="样式1 Char Char"/>
    <w:basedOn w:val="1"/>
    <w:next w:val="31"/>
    <w:autoRedefine/>
    <w:qFormat/>
    <w:uiPriority w:val="0"/>
    <w:pPr>
      <w:spacing w:line="360" w:lineRule="auto"/>
      <w:ind w:firstLine="516" w:firstLineChars="215"/>
    </w:pPr>
    <w:rPr>
      <w:sz w:val="24"/>
      <w:szCs w:val="24"/>
    </w:rPr>
  </w:style>
  <w:style w:type="paragraph" w:customStyle="1" w:styleId="311">
    <w:name w:val="样式 标题 3sect1.2.3h33H3Heading 3 - oldCTLevel 3 Topic Headi...1"/>
    <w:basedOn w:val="4"/>
    <w:autoRedefine/>
    <w:qFormat/>
    <w:uiPriority w:val="0"/>
    <w:pPr>
      <w:widowControl w:val="0"/>
      <w:tabs>
        <w:tab w:val="left" w:pos="1080"/>
      </w:tabs>
      <w:spacing w:before="120" w:after="120" w:line="520" w:lineRule="exact"/>
      <w:ind w:hanging="1013"/>
      <w:jc w:val="both"/>
    </w:pPr>
    <w:rPr>
      <w:rFonts w:ascii="黑体" w:hAnsi="黑体" w:eastAsia="黑体"/>
      <w:b w:val="0"/>
      <w:kern w:val="2"/>
      <w:sz w:val="28"/>
      <w:szCs w:val="30"/>
    </w:rPr>
  </w:style>
  <w:style w:type="paragraph" w:customStyle="1" w:styleId="312">
    <w:name w:val="样式18"/>
    <w:basedOn w:val="56"/>
    <w:autoRedefine/>
    <w:qFormat/>
    <w:uiPriority w:val="0"/>
    <w:pPr>
      <w:spacing w:line="720" w:lineRule="auto"/>
    </w:pPr>
    <w:rPr>
      <w:rFonts w:eastAsia="黑体"/>
      <w:bCs w:val="0"/>
      <w:sz w:val="30"/>
    </w:rPr>
  </w:style>
  <w:style w:type="paragraph" w:customStyle="1" w:styleId="313">
    <w:name w:val="首行缩进"/>
    <w:basedOn w:val="1"/>
    <w:autoRedefine/>
    <w:qFormat/>
    <w:uiPriority w:val="0"/>
    <w:pPr>
      <w:spacing w:line="360" w:lineRule="auto"/>
      <w:ind w:firstLine="480" w:firstLineChars="200"/>
    </w:pPr>
    <w:rPr>
      <w:sz w:val="24"/>
    </w:rPr>
  </w:style>
  <w:style w:type="paragraph" w:customStyle="1" w:styleId="314">
    <w:name w:val="indent"/>
    <w:basedOn w:val="1"/>
    <w:autoRedefine/>
    <w:qFormat/>
    <w:uiPriority w:val="0"/>
    <w:pPr>
      <w:widowControl/>
      <w:spacing w:before="100" w:beforeAutospacing="1" w:after="100" w:afterAutospacing="1" w:line="278" w:lineRule="atLeast"/>
      <w:ind w:firstLine="416"/>
      <w:jc w:val="left"/>
    </w:pPr>
    <w:rPr>
      <w:rFonts w:hAnsi="宋体" w:cs="宋体"/>
      <w:szCs w:val="21"/>
    </w:rPr>
  </w:style>
  <w:style w:type="paragraph" w:customStyle="1" w:styleId="315">
    <w:name w:val="默认段落字体 Para Char Char Char Char Char Char Char Char Char Char Char Char Char"/>
    <w:basedOn w:val="1"/>
    <w:autoRedefine/>
    <w:qFormat/>
    <w:uiPriority w:val="0"/>
    <w:pPr>
      <w:snapToGrid w:val="0"/>
      <w:spacing w:line="360" w:lineRule="auto"/>
      <w:ind w:firstLine="200" w:firstLineChars="200"/>
    </w:pPr>
    <w:rPr>
      <w:szCs w:val="24"/>
    </w:rPr>
  </w:style>
  <w:style w:type="paragraph" w:customStyle="1" w:styleId="316">
    <w:name w:val="样式 标题 2第一章 标题 2Heading 2 HiddenHeading 2 CCBSheading 2H2h2..."/>
    <w:basedOn w:val="3"/>
    <w:autoRedefine/>
    <w:qFormat/>
    <w:uiPriority w:val="0"/>
    <w:pPr>
      <w:tabs>
        <w:tab w:val="left" w:pos="420"/>
      </w:tabs>
      <w:adjustRightInd w:val="0"/>
      <w:spacing w:before="120" w:after="120" w:line="240" w:lineRule="auto"/>
      <w:ind w:left="1134" w:hanging="567"/>
      <w:jc w:val="center"/>
      <w:textAlignment w:val="baseline"/>
    </w:pPr>
    <w:rPr>
      <w:rFonts w:ascii="黑体" w:hAnsi="Times New Roman"/>
      <w:b w:val="0"/>
      <w:bCs w:val="0"/>
      <w:kern w:val="0"/>
      <w:szCs w:val="20"/>
    </w:rPr>
  </w:style>
  <w:style w:type="paragraph" w:customStyle="1" w:styleId="317">
    <w:name w:val="样式 首行缩进:  2 字符5"/>
    <w:basedOn w:val="1"/>
    <w:autoRedefine/>
    <w:qFormat/>
    <w:uiPriority w:val="0"/>
    <w:pPr>
      <w:spacing w:before="120" w:line="360" w:lineRule="auto"/>
      <w:ind w:firstLine="480" w:firstLineChars="200"/>
    </w:pPr>
    <w:rPr>
      <w:sz w:val="24"/>
    </w:rPr>
  </w:style>
  <w:style w:type="paragraph" w:customStyle="1" w:styleId="318">
    <w:name w:val="表格文字1"/>
    <w:basedOn w:val="1"/>
    <w:autoRedefine/>
    <w:qFormat/>
    <w:uiPriority w:val="0"/>
    <w:pPr>
      <w:tabs>
        <w:tab w:val="left" w:pos="1260"/>
      </w:tabs>
      <w:spacing w:line="360" w:lineRule="auto"/>
    </w:pPr>
    <w:rPr>
      <w:b/>
      <w:bCs/>
      <w:sz w:val="24"/>
      <w:szCs w:val="24"/>
    </w:rPr>
  </w:style>
  <w:style w:type="paragraph" w:customStyle="1" w:styleId="319">
    <w:name w:val="±íÏî"/>
    <w:basedOn w:val="1"/>
    <w:autoRedefine/>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320">
    <w:name w:val="四级无标题条"/>
    <w:basedOn w:val="1"/>
    <w:autoRedefine/>
    <w:qFormat/>
    <w:uiPriority w:val="0"/>
    <w:pPr>
      <w:tabs>
        <w:tab w:val="left" w:pos="4320"/>
      </w:tabs>
      <w:ind w:left="4320" w:hanging="360"/>
    </w:pPr>
  </w:style>
  <w:style w:type="paragraph" w:customStyle="1" w:styleId="321">
    <w:name w:val="font10"/>
    <w:basedOn w:val="1"/>
    <w:autoRedefine/>
    <w:qFormat/>
    <w:uiPriority w:val="0"/>
    <w:pPr>
      <w:widowControl/>
      <w:suppressAutoHyphens/>
      <w:spacing w:before="280" w:after="280"/>
      <w:jc w:val="left"/>
    </w:pPr>
    <w:rPr>
      <w:rFonts w:eastAsia="Arial Unicode MS"/>
      <w:b/>
      <w:bCs/>
      <w:kern w:val="1"/>
      <w:sz w:val="20"/>
      <w:lang w:eastAsia="ar-SA"/>
    </w:rPr>
  </w:style>
  <w:style w:type="paragraph" w:customStyle="1" w:styleId="322">
    <w:name w:val="xl9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23">
    <w:name w:val="样式 正文缩进文2ALT+Z表正文正文非缩进特点段1标题4特点 Char Char特点 Char Char C..."/>
    <w:basedOn w:val="1"/>
    <w:autoRedefine/>
    <w:qFormat/>
    <w:uiPriority w:val="0"/>
    <w:pPr>
      <w:spacing w:beforeLines="50" w:afterLines="50" w:line="360" w:lineRule="auto"/>
      <w:ind w:firstLine="480" w:firstLineChars="200"/>
    </w:pPr>
    <w:rPr>
      <w:rFonts w:eastAsia="仿宋_GB2312"/>
      <w:sz w:val="24"/>
    </w:rPr>
  </w:style>
  <w:style w:type="paragraph" w:customStyle="1" w:styleId="324">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325">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326">
    <w:name w:val="标题1"/>
    <w:basedOn w:val="1"/>
    <w:next w:val="22"/>
    <w:autoRedefine/>
    <w:qFormat/>
    <w:uiPriority w:val="0"/>
    <w:pPr>
      <w:keepNext/>
      <w:suppressAutoHyphens/>
      <w:spacing w:before="240" w:after="120" w:line="360" w:lineRule="auto"/>
    </w:pPr>
    <w:rPr>
      <w:rFonts w:ascii="Arial" w:hAnsi="Arial" w:cs="Tahoma"/>
      <w:kern w:val="1"/>
      <w:sz w:val="28"/>
      <w:szCs w:val="28"/>
      <w:lang w:eastAsia="ar-SA"/>
    </w:rPr>
  </w:style>
  <w:style w:type="paragraph" w:customStyle="1" w:styleId="327">
    <w:name w:val="Char1 Char Char Char Char Char Char"/>
    <w:basedOn w:val="1"/>
    <w:autoRedefine/>
    <w:qFormat/>
    <w:uiPriority w:val="0"/>
    <w:rPr>
      <w:rFonts w:ascii="Tahoma" w:hAnsi="Tahoma"/>
      <w:sz w:val="24"/>
    </w:rPr>
  </w:style>
  <w:style w:type="paragraph" w:customStyle="1" w:styleId="328">
    <w:name w:val="正文列表"/>
    <w:basedOn w:val="1"/>
    <w:autoRedefine/>
    <w:qFormat/>
    <w:uiPriority w:val="0"/>
    <w:pPr>
      <w:tabs>
        <w:tab w:val="left" w:pos="360"/>
      </w:tabs>
      <w:spacing w:after="120"/>
    </w:pPr>
    <w:rPr>
      <w:sz w:val="24"/>
      <w:lang w:eastAsia="zh-TW"/>
    </w:rPr>
  </w:style>
  <w:style w:type="paragraph" w:customStyle="1" w:styleId="329">
    <w:name w:val="并列项 ·"/>
    <w:basedOn w:val="1"/>
    <w:autoRedefine/>
    <w:qFormat/>
    <w:uiPriority w:val="0"/>
    <w:pPr>
      <w:widowControl/>
      <w:adjustRightInd w:val="0"/>
      <w:snapToGrid w:val="0"/>
      <w:spacing w:line="360" w:lineRule="auto"/>
      <w:jc w:val="left"/>
      <w:textAlignment w:val="baseline"/>
    </w:pPr>
    <w:rPr>
      <w:rFonts w:hAnsi="宋体"/>
      <w:b/>
      <w:snapToGrid w:val="0"/>
      <w:color w:val="FF0000"/>
      <w:kern w:val="24"/>
      <w:sz w:val="28"/>
      <w:szCs w:val="28"/>
    </w:rPr>
  </w:style>
  <w:style w:type="paragraph" w:customStyle="1" w:styleId="330">
    <w:name w:val="xl59"/>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331">
    <w:name w:val="para"/>
    <w:basedOn w:val="1"/>
    <w:autoRedefine/>
    <w:qFormat/>
    <w:uiPriority w:val="0"/>
    <w:pPr>
      <w:widowControl/>
      <w:spacing w:before="100" w:beforeAutospacing="1" w:after="100" w:afterAutospacing="1"/>
      <w:jc w:val="left"/>
    </w:pPr>
    <w:rPr>
      <w:rFonts w:ascii="Arial" w:hAnsi="Arial" w:cs="Arial"/>
      <w:sz w:val="18"/>
      <w:szCs w:val="18"/>
    </w:rPr>
  </w:style>
  <w:style w:type="paragraph" w:customStyle="1" w:styleId="332">
    <w:name w:val="样式2"/>
    <w:basedOn w:val="1"/>
    <w:link w:val="669"/>
    <w:autoRedefine/>
    <w:qFormat/>
    <w:uiPriority w:val="0"/>
    <w:pPr>
      <w:adjustRightInd w:val="0"/>
      <w:spacing w:after="60" w:line="400" w:lineRule="atLeast"/>
      <w:jc w:val="left"/>
      <w:textAlignment w:val="baseline"/>
    </w:pPr>
    <w:rPr>
      <w:sz w:val="28"/>
    </w:rPr>
  </w:style>
  <w:style w:type="paragraph" w:customStyle="1" w:styleId="333">
    <w:name w:val="正文."/>
    <w:autoRedefine/>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34">
    <w:name w:val="汉仪细等线简9BOLD"/>
    <w:basedOn w:val="1"/>
    <w:autoRedefine/>
    <w:qFormat/>
    <w:uiPriority w:val="0"/>
    <w:pPr>
      <w:autoSpaceDE w:val="0"/>
      <w:autoSpaceDN w:val="0"/>
      <w:adjustRightInd w:val="0"/>
      <w:spacing w:line="240" w:lineRule="atLeast"/>
    </w:pPr>
    <w:rPr>
      <w:rFonts w:ascii="汉仪细等线简" w:eastAsia="汉仪细等线简"/>
      <w:b/>
      <w:bCs/>
      <w:sz w:val="18"/>
      <w:szCs w:val="18"/>
    </w:rPr>
  </w:style>
  <w:style w:type="paragraph" w:customStyle="1" w:styleId="335">
    <w:name w:val="标题 5(1.1.1或加重说明)"/>
    <w:basedOn w:val="1"/>
    <w:autoRedefine/>
    <w:qFormat/>
    <w:uiPriority w:val="0"/>
    <w:pPr>
      <w:spacing w:line="360" w:lineRule="auto"/>
    </w:pPr>
    <w:rPr>
      <w:rFonts w:ascii="黑体" w:hAnsi="宋体" w:eastAsia="黑体"/>
      <w:b/>
      <w:color w:val="000000"/>
      <w:sz w:val="28"/>
    </w:rPr>
  </w:style>
  <w:style w:type="paragraph" w:customStyle="1" w:styleId="336">
    <w:name w:val="_Style 2"/>
    <w:basedOn w:val="1"/>
    <w:autoRedefine/>
    <w:qFormat/>
    <w:uiPriority w:val="0"/>
    <w:pPr>
      <w:ind w:firstLine="420" w:firstLineChars="200"/>
    </w:pPr>
  </w:style>
  <w:style w:type="paragraph" w:customStyle="1" w:styleId="337">
    <w:name w:val="xl39"/>
    <w:basedOn w:val="1"/>
    <w:autoRedefine/>
    <w:qFormat/>
    <w:uiPriority w:val="0"/>
    <w:pPr>
      <w:widowControl/>
      <w:pBdr>
        <w:left w:val="single" w:color="000000" w:sz="2" w:space="0"/>
        <w:bottom w:val="single" w:color="000000" w:sz="2" w:space="0"/>
        <w:right w:val="single" w:color="000000" w:sz="2" w:space="0"/>
      </w:pBdr>
      <w:suppressAutoHyphens/>
      <w:spacing w:before="280" w:after="280"/>
      <w:jc w:val="left"/>
      <w:textAlignment w:val="center"/>
    </w:pPr>
    <w:rPr>
      <w:rFonts w:ascii="Arial Unicode MS" w:hAnsi="Arial Unicode MS"/>
      <w:kern w:val="1"/>
      <w:sz w:val="20"/>
      <w:lang w:eastAsia="ar-SA"/>
    </w:rPr>
  </w:style>
  <w:style w:type="paragraph" w:customStyle="1" w:styleId="338">
    <w:name w:val="页眉1"/>
    <w:basedOn w:val="76"/>
    <w:next w:val="76"/>
    <w:autoRedefine/>
    <w:qFormat/>
    <w:uiPriority w:val="0"/>
    <w:rPr>
      <w:rFonts w:ascii="Arial,BoldItalic" w:hAnsi="Arial,BoldItalic" w:cs="Times New Roman"/>
      <w:color w:val="auto"/>
    </w:rPr>
  </w:style>
  <w:style w:type="paragraph" w:customStyle="1" w:styleId="339">
    <w:name w:val="hei"/>
    <w:basedOn w:val="1"/>
    <w:autoRedefine/>
    <w:qFormat/>
    <w:uiPriority w:val="0"/>
    <w:pPr>
      <w:widowControl/>
      <w:spacing w:before="100" w:beforeAutospacing="1" w:after="100" w:afterAutospacing="1" w:line="320" w:lineRule="atLeast"/>
      <w:jc w:val="left"/>
    </w:pPr>
    <w:rPr>
      <w:rFonts w:ascii="Arial Unicode MS" w:hAnsi="Arial Unicode MS" w:eastAsia="Arial Unicode MS" w:cs="Arial Unicode MS"/>
      <w:color w:val="000000"/>
      <w:sz w:val="18"/>
      <w:szCs w:val="18"/>
    </w:rPr>
  </w:style>
  <w:style w:type="paragraph" w:customStyle="1" w:styleId="340">
    <w:name w:val="Bullet 1"/>
    <w:basedOn w:val="1"/>
    <w:autoRedefine/>
    <w:qFormat/>
    <w:uiPriority w:val="0"/>
    <w:pPr>
      <w:widowControl/>
      <w:tabs>
        <w:tab w:val="left" w:pos="420"/>
      </w:tabs>
      <w:spacing w:line="290" w:lineRule="atLeast"/>
      <w:ind w:left="420" w:hanging="420"/>
      <w:jc w:val="left"/>
    </w:pPr>
    <w:rPr>
      <w:rFonts w:eastAsia="Times New Roman"/>
      <w:sz w:val="24"/>
      <w:lang w:eastAsia="en-US"/>
    </w:rPr>
  </w:style>
  <w:style w:type="paragraph" w:customStyle="1" w:styleId="341">
    <w:name w:val="样式15"/>
    <w:basedOn w:val="5"/>
    <w:autoRedefine/>
    <w:qFormat/>
    <w:uiPriority w:val="0"/>
  </w:style>
  <w:style w:type="paragraph" w:customStyle="1" w:styleId="342">
    <w:name w:val="font8"/>
    <w:basedOn w:val="1"/>
    <w:autoRedefine/>
    <w:qFormat/>
    <w:uiPriority w:val="0"/>
    <w:pPr>
      <w:widowControl/>
      <w:suppressAutoHyphens/>
      <w:spacing w:before="280" w:after="280"/>
      <w:jc w:val="left"/>
    </w:pPr>
    <w:rPr>
      <w:rFonts w:ascii="黑体" w:hAnsi="黑体" w:eastAsia="黑体"/>
      <w:kern w:val="1"/>
      <w:sz w:val="20"/>
      <w:lang w:eastAsia="ar-SA"/>
    </w:rPr>
  </w:style>
  <w:style w:type="paragraph" w:customStyle="1" w:styleId="343">
    <w:name w:val="defaultfont"/>
    <w:basedOn w:val="1"/>
    <w:autoRedefine/>
    <w:qFormat/>
    <w:uiPriority w:val="0"/>
    <w:pPr>
      <w:widowControl/>
      <w:spacing w:before="100" w:beforeAutospacing="1" w:after="100" w:afterAutospacing="1"/>
      <w:jc w:val="left"/>
    </w:pPr>
    <w:rPr>
      <w:rFonts w:ascii="Arial" w:hAnsi="Arial" w:eastAsia="Arial Unicode MS" w:cs="Arial"/>
      <w:szCs w:val="21"/>
    </w:rPr>
  </w:style>
  <w:style w:type="paragraph" w:customStyle="1" w:styleId="344">
    <w:name w:val="font9"/>
    <w:basedOn w:val="1"/>
    <w:autoRedefine/>
    <w:qFormat/>
    <w:uiPriority w:val="0"/>
    <w:pPr>
      <w:widowControl/>
      <w:suppressAutoHyphens/>
      <w:spacing w:before="280" w:after="280"/>
      <w:jc w:val="left"/>
    </w:pPr>
    <w:rPr>
      <w:rFonts w:eastAsia="Arial Unicode MS"/>
      <w:kern w:val="1"/>
      <w:sz w:val="20"/>
      <w:lang w:eastAsia="ar-SA"/>
    </w:rPr>
  </w:style>
  <w:style w:type="paragraph" w:customStyle="1" w:styleId="345">
    <w:name w:val="Bullet 3"/>
    <w:basedOn w:val="1"/>
    <w:autoRedefine/>
    <w:qFormat/>
    <w:uiPriority w:val="0"/>
    <w:pPr>
      <w:widowControl/>
      <w:tabs>
        <w:tab w:val="left" w:pos="1260"/>
      </w:tabs>
      <w:spacing w:line="290" w:lineRule="atLeast"/>
      <w:jc w:val="left"/>
    </w:pPr>
    <w:rPr>
      <w:rFonts w:eastAsia="Times New Roman"/>
      <w:sz w:val="24"/>
      <w:lang w:eastAsia="en-US"/>
    </w:rPr>
  </w:style>
  <w:style w:type="paragraph" w:customStyle="1" w:styleId="346">
    <w:name w:val="表格"/>
    <w:basedOn w:val="1"/>
    <w:link w:val="806"/>
    <w:autoRedefine/>
    <w:qFormat/>
    <w:uiPriority w:val="0"/>
    <w:pPr>
      <w:jc w:val="center"/>
    </w:pPr>
    <w:rPr>
      <w:rFonts w:hAnsi="宋体"/>
      <w:szCs w:val="21"/>
    </w:rPr>
  </w:style>
  <w:style w:type="paragraph" w:customStyle="1" w:styleId="347">
    <w:name w:val="pa-41"/>
    <w:basedOn w:val="1"/>
    <w:autoRedefine/>
    <w:qFormat/>
    <w:uiPriority w:val="0"/>
    <w:pPr>
      <w:widowControl/>
      <w:spacing w:line="280" w:lineRule="atLeast"/>
      <w:ind w:firstLine="360"/>
      <w:jc w:val="left"/>
    </w:pPr>
    <w:rPr>
      <w:rFonts w:hAnsi="宋体" w:cs="宋体"/>
      <w:sz w:val="24"/>
      <w:szCs w:val="24"/>
    </w:rPr>
  </w:style>
  <w:style w:type="paragraph" w:customStyle="1" w:styleId="348">
    <w:name w:val="neiwen"/>
    <w:basedOn w:val="1"/>
    <w:autoRedefine/>
    <w:qFormat/>
    <w:uiPriority w:val="0"/>
    <w:pPr>
      <w:widowControl/>
      <w:spacing w:before="100" w:beforeAutospacing="1" w:after="100" w:afterAutospacing="1"/>
      <w:jc w:val="left"/>
    </w:pPr>
    <w:rPr>
      <w:rFonts w:hAnsi="宋体"/>
      <w:sz w:val="24"/>
      <w:szCs w:val="24"/>
    </w:rPr>
  </w:style>
  <w:style w:type="paragraph" w:customStyle="1" w:styleId="349">
    <w:name w:val="样式22"/>
    <w:basedOn w:val="2"/>
    <w:autoRedefine/>
    <w:qFormat/>
    <w:uiPriority w:val="0"/>
    <w:rPr>
      <w:rFonts w:eastAsia="黑体"/>
      <w:sz w:val="36"/>
    </w:rPr>
  </w:style>
  <w:style w:type="paragraph" w:customStyle="1" w:styleId="350">
    <w:name w:val="样式 首行缩进:  2.25 字符"/>
    <w:basedOn w:val="1"/>
    <w:autoRedefine/>
    <w:qFormat/>
    <w:uiPriority w:val="0"/>
    <w:pPr>
      <w:spacing w:line="360" w:lineRule="auto"/>
      <w:ind w:firstLine="225" w:firstLineChars="225"/>
    </w:pPr>
    <w:rPr>
      <w:rFonts w:cs="宋体"/>
      <w:sz w:val="24"/>
    </w:rPr>
  </w:style>
  <w:style w:type="paragraph" w:customStyle="1" w:styleId="351">
    <w:name w:val="报告正文"/>
    <w:basedOn w:val="1"/>
    <w:autoRedefine/>
    <w:qFormat/>
    <w:uiPriority w:val="0"/>
    <w:pPr>
      <w:widowControl/>
      <w:overflowPunct w:val="0"/>
      <w:autoSpaceDE w:val="0"/>
      <w:autoSpaceDN w:val="0"/>
      <w:adjustRightInd w:val="0"/>
      <w:spacing w:line="360" w:lineRule="auto"/>
      <w:ind w:firstLine="420"/>
      <w:textAlignment w:val="baseline"/>
    </w:pPr>
    <w:rPr>
      <w:sz w:val="24"/>
    </w:rPr>
  </w:style>
  <w:style w:type="paragraph" w:customStyle="1" w:styleId="352">
    <w:name w:val="样式 样式 样式 正文首行缩进 2 + 左侧:  2 字符 首行缩进:  2 字符 + 首行缩进:  2 字符 + 行距: 1.... Char Char"/>
    <w:basedOn w:val="1"/>
    <w:autoRedefine/>
    <w:qFormat/>
    <w:uiPriority w:val="0"/>
    <w:pPr>
      <w:widowControl/>
      <w:spacing w:before="60" w:after="60" w:line="360" w:lineRule="auto"/>
      <w:ind w:firstLine="480" w:firstLineChars="200"/>
      <w:jc w:val="left"/>
    </w:pPr>
    <w:rPr>
      <w:sz w:val="24"/>
    </w:rPr>
  </w:style>
  <w:style w:type="paragraph" w:customStyle="1" w:styleId="353">
    <w:name w:val="表格正文"/>
    <w:basedOn w:val="1"/>
    <w:autoRedefine/>
    <w:qFormat/>
    <w:uiPriority w:val="0"/>
    <w:pPr>
      <w:snapToGrid w:val="0"/>
      <w:spacing w:line="300" w:lineRule="auto"/>
    </w:pPr>
    <w:rPr>
      <w:szCs w:val="24"/>
    </w:rPr>
  </w:style>
  <w:style w:type="paragraph" w:customStyle="1" w:styleId="354">
    <w:name w:val="xl2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paragraph" w:customStyle="1" w:styleId="355">
    <w:name w:val="Char2"/>
    <w:basedOn w:val="1"/>
    <w:autoRedefine/>
    <w:qFormat/>
    <w:uiPriority w:val="0"/>
    <w:rPr>
      <w:rFonts w:hAnsi="宋体" w:cs="Courier New"/>
      <w:sz w:val="32"/>
      <w:szCs w:val="32"/>
    </w:rPr>
  </w:style>
  <w:style w:type="paragraph" w:customStyle="1" w:styleId="356">
    <w:name w:val="样式 小四 首行缩进:  1 字符"/>
    <w:basedOn w:val="1"/>
    <w:autoRedefine/>
    <w:qFormat/>
    <w:uiPriority w:val="0"/>
    <w:pPr>
      <w:ind w:firstLine="240" w:firstLineChars="100"/>
    </w:pPr>
    <w:rPr>
      <w:rFonts w:cs="宋体"/>
      <w:sz w:val="24"/>
    </w:rPr>
  </w:style>
  <w:style w:type="paragraph" w:customStyle="1" w:styleId="357">
    <w:name w:val="缺省文本"/>
    <w:basedOn w:val="1"/>
    <w:autoRedefine/>
    <w:qFormat/>
    <w:uiPriority w:val="0"/>
    <w:rPr>
      <w:rFonts w:eastAsia="楷体_GB2312"/>
      <w:sz w:val="24"/>
    </w:rPr>
  </w:style>
  <w:style w:type="paragraph" w:customStyle="1" w:styleId="358">
    <w:name w:val="样式 标题 1H1标题 4-1 + 仿宋_GB2312 小二 居中"/>
    <w:basedOn w:val="1"/>
    <w:autoRedefine/>
    <w:qFormat/>
    <w:uiPriority w:val="0"/>
  </w:style>
  <w:style w:type="paragraph" w:customStyle="1" w:styleId="359">
    <w:name w:val="WW-日期"/>
    <w:basedOn w:val="1"/>
    <w:next w:val="1"/>
    <w:autoRedefine/>
    <w:qFormat/>
    <w:uiPriority w:val="0"/>
    <w:pPr>
      <w:suppressAutoHyphens/>
      <w:spacing w:line="360" w:lineRule="auto"/>
      <w:ind w:left="100"/>
    </w:pPr>
    <w:rPr>
      <w:rFonts w:ascii="Arial" w:hAnsi="Arial" w:cs="Arial"/>
      <w:b/>
      <w:kern w:val="1"/>
      <w:sz w:val="30"/>
      <w:szCs w:val="36"/>
      <w:lang w:eastAsia="ar-SA"/>
    </w:rPr>
  </w:style>
  <w:style w:type="paragraph" w:customStyle="1" w:styleId="360">
    <w:name w:val="WW-普通 (Web)"/>
    <w:basedOn w:val="1"/>
    <w:autoRedefine/>
    <w:qFormat/>
    <w:uiPriority w:val="0"/>
    <w:pPr>
      <w:widowControl/>
      <w:suppressAutoHyphens/>
      <w:spacing w:before="280" w:after="280"/>
      <w:jc w:val="left"/>
    </w:pPr>
    <w:rPr>
      <w:rFonts w:hAnsi="宋体"/>
      <w:kern w:val="1"/>
      <w:sz w:val="24"/>
      <w:szCs w:val="24"/>
      <w:lang w:eastAsia="ar-SA"/>
    </w:rPr>
  </w:style>
  <w:style w:type="paragraph" w:customStyle="1" w:styleId="361">
    <w:name w:val="Char Char Char Char Char"/>
    <w:basedOn w:val="1"/>
    <w:autoRedefine/>
    <w:qFormat/>
    <w:uiPriority w:val="0"/>
    <w:rPr>
      <w:rFonts w:ascii="Tahoma" w:hAnsi="Tahoma" w:cs="Arial"/>
      <w:sz w:val="24"/>
      <w:szCs w:val="21"/>
    </w:rPr>
  </w:style>
  <w:style w:type="paragraph" w:customStyle="1" w:styleId="362">
    <w:name w:val="xl61"/>
    <w:basedOn w:val="1"/>
    <w:autoRedefine/>
    <w:qFormat/>
    <w:uiPriority w:val="0"/>
    <w:pPr>
      <w:widowControl/>
      <w:pBdr>
        <w:top w:val="single" w:color="000000" w:sz="8"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363">
    <w:name w:val="标题 3正文"/>
    <w:basedOn w:val="1"/>
    <w:autoRedefine/>
    <w:qFormat/>
    <w:uiPriority w:val="0"/>
    <w:pPr>
      <w:tabs>
        <w:tab w:val="left" w:pos="1260"/>
      </w:tabs>
      <w:spacing w:beforeLines="50" w:line="360" w:lineRule="auto"/>
      <w:ind w:firstLine="410" w:firstLineChars="171"/>
    </w:pPr>
    <w:rPr>
      <w:rFonts w:hAnsi="宋体"/>
      <w:sz w:val="24"/>
      <w:szCs w:val="24"/>
    </w:rPr>
  </w:style>
  <w:style w:type="paragraph" w:customStyle="1" w:styleId="364">
    <w:name w:val="8"/>
    <w:basedOn w:val="1"/>
    <w:next w:val="1"/>
    <w:autoRedefine/>
    <w:qFormat/>
    <w:uiPriority w:val="0"/>
    <w:rPr>
      <w:szCs w:val="24"/>
    </w:rPr>
  </w:style>
  <w:style w:type="paragraph" w:customStyle="1" w:styleId="365">
    <w:name w:val="样式 标题 3标题 3 Char + 宋体 四号"/>
    <w:basedOn w:val="4"/>
    <w:autoRedefine/>
    <w:qFormat/>
    <w:uiPriority w:val="0"/>
    <w:pPr>
      <w:widowControl w:val="0"/>
      <w:spacing w:before="0" w:after="0" w:line="240" w:lineRule="auto"/>
      <w:jc w:val="both"/>
      <w:outlineLvl w:val="9"/>
    </w:pPr>
    <w:rPr>
      <w:rFonts w:ascii="宋体" w:hAnsi="宋体"/>
      <w:color w:val="000000"/>
      <w:kern w:val="2"/>
      <w:sz w:val="28"/>
      <w:szCs w:val="20"/>
    </w:rPr>
  </w:style>
  <w:style w:type="paragraph" w:customStyle="1" w:styleId="366">
    <w:name w:val="样式21"/>
    <w:basedOn w:val="2"/>
    <w:autoRedefine/>
    <w:qFormat/>
    <w:uiPriority w:val="0"/>
    <w:rPr>
      <w:rFonts w:eastAsia="黑体"/>
      <w:sz w:val="36"/>
    </w:rPr>
  </w:style>
  <w:style w:type="paragraph" w:customStyle="1" w:styleId="367">
    <w:name w:val="a"/>
    <w:basedOn w:val="1"/>
    <w:autoRedefine/>
    <w:qFormat/>
    <w:uiPriority w:val="0"/>
    <w:pPr>
      <w:widowControl/>
      <w:spacing w:before="100" w:beforeAutospacing="1" w:after="100" w:afterAutospacing="1" w:line="312" w:lineRule="auto"/>
      <w:jc w:val="left"/>
    </w:pPr>
    <w:rPr>
      <w:rFonts w:hAnsi="宋体" w:cs="宋体"/>
      <w:sz w:val="18"/>
      <w:szCs w:val="18"/>
    </w:rPr>
  </w:style>
  <w:style w:type="paragraph" w:customStyle="1" w:styleId="368">
    <w:name w:val="xl56"/>
    <w:basedOn w:val="1"/>
    <w:autoRedefine/>
    <w:qFormat/>
    <w:uiPriority w:val="0"/>
    <w:pPr>
      <w:widowControl/>
      <w:pBdr>
        <w:top w:val="single" w:color="000000" w:sz="2" w:space="0"/>
        <w:right w:val="single" w:color="000000" w:sz="2" w:space="0"/>
      </w:pBdr>
      <w:suppressAutoHyphens/>
      <w:spacing w:before="280" w:after="280"/>
      <w:jc w:val="left"/>
      <w:textAlignment w:val="center"/>
    </w:pPr>
    <w:rPr>
      <w:rFonts w:ascii="黑体" w:hAnsi="黑体" w:eastAsia="黑体"/>
      <w:kern w:val="1"/>
      <w:sz w:val="20"/>
      <w:lang w:eastAsia="ar-SA"/>
    </w:rPr>
  </w:style>
  <w:style w:type="paragraph" w:customStyle="1" w:styleId="369">
    <w:name w:val="Char4 Char Char1 Char"/>
    <w:basedOn w:val="1"/>
    <w:autoRedefine/>
    <w:qFormat/>
    <w:uiPriority w:val="0"/>
    <w:rPr>
      <w:rFonts w:ascii="Tahoma" w:hAnsi="Tahoma"/>
      <w:sz w:val="24"/>
    </w:rPr>
  </w:style>
  <w:style w:type="paragraph" w:customStyle="1" w:styleId="370">
    <w:name w:val="xl58"/>
    <w:basedOn w:val="1"/>
    <w:autoRedefine/>
    <w:qFormat/>
    <w:uiPriority w:val="0"/>
    <w:pPr>
      <w:widowControl/>
      <w:pBdr>
        <w:top w:val="single" w:color="000000" w:sz="2" w:space="0"/>
        <w:left w:val="single" w:color="000000" w:sz="2" w:space="0"/>
        <w:right w:val="single" w:color="000000" w:sz="2" w:space="0"/>
      </w:pBdr>
      <w:suppressAutoHyphens/>
      <w:spacing w:before="280" w:after="280"/>
      <w:jc w:val="right"/>
      <w:textAlignment w:val="center"/>
    </w:pPr>
    <w:rPr>
      <w:rFonts w:ascii="黑体" w:hAnsi="黑体" w:eastAsia="黑体"/>
      <w:kern w:val="1"/>
      <w:sz w:val="20"/>
      <w:lang w:eastAsia="ar-SA"/>
    </w:rPr>
  </w:style>
  <w:style w:type="paragraph" w:customStyle="1" w:styleId="371">
    <w:name w:val="2册标题4"/>
    <w:basedOn w:val="1"/>
    <w:next w:val="1"/>
    <w:autoRedefine/>
    <w:qFormat/>
    <w:uiPriority w:val="0"/>
    <w:pPr>
      <w:spacing w:before="156" w:after="156" w:line="300" w:lineRule="auto"/>
      <w:ind w:left="420" w:leftChars="200"/>
      <w:outlineLvl w:val="3"/>
    </w:pPr>
    <w:rPr>
      <w:rFonts w:ascii="Arial" w:hAnsi="Arial" w:eastAsia="幼圆"/>
      <w:b/>
      <w:sz w:val="24"/>
    </w:rPr>
  </w:style>
  <w:style w:type="paragraph" w:customStyle="1" w:styleId="372">
    <w:name w:val="PARAGRAPH"/>
    <w:autoRedefine/>
    <w:qFormat/>
    <w:uiPriority w:val="0"/>
    <w:pPr>
      <w:widowControl w:val="0"/>
      <w:tabs>
        <w:tab w:val="center" w:pos="4536"/>
        <w:tab w:val="right" w:pos="9072"/>
      </w:tabs>
      <w:suppressAutoHyphens/>
      <w:overflowPunct w:val="0"/>
      <w:autoSpaceDE w:val="0"/>
      <w:spacing w:before="100" w:after="200"/>
      <w:jc w:val="both"/>
      <w:textAlignment w:val="baseline"/>
    </w:pPr>
    <w:rPr>
      <w:rFonts w:ascii="Arial" w:hAnsi="Arial" w:eastAsia="宋体" w:cs="Times New Roman"/>
      <w:spacing w:val="8"/>
      <w:lang w:val="en-US" w:eastAsia="ar-SA" w:bidi="ar-SA"/>
    </w:rPr>
  </w:style>
  <w:style w:type="paragraph" w:customStyle="1" w:styleId="373">
    <w:name w:val="项目下文字"/>
    <w:basedOn w:val="217"/>
    <w:autoRedefine/>
    <w:qFormat/>
    <w:uiPriority w:val="0"/>
  </w:style>
  <w:style w:type="paragraph" w:customStyle="1" w:styleId="374">
    <w:name w:val="xl47"/>
    <w:basedOn w:val="1"/>
    <w:autoRedefine/>
    <w:qFormat/>
    <w:uiPriority w:val="0"/>
    <w:pPr>
      <w:widowControl/>
      <w:pBdr>
        <w:top w:val="single" w:color="000000" w:sz="2" w:space="0"/>
        <w:left w:val="single" w:color="000000" w:sz="2" w:space="0"/>
        <w:bottom w:val="single" w:color="000000" w:sz="8" w:space="0"/>
        <w:right w:val="single" w:color="000000" w:sz="2" w:space="0"/>
      </w:pBdr>
      <w:suppressAutoHyphens/>
      <w:spacing w:before="280" w:after="280"/>
      <w:jc w:val="right"/>
      <w:textAlignment w:val="center"/>
    </w:pPr>
    <w:rPr>
      <w:kern w:val="1"/>
      <w:sz w:val="20"/>
      <w:lang w:eastAsia="ar-SA"/>
    </w:rPr>
  </w:style>
  <w:style w:type="paragraph" w:customStyle="1" w:styleId="375">
    <w:name w:val="xl73"/>
    <w:basedOn w:val="1"/>
    <w:autoRedefine/>
    <w:qFormat/>
    <w:uiPriority w:val="0"/>
    <w:pPr>
      <w:widowControl/>
      <w:pBdr>
        <w:top w:val="single" w:color="000000" w:sz="2" w:space="0"/>
        <w:left w:val="single" w:color="000000" w:sz="2" w:space="0"/>
        <w:right w:val="single" w:color="000000" w:sz="2" w:space="0"/>
      </w:pBdr>
      <w:suppressAutoHyphens/>
      <w:spacing w:before="280" w:after="280"/>
      <w:jc w:val="right"/>
      <w:textAlignment w:val="center"/>
    </w:pPr>
    <w:rPr>
      <w:rFonts w:ascii="黑体" w:hAnsi="黑体" w:eastAsia="黑体"/>
      <w:b/>
      <w:bCs/>
      <w:kern w:val="1"/>
      <w:sz w:val="20"/>
      <w:lang w:eastAsia="ar-SA"/>
    </w:rPr>
  </w:style>
  <w:style w:type="paragraph" w:customStyle="1" w:styleId="376">
    <w:name w:val="缩进正文"/>
    <w:basedOn w:val="1"/>
    <w:autoRedefine/>
    <w:qFormat/>
    <w:uiPriority w:val="0"/>
    <w:pPr>
      <w:widowControl/>
      <w:spacing w:after="200" w:line="400" w:lineRule="exact"/>
      <w:ind w:left="1418"/>
      <w:jc w:val="left"/>
    </w:pPr>
  </w:style>
  <w:style w:type="paragraph" w:customStyle="1" w:styleId="377">
    <w:name w:val="xl81"/>
    <w:basedOn w:val="1"/>
    <w:autoRedefine/>
    <w:qFormat/>
    <w:uiPriority w:val="0"/>
    <w:pPr>
      <w:widowControl/>
      <w:pBdr>
        <w:bottom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378">
    <w:name w:val="页脚 New"/>
    <w:basedOn w:val="379"/>
    <w:autoRedefine/>
    <w:qFormat/>
    <w:uiPriority w:val="0"/>
    <w:pPr>
      <w:tabs>
        <w:tab w:val="center" w:pos="4153"/>
        <w:tab w:val="right" w:pos="8306"/>
      </w:tabs>
      <w:snapToGrid w:val="0"/>
      <w:jc w:val="left"/>
    </w:pPr>
    <w:rPr>
      <w:sz w:val="18"/>
      <w:szCs w:val="18"/>
    </w:rPr>
  </w:style>
  <w:style w:type="paragraph" w:customStyle="1" w:styleId="37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80">
    <w:name w:val="样式 标题 5 + 仿宋_GB2312"/>
    <w:basedOn w:val="6"/>
    <w:autoRedefine/>
    <w:qFormat/>
    <w:uiPriority w:val="0"/>
    <w:pPr>
      <w:tabs>
        <w:tab w:val="left" w:pos="1260"/>
      </w:tabs>
      <w:suppressAutoHyphens/>
      <w:spacing w:line="374" w:lineRule="auto"/>
      <w:ind w:left="1260" w:hanging="420"/>
    </w:pPr>
    <w:rPr>
      <w:rFonts w:hAnsi="仿宋_GB2312" w:eastAsia="宋体"/>
      <w:kern w:val="1"/>
      <w:sz w:val="24"/>
      <w:lang w:eastAsia="ar-SA"/>
    </w:rPr>
  </w:style>
  <w:style w:type="paragraph" w:customStyle="1" w:styleId="381">
    <w:name w:val="xl95"/>
    <w:basedOn w:val="1"/>
    <w:autoRedefine/>
    <w:qFormat/>
    <w:uiPriority w:val="0"/>
    <w:pPr>
      <w:widowControl/>
      <w:pBdr>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382">
    <w:name w:val="标准文件_一级条标题"/>
    <w:basedOn w:val="147"/>
    <w:next w:val="1"/>
    <w:autoRedefine/>
    <w:qFormat/>
    <w:uiPriority w:val="0"/>
    <w:pPr>
      <w:spacing w:before="0" w:after="0"/>
      <w:ind w:left="0"/>
      <w:jc w:val="left"/>
      <w:outlineLvl w:val="2"/>
    </w:pPr>
    <w:rPr>
      <w:rFonts w:hAnsi="宋体"/>
      <w:bCs/>
      <w:color w:val="000000"/>
      <w:sz w:val="24"/>
      <w:lang w:val="zh-CN"/>
    </w:rPr>
  </w:style>
  <w:style w:type="paragraph" w:customStyle="1" w:styleId="38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24"/>
      <w:szCs w:val="24"/>
    </w:rPr>
  </w:style>
  <w:style w:type="paragraph" w:customStyle="1" w:styleId="384">
    <w:name w:val="pa-1"/>
    <w:basedOn w:val="1"/>
    <w:autoRedefine/>
    <w:qFormat/>
    <w:uiPriority w:val="0"/>
    <w:pPr>
      <w:widowControl/>
      <w:spacing w:line="340" w:lineRule="atLeast"/>
    </w:pPr>
    <w:rPr>
      <w:rFonts w:hAnsi="宋体" w:cs="宋体"/>
      <w:sz w:val="24"/>
      <w:szCs w:val="24"/>
    </w:rPr>
  </w:style>
  <w:style w:type="paragraph" w:customStyle="1" w:styleId="385">
    <w:name w:val="xl34"/>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386">
    <w:name w:val="标准文件_大表标题"/>
    <w:basedOn w:val="1"/>
    <w:autoRedefine/>
    <w:qFormat/>
    <w:uiPriority w:val="0"/>
    <w:pPr>
      <w:widowControl/>
      <w:adjustRightInd w:val="0"/>
      <w:snapToGrid w:val="0"/>
      <w:spacing w:line="300" w:lineRule="auto"/>
      <w:jc w:val="center"/>
    </w:pPr>
    <w:rPr>
      <w:b/>
      <w:color w:val="000000"/>
      <w:spacing w:val="2"/>
      <w:szCs w:val="24"/>
    </w:rPr>
  </w:style>
  <w:style w:type="paragraph" w:customStyle="1" w:styleId="387">
    <w:name w:val="正文缩进2"/>
    <w:basedOn w:val="1"/>
    <w:autoRedefine/>
    <w:qFormat/>
    <w:uiPriority w:val="0"/>
    <w:pPr>
      <w:suppressAutoHyphens/>
      <w:spacing w:line="360" w:lineRule="auto"/>
      <w:ind w:firstLine="540"/>
    </w:pPr>
    <w:rPr>
      <w:rFonts w:ascii="仿宋_GB2312" w:hAnsi="仿宋_GB2312" w:eastAsia="仿宋_GB2312"/>
      <w:kern w:val="1"/>
      <w:sz w:val="28"/>
      <w:szCs w:val="24"/>
      <w:lang w:val="zh-CN" w:eastAsia="ar-SA"/>
    </w:rPr>
  </w:style>
  <w:style w:type="paragraph" w:customStyle="1" w:styleId="388">
    <w:name w:val="xl78"/>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b/>
      <w:bCs/>
      <w:kern w:val="1"/>
      <w:sz w:val="20"/>
      <w:lang w:eastAsia="ar-SA"/>
    </w:rPr>
  </w:style>
  <w:style w:type="paragraph" w:customStyle="1" w:styleId="389">
    <w:name w:val="标题 2（网御星云）"/>
    <w:basedOn w:val="3"/>
    <w:next w:val="1"/>
    <w:autoRedefine/>
    <w:qFormat/>
    <w:uiPriority w:val="0"/>
    <w:pPr>
      <w:ind w:left="794" w:hanging="794"/>
      <w:jc w:val="left"/>
    </w:pPr>
    <w:rPr>
      <w:bCs w:val="0"/>
    </w:rPr>
  </w:style>
  <w:style w:type="paragraph" w:customStyle="1" w:styleId="390">
    <w:name w:val="关键词"/>
    <w:basedOn w:val="1"/>
    <w:autoRedefine/>
    <w:qFormat/>
    <w:uiPriority w:val="0"/>
    <w:pPr>
      <w:tabs>
        <w:tab w:val="left" w:pos="907"/>
      </w:tabs>
      <w:spacing w:line="360" w:lineRule="auto"/>
      <w:ind w:left="879" w:hanging="879"/>
    </w:pPr>
    <w:rPr>
      <w:rFonts w:eastAsia="楷体_GB2312"/>
    </w:rPr>
  </w:style>
  <w:style w:type="paragraph" w:customStyle="1" w:styleId="391">
    <w:name w:val="xl87"/>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pPr>
    <w:rPr>
      <w:kern w:val="1"/>
      <w:sz w:val="20"/>
      <w:lang w:eastAsia="ar-SA"/>
    </w:rPr>
  </w:style>
  <w:style w:type="paragraph" w:customStyle="1" w:styleId="392">
    <w:name w:val="xl83"/>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textAlignment w:val="center"/>
    </w:pPr>
    <w:rPr>
      <w:rFonts w:ascii="Arial Unicode MS" w:hAnsi="Arial Unicode MS"/>
      <w:b/>
      <w:bCs/>
      <w:kern w:val="1"/>
      <w:sz w:val="20"/>
      <w:lang w:eastAsia="ar-SA"/>
    </w:rPr>
  </w:style>
  <w:style w:type="paragraph" w:customStyle="1" w:styleId="393">
    <w:name w:val="Char16"/>
    <w:basedOn w:val="1"/>
    <w:autoRedefine/>
    <w:qFormat/>
    <w:uiPriority w:val="0"/>
    <w:pPr>
      <w:widowControl/>
      <w:spacing w:after="160" w:line="240" w:lineRule="exact"/>
      <w:jc w:val="left"/>
    </w:pPr>
    <w:rPr>
      <w:rFonts w:ascii="Verdana" w:hAnsi="Verdana"/>
      <w:sz w:val="20"/>
      <w:lang w:eastAsia="en-US"/>
    </w:rPr>
  </w:style>
  <w:style w:type="paragraph" w:customStyle="1" w:styleId="394">
    <w:name w:val="Char1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395">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newtext"/>
    <w:basedOn w:val="1"/>
    <w:autoRedefine/>
    <w:qFormat/>
    <w:uiPriority w:val="0"/>
    <w:pPr>
      <w:widowControl/>
      <w:spacing w:before="100" w:beforeAutospacing="1" w:after="100" w:afterAutospacing="1"/>
      <w:jc w:val="left"/>
    </w:pPr>
    <w:rPr>
      <w:rFonts w:hAnsi="宋体" w:cs="宋体"/>
      <w:sz w:val="24"/>
      <w:szCs w:val="24"/>
    </w:rPr>
  </w:style>
  <w:style w:type="paragraph" w:customStyle="1" w:styleId="397">
    <w:name w:val="符合标题4"/>
    <w:basedOn w:val="1"/>
    <w:autoRedefine/>
    <w:qFormat/>
    <w:uiPriority w:val="0"/>
    <w:pPr>
      <w:widowControl/>
      <w:tabs>
        <w:tab w:val="left" w:pos="0"/>
      </w:tabs>
      <w:spacing w:before="100" w:beforeAutospacing="1" w:after="100" w:afterAutospacing="1" w:line="360" w:lineRule="auto"/>
      <w:jc w:val="left"/>
    </w:pPr>
    <w:rPr>
      <w:rFonts w:hAnsi="宋体"/>
      <w:sz w:val="24"/>
      <w:szCs w:val="24"/>
    </w:rPr>
  </w:style>
  <w:style w:type="paragraph" w:customStyle="1" w:styleId="398">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399">
    <w:name w:val="页脚 New New"/>
    <w:basedOn w:val="225"/>
    <w:autoRedefine/>
    <w:qFormat/>
    <w:uiPriority w:val="0"/>
    <w:pPr>
      <w:tabs>
        <w:tab w:val="center" w:pos="4153"/>
        <w:tab w:val="right" w:pos="8306"/>
      </w:tabs>
      <w:snapToGrid w:val="0"/>
      <w:jc w:val="left"/>
    </w:pPr>
    <w:rPr>
      <w:sz w:val="18"/>
      <w:szCs w:val="18"/>
    </w:rPr>
  </w:style>
  <w:style w:type="paragraph" w:customStyle="1" w:styleId="400">
    <w:name w:val="普通(网站) New"/>
    <w:basedOn w:val="144"/>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01">
    <w:name w:val="Bulleted List 1"/>
    <w:basedOn w:val="1"/>
    <w:autoRedefine/>
    <w:qFormat/>
    <w:uiPriority w:val="0"/>
    <w:pPr>
      <w:widowControl/>
      <w:tabs>
        <w:tab w:val="left" w:pos="360"/>
      </w:tabs>
      <w:spacing w:before="60" w:after="60" w:line="260" w:lineRule="exact"/>
      <w:ind w:left="360" w:hanging="360"/>
      <w:jc w:val="left"/>
    </w:pPr>
    <w:rPr>
      <w:rFonts w:ascii="Verdana" w:hAnsi="Verdana"/>
      <w:color w:val="000000"/>
      <w:sz w:val="20"/>
      <w:lang w:eastAsia="en-US"/>
    </w:rPr>
  </w:style>
  <w:style w:type="paragraph" w:customStyle="1" w:styleId="402">
    <w:name w:val="样式 宋体 小四 首行缩进:  1 字符"/>
    <w:basedOn w:val="1"/>
    <w:autoRedefine/>
    <w:qFormat/>
    <w:uiPriority w:val="0"/>
    <w:pPr>
      <w:ind w:firstLine="240" w:firstLineChars="100"/>
    </w:pPr>
    <w:rPr>
      <w:rFonts w:hAnsi="宋体" w:cs="宋体"/>
      <w:sz w:val="24"/>
    </w:rPr>
  </w:style>
  <w:style w:type="paragraph" w:customStyle="1" w:styleId="403">
    <w:name w:val="正文首行缩进两字符"/>
    <w:basedOn w:val="1"/>
    <w:autoRedefine/>
    <w:qFormat/>
    <w:uiPriority w:val="0"/>
    <w:pPr>
      <w:spacing w:line="360" w:lineRule="auto"/>
      <w:ind w:firstLine="200" w:firstLineChars="200"/>
    </w:pPr>
    <w:rPr>
      <w:sz w:val="24"/>
    </w:rPr>
  </w:style>
  <w:style w:type="paragraph" w:customStyle="1" w:styleId="404">
    <w:name w:val="text12"/>
    <w:basedOn w:val="1"/>
    <w:autoRedefine/>
    <w:qFormat/>
    <w:uiPriority w:val="0"/>
    <w:pPr>
      <w:widowControl/>
      <w:spacing w:before="100" w:beforeAutospacing="1" w:after="100" w:afterAutospacing="1"/>
      <w:ind w:firstLine="480"/>
      <w:jc w:val="left"/>
    </w:pPr>
    <w:rPr>
      <w:rFonts w:hAnsi="宋体" w:cs="宋体"/>
      <w:szCs w:val="21"/>
    </w:rPr>
  </w:style>
  <w:style w:type="paragraph" w:customStyle="1" w:styleId="405">
    <w:name w:val="Fließtext"/>
    <w:basedOn w:val="1"/>
    <w:autoRedefine/>
    <w:qFormat/>
    <w:uiPriority w:val="0"/>
    <w:pPr>
      <w:widowControl/>
      <w:spacing w:before="40" w:after="40"/>
      <w:jc w:val="left"/>
    </w:pPr>
    <w:rPr>
      <w:rFonts w:ascii="Arial" w:hAnsi="Arial"/>
      <w:sz w:val="20"/>
    </w:rPr>
  </w:style>
  <w:style w:type="paragraph" w:customStyle="1" w:styleId="406">
    <w:name w:val="lgh样式正文缩2"/>
    <w:basedOn w:val="14"/>
    <w:autoRedefine/>
    <w:qFormat/>
    <w:uiPriority w:val="0"/>
    <w:pPr>
      <w:snapToGrid w:val="0"/>
      <w:spacing w:line="360" w:lineRule="auto"/>
      <w:ind w:firstLine="480" w:firstLineChars="200"/>
      <w:jc w:val="both"/>
    </w:pPr>
    <w:rPr>
      <w:rFonts w:ascii="Times New Roman"/>
    </w:rPr>
  </w:style>
  <w:style w:type="paragraph" w:customStyle="1" w:styleId="407">
    <w:name w:val="xl69"/>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rFonts w:ascii="黑体" w:hAnsi="黑体" w:eastAsia="黑体"/>
      <w:b/>
      <w:bCs/>
      <w:kern w:val="1"/>
      <w:sz w:val="20"/>
      <w:lang w:eastAsia="ar-SA"/>
    </w:rPr>
  </w:style>
  <w:style w:type="paragraph" w:customStyle="1" w:styleId="408">
    <w:name w:val="xl89"/>
    <w:basedOn w:val="1"/>
    <w:autoRedefine/>
    <w:qFormat/>
    <w:uiPriority w:val="0"/>
    <w:pPr>
      <w:widowControl/>
      <w:pBdr>
        <w:top w:val="single" w:color="000000" w:sz="8" w:space="0"/>
        <w:left w:val="single" w:color="000000" w:sz="2" w:space="0"/>
        <w:bottom w:val="single" w:color="000000" w:sz="2" w:space="0"/>
      </w:pBdr>
      <w:suppressAutoHyphens/>
      <w:spacing w:before="280" w:after="280"/>
      <w:jc w:val="center"/>
      <w:textAlignment w:val="center"/>
    </w:pPr>
    <w:rPr>
      <w:kern w:val="1"/>
      <w:sz w:val="20"/>
      <w:lang w:eastAsia="ar-SA"/>
    </w:rPr>
  </w:style>
  <w:style w:type="paragraph" w:customStyle="1" w:styleId="409">
    <w:name w:val="style1"/>
    <w:basedOn w:val="1"/>
    <w:autoRedefine/>
    <w:qFormat/>
    <w:uiPriority w:val="0"/>
    <w:pPr>
      <w:widowControl/>
      <w:spacing w:before="100" w:beforeAutospacing="1" w:after="100" w:afterAutospacing="1"/>
      <w:jc w:val="left"/>
    </w:pPr>
    <w:rPr>
      <w:rFonts w:ascii="Arial" w:hAnsi="Arial" w:cs="Arial"/>
      <w:sz w:val="24"/>
      <w:szCs w:val="24"/>
    </w:rPr>
  </w:style>
  <w:style w:type="paragraph" w:customStyle="1" w:styleId="410">
    <w:name w:val="xl74"/>
    <w:basedOn w:val="1"/>
    <w:autoRedefine/>
    <w:qFormat/>
    <w:uiPriority w:val="0"/>
    <w:pPr>
      <w:widowControl/>
      <w:pBdr>
        <w:left w:val="single" w:color="000000" w:sz="2" w:space="0"/>
        <w:bottom w:val="single" w:color="000000" w:sz="2" w:space="0"/>
        <w:right w:val="single" w:color="000000" w:sz="2" w:space="0"/>
      </w:pBdr>
      <w:suppressAutoHyphens/>
      <w:spacing w:before="280" w:after="280"/>
      <w:jc w:val="right"/>
      <w:textAlignment w:val="center"/>
    </w:pPr>
    <w:rPr>
      <w:rFonts w:ascii="黑体" w:hAnsi="黑体" w:eastAsia="黑体"/>
      <w:b/>
      <w:bCs/>
      <w:kern w:val="1"/>
      <w:sz w:val="20"/>
      <w:lang w:eastAsia="ar-SA"/>
    </w:rPr>
  </w:style>
  <w:style w:type="paragraph" w:customStyle="1" w:styleId="411">
    <w:name w:val="项目符号：一级"/>
    <w:basedOn w:val="1"/>
    <w:next w:val="1"/>
    <w:autoRedefine/>
    <w:qFormat/>
    <w:uiPriority w:val="0"/>
    <w:pPr>
      <w:widowControl/>
      <w:tabs>
        <w:tab w:val="left" w:pos="900"/>
      </w:tabs>
      <w:adjustRightInd w:val="0"/>
      <w:snapToGrid w:val="0"/>
      <w:spacing w:line="360" w:lineRule="auto"/>
      <w:ind w:left="360" w:hanging="360"/>
      <w:jc w:val="left"/>
      <w:textAlignment w:val="baseline"/>
    </w:pPr>
    <w:rPr>
      <w:rFonts w:hAnsi="宋体"/>
      <w:sz w:val="24"/>
    </w:rPr>
  </w:style>
  <w:style w:type="paragraph" w:customStyle="1" w:styleId="412">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413">
    <w:name w:val="样式 正文缩进四号特点表正文正文非缩进段1ALT+ZPI正文文字首行缩进正文1缩进正文双线水上软件样式..."/>
    <w:basedOn w:val="14"/>
    <w:autoRedefine/>
    <w:qFormat/>
    <w:uiPriority w:val="0"/>
    <w:pPr>
      <w:adjustRightInd/>
      <w:spacing w:beforeLines="50" w:afterLines="50" w:line="360" w:lineRule="auto"/>
      <w:ind w:firstLine="480" w:firstLineChars="200"/>
      <w:jc w:val="both"/>
    </w:pPr>
    <w:rPr>
      <w:rFonts w:hAnsi="宋体" w:cs="宋体"/>
      <w:szCs w:val="24"/>
    </w:rPr>
  </w:style>
  <w:style w:type="paragraph" w:customStyle="1" w:styleId="414">
    <w:name w:val="目录文字"/>
    <w:basedOn w:val="1"/>
    <w:autoRedefine/>
    <w:qFormat/>
    <w:uiPriority w:val="0"/>
    <w:pPr>
      <w:widowControl/>
      <w:spacing w:line="480" w:lineRule="auto"/>
      <w:jc w:val="left"/>
    </w:pPr>
    <w:rPr>
      <w:rFonts w:hAnsi="宋体"/>
      <w:sz w:val="24"/>
    </w:rPr>
  </w:style>
  <w:style w:type="paragraph" w:customStyle="1" w:styleId="415">
    <w:name w:val="itemlist"/>
    <w:basedOn w:val="1"/>
    <w:autoRedefine/>
    <w:qFormat/>
    <w:uiPriority w:val="0"/>
    <w:pPr>
      <w:widowControl/>
      <w:spacing w:before="100" w:beforeAutospacing="1" w:after="100" w:afterAutospacing="1" w:line="240" w:lineRule="atLeast"/>
      <w:jc w:val="left"/>
    </w:pPr>
    <w:rPr>
      <w:rFonts w:hAnsi="宋体" w:cs="宋体"/>
      <w:sz w:val="18"/>
      <w:szCs w:val="18"/>
    </w:rPr>
  </w:style>
  <w:style w:type="paragraph" w:customStyle="1" w:styleId="416">
    <w:name w:val="list1"/>
    <w:basedOn w:val="1"/>
    <w:autoRedefine/>
    <w:qFormat/>
    <w:uiPriority w:val="0"/>
    <w:pPr>
      <w:tabs>
        <w:tab w:val="left" w:pos="360"/>
      </w:tabs>
      <w:adjustRightInd w:val="0"/>
      <w:spacing w:line="360" w:lineRule="auto"/>
      <w:textAlignment w:val="baseline"/>
    </w:pPr>
    <w:rPr>
      <w:color w:val="000000"/>
      <w:sz w:val="24"/>
    </w:rPr>
  </w:style>
  <w:style w:type="paragraph" w:customStyle="1" w:styleId="417">
    <w:name w:val="WW-图表目录"/>
    <w:basedOn w:val="1"/>
    <w:next w:val="1"/>
    <w:autoRedefine/>
    <w:qFormat/>
    <w:uiPriority w:val="0"/>
    <w:pPr>
      <w:suppressAutoHyphens/>
      <w:spacing w:before="156" w:after="156"/>
      <w:jc w:val="center"/>
    </w:pPr>
    <w:rPr>
      <w:rFonts w:eastAsia="仿宋_GB2312"/>
      <w:kern w:val="1"/>
      <w:sz w:val="28"/>
      <w:szCs w:val="24"/>
      <w:lang w:eastAsia="ar-SA"/>
    </w:rPr>
  </w:style>
  <w:style w:type="paragraph" w:customStyle="1" w:styleId="418">
    <w:name w:val="摘要"/>
    <w:basedOn w:val="1"/>
    <w:autoRedefine/>
    <w:qFormat/>
    <w:uiPriority w:val="0"/>
    <w:pPr>
      <w:tabs>
        <w:tab w:val="left" w:pos="907"/>
      </w:tabs>
      <w:spacing w:line="360" w:lineRule="auto"/>
      <w:ind w:left="879" w:hanging="879"/>
    </w:pPr>
    <w:rPr>
      <w:rFonts w:eastAsia="楷体_GB2312"/>
    </w:rPr>
  </w:style>
  <w:style w:type="paragraph" w:customStyle="1" w:styleId="419">
    <w:name w:val="style103"/>
    <w:basedOn w:val="1"/>
    <w:autoRedefine/>
    <w:qFormat/>
    <w:uiPriority w:val="0"/>
    <w:pPr>
      <w:widowControl/>
      <w:spacing w:before="100" w:beforeAutospacing="1" w:after="100" w:afterAutospacing="1"/>
      <w:jc w:val="left"/>
    </w:pPr>
    <w:rPr>
      <w:rFonts w:ascii="Arial" w:hAnsi="Arial" w:cs="Arial"/>
      <w:sz w:val="24"/>
      <w:szCs w:val="24"/>
    </w:rPr>
  </w:style>
  <w:style w:type="paragraph" w:customStyle="1" w:styleId="420">
    <w:name w:val="标准文件_大表内容"/>
    <w:basedOn w:val="1"/>
    <w:autoRedefine/>
    <w:qFormat/>
    <w:uiPriority w:val="0"/>
    <w:pPr>
      <w:widowControl/>
      <w:adjustRightInd w:val="0"/>
      <w:snapToGrid w:val="0"/>
      <w:spacing w:line="300" w:lineRule="auto"/>
      <w:jc w:val="left"/>
    </w:pPr>
    <w:rPr>
      <w:rFonts w:cs="仿宋_GB2312"/>
      <w:bCs/>
      <w:color w:val="000000"/>
      <w:spacing w:val="2"/>
      <w:szCs w:val="21"/>
      <w:lang w:val="zh-CN"/>
    </w:rPr>
  </w:style>
  <w:style w:type="paragraph" w:customStyle="1" w:styleId="421">
    <w:name w:val="xl72"/>
    <w:basedOn w:val="1"/>
    <w:autoRedefine/>
    <w:qFormat/>
    <w:uiPriority w:val="0"/>
    <w:pPr>
      <w:widowControl/>
      <w:pBdr>
        <w:top w:val="single" w:color="000000" w:sz="2" w:space="0"/>
        <w:left w:val="single" w:color="000000" w:sz="2" w:space="0"/>
        <w:right w:val="single" w:color="000000" w:sz="2" w:space="0"/>
      </w:pBdr>
      <w:suppressAutoHyphens/>
      <w:spacing w:before="280" w:after="280"/>
      <w:jc w:val="left"/>
      <w:textAlignment w:val="center"/>
    </w:pPr>
    <w:rPr>
      <w:rFonts w:ascii="黑体" w:hAnsi="黑体" w:eastAsia="黑体"/>
      <w:b/>
      <w:bCs/>
      <w:kern w:val="1"/>
      <w:sz w:val="20"/>
      <w:lang w:eastAsia="ar-SA"/>
    </w:rPr>
  </w:style>
  <w:style w:type="paragraph" w:customStyle="1" w:styleId="422">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423">
    <w:name w:val="xl43"/>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textAlignment w:val="center"/>
    </w:pPr>
    <w:rPr>
      <w:rFonts w:ascii="黑体" w:hAnsi="黑体" w:eastAsia="黑体"/>
      <w:kern w:val="1"/>
      <w:sz w:val="20"/>
      <w:lang w:eastAsia="ar-SA"/>
    </w:rPr>
  </w:style>
  <w:style w:type="paragraph" w:customStyle="1" w:styleId="424">
    <w:name w:val="样式 宋体 小四 左"/>
    <w:basedOn w:val="1"/>
    <w:autoRedefine/>
    <w:qFormat/>
    <w:uiPriority w:val="0"/>
    <w:pPr>
      <w:jc w:val="left"/>
    </w:pPr>
    <w:rPr>
      <w:rFonts w:hAnsi="宋体" w:cs="宋体"/>
      <w:sz w:val="24"/>
    </w:rPr>
  </w:style>
  <w:style w:type="paragraph" w:customStyle="1" w:styleId="425">
    <w:name w:val="标准小三"/>
    <w:basedOn w:val="1"/>
    <w:autoRedefine/>
    <w:qFormat/>
    <w:uiPriority w:val="0"/>
    <w:pPr>
      <w:spacing w:line="700" w:lineRule="exact"/>
      <w:ind w:firstLine="200" w:firstLineChars="200"/>
    </w:pPr>
    <w:rPr>
      <w:rFonts w:hAnsi="Arial" w:eastAsia="仿宋_GB2312"/>
      <w:sz w:val="30"/>
      <w:szCs w:val="32"/>
    </w:rPr>
  </w:style>
  <w:style w:type="paragraph" w:customStyle="1" w:styleId="426">
    <w:name w:val="正文 New New New New New New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27">
    <w:name w:val="style6"/>
    <w:basedOn w:val="1"/>
    <w:autoRedefine/>
    <w:qFormat/>
    <w:uiPriority w:val="0"/>
    <w:pPr>
      <w:widowControl/>
      <w:spacing w:before="100" w:beforeAutospacing="1" w:after="100" w:afterAutospacing="1"/>
      <w:jc w:val="left"/>
    </w:pPr>
    <w:rPr>
      <w:rFonts w:hAnsi="宋体" w:cs="宋体"/>
      <w:sz w:val="24"/>
      <w:szCs w:val="24"/>
    </w:rPr>
  </w:style>
  <w:style w:type="paragraph" w:customStyle="1" w:styleId="428">
    <w:name w:val="文字 Char Char Char Char Char Char1 Char Char"/>
    <w:basedOn w:val="1"/>
    <w:autoRedefine/>
    <w:qFormat/>
    <w:uiPriority w:val="0"/>
    <w:pPr>
      <w:widowControl/>
      <w:snapToGrid w:val="0"/>
      <w:spacing w:before="120" w:after="160" w:line="360" w:lineRule="auto"/>
      <w:ind w:right="-360"/>
      <w:jc w:val="left"/>
    </w:pPr>
    <w:rPr>
      <w:rFonts w:ascii="Verdana" w:hAnsi="Verdana"/>
      <w:sz w:val="20"/>
      <w:lang w:eastAsia="en-US"/>
    </w:rPr>
  </w:style>
  <w:style w:type="paragraph" w:customStyle="1" w:styleId="429">
    <w:name w:val="CHX1"/>
    <w:basedOn w:val="1"/>
    <w:autoRedefine/>
    <w:qFormat/>
    <w:uiPriority w:val="0"/>
    <w:pPr>
      <w:tabs>
        <w:tab w:val="left" w:pos="1260"/>
      </w:tabs>
      <w:spacing w:line="480" w:lineRule="auto"/>
    </w:pPr>
    <w:rPr>
      <w:rFonts w:ascii="黑体" w:eastAsia="黑体"/>
      <w:b/>
      <w:bCs/>
      <w:sz w:val="28"/>
      <w:szCs w:val="28"/>
    </w:rPr>
  </w:style>
  <w:style w:type="paragraph" w:customStyle="1" w:styleId="430">
    <w:name w:val="样式 首行缩进:  2 字符"/>
    <w:basedOn w:val="1"/>
    <w:autoRedefine/>
    <w:qFormat/>
    <w:uiPriority w:val="0"/>
    <w:pPr>
      <w:suppressAutoHyphens/>
      <w:spacing w:before="280" w:after="280" w:line="360" w:lineRule="auto"/>
      <w:ind w:firstLine="540"/>
    </w:pPr>
    <w:rPr>
      <w:rFonts w:hAnsi="宋体"/>
      <w:kern w:val="1"/>
      <w:sz w:val="24"/>
      <w:lang w:eastAsia="ar-SA"/>
    </w:rPr>
  </w:style>
  <w:style w:type="paragraph" w:customStyle="1" w:styleId="431">
    <w:name w:val="xl54"/>
    <w:basedOn w:val="1"/>
    <w:autoRedefine/>
    <w:qFormat/>
    <w:uiPriority w:val="0"/>
    <w:pPr>
      <w:widowControl/>
      <w:pBdr>
        <w:left w:val="single" w:color="000000" w:sz="2" w:space="0"/>
        <w:right w:val="single" w:color="000000" w:sz="2" w:space="0"/>
      </w:pBdr>
      <w:suppressAutoHyphens/>
      <w:spacing w:before="280" w:after="280"/>
      <w:jc w:val="left"/>
      <w:textAlignment w:val="center"/>
    </w:pPr>
    <w:rPr>
      <w:rFonts w:ascii="Arial Unicode MS" w:hAnsi="Arial Unicode MS"/>
      <w:kern w:val="1"/>
      <w:sz w:val="20"/>
      <w:lang w:eastAsia="ar-SA"/>
    </w:rPr>
  </w:style>
  <w:style w:type="paragraph" w:customStyle="1" w:styleId="432">
    <w:name w:val="xl32"/>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433">
    <w:name w:val="样式 标题 3h3Level 3 Topic HeadingHeading 3 - oldH3l33rd level..."/>
    <w:basedOn w:val="4"/>
    <w:autoRedefine/>
    <w:qFormat/>
    <w:uiPriority w:val="0"/>
    <w:pPr>
      <w:widowControl w:val="0"/>
      <w:tabs>
        <w:tab w:val="left" w:pos="851"/>
        <w:tab w:val="left" w:pos="1444"/>
      </w:tabs>
      <w:suppressAutoHyphens/>
      <w:spacing w:line="360" w:lineRule="auto"/>
      <w:ind w:left="1260" w:hanging="420"/>
      <w:jc w:val="both"/>
    </w:pPr>
    <w:rPr>
      <w:rFonts w:ascii="仿宋_GB2312" w:hAnsi="仿宋_GB2312"/>
      <w:kern w:val="1"/>
      <w:szCs w:val="20"/>
      <w:lang w:eastAsia="ar-SA"/>
    </w:rPr>
  </w:style>
  <w:style w:type="paragraph" w:customStyle="1" w:styleId="434">
    <w:name w:val="Numbered list 2.1"/>
    <w:basedOn w:val="2"/>
    <w:next w:val="1"/>
    <w:autoRedefine/>
    <w:qFormat/>
    <w:uiPriority w:val="0"/>
    <w:pPr>
      <w:widowControl/>
      <w:tabs>
        <w:tab w:val="left" w:pos="720"/>
      </w:tabs>
      <w:adjustRightInd/>
      <w:spacing w:after="60" w:line="240" w:lineRule="auto"/>
      <w:ind w:left="1134" w:hanging="567"/>
      <w:jc w:val="left"/>
    </w:pPr>
    <w:rPr>
      <w:rFonts w:ascii="Futura Bk" w:hAnsi="Futura Bk"/>
      <w:kern w:val="28"/>
      <w:sz w:val="28"/>
      <w:lang w:eastAsia="en-US"/>
    </w:rPr>
  </w:style>
  <w:style w:type="paragraph" w:customStyle="1" w:styleId="435">
    <w:name w:val="页脚 New New New New New New New"/>
    <w:basedOn w:val="426"/>
    <w:autoRedefine/>
    <w:qFormat/>
    <w:uiPriority w:val="0"/>
    <w:pPr>
      <w:tabs>
        <w:tab w:val="center" w:pos="4153"/>
        <w:tab w:val="right" w:pos="8306"/>
      </w:tabs>
      <w:snapToGrid w:val="0"/>
      <w:jc w:val="left"/>
    </w:pPr>
    <w:rPr>
      <w:sz w:val="18"/>
      <w:szCs w:val="18"/>
    </w:rPr>
  </w:style>
  <w:style w:type="paragraph" w:customStyle="1" w:styleId="436">
    <w:name w:val="小标题"/>
    <w:basedOn w:val="1"/>
    <w:next w:val="14"/>
    <w:autoRedefine/>
    <w:qFormat/>
    <w:uiPriority w:val="0"/>
    <w:pPr>
      <w:tabs>
        <w:tab w:val="left" w:pos="420"/>
      </w:tabs>
      <w:spacing w:beforeLines="25" w:afterLines="25"/>
      <w:ind w:left="200" w:hanging="200" w:hangingChars="200"/>
    </w:pPr>
    <w:rPr>
      <w:rFonts w:ascii="Arial" w:hAnsi="Arial" w:eastAsia="黑体"/>
      <w:b/>
      <w:sz w:val="28"/>
      <w:szCs w:val="24"/>
    </w:rPr>
  </w:style>
  <w:style w:type="paragraph" w:customStyle="1" w:styleId="437">
    <w:name w:val="xl49"/>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right"/>
      <w:textAlignment w:val="center"/>
    </w:pPr>
    <w:rPr>
      <w:kern w:val="1"/>
      <w:sz w:val="20"/>
      <w:lang w:eastAsia="ar-SA"/>
    </w:rPr>
  </w:style>
  <w:style w:type="paragraph" w:customStyle="1" w:styleId="438">
    <w:name w:val="TOC 标题11"/>
    <w:basedOn w:val="2"/>
    <w:next w:val="1"/>
    <w:autoRedefine/>
    <w:qFormat/>
    <w:uiPriority w:val="0"/>
    <w:pPr>
      <w:widowControl/>
      <w:adjustRightInd/>
      <w:spacing w:before="480" w:after="0" w:line="276" w:lineRule="auto"/>
      <w:jc w:val="left"/>
      <w:outlineLvl w:val="9"/>
    </w:pPr>
    <w:rPr>
      <w:rFonts w:ascii="Cambria" w:hAnsi="Cambria"/>
      <w:bCs/>
      <w:color w:val="365F91"/>
      <w:kern w:val="0"/>
      <w:sz w:val="28"/>
      <w:szCs w:val="28"/>
    </w:rPr>
  </w:style>
  <w:style w:type="paragraph" w:customStyle="1" w:styleId="439">
    <w:name w:val="默认段落字体 Para Char Char Char Char Char Char Char Char Char Char Char Char Char Char Char Char Char Char Char"/>
    <w:basedOn w:val="1"/>
    <w:autoRedefine/>
    <w:qFormat/>
    <w:uiPriority w:val="0"/>
    <w:pPr>
      <w:adjustRightInd w:val="0"/>
      <w:spacing w:line="360" w:lineRule="auto"/>
    </w:pPr>
    <w:rPr>
      <w:sz w:val="24"/>
    </w:rPr>
  </w:style>
  <w:style w:type="paragraph" w:customStyle="1" w:styleId="440">
    <w:name w:val="WW-文档结构图"/>
    <w:basedOn w:val="1"/>
    <w:autoRedefine/>
    <w:qFormat/>
    <w:uiPriority w:val="0"/>
    <w:pPr>
      <w:shd w:val="clear" w:color="auto" w:fill="000080"/>
      <w:suppressAutoHyphens/>
      <w:spacing w:line="360" w:lineRule="auto"/>
    </w:pPr>
    <w:rPr>
      <w:kern w:val="1"/>
      <w:szCs w:val="24"/>
      <w:lang w:eastAsia="ar-SA"/>
    </w:rPr>
  </w:style>
  <w:style w:type="paragraph" w:customStyle="1" w:styleId="441">
    <w:name w:val="Bullet 2"/>
    <w:basedOn w:val="1"/>
    <w:autoRedefine/>
    <w:qFormat/>
    <w:uiPriority w:val="0"/>
    <w:pPr>
      <w:widowControl/>
      <w:tabs>
        <w:tab w:val="left" w:pos="780"/>
      </w:tabs>
      <w:spacing w:line="290" w:lineRule="atLeast"/>
      <w:jc w:val="left"/>
    </w:pPr>
    <w:rPr>
      <w:rFonts w:eastAsia="Times New Roman"/>
      <w:sz w:val="24"/>
      <w:lang w:eastAsia="en-US"/>
    </w:rPr>
  </w:style>
  <w:style w:type="paragraph" w:customStyle="1" w:styleId="442">
    <w:name w:val="xl85"/>
    <w:basedOn w:val="1"/>
    <w:autoRedefine/>
    <w:qFormat/>
    <w:uiPriority w:val="0"/>
    <w:pPr>
      <w:widowControl/>
      <w:pBdr>
        <w:top w:val="single" w:color="000000" w:sz="2" w:space="0"/>
        <w:left w:val="single" w:color="000000" w:sz="2" w:space="0"/>
        <w:bottom w:val="single" w:color="000000" w:sz="2" w:space="0"/>
        <w:right w:val="single" w:color="000000" w:sz="2" w:space="0"/>
      </w:pBdr>
      <w:suppressAutoHyphens/>
      <w:spacing w:before="280" w:after="280"/>
      <w:jc w:val="left"/>
      <w:textAlignment w:val="center"/>
    </w:pPr>
    <w:rPr>
      <w:kern w:val="1"/>
      <w:sz w:val="20"/>
      <w:lang w:eastAsia="ar-SA"/>
    </w:rPr>
  </w:style>
  <w:style w:type="paragraph" w:customStyle="1" w:styleId="443">
    <w:name w:val="标准文件_图居中"/>
    <w:autoRedefine/>
    <w:qFormat/>
    <w:uiPriority w:val="0"/>
    <w:pPr>
      <w:jc w:val="center"/>
    </w:pPr>
    <w:rPr>
      <w:rFonts w:ascii="Times New Roman" w:hAnsi="Times New Roman" w:eastAsia="宋体" w:cs="Times New Roman"/>
      <w:bCs/>
      <w:color w:val="000000"/>
      <w:spacing w:val="2"/>
      <w:sz w:val="24"/>
      <w:szCs w:val="24"/>
      <w:lang w:val="zh-CN" w:eastAsia="zh-CN" w:bidi="ar-SA"/>
    </w:rPr>
  </w:style>
  <w:style w:type="paragraph" w:customStyle="1" w:styleId="444">
    <w:name w:val="font11"/>
    <w:basedOn w:val="1"/>
    <w:autoRedefine/>
    <w:qFormat/>
    <w:uiPriority w:val="0"/>
    <w:pPr>
      <w:widowControl/>
      <w:spacing w:before="100" w:beforeAutospacing="1" w:after="100" w:afterAutospacing="1"/>
      <w:jc w:val="left"/>
    </w:pPr>
    <w:rPr>
      <w:rFonts w:ascii="Arial" w:hAnsi="Arial" w:cs="Arial"/>
      <w:sz w:val="20"/>
    </w:rPr>
  </w:style>
  <w:style w:type="paragraph" w:customStyle="1" w:styleId="445">
    <w:name w:val="默认段落字体 Char Char Char"/>
    <w:basedOn w:val="1"/>
    <w:autoRedefine/>
    <w:qFormat/>
    <w:uiPriority w:val="0"/>
    <w:pPr>
      <w:widowControl/>
    </w:pPr>
    <w:rPr>
      <w:rFonts w:ascii="Arial" w:hAnsi="Arial" w:cs="Arial"/>
      <w:sz w:val="22"/>
      <w:szCs w:val="22"/>
      <w:lang w:eastAsia="en-US"/>
    </w:rPr>
  </w:style>
  <w:style w:type="paragraph" w:customStyle="1" w:styleId="446">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47">
    <w:name w:val="样式 正文缩进表正文正文非缩进ALT+Z四号特点段1正文不缩进特点 Char水上软件标题4正文（首行缩进两..."/>
    <w:basedOn w:val="14"/>
    <w:autoRedefine/>
    <w:qFormat/>
    <w:uiPriority w:val="0"/>
    <w:pPr>
      <w:adjustRightInd/>
      <w:spacing w:line="360" w:lineRule="auto"/>
      <w:ind w:firstLine="480" w:firstLineChars="200"/>
      <w:jc w:val="both"/>
    </w:pPr>
    <w:rPr>
      <w:rFonts w:ascii="Times New Roman"/>
    </w:rPr>
  </w:style>
  <w:style w:type="paragraph" w:customStyle="1" w:styleId="448">
    <w:name w:val="4"/>
    <w:basedOn w:val="1"/>
    <w:next w:val="54"/>
    <w:autoRedefine/>
    <w:qFormat/>
    <w:uiPriority w:val="0"/>
    <w:pPr>
      <w:widowControl/>
      <w:spacing w:before="100" w:beforeAutospacing="1" w:after="100" w:afterAutospacing="1"/>
      <w:jc w:val="left"/>
    </w:pPr>
    <w:rPr>
      <w:rFonts w:ascii="Arial Unicode MS" w:hAnsi="Arial Unicode MS" w:eastAsia="Arial Unicode MS"/>
      <w:sz w:val="24"/>
    </w:rPr>
  </w:style>
  <w:style w:type="paragraph" w:customStyle="1" w:styleId="449">
    <w:name w:val="Style First line:  0.74 cm Line spacing:  1.5 lines"/>
    <w:basedOn w:val="1"/>
    <w:autoRedefine/>
    <w:qFormat/>
    <w:uiPriority w:val="0"/>
    <w:pPr>
      <w:suppressAutoHyphens/>
      <w:spacing w:line="360" w:lineRule="auto"/>
      <w:jc w:val="center"/>
    </w:pPr>
    <w:rPr>
      <w:rFonts w:hAnsi="宋体"/>
      <w:kern w:val="1"/>
      <w:sz w:val="24"/>
      <w:szCs w:val="24"/>
      <w:lang w:eastAsia="ar-SA"/>
    </w:rPr>
  </w:style>
  <w:style w:type="paragraph" w:customStyle="1" w:styleId="450">
    <w:name w:val="一级无标题条"/>
    <w:basedOn w:val="1"/>
    <w:autoRedefine/>
    <w:qFormat/>
    <w:uiPriority w:val="0"/>
    <w:pPr>
      <w:tabs>
        <w:tab w:val="left" w:pos="1717"/>
      </w:tabs>
      <w:ind w:left="1717" w:hanging="360"/>
    </w:pPr>
  </w:style>
  <w:style w:type="paragraph" w:customStyle="1" w:styleId="451">
    <w:name w:val="p17"/>
    <w:basedOn w:val="1"/>
    <w:autoRedefine/>
    <w:qFormat/>
    <w:uiPriority w:val="0"/>
    <w:pPr>
      <w:widowControl/>
    </w:pPr>
    <w:rPr>
      <w:rFonts w:hAnsi="宋体" w:cs="宋体"/>
      <w:szCs w:val="21"/>
    </w:rPr>
  </w:style>
  <w:style w:type="paragraph" w:customStyle="1" w:styleId="452">
    <w:name w:val="tabletextchar"/>
    <w:basedOn w:val="1"/>
    <w:autoRedefine/>
    <w:qFormat/>
    <w:uiPriority w:val="0"/>
    <w:pPr>
      <w:widowControl/>
      <w:spacing w:before="100" w:beforeAutospacing="1" w:after="100" w:afterAutospacing="1" w:line="240" w:lineRule="atLeast"/>
      <w:jc w:val="left"/>
    </w:pPr>
    <w:rPr>
      <w:rFonts w:hAnsi="宋体" w:cs="宋体"/>
      <w:sz w:val="18"/>
      <w:szCs w:val="18"/>
    </w:rPr>
  </w:style>
  <w:style w:type="paragraph" w:customStyle="1" w:styleId="453">
    <w:name w:val="Numbered list 2.2"/>
    <w:basedOn w:val="3"/>
    <w:next w:val="1"/>
    <w:autoRedefine/>
    <w:qFormat/>
    <w:uiPriority w:val="0"/>
    <w:pPr>
      <w:widowControl/>
      <w:tabs>
        <w:tab w:val="left" w:pos="720"/>
      </w:tabs>
      <w:spacing w:before="240" w:after="60" w:line="240" w:lineRule="auto"/>
      <w:ind w:left="720" w:hanging="720"/>
      <w:jc w:val="left"/>
    </w:pPr>
    <w:rPr>
      <w:rFonts w:ascii="Futura Bk" w:hAnsi="Futura Bk" w:eastAsia="宋体"/>
      <w:bCs w:val="0"/>
      <w:kern w:val="0"/>
      <w:sz w:val="24"/>
      <w:szCs w:val="20"/>
      <w:lang w:eastAsia="en-US"/>
    </w:rPr>
  </w:style>
  <w:style w:type="paragraph" w:customStyle="1" w:styleId="454">
    <w:name w:val="Body Text 21"/>
    <w:basedOn w:val="1"/>
    <w:autoRedefine/>
    <w:qFormat/>
    <w:uiPriority w:val="0"/>
    <w:pPr>
      <w:adjustRightInd w:val="0"/>
      <w:spacing w:before="120" w:line="360" w:lineRule="auto"/>
      <w:ind w:firstLine="480"/>
      <w:textAlignment w:val="baseline"/>
    </w:pPr>
    <w:rPr>
      <w:sz w:val="24"/>
    </w:rPr>
  </w:style>
  <w:style w:type="paragraph" w:customStyle="1" w:styleId="455">
    <w:name w:val="图片"/>
    <w:basedOn w:val="1"/>
    <w:next w:val="15"/>
    <w:autoRedefine/>
    <w:qFormat/>
    <w:uiPriority w:val="0"/>
    <w:pPr>
      <w:keepNext/>
      <w:widowControl/>
      <w:jc w:val="left"/>
    </w:pPr>
    <w:rPr>
      <w:rFonts w:ascii="Garamond" w:hAnsi="Garamond"/>
    </w:rPr>
  </w:style>
  <w:style w:type="paragraph" w:customStyle="1" w:styleId="456">
    <w:name w:val="样式 标题 3 + 左侧:  0 厘米 首行缩进:  0 厘米"/>
    <w:basedOn w:val="4"/>
    <w:autoRedefine/>
    <w:qFormat/>
    <w:uiPriority w:val="0"/>
    <w:pPr>
      <w:widowControl w:val="0"/>
      <w:tabs>
        <w:tab w:val="left" w:pos="414"/>
      </w:tabs>
      <w:ind w:left="414" w:hanging="414"/>
      <w:jc w:val="both"/>
    </w:pPr>
    <w:rPr>
      <w:rFonts w:cs="宋体"/>
      <w:kern w:val="2"/>
      <w:sz w:val="28"/>
      <w:szCs w:val="20"/>
    </w:rPr>
  </w:style>
  <w:style w:type="paragraph" w:customStyle="1" w:styleId="457">
    <w:name w:val="样式 首行缩进:  2 字符 Char Char"/>
    <w:basedOn w:val="1"/>
    <w:autoRedefine/>
    <w:qFormat/>
    <w:uiPriority w:val="0"/>
    <w:pPr>
      <w:spacing w:line="360" w:lineRule="auto"/>
      <w:ind w:firstLine="480" w:firstLineChars="200"/>
    </w:pPr>
    <w:rPr>
      <w:sz w:val="24"/>
    </w:rPr>
  </w:style>
  <w:style w:type="paragraph" w:customStyle="1" w:styleId="458">
    <w:name w:val="xl40"/>
    <w:basedOn w:val="1"/>
    <w:autoRedefine/>
    <w:qFormat/>
    <w:uiPriority w:val="0"/>
    <w:pPr>
      <w:widowControl/>
      <w:pBdr>
        <w:left w:val="single" w:color="000000" w:sz="2" w:space="0"/>
        <w:bottom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459">
    <w:name w:val="Message Header First"/>
    <w:basedOn w:val="52"/>
    <w:next w:val="52"/>
    <w:autoRedefine/>
    <w:qFormat/>
    <w:uiPriority w:val="0"/>
  </w:style>
  <w:style w:type="paragraph" w:customStyle="1" w:styleId="460">
    <w:name w:val="页脚 New New New New New"/>
    <w:basedOn w:val="144"/>
    <w:autoRedefine/>
    <w:qFormat/>
    <w:uiPriority w:val="0"/>
    <w:pPr>
      <w:tabs>
        <w:tab w:val="center" w:pos="4153"/>
        <w:tab w:val="right" w:pos="8306"/>
      </w:tabs>
      <w:snapToGrid w:val="0"/>
      <w:jc w:val="left"/>
    </w:pPr>
    <w:rPr>
      <w:sz w:val="18"/>
      <w:szCs w:val="18"/>
    </w:rPr>
  </w:style>
  <w:style w:type="paragraph" w:customStyle="1" w:styleId="461">
    <w:name w:val="font5"/>
    <w:basedOn w:val="1"/>
    <w:autoRedefine/>
    <w:qFormat/>
    <w:uiPriority w:val="0"/>
    <w:pPr>
      <w:widowControl/>
      <w:spacing w:before="100" w:beforeAutospacing="1" w:after="100" w:afterAutospacing="1"/>
      <w:jc w:val="left"/>
    </w:pPr>
    <w:rPr>
      <w:rFonts w:hint="eastAsia" w:hAnsi="宋体" w:cs="Arial Unicode MS"/>
      <w:sz w:val="24"/>
      <w:szCs w:val="24"/>
    </w:rPr>
  </w:style>
  <w:style w:type="paragraph" w:customStyle="1" w:styleId="462">
    <w:name w:val="xl71"/>
    <w:basedOn w:val="1"/>
    <w:autoRedefine/>
    <w:qFormat/>
    <w:uiPriority w:val="0"/>
    <w:pPr>
      <w:widowControl/>
      <w:pBdr>
        <w:top w:val="single" w:color="000000" w:sz="2" w:space="0"/>
        <w:right w:val="single" w:color="000000" w:sz="2" w:space="0"/>
      </w:pBdr>
      <w:suppressAutoHyphens/>
      <w:spacing w:before="280" w:after="280"/>
      <w:jc w:val="left"/>
      <w:textAlignment w:val="center"/>
    </w:pPr>
    <w:rPr>
      <w:rFonts w:ascii="黑体" w:hAnsi="黑体" w:eastAsia="黑体"/>
      <w:b/>
      <w:bCs/>
      <w:kern w:val="1"/>
      <w:sz w:val="20"/>
      <w:lang w:eastAsia="ar-SA"/>
    </w:rPr>
  </w:style>
  <w:style w:type="paragraph" w:customStyle="1" w:styleId="463">
    <w:name w:val="标准文件_二级项目符号"/>
    <w:basedOn w:val="1"/>
    <w:next w:val="1"/>
    <w:autoRedefine/>
    <w:qFormat/>
    <w:uiPriority w:val="0"/>
    <w:pPr>
      <w:widowControl/>
      <w:tabs>
        <w:tab w:val="left" w:pos="1504"/>
      </w:tabs>
      <w:adjustRightInd w:val="0"/>
      <w:snapToGrid w:val="0"/>
      <w:spacing w:line="300" w:lineRule="auto"/>
      <w:ind w:left="1481" w:hanging="397"/>
      <w:jc w:val="left"/>
    </w:pPr>
    <w:rPr>
      <w:bCs/>
      <w:color w:val="000000"/>
      <w:spacing w:val="2"/>
      <w:sz w:val="24"/>
      <w:szCs w:val="24"/>
    </w:rPr>
  </w:style>
  <w:style w:type="paragraph" w:customStyle="1" w:styleId="464">
    <w:name w:val="样式 标题 2H2h2l22nd level2Header 2节Titre2Heading 2 Hidden..."/>
    <w:basedOn w:val="3"/>
    <w:autoRedefine/>
    <w:qFormat/>
    <w:uiPriority w:val="0"/>
    <w:pPr>
      <w:tabs>
        <w:tab w:val="left" w:pos="1260"/>
      </w:tabs>
      <w:suppressAutoHyphens/>
      <w:spacing w:before="120" w:after="120" w:line="360" w:lineRule="auto"/>
      <w:ind w:left="1260" w:hanging="420"/>
    </w:pPr>
    <w:rPr>
      <w:rFonts w:ascii="仿宋_GB2312" w:hAnsi="仿宋_GB2312"/>
      <w:b w:val="0"/>
      <w:bCs w:val="0"/>
      <w:kern w:val="1"/>
      <w:szCs w:val="20"/>
      <w:lang w:eastAsia="ar-SA"/>
    </w:rPr>
  </w:style>
  <w:style w:type="paragraph" w:customStyle="1" w:styleId="465">
    <w:name w:val="正文4"/>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66">
    <w:name w:val="figures"/>
    <w:basedOn w:val="76"/>
    <w:next w:val="76"/>
    <w:autoRedefine/>
    <w:qFormat/>
    <w:uiPriority w:val="0"/>
    <w:rPr>
      <w:rFonts w:ascii="Arial,BoldItalic" w:hAnsi="Arial,BoldItalic" w:cs="Times New Roman"/>
      <w:color w:val="auto"/>
    </w:rPr>
  </w:style>
  <w:style w:type="paragraph" w:customStyle="1" w:styleId="46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468">
    <w:name w:val="LeftCell"/>
    <w:basedOn w:val="1"/>
    <w:autoRedefine/>
    <w:qFormat/>
    <w:uiPriority w:val="0"/>
    <w:pPr>
      <w:widowControl/>
      <w:spacing w:before="120"/>
      <w:jc w:val="left"/>
    </w:pPr>
    <w:rPr>
      <w:rFonts w:ascii="Arial" w:hAnsi="Arial"/>
      <w:b/>
      <w:sz w:val="20"/>
      <w:lang w:eastAsia="en-US"/>
    </w:rPr>
  </w:style>
  <w:style w:type="paragraph" w:customStyle="1" w:styleId="469">
    <w:name w:val="pa-35"/>
    <w:basedOn w:val="1"/>
    <w:autoRedefine/>
    <w:qFormat/>
    <w:uiPriority w:val="0"/>
    <w:pPr>
      <w:widowControl/>
      <w:spacing w:line="280" w:lineRule="atLeast"/>
      <w:ind w:firstLine="460"/>
      <w:jc w:val="left"/>
    </w:pPr>
    <w:rPr>
      <w:rFonts w:hAnsi="宋体" w:cs="宋体"/>
      <w:sz w:val="24"/>
      <w:szCs w:val="24"/>
    </w:rPr>
  </w:style>
  <w:style w:type="paragraph" w:customStyle="1" w:styleId="470">
    <w:name w:val="z-窗体顶端1"/>
    <w:basedOn w:val="1"/>
    <w:next w:val="1"/>
    <w:link w:val="664"/>
    <w:autoRedefine/>
    <w:qFormat/>
    <w:uiPriority w:val="0"/>
    <w:pPr>
      <w:widowControl/>
      <w:pBdr>
        <w:bottom w:val="single" w:color="auto" w:sz="6" w:space="1"/>
      </w:pBdr>
      <w:jc w:val="center"/>
    </w:pPr>
    <w:rPr>
      <w:rFonts w:ascii="Arial" w:hAnsi="Arial" w:cs="Arial"/>
      <w:vanish/>
      <w:sz w:val="16"/>
      <w:szCs w:val="16"/>
    </w:rPr>
  </w:style>
  <w:style w:type="paragraph" w:customStyle="1" w:styleId="471">
    <w:name w:val="五级条标题"/>
    <w:basedOn w:val="257"/>
    <w:next w:val="171"/>
    <w:autoRedefine/>
    <w:qFormat/>
    <w:uiPriority w:val="0"/>
    <w:pPr>
      <w:tabs>
        <w:tab w:val="left" w:pos="2940"/>
        <w:tab w:val="clear" w:pos="2520"/>
      </w:tabs>
      <w:ind w:left="2940"/>
      <w:outlineLvl w:val="6"/>
    </w:pPr>
  </w:style>
  <w:style w:type="paragraph" w:customStyle="1" w:styleId="472">
    <w:name w:val="正文（无缩进）"/>
    <w:autoRedefine/>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473">
    <w:name w:val="xl41"/>
    <w:basedOn w:val="1"/>
    <w:autoRedefine/>
    <w:qFormat/>
    <w:uiPriority w:val="0"/>
    <w:pPr>
      <w:widowControl/>
      <w:pBdr>
        <w:top w:val="single" w:color="000000" w:sz="2" w:space="0"/>
        <w:bottom w:val="single" w:color="000000" w:sz="2" w:space="0"/>
        <w:right w:val="single" w:color="000000" w:sz="2" w:space="0"/>
      </w:pBdr>
      <w:suppressAutoHyphens/>
      <w:spacing w:before="280" w:after="280"/>
      <w:jc w:val="left"/>
      <w:textAlignment w:val="center"/>
    </w:pPr>
    <w:rPr>
      <w:kern w:val="1"/>
      <w:sz w:val="20"/>
      <w:lang w:eastAsia="ar-SA"/>
    </w:rPr>
  </w:style>
  <w:style w:type="paragraph" w:customStyle="1" w:styleId="474">
    <w:name w:val="My 正文"/>
    <w:basedOn w:val="1"/>
    <w:autoRedefine/>
    <w:qFormat/>
    <w:uiPriority w:val="0"/>
    <w:pPr>
      <w:spacing w:line="520" w:lineRule="atLeast"/>
      <w:ind w:firstLine="480" w:firstLineChars="200"/>
    </w:pPr>
    <w:rPr>
      <w:rFonts w:cs="宋体"/>
      <w:sz w:val="24"/>
    </w:rPr>
  </w:style>
  <w:style w:type="paragraph" w:customStyle="1" w:styleId="475">
    <w:name w:val="font6"/>
    <w:basedOn w:val="1"/>
    <w:autoRedefine/>
    <w:qFormat/>
    <w:uiPriority w:val="0"/>
    <w:pPr>
      <w:widowControl/>
      <w:spacing w:before="100" w:beforeAutospacing="1" w:after="100" w:afterAutospacing="1"/>
      <w:jc w:val="left"/>
    </w:pPr>
    <w:rPr>
      <w:rFonts w:hint="eastAsia" w:hAnsi="宋体" w:cs="Arial Unicode MS"/>
      <w:sz w:val="18"/>
      <w:szCs w:val="18"/>
    </w:rPr>
  </w:style>
  <w:style w:type="paragraph" w:customStyle="1" w:styleId="476">
    <w:name w:val="p0"/>
    <w:autoRedefine/>
    <w:qFormat/>
    <w:uiPriority w:val="0"/>
    <w:rPr>
      <w:rFonts w:ascii="Times New Roman" w:hAnsi="Times New Roman" w:eastAsia="宋体" w:cs="Times New Roman"/>
      <w:szCs w:val="21"/>
      <w:lang w:val="en-US" w:eastAsia="zh-CN" w:bidi="ar-SA"/>
    </w:rPr>
  </w:style>
  <w:style w:type="paragraph" w:customStyle="1" w:styleId="477">
    <w:name w:val="WW-正文文字缩进 21"/>
    <w:basedOn w:val="1"/>
    <w:autoRedefine/>
    <w:qFormat/>
    <w:uiPriority w:val="0"/>
    <w:pPr>
      <w:suppressAutoHyphens/>
      <w:spacing w:before="156" w:after="156" w:line="360" w:lineRule="auto"/>
      <w:ind w:firstLine="560"/>
    </w:pPr>
    <w:rPr>
      <w:rFonts w:ascii="仿宋_GB2312" w:hAnsi="仿宋_GB2312" w:eastAsia="仿宋_GB2312"/>
      <w:color w:val="000000"/>
      <w:kern w:val="1"/>
      <w:sz w:val="28"/>
      <w:szCs w:val="28"/>
      <w:lang w:eastAsia="ar-SA"/>
    </w:rPr>
  </w:style>
  <w:style w:type="paragraph" w:customStyle="1" w:styleId="478">
    <w:name w:val="样式 标题 2 + 宋体 五号 行距: 单倍行距"/>
    <w:basedOn w:val="3"/>
    <w:autoRedefine/>
    <w:qFormat/>
    <w:uiPriority w:val="0"/>
    <w:pPr>
      <w:adjustRightInd w:val="0"/>
      <w:spacing w:line="240" w:lineRule="auto"/>
      <w:ind w:left="720"/>
      <w:jc w:val="left"/>
      <w:textAlignment w:val="baseline"/>
    </w:pPr>
    <w:rPr>
      <w:rFonts w:ascii="宋体" w:hAnsi="宋体" w:eastAsia="宋体"/>
      <w:bCs w:val="0"/>
      <w:kern w:val="0"/>
      <w:sz w:val="21"/>
      <w:szCs w:val="20"/>
    </w:rPr>
  </w:style>
  <w:style w:type="paragraph" w:customStyle="1" w:styleId="479">
    <w:name w:val="样式19"/>
    <w:basedOn w:val="56"/>
    <w:autoRedefine/>
    <w:qFormat/>
    <w:uiPriority w:val="0"/>
    <w:rPr>
      <w:rFonts w:eastAsia="黑体"/>
    </w:rPr>
  </w:style>
  <w:style w:type="paragraph" w:customStyle="1" w:styleId="480">
    <w:name w:val="text"/>
    <w:basedOn w:val="1"/>
    <w:autoRedefine/>
    <w:qFormat/>
    <w:uiPriority w:val="0"/>
    <w:pPr>
      <w:widowControl/>
      <w:spacing w:before="100" w:beforeAutospacing="1" w:after="100" w:afterAutospacing="1"/>
      <w:jc w:val="left"/>
    </w:pPr>
    <w:rPr>
      <w:rFonts w:ascii="ˎ̥" w:hAnsi="ˎ̥" w:cs="宋体"/>
      <w:color w:val="000000"/>
      <w:sz w:val="18"/>
      <w:szCs w:val="18"/>
    </w:rPr>
  </w:style>
  <w:style w:type="paragraph" w:customStyle="1" w:styleId="481">
    <w:name w:val="contentlabel"/>
    <w:basedOn w:val="1"/>
    <w:autoRedefine/>
    <w:qFormat/>
    <w:uiPriority w:val="0"/>
    <w:pPr>
      <w:widowControl/>
      <w:spacing w:before="100" w:beforeAutospacing="1" w:after="100" w:afterAutospacing="1"/>
      <w:jc w:val="left"/>
    </w:pPr>
    <w:rPr>
      <w:rFonts w:hAnsi="宋体" w:cs="宋体"/>
      <w:sz w:val="24"/>
      <w:szCs w:val="24"/>
    </w:rPr>
  </w:style>
  <w:style w:type="paragraph" w:customStyle="1" w:styleId="482">
    <w:name w:val="Char Char3 Char Char Char Char"/>
    <w:basedOn w:val="1"/>
    <w:autoRedefine/>
    <w:qFormat/>
    <w:uiPriority w:val="0"/>
    <w:pPr>
      <w:ind w:left="432" w:hanging="432"/>
    </w:pPr>
    <w:rPr>
      <w:sz w:val="24"/>
      <w:szCs w:val="24"/>
    </w:rPr>
  </w:style>
  <w:style w:type="paragraph" w:customStyle="1" w:styleId="483">
    <w:name w:val="Tables"/>
    <w:basedOn w:val="76"/>
    <w:next w:val="76"/>
    <w:autoRedefine/>
    <w:qFormat/>
    <w:uiPriority w:val="0"/>
    <w:pPr>
      <w:spacing w:after="120"/>
    </w:pPr>
    <w:rPr>
      <w:rFonts w:ascii="Arial,BoldItalic" w:hAnsi="Arial,BoldItalic" w:cs="Times New Roman"/>
      <w:color w:val="auto"/>
    </w:rPr>
  </w:style>
  <w:style w:type="paragraph" w:customStyle="1" w:styleId="484">
    <w:name w:val="工作报告正文样式"/>
    <w:basedOn w:val="1"/>
    <w:autoRedefine/>
    <w:qFormat/>
    <w:uiPriority w:val="0"/>
    <w:pPr>
      <w:ind w:firstLine="560" w:firstLineChars="200"/>
    </w:pPr>
    <w:rPr>
      <w:rFonts w:hAnsi="宋体"/>
      <w:sz w:val="28"/>
      <w:szCs w:val="28"/>
    </w:rPr>
  </w:style>
  <w:style w:type="paragraph" w:customStyle="1" w:styleId="485">
    <w:name w:val="xl82"/>
    <w:basedOn w:val="1"/>
    <w:autoRedefine/>
    <w:qFormat/>
    <w:uiPriority w:val="0"/>
    <w:pPr>
      <w:widowControl/>
      <w:pBdr>
        <w:left w:val="single" w:color="000000" w:sz="2" w:space="0"/>
        <w:bottom w:val="single" w:color="000000" w:sz="2" w:space="0"/>
        <w:right w:val="single" w:color="000000" w:sz="2" w:space="0"/>
      </w:pBdr>
      <w:suppressAutoHyphens/>
      <w:spacing w:before="280" w:after="280"/>
      <w:jc w:val="center"/>
      <w:textAlignment w:val="center"/>
    </w:pPr>
    <w:rPr>
      <w:rFonts w:ascii="Arial Unicode MS" w:hAnsi="Arial Unicode MS"/>
      <w:kern w:val="1"/>
      <w:sz w:val="20"/>
      <w:lang w:eastAsia="ar-SA"/>
    </w:rPr>
  </w:style>
  <w:style w:type="paragraph" w:customStyle="1" w:styleId="486">
    <w:name w:val="Bullet with text 1"/>
    <w:basedOn w:val="1"/>
    <w:autoRedefine/>
    <w:qFormat/>
    <w:uiPriority w:val="0"/>
    <w:pPr>
      <w:widowControl/>
      <w:tabs>
        <w:tab w:val="left" w:pos="360"/>
      </w:tabs>
      <w:ind w:left="360" w:hanging="360"/>
      <w:jc w:val="left"/>
    </w:pPr>
    <w:rPr>
      <w:rFonts w:ascii="Futura Bk" w:hAnsi="Futura Bk"/>
      <w:sz w:val="20"/>
      <w:lang w:eastAsia="en-US"/>
    </w:rPr>
  </w:style>
  <w:style w:type="paragraph" w:customStyle="1" w:styleId="4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24"/>
      <w:szCs w:val="24"/>
    </w:rPr>
  </w:style>
  <w:style w:type="paragraph" w:customStyle="1" w:styleId="488">
    <w:name w:val="_"/>
    <w:basedOn w:val="1"/>
    <w:autoRedefine/>
    <w:qFormat/>
    <w:uiPriority w:val="0"/>
    <w:pPr>
      <w:adjustRightInd w:val="0"/>
      <w:spacing w:line="360" w:lineRule="auto"/>
      <w:ind w:left="480" w:firstLine="420"/>
      <w:textAlignment w:val="baseline"/>
    </w:pPr>
    <w:rPr>
      <w:sz w:val="24"/>
    </w:rPr>
  </w:style>
  <w:style w:type="paragraph" w:customStyle="1" w:styleId="489">
    <w:name w:val="样式 标题 2 + 段前: 0 磅 段后: 0 磅 行距: 单倍行距"/>
    <w:basedOn w:val="3"/>
    <w:autoRedefine/>
    <w:qFormat/>
    <w:uiPriority w:val="0"/>
    <w:pPr>
      <w:spacing w:before="0" w:after="0" w:line="240" w:lineRule="auto"/>
    </w:pPr>
    <w:rPr>
      <w:rFonts w:ascii="仿宋_GB2312" w:eastAsia="仿宋_GB2312" w:cs="宋体"/>
    </w:rPr>
  </w:style>
  <w:style w:type="paragraph" w:customStyle="1" w:styleId="490">
    <w:name w:val="缺省文本:1"/>
    <w:basedOn w:val="1"/>
    <w:autoRedefine/>
    <w:qFormat/>
    <w:uiPriority w:val="0"/>
    <w:pPr>
      <w:autoSpaceDE w:val="0"/>
      <w:autoSpaceDN w:val="0"/>
      <w:adjustRightInd w:val="0"/>
      <w:jc w:val="left"/>
    </w:pPr>
    <w:rPr>
      <w:sz w:val="24"/>
    </w:rPr>
  </w:style>
  <w:style w:type="paragraph" w:customStyle="1" w:styleId="491">
    <w:name w:val="±íÉí"/>
    <w:basedOn w:val="1"/>
    <w:autoRedefine/>
    <w:qFormat/>
    <w:uiPriority w:val="0"/>
    <w:pPr>
      <w:widowControl/>
      <w:overflowPunct w:val="0"/>
      <w:autoSpaceDE w:val="0"/>
      <w:autoSpaceDN w:val="0"/>
      <w:adjustRightInd w:val="0"/>
      <w:spacing w:line="300" w:lineRule="auto"/>
      <w:jc w:val="left"/>
      <w:textAlignment w:val="baseline"/>
    </w:pPr>
    <w:rPr>
      <w:sz w:val="18"/>
    </w:rPr>
  </w:style>
  <w:style w:type="paragraph" w:customStyle="1" w:styleId="49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4"/>
      <w:szCs w:val="24"/>
    </w:rPr>
  </w:style>
  <w:style w:type="paragraph" w:customStyle="1" w:styleId="493">
    <w:name w:val="xl97"/>
    <w:basedOn w:val="1"/>
    <w:autoRedefine/>
    <w:qFormat/>
    <w:uiPriority w:val="0"/>
    <w:pPr>
      <w:widowControl/>
      <w:pBdr>
        <w:top w:val="single" w:color="auto" w:sz="8" w:space="0"/>
        <w:left w:val="single" w:color="auto" w:sz="8" w:space="0"/>
        <w:right w:val="single" w:color="auto" w:sz="8" w:space="0"/>
      </w:pBdr>
      <w:shd w:val="clear" w:color="auto" w:fill="CCFFFF"/>
      <w:spacing w:before="100" w:beforeAutospacing="1" w:after="100" w:afterAutospacing="1"/>
      <w:jc w:val="left"/>
    </w:pPr>
    <w:rPr>
      <w:rFonts w:hAnsi="宋体" w:cs="宋体"/>
      <w:b/>
      <w:bCs/>
      <w:sz w:val="18"/>
      <w:szCs w:val="18"/>
    </w:rPr>
  </w:style>
  <w:style w:type="paragraph" w:customStyle="1" w:styleId="494">
    <w:name w:val="MyPoints"/>
    <w:basedOn w:val="1"/>
    <w:autoRedefine/>
    <w:qFormat/>
    <w:uiPriority w:val="0"/>
    <w:pPr>
      <w:widowControl/>
      <w:ind w:left="936" w:hanging="360"/>
      <w:jc w:val="left"/>
    </w:pPr>
    <w:rPr>
      <w:rFonts w:ascii="Century Gothic" w:hAnsi="Century Gothic"/>
      <w:sz w:val="20"/>
      <w:lang w:eastAsia="en-US"/>
    </w:rPr>
  </w:style>
  <w:style w:type="paragraph" w:customStyle="1" w:styleId="495">
    <w:name w:val="项目2"/>
    <w:basedOn w:val="1"/>
    <w:autoRedefine/>
    <w:qFormat/>
    <w:uiPriority w:val="0"/>
    <w:pPr>
      <w:widowControl/>
      <w:tabs>
        <w:tab w:val="left" w:pos="-365"/>
      </w:tabs>
      <w:suppressAutoHyphens/>
      <w:spacing w:after="156" w:line="360" w:lineRule="auto"/>
      <w:ind w:left="-905" w:right="240"/>
      <w:jc w:val="left"/>
    </w:pPr>
    <w:rPr>
      <w:bCs/>
      <w:kern w:val="1"/>
      <w:sz w:val="24"/>
      <w:lang w:eastAsia="ar-SA"/>
    </w:rPr>
  </w:style>
  <w:style w:type="paragraph" w:customStyle="1" w:styleId="496">
    <w:name w:val="my正文"/>
    <w:basedOn w:val="1"/>
    <w:link w:val="665"/>
    <w:autoRedefine/>
    <w:qFormat/>
    <w:uiPriority w:val="0"/>
    <w:pPr>
      <w:spacing w:line="360" w:lineRule="auto"/>
      <w:ind w:firstLine="480" w:firstLineChars="200"/>
    </w:pPr>
    <w:rPr>
      <w:rFonts w:ascii="Times New Roman"/>
      <w:sz w:val="24"/>
      <w:szCs w:val="24"/>
    </w:rPr>
  </w:style>
  <w:style w:type="paragraph" w:customStyle="1" w:styleId="497">
    <w:name w:val="GP正文(无首行缩进)"/>
    <w:link w:val="666"/>
    <w:autoRedefine/>
    <w:qFormat/>
    <w:uiPriority w:val="0"/>
    <w:pPr>
      <w:widowControl w:val="0"/>
      <w:spacing w:line="360" w:lineRule="auto"/>
    </w:pPr>
    <w:rPr>
      <w:rFonts w:ascii="Times New Roman" w:hAnsi="Times New Roman" w:eastAsia="宋体" w:cs="Times New Roman"/>
      <w:sz w:val="24"/>
      <w:szCs w:val="21"/>
      <w:lang w:val="en-US" w:eastAsia="zh-CN" w:bidi="ar-SA"/>
    </w:rPr>
  </w:style>
  <w:style w:type="character" w:customStyle="1" w:styleId="498">
    <w:name w:val="标题 1 Char"/>
    <w:basedOn w:val="62"/>
    <w:link w:val="2"/>
    <w:autoRedefine/>
    <w:qFormat/>
    <w:uiPriority w:val="0"/>
    <w:rPr>
      <w:rFonts w:ascii="宋体" w:hAnsi="Times New Roman" w:eastAsia="宋体" w:cs="Times New Roman"/>
      <w:b/>
      <w:kern w:val="44"/>
      <w:sz w:val="32"/>
      <w:szCs w:val="20"/>
    </w:rPr>
  </w:style>
  <w:style w:type="character" w:customStyle="1" w:styleId="499">
    <w:name w:val="标题 2 Char"/>
    <w:basedOn w:val="62"/>
    <w:link w:val="3"/>
    <w:autoRedefine/>
    <w:qFormat/>
    <w:uiPriority w:val="0"/>
    <w:rPr>
      <w:rFonts w:ascii="Arial" w:hAnsi="Arial" w:eastAsia="黑体" w:cs="Times New Roman"/>
      <w:b/>
      <w:bCs/>
      <w:sz w:val="32"/>
      <w:szCs w:val="32"/>
    </w:rPr>
  </w:style>
  <w:style w:type="character" w:customStyle="1" w:styleId="500">
    <w:name w:val="标题 3 Char1"/>
    <w:link w:val="4"/>
    <w:autoRedefine/>
    <w:qFormat/>
    <w:uiPriority w:val="0"/>
    <w:rPr>
      <w:rFonts w:ascii="Times New Roman" w:hAnsi="Times New Roman" w:eastAsia="宋体" w:cs="Times New Roman"/>
      <w:b/>
      <w:bCs/>
      <w:kern w:val="0"/>
      <w:sz w:val="32"/>
      <w:szCs w:val="32"/>
    </w:rPr>
  </w:style>
  <w:style w:type="character" w:customStyle="1" w:styleId="501">
    <w:name w:val="标题 4 Char"/>
    <w:basedOn w:val="62"/>
    <w:link w:val="5"/>
    <w:autoRedefine/>
    <w:qFormat/>
    <w:uiPriority w:val="0"/>
    <w:rPr>
      <w:rFonts w:ascii="Arial" w:hAnsi="Arial" w:eastAsia="黑体" w:cs="Times New Roman"/>
      <w:b/>
      <w:bCs/>
      <w:sz w:val="28"/>
      <w:szCs w:val="28"/>
    </w:rPr>
  </w:style>
  <w:style w:type="character" w:customStyle="1" w:styleId="502">
    <w:name w:val="标题 5 Char"/>
    <w:basedOn w:val="62"/>
    <w:link w:val="6"/>
    <w:autoRedefine/>
    <w:qFormat/>
    <w:uiPriority w:val="0"/>
    <w:rPr>
      <w:rFonts w:ascii="仿宋_GB2312" w:hAnsi="Courier New" w:eastAsia="仿宋_GB2312" w:cs="Times New Roman"/>
      <w:b/>
      <w:bCs/>
      <w:sz w:val="28"/>
      <w:szCs w:val="28"/>
    </w:rPr>
  </w:style>
  <w:style w:type="character" w:customStyle="1" w:styleId="503">
    <w:name w:val="标题 6 Char"/>
    <w:basedOn w:val="62"/>
    <w:link w:val="7"/>
    <w:autoRedefine/>
    <w:qFormat/>
    <w:uiPriority w:val="0"/>
    <w:rPr>
      <w:rFonts w:ascii="Cambria" w:hAnsi="Cambria" w:eastAsia="宋体" w:cs="Times New Roman"/>
      <w:b/>
      <w:bCs/>
      <w:sz w:val="24"/>
      <w:szCs w:val="24"/>
    </w:rPr>
  </w:style>
  <w:style w:type="character" w:customStyle="1" w:styleId="504">
    <w:name w:val="标题 7 Char"/>
    <w:basedOn w:val="62"/>
    <w:link w:val="8"/>
    <w:autoRedefine/>
    <w:qFormat/>
    <w:uiPriority w:val="0"/>
    <w:rPr>
      <w:rFonts w:ascii="宋体" w:hAnsi="Times New Roman" w:eastAsia="宋体" w:cs="Times New Roman"/>
      <w:b/>
      <w:bCs/>
      <w:sz w:val="24"/>
      <w:szCs w:val="24"/>
    </w:rPr>
  </w:style>
  <w:style w:type="character" w:customStyle="1" w:styleId="505">
    <w:name w:val="标题 8 Char"/>
    <w:basedOn w:val="62"/>
    <w:link w:val="9"/>
    <w:autoRedefine/>
    <w:qFormat/>
    <w:uiPriority w:val="0"/>
    <w:rPr>
      <w:rFonts w:ascii="Times New Roman" w:hAnsi="Times New Roman" w:eastAsia="宋体" w:cs="Times New Roman"/>
      <w:sz w:val="24"/>
      <w:szCs w:val="20"/>
    </w:rPr>
  </w:style>
  <w:style w:type="character" w:customStyle="1" w:styleId="506">
    <w:name w:val="标题 9 Char"/>
    <w:basedOn w:val="62"/>
    <w:link w:val="10"/>
    <w:autoRedefine/>
    <w:qFormat/>
    <w:uiPriority w:val="0"/>
    <w:rPr>
      <w:rFonts w:ascii="Arial" w:hAnsi="Arial" w:eastAsia="宋体" w:cs="Times New Roman"/>
      <w:szCs w:val="20"/>
    </w:rPr>
  </w:style>
  <w:style w:type="character" w:customStyle="1" w:styleId="507">
    <w:name w:val="contentheaderrev"/>
    <w:basedOn w:val="62"/>
    <w:autoRedefine/>
    <w:qFormat/>
    <w:uiPriority w:val="0"/>
  </w:style>
  <w:style w:type="character" w:customStyle="1" w:styleId="508">
    <w:name w:val="f4"/>
    <w:basedOn w:val="62"/>
    <w:autoRedefine/>
    <w:qFormat/>
    <w:uiPriority w:val="0"/>
  </w:style>
  <w:style w:type="character" w:customStyle="1" w:styleId="509">
    <w:name w:val="grame"/>
    <w:basedOn w:val="62"/>
    <w:autoRedefine/>
    <w:qFormat/>
    <w:uiPriority w:val="0"/>
  </w:style>
  <w:style w:type="character" w:customStyle="1" w:styleId="510">
    <w:name w:val="Char Char31"/>
    <w:autoRedefine/>
    <w:qFormat/>
    <w:uiPriority w:val="0"/>
    <w:rPr>
      <w:rFonts w:eastAsia="宋体"/>
      <w:sz w:val="21"/>
      <w:lang w:val="en-US" w:eastAsia="zh-CN" w:bidi="ar-SA"/>
    </w:rPr>
  </w:style>
  <w:style w:type="character" w:customStyle="1" w:styleId="511">
    <w:name w:val="style102 style103"/>
    <w:basedOn w:val="62"/>
    <w:autoRedefine/>
    <w:qFormat/>
    <w:uiPriority w:val="0"/>
  </w:style>
  <w:style w:type="character" w:customStyle="1" w:styleId="512">
    <w:name w:val="ca-101"/>
    <w:autoRedefine/>
    <w:qFormat/>
    <w:uiPriority w:val="0"/>
    <w:rPr>
      <w:rFonts w:hint="eastAsia" w:ascii="宋体" w:hAnsi="宋体" w:eastAsia="宋体"/>
      <w:sz w:val="28"/>
      <w:szCs w:val="28"/>
    </w:rPr>
  </w:style>
  <w:style w:type="character" w:customStyle="1" w:styleId="513">
    <w:name w:val="Level 3 Head Char"/>
    <w:autoRedefine/>
    <w:qFormat/>
    <w:uiPriority w:val="0"/>
    <w:rPr>
      <w:rFonts w:eastAsia="宋体"/>
      <w:b/>
      <w:kern w:val="2"/>
      <w:sz w:val="32"/>
      <w:lang w:val="en-US" w:eastAsia="zh-CN" w:bidi="ar-SA"/>
    </w:rPr>
  </w:style>
  <w:style w:type="character" w:customStyle="1" w:styleId="514">
    <w:name w:val="标准文件_标准正文 Char1"/>
    <w:link w:val="81"/>
    <w:autoRedefine/>
    <w:qFormat/>
    <w:uiPriority w:val="0"/>
    <w:rPr>
      <w:rFonts w:eastAsia="宋体"/>
      <w:bCs/>
      <w:color w:val="000000"/>
      <w:spacing w:val="2"/>
      <w:sz w:val="24"/>
      <w:szCs w:val="24"/>
    </w:rPr>
  </w:style>
  <w:style w:type="character" w:customStyle="1" w:styleId="515">
    <w:name w:val="ca-51"/>
    <w:autoRedefine/>
    <w:qFormat/>
    <w:uiPriority w:val="0"/>
    <w:rPr>
      <w:rFonts w:hint="eastAsia" w:ascii="宋体" w:hAnsi="宋体" w:eastAsia="宋体"/>
      <w:color w:val="FF0000"/>
      <w:sz w:val="22"/>
      <w:szCs w:val="22"/>
    </w:rPr>
  </w:style>
  <w:style w:type="character" w:customStyle="1" w:styleId="516">
    <w:name w:val="para1"/>
    <w:autoRedefine/>
    <w:qFormat/>
    <w:uiPriority w:val="0"/>
    <w:rPr>
      <w:rFonts w:hint="default" w:ascii="Arial" w:hAnsi="Arial" w:cs="Arial"/>
      <w:sz w:val="21"/>
      <w:szCs w:val="21"/>
    </w:rPr>
  </w:style>
  <w:style w:type="character" w:customStyle="1" w:styleId="517">
    <w:name w:val="style11"/>
    <w:autoRedefine/>
    <w:qFormat/>
    <w:uiPriority w:val="0"/>
    <w:rPr>
      <w:rFonts w:hint="default" w:ascii="Arial" w:hAnsi="Arial" w:cs="Arial"/>
    </w:rPr>
  </w:style>
  <w:style w:type="character" w:customStyle="1" w:styleId="518">
    <w:name w:val="xiao3"/>
    <w:basedOn w:val="62"/>
    <w:autoRedefine/>
    <w:qFormat/>
    <w:uiPriority w:val="0"/>
  </w:style>
  <w:style w:type="character" w:customStyle="1" w:styleId="519">
    <w:name w:val="正文 + 首行缩进:  2 字符 Char Char"/>
    <w:autoRedefine/>
    <w:qFormat/>
    <w:uiPriority w:val="0"/>
    <w:rPr>
      <w:rFonts w:ascii="Verdana" w:hAnsi="Verdana" w:eastAsia="宋体"/>
      <w:sz w:val="24"/>
      <w:lang w:val="en-US" w:eastAsia="zh-CN"/>
    </w:rPr>
  </w:style>
  <w:style w:type="character" w:customStyle="1" w:styleId="520">
    <w:name w:val="spelle"/>
    <w:basedOn w:val="62"/>
    <w:autoRedefine/>
    <w:qFormat/>
    <w:uiPriority w:val="0"/>
  </w:style>
  <w:style w:type="character" w:customStyle="1" w:styleId="521">
    <w:name w:val="contentlabel1"/>
    <w:autoRedefine/>
    <w:qFormat/>
    <w:uiPriority w:val="0"/>
    <w:rPr>
      <w:color w:val="336666"/>
      <w:sz w:val="18"/>
      <w:szCs w:val="18"/>
      <w:u w:val="none"/>
    </w:rPr>
  </w:style>
  <w:style w:type="character" w:customStyle="1" w:styleId="522">
    <w:name w:val="ca-11"/>
    <w:autoRedefine/>
    <w:qFormat/>
    <w:uiPriority w:val="0"/>
    <w:rPr>
      <w:rFonts w:hint="eastAsia" w:ascii="宋体" w:hAnsi="宋体" w:eastAsia="宋体"/>
      <w:color w:val="000000"/>
      <w:sz w:val="18"/>
      <w:szCs w:val="18"/>
    </w:rPr>
  </w:style>
  <w:style w:type="character" w:customStyle="1" w:styleId="523">
    <w:name w:val="正文文本缩进 2 Char"/>
    <w:link w:val="34"/>
    <w:autoRedefine/>
    <w:qFormat/>
    <w:uiPriority w:val="0"/>
    <w:rPr>
      <w:rFonts w:eastAsia="宋体"/>
    </w:rPr>
  </w:style>
  <w:style w:type="character" w:customStyle="1" w:styleId="524">
    <w:name w:val="msonormal"/>
    <w:basedOn w:val="62"/>
    <w:autoRedefine/>
    <w:qFormat/>
    <w:uiPriority w:val="0"/>
  </w:style>
  <w:style w:type="character" w:customStyle="1" w:styleId="525">
    <w:name w:val="页眉 Char1"/>
    <w:link w:val="37"/>
    <w:autoRedefine/>
    <w:qFormat/>
    <w:uiPriority w:val="99"/>
    <w:rPr>
      <w:sz w:val="18"/>
      <w:szCs w:val="18"/>
    </w:rPr>
  </w:style>
  <w:style w:type="character" w:customStyle="1" w:styleId="526">
    <w:name w:val="contentheaderrev1"/>
    <w:autoRedefine/>
    <w:qFormat/>
    <w:uiPriority w:val="0"/>
    <w:rPr>
      <w:rFonts w:hint="default" w:ascii="Arial" w:hAnsi="Arial" w:cs="Arial"/>
      <w:b/>
      <w:bCs/>
      <w:color w:val="FFFFFF"/>
      <w:sz w:val="24"/>
      <w:szCs w:val="24"/>
      <w:u w:val="none"/>
    </w:rPr>
  </w:style>
  <w:style w:type="character" w:customStyle="1" w:styleId="527">
    <w:name w:val="标准文件-图标题 Char Char Char Char"/>
    <w:autoRedefine/>
    <w:qFormat/>
    <w:uiPriority w:val="0"/>
    <w:rPr>
      <w:rFonts w:ascii="黑体" w:hAnsi="Verdana" w:eastAsia="黑体"/>
      <w:color w:val="000000"/>
      <w:spacing w:val="2"/>
      <w:kern w:val="2"/>
      <w:sz w:val="24"/>
      <w:szCs w:val="24"/>
      <w:lang w:val="en-US" w:eastAsia="zh-CN" w:bidi="ar-SA"/>
    </w:rPr>
  </w:style>
  <w:style w:type="character" w:customStyle="1" w:styleId="528">
    <w:name w:val="aaaa"/>
    <w:basedOn w:val="62"/>
    <w:autoRedefine/>
    <w:qFormat/>
    <w:uiPriority w:val="0"/>
  </w:style>
  <w:style w:type="character" w:customStyle="1" w:styleId="529">
    <w:name w:val="文档正文 Char Char"/>
    <w:link w:val="93"/>
    <w:autoRedefine/>
    <w:qFormat/>
    <w:uiPriority w:val="0"/>
    <w:rPr>
      <w:rFonts w:ascii="Arial" w:hAnsi="Arial" w:eastAsia="宋体"/>
      <w:b/>
      <w:color w:val="FF0000"/>
    </w:rPr>
  </w:style>
  <w:style w:type="character" w:customStyle="1" w:styleId="530">
    <w:name w:val="font21"/>
    <w:autoRedefine/>
    <w:qFormat/>
    <w:uiPriority w:val="0"/>
    <w:rPr>
      <w:rFonts w:hint="default" w:ascii="Arial" w:hAnsi="Arial" w:cs="Arial"/>
      <w:b/>
      <w:bCs/>
      <w:color w:val="000000"/>
      <w:sz w:val="24"/>
      <w:szCs w:val="24"/>
      <w:u w:val="none"/>
    </w:rPr>
  </w:style>
  <w:style w:type="character" w:customStyle="1" w:styleId="531">
    <w:name w:val="批注主题 Char"/>
    <w:link w:val="57"/>
    <w:autoRedefine/>
    <w:qFormat/>
    <w:uiPriority w:val="0"/>
    <w:rPr>
      <w:rFonts w:eastAsia="宋体"/>
      <w:b/>
      <w:bCs/>
    </w:rPr>
  </w:style>
  <w:style w:type="character" w:customStyle="1" w:styleId="532">
    <w:name w:val="批注文字 Char1"/>
    <w:basedOn w:val="62"/>
    <w:link w:val="18"/>
    <w:autoRedefine/>
    <w:qFormat/>
    <w:uiPriority w:val="0"/>
    <w:rPr>
      <w:rFonts w:ascii="宋体" w:hAnsi="Times New Roman" w:eastAsia="宋体" w:cs="Times New Roman"/>
      <w:kern w:val="0"/>
      <w:sz w:val="34"/>
      <w:szCs w:val="20"/>
    </w:rPr>
  </w:style>
  <w:style w:type="character" w:customStyle="1" w:styleId="533">
    <w:name w:val="point_normal1"/>
    <w:autoRedefine/>
    <w:qFormat/>
    <w:uiPriority w:val="0"/>
    <w:rPr>
      <w:rFonts w:hint="default" w:ascii="Arial" w:hAnsi="Arial" w:cs="Arial"/>
      <w:sz w:val="21"/>
      <w:szCs w:val="21"/>
    </w:rPr>
  </w:style>
  <w:style w:type="character" w:customStyle="1" w:styleId="534">
    <w:name w:val="text_darkgray1"/>
    <w:autoRedefine/>
    <w:qFormat/>
    <w:uiPriority w:val="0"/>
    <w:rPr>
      <w:color w:val="000000"/>
      <w:sz w:val="22"/>
      <w:szCs w:val="22"/>
    </w:rPr>
  </w:style>
  <w:style w:type="character" w:customStyle="1" w:styleId="535">
    <w:name w:val="正文（绿盟科技） Char Char"/>
    <w:link w:val="82"/>
    <w:autoRedefine/>
    <w:qFormat/>
    <w:uiPriority w:val="0"/>
    <w:rPr>
      <w:szCs w:val="21"/>
      <w:lang w:bidi="ar-SA"/>
    </w:rPr>
  </w:style>
  <w:style w:type="character" w:customStyle="1" w:styleId="536">
    <w:name w:val="ca-71"/>
    <w:autoRedefine/>
    <w:qFormat/>
    <w:uiPriority w:val="0"/>
    <w:rPr>
      <w:rFonts w:hint="eastAsia" w:ascii="宋体" w:hAnsi="宋体" w:eastAsia="宋体"/>
      <w:sz w:val="21"/>
      <w:szCs w:val="21"/>
    </w:rPr>
  </w:style>
  <w:style w:type="character" w:customStyle="1" w:styleId="537">
    <w:name w:val="content"/>
    <w:basedOn w:val="62"/>
    <w:autoRedefine/>
    <w:qFormat/>
    <w:uiPriority w:val="0"/>
  </w:style>
  <w:style w:type="character" w:customStyle="1" w:styleId="538">
    <w:name w:val="正文首行缩进 2 Char"/>
    <w:link w:val="59"/>
    <w:autoRedefine/>
    <w:qFormat/>
    <w:uiPriority w:val="0"/>
    <w:rPr>
      <w:rFonts w:ascii="Arial" w:hAnsi="Arial" w:eastAsia="宋体"/>
      <w:b/>
      <w:bCs/>
      <w:szCs w:val="28"/>
    </w:rPr>
  </w:style>
  <w:style w:type="character" w:customStyle="1" w:styleId="539">
    <w:name w:val="正文文本缩进 Char"/>
    <w:link w:val="23"/>
    <w:autoRedefine/>
    <w:qFormat/>
    <w:uiPriority w:val="0"/>
    <w:rPr>
      <w:rFonts w:eastAsia="宋体"/>
    </w:rPr>
  </w:style>
  <w:style w:type="character" w:customStyle="1" w:styleId="540">
    <w:name w:val="f12"/>
    <w:basedOn w:val="62"/>
    <w:autoRedefine/>
    <w:qFormat/>
    <w:uiPriority w:val="0"/>
  </w:style>
  <w:style w:type="character" w:customStyle="1" w:styleId="541">
    <w:name w:val="Char Char25"/>
    <w:autoRedefine/>
    <w:qFormat/>
    <w:uiPriority w:val="0"/>
    <w:rPr>
      <w:rFonts w:ascii="宋体" w:hAnsi="Courier New" w:eastAsia="宋体"/>
      <w:spacing w:val="-8"/>
      <w:kern w:val="2"/>
      <w:sz w:val="24"/>
      <w:lang w:val="en-US" w:eastAsia="zh-CN" w:bidi="ar-SA"/>
    </w:rPr>
  </w:style>
  <w:style w:type="character" w:customStyle="1" w:styleId="542">
    <w:name w:val="ca-261"/>
    <w:autoRedefine/>
    <w:qFormat/>
    <w:uiPriority w:val="0"/>
    <w:rPr>
      <w:rFonts w:hint="default" w:ascii="Times New Roman" w:hAnsi="Times New Roman" w:cs="Times New Roman"/>
      <w:sz w:val="24"/>
      <w:szCs w:val="24"/>
    </w:rPr>
  </w:style>
  <w:style w:type="character" w:customStyle="1" w:styleId="543">
    <w:name w:val="Char Char40"/>
    <w:autoRedefine/>
    <w:qFormat/>
    <w:uiPriority w:val="0"/>
    <w:rPr>
      <w:rFonts w:eastAsia="宋体"/>
      <w:kern w:val="2"/>
      <w:sz w:val="21"/>
      <w:lang w:val="en-US" w:eastAsia="zh-CN" w:bidi="ar-SA"/>
    </w:rPr>
  </w:style>
  <w:style w:type="character" w:customStyle="1" w:styleId="544">
    <w:name w:val="Char Char18"/>
    <w:autoRedefine/>
    <w:qFormat/>
    <w:uiPriority w:val="0"/>
    <w:rPr>
      <w:b/>
      <w:bCs/>
      <w:kern w:val="2"/>
      <w:sz w:val="28"/>
      <w:szCs w:val="28"/>
    </w:rPr>
  </w:style>
  <w:style w:type="character" w:customStyle="1" w:styleId="545">
    <w:name w:val="文档结构图 Char"/>
    <w:link w:val="17"/>
    <w:autoRedefine/>
    <w:qFormat/>
    <w:uiPriority w:val="0"/>
    <w:rPr>
      <w:rFonts w:ascii="宋体"/>
      <w:bCs/>
      <w:sz w:val="18"/>
      <w:szCs w:val="18"/>
    </w:rPr>
  </w:style>
  <w:style w:type="character" w:customStyle="1" w:styleId="546">
    <w:name w:val="ca-131"/>
    <w:autoRedefine/>
    <w:qFormat/>
    <w:uiPriority w:val="0"/>
    <w:rPr>
      <w:rFonts w:hint="eastAsia" w:ascii="宋体" w:hAnsi="宋体" w:eastAsia="宋体"/>
      <w:b/>
      <w:bCs/>
      <w:color w:val="000000"/>
      <w:spacing w:val="-20"/>
      <w:sz w:val="24"/>
      <w:szCs w:val="24"/>
    </w:rPr>
  </w:style>
  <w:style w:type="character" w:customStyle="1" w:styleId="547">
    <w:name w:val="Message Header Label"/>
    <w:autoRedefine/>
    <w:qFormat/>
    <w:uiPriority w:val="0"/>
    <w:rPr>
      <w:rFonts w:ascii="Arial Black" w:hAnsi="Arial Black" w:eastAsia="宋体"/>
      <w:sz w:val="18"/>
    </w:rPr>
  </w:style>
  <w:style w:type="character" w:customStyle="1" w:styleId="548">
    <w:name w:val="apple-style-span"/>
    <w:basedOn w:val="62"/>
    <w:autoRedefine/>
    <w:qFormat/>
    <w:uiPriority w:val="0"/>
  </w:style>
  <w:style w:type="character" w:customStyle="1" w:styleId="549">
    <w:name w:val="Char Char24"/>
    <w:autoRedefine/>
    <w:qFormat/>
    <w:uiPriority w:val="0"/>
    <w:rPr>
      <w:rFonts w:ascii="宋体" w:eastAsia="宋体"/>
      <w:sz w:val="18"/>
      <w:lang w:val="en-US" w:eastAsia="zh-CN" w:bidi="ar-SA"/>
    </w:rPr>
  </w:style>
  <w:style w:type="character" w:customStyle="1" w:styleId="550">
    <w:name w:val="3zw1"/>
    <w:autoRedefine/>
    <w:qFormat/>
    <w:uiPriority w:val="0"/>
    <w:rPr>
      <w:color w:val="000000"/>
      <w:sz w:val="21"/>
      <w:szCs w:val="21"/>
    </w:rPr>
  </w:style>
  <w:style w:type="character" w:customStyle="1" w:styleId="551">
    <w:name w:val="HTML 预设格式 Char"/>
    <w:link w:val="53"/>
    <w:autoRedefine/>
    <w:qFormat/>
    <w:uiPriority w:val="0"/>
    <w:rPr>
      <w:rFonts w:ascii="黑体" w:hAnsi="Courier New" w:eastAsia="黑体"/>
    </w:rPr>
  </w:style>
  <w:style w:type="character" w:customStyle="1" w:styleId="552">
    <w:name w:val="Char Char21"/>
    <w:autoRedefine/>
    <w:qFormat/>
    <w:uiPriority w:val="0"/>
    <w:rPr>
      <w:rFonts w:eastAsia="宋体"/>
      <w:b/>
      <w:kern w:val="2"/>
      <w:sz w:val="32"/>
      <w:lang w:val="en-US" w:eastAsia="zh-CN" w:bidi="ar-SA"/>
    </w:rPr>
  </w:style>
  <w:style w:type="character" w:customStyle="1" w:styleId="553">
    <w:name w:val="ca-291"/>
    <w:autoRedefine/>
    <w:qFormat/>
    <w:uiPriority w:val="0"/>
    <w:rPr>
      <w:rFonts w:hint="default" w:ascii="Times New Roman" w:hAnsi="Times New Roman" w:cs="Times New Roman"/>
      <w:b/>
      <w:bCs/>
      <w:spacing w:val="-20"/>
      <w:sz w:val="24"/>
      <w:szCs w:val="24"/>
    </w:rPr>
  </w:style>
  <w:style w:type="character" w:customStyle="1" w:styleId="554">
    <w:name w:val="Char Char41"/>
    <w:autoRedefine/>
    <w:qFormat/>
    <w:uiPriority w:val="0"/>
    <w:rPr>
      <w:rFonts w:ascii="Arial" w:hAnsi="Arial" w:eastAsia="黑体"/>
      <w:b/>
      <w:kern w:val="2"/>
      <w:sz w:val="28"/>
      <w:lang w:val="en-US" w:eastAsia="zh-CN" w:bidi="ar-SA"/>
    </w:rPr>
  </w:style>
  <w:style w:type="character" w:customStyle="1" w:styleId="555">
    <w:name w:val="bord"/>
    <w:basedOn w:val="62"/>
    <w:autoRedefine/>
    <w:qFormat/>
    <w:uiPriority w:val="0"/>
  </w:style>
  <w:style w:type="character" w:customStyle="1" w:styleId="556">
    <w:name w:val="强调1"/>
    <w:autoRedefine/>
    <w:qFormat/>
    <w:uiPriority w:val="0"/>
    <w:rPr>
      <w:rFonts w:ascii="Arial Black" w:hAnsi="Arial Black" w:eastAsia="宋体"/>
      <w:sz w:val="18"/>
    </w:rPr>
  </w:style>
  <w:style w:type="character" w:customStyle="1" w:styleId="557">
    <w:name w:val="apple-converted-space"/>
    <w:basedOn w:val="62"/>
    <w:autoRedefine/>
    <w:qFormat/>
    <w:uiPriority w:val="0"/>
  </w:style>
  <w:style w:type="character" w:customStyle="1" w:styleId="558">
    <w:name w:val="ca-181"/>
    <w:autoRedefine/>
    <w:qFormat/>
    <w:uiPriority w:val="0"/>
    <w:rPr>
      <w:rFonts w:hint="eastAsia" w:ascii="宋体" w:hAnsi="宋体" w:eastAsia="宋体"/>
      <w:b/>
      <w:bCs/>
      <w:spacing w:val="-20"/>
      <w:sz w:val="24"/>
      <w:szCs w:val="24"/>
    </w:rPr>
  </w:style>
  <w:style w:type="character" w:customStyle="1" w:styleId="559">
    <w:name w:val="Char Char20"/>
    <w:autoRedefine/>
    <w:qFormat/>
    <w:uiPriority w:val="0"/>
    <w:rPr>
      <w:b/>
      <w:bCs/>
      <w:kern w:val="2"/>
      <w:sz w:val="32"/>
      <w:szCs w:val="32"/>
    </w:rPr>
  </w:style>
  <w:style w:type="character" w:customStyle="1" w:styleId="560">
    <w:name w:val="style1041"/>
    <w:autoRedefine/>
    <w:qFormat/>
    <w:uiPriority w:val="0"/>
    <w:rPr>
      <w:color w:val="FFFFFF"/>
    </w:rPr>
  </w:style>
  <w:style w:type="character" w:customStyle="1" w:styleId="561">
    <w:name w:val="金宏发行正文 Char Char Char"/>
    <w:link w:val="83"/>
    <w:autoRedefine/>
    <w:qFormat/>
    <w:uiPriority w:val="0"/>
    <w:rPr>
      <w:rFonts w:eastAsia="仿宋_GB2312" w:cs="宋体"/>
      <w:sz w:val="28"/>
    </w:rPr>
  </w:style>
  <w:style w:type="character" w:customStyle="1" w:styleId="562">
    <w:name w:val="Char Char Char Char Char Char Char"/>
    <w:autoRedefine/>
    <w:qFormat/>
    <w:uiPriority w:val="0"/>
    <w:rPr>
      <w:rFonts w:eastAsia="宋体"/>
      <w:kern w:val="2"/>
      <w:sz w:val="21"/>
      <w:szCs w:val="24"/>
      <w:lang w:val="en-US" w:eastAsia="zh-CN" w:bidi="ar-SA"/>
    </w:rPr>
  </w:style>
  <w:style w:type="character" w:customStyle="1" w:styleId="563">
    <w:name w:val="普通文字1 Char1"/>
    <w:autoRedefine/>
    <w:qFormat/>
    <w:uiPriority w:val="0"/>
    <w:rPr>
      <w:rFonts w:ascii="宋体" w:hAnsi="Courier New" w:eastAsia="宋体"/>
      <w:spacing w:val="-8"/>
      <w:kern w:val="2"/>
      <w:sz w:val="24"/>
      <w:lang w:val="en-US" w:eastAsia="zh-CN" w:bidi="ar-SA"/>
    </w:rPr>
  </w:style>
  <w:style w:type="character" w:customStyle="1" w:styleId="564">
    <w:name w:val="aaaaa Char Char"/>
    <w:link w:val="84"/>
    <w:autoRedefine/>
    <w:qFormat/>
    <w:uiPriority w:val="0"/>
    <w:rPr>
      <w:sz w:val="24"/>
      <w:szCs w:val="24"/>
    </w:rPr>
  </w:style>
  <w:style w:type="character" w:customStyle="1" w:styleId="565">
    <w:name w:val="标准文件_一级项目符号 Char Char Char Char"/>
    <w:link w:val="85"/>
    <w:autoRedefine/>
    <w:qFormat/>
    <w:uiPriority w:val="0"/>
    <w:rPr>
      <w:rFonts w:ascii="Verdana" w:hAnsi="Verdana" w:eastAsia="Times New Roman"/>
      <w:b/>
      <w:bCs/>
      <w:color w:val="000000"/>
      <w:spacing w:val="2"/>
      <w:sz w:val="24"/>
      <w:szCs w:val="24"/>
      <w:lang w:bidi="ar-SA"/>
    </w:rPr>
  </w:style>
  <w:style w:type="character" w:customStyle="1" w:styleId="566">
    <w:name w:val="正文缩进 Char"/>
    <w:link w:val="14"/>
    <w:autoRedefine/>
    <w:qFormat/>
    <w:uiPriority w:val="0"/>
    <w:rPr>
      <w:rFonts w:ascii="宋体" w:eastAsia="宋体"/>
      <w:sz w:val="24"/>
    </w:rPr>
  </w:style>
  <w:style w:type="character" w:customStyle="1" w:styleId="567">
    <w:name w:val="ca-21"/>
    <w:autoRedefine/>
    <w:qFormat/>
    <w:uiPriority w:val="0"/>
    <w:rPr>
      <w:rFonts w:hint="eastAsia" w:ascii="宋体" w:hAnsi="宋体" w:eastAsia="宋体"/>
      <w:sz w:val="21"/>
      <w:szCs w:val="21"/>
    </w:rPr>
  </w:style>
  <w:style w:type="character" w:customStyle="1" w:styleId="568">
    <w:name w:val="Numbered list 2.3 Char1"/>
    <w:link w:val="86"/>
    <w:autoRedefine/>
    <w:qFormat/>
    <w:uiPriority w:val="0"/>
    <w:rPr>
      <w:rFonts w:ascii="Futura Bk" w:hAnsi="Futura Bk" w:eastAsia="宋体"/>
      <w:b/>
      <w:sz w:val="22"/>
      <w:lang w:eastAsia="en-US"/>
    </w:rPr>
  </w:style>
  <w:style w:type="character" w:customStyle="1" w:styleId="569">
    <w:name w:val="无间隔 Char"/>
    <w:link w:val="87"/>
    <w:autoRedefine/>
    <w:qFormat/>
    <w:uiPriority w:val="1"/>
    <w:rPr>
      <w:rFonts w:ascii="Calibri" w:hAnsi="Calibri"/>
      <w:sz w:val="22"/>
      <w:lang w:bidi="ar-SA"/>
    </w:rPr>
  </w:style>
  <w:style w:type="character" w:customStyle="1" w:styleId="570">
    <w:name w:val="H4 Char1"/>
    <w:autoRedefine/>
    <w:qFormat/>
    <w:uiPriority w:val="0"/>
    <w:rPr>
      <w:rFonts w:ascii="Arial" w:hAnsi="Arial" w:eastAsia="黑体"/>
      <w:b/>
      <w:kern w:val="2"/>
      <w:sz w:val="28"/>
      <w:lang w:val="en-US" w:eastAsia="zh-CN" w:bidi="ar-SA"/>
    </w:rPr>
  </w:style>
  <w:style w:type="character" w:customStyle="1" w:styleId="571">
    <w:name w:val="font41"/>
    <w:autoRedefine/>
    <w:qFormat/>
    <w:uiPriority w:val="0"/>
    <w:rPr>
      <w:rFonts w:hint="default" w:ascii="Times New Roman" w:hAnsi="Times New Roman" w:cs="Times New Roman"/>
      <w:color w:val="000000"/>
      <w:sz w:val="20"/>
      <w:szCs w:val="20"/>
      <w:u w:val="none"/>
    </w:rPr>
  </w:style>
  <w:style w:type="character" w:customStyle="1" w:styleId="572">
    <w:name w:val="blue141"/>
    <w:autoRedefine/>
    <w:qFormat/>
    <w:uiPriority w:val="0"/>
    <w:rPr>
      <w:color w:val="0066CC"/>
      <w:sz w:val="21"/>
      <w:szCs w:val="21"/>
    </w:rPr>
  </w:style>
  <w:style w:type="character" w:customStyle="1" w:styleId="573">
    <w:name w:val="页脚 Char1"/>
    <w:link w:val="36"/>
    <w:autoRedefine/>
    <w:qFormat/>
    <w:uiPriority w:val="99"/>
    <w:rPr>
      <w:rFonts w:ascii="宋体"/>
      <w:sz w:val="18"/>
    </w:rPr>
  </w:style>
  <w:style w:type="character" w:customStyle="1" w:styleId="574">
    <w:name w:val="标书正文:  0.74 厘米 Char Char"/>
    <w:link w:val="88"/>
    <w:autoRedefine/>
    <w:qFormat/>
    <w:uiPriority w:val="0"/>
    <w:rPr>
      <w:sz w:val="24"/>
    </w:rPr>
  </w:style>
  <w:style w:type="character" w:customStyle="1" w:styleId="575">
    <w:name w:val="black1"/>
    <w:autoRedefine/>
    <w:qFormat/>
    <w:uiPriority w:val="0"/>
    <w:rPr>
      <w:rFonts w:hint="default" w:ascii="Geneva" w:hAnsi="Geneva"/>
      <w:color w:val="666666"/>
      <w:sz w:val="18"/>
      <w:szCs w:val="18"/>
      <w:u w:val="none"/>
    </w:rPr>
  </w:style>
  <w:style w:type="character" w:customStyle="1" w:styleId="576">
    <w:name w:val="正文111 Char Char"/>
    <w:link w:val="89"/>
    <w:autoRedefine/>
    <w:qFormat/>
    <w:uiPriority w:val="0"/>
    <w:rPr>
      <w:rFonts w:eastAsia="宋体"/>
      <w:sz w:val="24"/>
    </w:rPr>
  </w:style>
  <w:style w:type="character" w:customStyle="1" w:styleId="577">
    <w:name w:val="样式 宋体 小四"/>
    <w:autoRedefine/>
    <w:qFormat/>
    <w:uiPriority w:val="0"/>
    <w:rPr>
      <w:rFonts w:ascii="宋体" w:hAnsi="宋体"/>
      <w:sz w:val="24"/>
    </w:rPr>
  </w:style>
  <w:style w:type="character" w:customStyle="1" w:styleId="578">
    <w:name w:val="ca-61"/>
    <w:autoRedefine/>
    <w:qFormat/>
    <w:uiPriority w:val="0"/>
    <w:rPr>
      <w:rFonts w:hint="default" w:ascii="Times New Roman" w:hAnsi="Times New Roman" w:cs="Times New Roman"/>
      <w:sz w:val="21"/>
      <w:szCs w:val="21"/>
    </w:rPr>
  </w:style>
  <w:style w:type="character" w:customStyle="1" w:styleId="579">
    <w:name w:val="tle_cn"/>
    <w:basedOn w:val="62"/>
    <w:autoRedefine/>
    <w:qFormat/>
    <w:uiPriority w:val="0"/>
  </w:style>
  <w:style w:type="character" w:customStyle="1" w:styleId="580">
    <w:name w:val="样式 样式 标书正文 + 首行缩进:  0.01 字符 + 首行缩进:  0.01 字符 Char Char"/>
    <w:link w:val="90"/>
    <w:autoRedefine/>
    <w:qFormat/>
    <w:uiPriority w:val="0"/>
    <w:rPr>
      <w:rFonts w:ascii="宋体" w:hAnsi="宋体" w:eastAsia="宋体" w:cs="宋体"/>
      <w:sz w:val="28"/>
    </w:rPr>
  </w:style>
  <w:style w:type="character" w:customStyle="1" w:styleId="581">
    <w:name w:val="fontarial1"/>
    <w:autoRedefine/>
    <w:qFormat/>
    <w:uiPriority w:val="0"/>
    <w:rPr>
      <w:rFonts w:hint="default" w:ascii="Arial" w:hAnsi="Arial" w:cs="Arial"/>
    </w:rPr>
  </w:style>
  <w:style w:type="character" w:customStyle="1" w:styleId="582">
    <w:name w:val="Char Char17"/>
    <w:autoRedefine/>
    <w:qFormat/>
    <w:uiPriority w:val="0"/>
    <w:rPr>
      <w:rFonts w:ascii="Arial" w:hAnsi="Arial" w:eastAsia="黑体"/>
      <w:b/>
      <w:bCs/>
      <w:kern w:val="2"/>
      <w:sz w:val="24"/>
      <w:szCs w:val="24"/>
      <w:lang w:val="en-US" w:eastAsia="zh-CN" w:bidi="ar-SA"/>
    </w:rPr>
  </w:style>
  <w:style w:type="character" w:customStyle="1" w:styleId="583">
    <w:name w:val="正文段落 Char Char"/>
    <w:link w:val="91"/>
    <w:autoRedefine/>
    <w:qFormat/>
    <w:uiPriority w:val="0"/>
    <w:rPr>
      <w:rFonts w:ascii="宋体" w:hAnsi="宋体" w:eastAsia="宋体" w:cs="宋体"/>
      <w:sz w:val="24"/>
      <w:szCs w:val="24"/>
    </w:rPr>
  </w:style>
  <w:style w:type="character" w:customStyle="1" w:styleId="584">
    <w:name w:val="style3"/>
    <w:basedOn w:val="62"/>
    <w:autoRedefine/>
    <w:qFormat/>
    <w:uiPriority w:val="0"/>
  </w:style>
  <w:style w:type="character" w:customStyle="1" w:styleId="585">
    <w:name w:val="标题4 Char"/>
    <w:autoRedefine/>
    <w:qFormat/>
    <w:uiPriority w:val="0"/>
    <w:rPr>
      <w:rFonts w:ascii="宋体" w:eastAsia="宋体"/>
      <w:kern w:val="24"/>
      <w:sz w:val="24"/>
      <w:lang w:val="en-US" w:eastAsia="zh-CN" w:bidi="ar-SA"/>
    </w:rPr>
  </w:style>
  <w:style w:type="character" w:customStyle="1" w:styleId="586">
    <w:name w:val="标题 3 Char Char"/>
    <w:autoRedefine/>
    <w:qFormat/>
    <w:uiPriority w:val="0"/>
    <w:rPr>
      <w:rFonts w:eastAsia="宋体"/>
      <w:kern w:val="2"/>
      <w:sz w:val="24"/>
      <w:szCs w:val="32"/>
    </w:rPr>
  </w:style>
  <w:style w:type="character" w:customStyle="1" w:styleId="587">
    <w:name w:val="正文文本 Char"/>
    <w:link w:val="22"/>
    <w:autoRedefine/>
    <w:qFormat/>
    <w:uiPriority w:val="0"/>
    <w:rPr>
      <w:rFonts w:asciiTheme="minorEastAsia" w:hAnsiTheme="minorEastAsia" w:eastAsiaTheme="minorEastAsia" w:cstheme="minorEastAsia"/>
      <w:color w:val="000000" w:themeColor="text1"/>
      <w:kern w:val="2"/>
      <w:sz w:val="24"/>
      <w:szCs w:val="24"/>
      <w14:textFill>
        <w14:solidFill>
          <w14:schemeClr w14:val="tx1"/>
        </w14:solidFill>
      </w14:textFill>
    </w:rPr>
  </w:style>
  <w:style w:type="character" w:customStyle="1" w:styleId="588">
    <w:name w:val="font-121"/>
    <w:autoRedefine/>
    <w:qFormat/>
    <w:uiPriority w:val="0"/>
    <w:rPr>
      <w:color w:val="666666"/>
      <w:sz w:val="18"/>
      <w:szCs w:val="18"/>
      <w:u w:val="none"/>
    </w:rPr>
  </w:style>
  <w:style w:type="character" w:customStyle="1" w:styleId="589">
    <w:name w:val="纯文本 Char"/>
    <w:link w:val="31"/>
    <w:autoRedefine/>
    <w:qFormat/>
    <w:uiPriority w:val="0"/>
    <w:rPr>
      <w:rFonts w:ascii="宋体" w:hAnsi="Courier New" w:eastAsia="宋体"/>
    </w:rPr>
  </w:style>
  <w:style w:type="character" w:customStyle="1" w:styleId="590">
    <w:name w:val="正文（首行缩进） Char1"/>
    <w:link w:val="92"/>
    <w:autoRedefine/>
    <w:qFormat/>
    <w:uiPriority w:val="0"/>
    <w:rPr>
      <w:sz w:val="24"/>
    </w:rPr>
  </w:style>
  <w:style w:type="character" w:customStyle="1" w:styleId="591">
    <w:name w:val="Char Char27"/>
    <w:autoRedefine/>
    <w:qFormat/>
    <w:uiPriority w:val="0"/>
    <w:rPr>
      <w:rFonts w:eastAsia="宋体"/>
      <w:sz w:val="21"/>
      <w:lang w:val="en-US" w:eastAsia="zh-CN" w:bidi="ar-SA"/>
    </w:rPr>
  </w:style>
  <w:style w:type="character" w:customStyle="1" w:styleId="592">
    <w:name w:val="Char Char42"/>
    <w:autoRedefine/>
    <w:qFormat/>
    <w:uiPriority w:val="0"/>
    <w:rPr>
      <w:rFonts w:eastAsia="宋体"/>
      <w:b/>
      <w:kern w:val="44"/>
      <w:sz w:val="44"/>
      <w:lang w:val="en-US" w:eastAsia="zh-CN" w:bidi="ar-SA"/>
    </w:rPr>
  </w:style>
  <w:style w:type="character" w:customStyle="1" w:styleId="593">
    <w:name w:val="Char Char23"/>
    <w:autoRedefine/>
    <w:qFormat/>
    <w:uiPriority w:val="0"/>
    <w:rPr>
      <w:rFonts w:ascii="宋体" w:eastAsia="宋体"/>
      <w:sz w:val="21"/>
      <w:lang w:val="en-US" w:eastAsia="zh-CN" w:bidi="ar-SA"/>
    </w:rPr>
  </w:style>
  <w:style w:type="character" w:customStyle="1" w:styleId="594">
    <w:name w:val="lineitems1"/>
    <w:autoRedefine/>
    <w:qFormat/>
    <w:uiPriority w:val="0"/>
    <w:rPr>
      <w:sz w:val="19"/>
      <w:szCs w:val="19"/>
    </w:rPr>
  </w:style>
  <w:style w:type="character" w:customStyle="1" w:styleId="595">
    <w:name w:val="tit21"/>
    <w:autoRedefine/>
    <w:qFormat/>
    <w:uiPriority w:val="0"/>
    <w:rPr>
      <w:rFonts w:hint="default" w:ascii="����" w:hAnsi="����" w:eastAsia="宋体"/>
      <w:b/>
      <w:bCs/>
      <w:color w:val="073998"/>
      <w:sz w:val="24"/>
      <w:szCs w:val="24"/>
    </w:rPr>
  </w:style>
  <w:style w:type="character" w:customStyle="1" w:styleId="596">
    <w:name w:val="font01"/>
    <w:autoRedefine/>
    <w:qFormat/>
    <w:uiPriority w:val="0"/>
    <w:rPr>
      <w:rFonts w:hint="eastAsia" w:ascii="宋体" w:hAnsi="宋体" w:eastAsia="宋体"/>
      <w:color w:val="000000"/>
      <w:sz w:val="20"/>
      <w:szCs w:val="20"/>
      <w:u w:val="none"/>
    </w:rPr>
  </w:style>
  <w:style w:type="character" w:customStyle="1" w:styleId="597">
    <w:name w:val="样式 仿宋_GB2312 四号1"/>
    <w:autoRedefine/>
    <w:qFormat/>
    <w:uiPriority w:val="0"/>
    <w:rPr>
      <w:rFonts w:ascii="仿宋_GB2312" w:hAnsi="仿宋_GB2312" w:eastAsia="仿宋_GB2312"/>
      <w:sz w:val="24"/>
    </w:rPr>
  </w:style>
  <w:style w:type="character" w:customStyle="1" w:styleId="598">
    <w:name w:val="H2 Char"/>
    <w:autoRedefine/>
    <w:qFormat/>
    <w:uiPriority w:val="0"/>
    <w:rPr>
      <w:rFonts w:eastAsia="宋体"/>
      <w:b/>
      <w:kern w:val="10"/>
      <w:sz w:val="28"/>
      <w:lang w:val="en-US" w:eastAsia="zh-CN" w:bidi="ar-SA"/>
    </w:rPr>
  </w:style>
  <w:style w:type="character" w:customStyle="1" w:styleId="599">
    <w:name w:val="正文(首行缩进) Char Char"/>
    <w:link w:val="94"/>
    <w:autoRedefine/>
    <w:qFormat/>
    <w:uiPriority w:val="0"/>
    <w:rPr>
      <w:rFonts w:ascii="宋体" w:hAnsi="宋体" w:eastAsia="Times New Roman"/>
      <w:spacing w:val="20"/>
      <w:kern w:val="24"/>
      <w:szCs w:val="21"/>
      <w:lang w:bidi="ar-SA"/>
    </w:rPr>
  </w:style>
  <w:style w:type="character" w:customStyle="1" w:styleId="600">
    <w:name w:val="Char Char19"/>
    <w:autoRedefine/>
    <w:qFormat/>
    <w:uiPriority w:val="0"/>
    <w:rPr>
      <w:rFonts w:ascii="Arial" w:hAnsi="Arial" w:eastAsia="黑体"/>
      <w:b/>
      <w:bCs/>
      <w:kern w:val="2"/>
      <w:sz w:val="28"/>
      <w:szCs w:val="28"/>
    </w:rPr>
  </w:style>
  <w:style w:type="character" w:customStyle="1" w:styleId="601">
    <w:name w:val="Char Char35"/>
    <w:autoRedefine/>
    <w:qFormat/>
    <w:uiPriority w:val="0"/>
    <w:rPr>
      <w:rFonts w:eastAsia="宋体"/>
      <w:sz w:val="21"/>
      <w:lang w:val="en-US" w:eastAsia="zh-CN" w:bidi="ar-SA"/>
    </w:rPr>
  </w:style>
  <w:style w:type="character" w:customStyle="1" w:styleId="602">
    <w:name w:val="bold gray"/>
    <w:basedOn w:val="62"/>
    <w:autoRedefine/>
    <w:qFormat/>
    <w:uiPriority w:val="0"/>
  </w:style>
  <w:style w:type="character" w:customStyle="1" w:styleId="603">
    <w:name w:val="正文 首行缩进:  2 字符 Char Char Char"/>
    <w:link w:val="95"/>
    <w:autoRedefine/>
    <w:qFormat/>
    <w:uiPriority w:val="0"/>
    <w:rPr>
      <w:rFonts w:ascii="Verdana" w:hAnsi="Verdana" w:eastAsia="宋体"/>
      <w:sz w:val="24"/>
    </w:rPr>
  </w:style>
  <w:style w:type="character" w:customStyle="1" w:styleId="604">
    <w:name w:val="content1"/>
    <w:autoRedefine/>
    <w:qFormat/>
    <w:uiPriority w:val="0"/>
    <w:rPr>
      <w:sz w:val="18"/>
      <w:szCs w:val="18"/>
    </w:rPr>
  </w:style>
  <w:style w:type="character" w:customStyle="1" w:styleId="605">
    <w:name w:val="tit"/>
    <w:basedOn w:val="62"/>
    <w:autoRedefine/>
    <w:qFormat/>
    <w:uiPriority w:val="0"/>
  </w:style>
  <w:style w:type="character" w:customStyle="1" w:styleId="606">
    <w:name w:val="正文 + 首行缩进:  2 字符 Char Char Char"/>
    <w:link w:val="96"/>
    <w:autoRedefine/>
    <w:qFormat/>
    <w:uiPriority w:val="0"/>
    <w:rPr>
      <w:rFonts w:ascii="Verdana" w:hAnsi="Verdana" w:eastAsia="宋体"/>
      <w:sz w:val="24"/>
    </w:rPr>
  </w:style>
  <w:style w:type="character" w:customStyle="1" w:styleId="607">
    <w:name w:val="Char Char16"/>
    <w:autoRedefine/>
    <w:qFormat/>
    <w:uiPriority w:val="0"/>
    <w:rPr>
      <w:rFonts w:eastAsia="宋体"/>
      <w:b/>
      <w:bCs/>
      <w:kern w:val="2"/>
      <w:sz w:val="24"/>
      <w:szCs w:val="24"/>
      <w:lang w:val="en-US" w:eastAsia="zh-CN" w:bidi="ar-SA"/>
    </w:rPr>
  </w:style>
  <w:style w:type="character" w:customStyle="1" w:styleId="608">
    <w:name w:val="WW8Num4z0"/>
    <w:autoRedefine/>
    <w:qFormat/>
    <w:uiPriority w:val="0"/>
    <w:rPr>
      <w:rFonts w:ascii="Wingdings" w:hAnsi="Wingdings"/>
    </w:rPr>
  </w:style>
  <w:style w:type="character" w:customStyle="1" w:styleId="609">
    <w:name w:val="goog_qs-tidbit"/>
    <w:basedOn w:val="62"/>
    <w:autoRedefine/>
    <w:qFormat/>
    <w:uiPriority w:val="0"/>
  </w:style>
  <w:style w:type="character" w:customStyle="1" w:styleId="610">
    <w:name w:val="style1091"/>
    <w:autoRedefine/>
    <w:qFormat/>
    <w:uiPriority w:val="0"/>
    <w:rPr>
      <w:sz w:val="22"/>
      <w:szCs w:val="22"/>
    </w:rPr>
  </w:style>
  <w:style w:type="character" w:customStyle="1" w:styleId="611">
    <w:name w:val="h1 Char"/>
    <w:autoRedefine/>
    <w:qFormat/>
    <w:uiPriority w:val="0"/>
    <w:rPr>
      <w:rFonts w:ascii="宋体" w:eastAsia="宋体"/>
      <w:b/>
      <w:kern w:val="44"/>
      <w:sz w:val="32"/>
      <w:lang w:val="en-US" w:eastAsia="zh-CN" w:bidi="ar-SA"/>
    </w:rPr>
  </w:style>
  <w:style w:type="character" w:customStyle="1" w:styleId="612">
    <w:name w:val="日期 Char"/>
    <w:link w:val="33"/>
    <w:autoRedefine/>
    <w:qFormat/>
    <w:uiPriority w:val="0"/>
    <w:rPr>
      <w:rFonts w:eastAsia="楷体"/>
      <w:sz w:val="32"/>
    </w:rPr>
  </w:style>
  <w:style w:type="character" w:customStyle="1" w:styleId="613">
    <w:name w:val="ca-01"/>
    <w:autoRedefine/>
    <w:qFormat/>
    <w:uiPriority w:val="0"/>
    <w:rPr>
      <w:rFonts w:hint="default" w:ascii="Times New Roman" w:hAnsi="Times New Roman" w:cs="Times New Roman"/>
      <w:b/>
      <w:bCs/>
      <w:spacing w:val="-20"/>
      <w:sz w:val="21"/>
      <w:szCs w:val="21"/>
    </w:rPr>
  </w:style>
  <w:style w:type="character" w:customStyle="1" w:styleId="614">
    <w:name w:val="Underrubrik1 Char Char"/>
    <w:autoRedefine/>
    <w:qFormat/>
    <w:uiPriority w:val="0"/>
    <w:rPr>
      <w:rFonts w:ascii="Arial" w:hAnsi="Arial"/>
      <w:b/>
      <w:bCs/>
      <w:color w:val="000000"/>
      <w:sz w:val="30"/>
    </w:rPr>
  </w:style>
  <w:style w:type="character" w:customStyle="1" w:styleId="615">
    <w:name w:val="titleblack14px1"/>
    <w:autoRedefine/>
    <w:qFormat/>
    <w:uiPriority w:val="0"/>
    <w:rPr>
      <w:b/>
      <w:bCs/>
      <w:color w:val="000000"/>
      <w:sz w:val="21"/>
      <w:szCs w:val="21"/>
    </w:rPr>
  </w:style>
  <w:style w:type="character" w:customStyle="1" w:styleId="616">
    <w:name w:val="tytytyty Char Char"/>
    <w:link w:val="97"/>
    <w:autoRedefine/>
    <w:qFormat/>
    <w:uiPriority w:val="0"/>
    <w:rPr>
      <w:sz w:val="24"/>
    </w:rPr>
  </w:style>
  <w:style w:type="character" w:customStyle="1" w:styleId="617">
    <w:name w:val="题注xhxia2 Char Char"/>
    <w:link w:val="98"/>
    <w:autoRedefine/>
    <w:qFormat/>
    <w:uiPriority w:val="0"/>
    <w:rPr>
      <w:rFonts w:ascii="黑体" w:hAnsi="黑体" w:eastAsia="黑体"/>
      <w:szCs w:val="21"/>
    </w:rPr>
  </w:style>
  <w:style w:type="character" w:customStyle="1" w:styleId="618">
    <w:name w:val="正文 首行缩进:  2 字符 Char Char"/>
    <w:autoRedefine/>
    <w:qFormat/>
    <w:uiPriority w:val="0"/>
    <w:rPr>
      <w:rFonts w:ascii="Verdana" w:hAnsi="Verdana" w:eastAsia="宋体"/>
      <w:sz w:val="24"/>
      <w:lang w:val="en-US" w:eastAsia="zh-CN"/>
    </w:rPr>
  </w:style>
  <w:style w:type="character" w:customStyle="1" w:styleId="619">
    <w:name w:val="text1"/>
    <w:autoRedefine/>
    <w:qFormat/>
    <w:uiPriority w:val="0"/>
    <w:rPr>
      <w:rFonts w:hint="default" w:ascii="ˎ̥" w:hAnsi="ˎ̥"/>
      <w:color w:val="000000"/>
      <w:sz w:val="18"/>
      <w:szCs w:val="18"/>
    </w:rPr>
  </w:style>
  <w:style w:type="character" w:customStyle="1" w:styleId="620">
    <w:name w:val="ca-110"/>
    <w:autoRedefine/>
    <w:qFormat/>
    <w:uiPriority w:val="0"/>
    <w:rPr>
      <w:rFonts w:hint="eastAsia" w:ascii="宋体" w:hAnsi="宋体" w:eastAsia="宋体"/>
      <w:b/>
      <w:bCs/>
      <w:spacing w:val="-20"/>
      <w:sz w:val="21"/>
      <w:szCs w:val="21"/>
    </w:rPr>
  </w:style>
  <w:style w:type="character" w:customStyle="1" w:styleId="621">
    <w:name w:val="font51"/>
    <w:autoRedefine/>
    <w:qFormat/>
    <w:uiPriority w:val="0"/>
    <w:rPr>
      <w:rFonts w:hint="default" w:ascii="Arial" w:hAnsi="Arial" w:cs="Arial"/>
      <w:color w:val="000000"/>
      <w:sz w:val="20"/>
      <w:szCs w:val="20"/>
      <w:u w:val="none"/>
    </w:rPr>
  </w:style>
  <w:style w:type="character" w:customStyle="1" w:styleId="622">
    <w:name w:val="linkhead"/>
    <w:basedOn w:val="62"/>
    <w:autoRedefine/>
    <w:qFormat/>
    <w:uiPriority w:val="0"/>
  </w:style>
  <w:style w:type="character" w:customStyle="1" w:styleId="623">
    <w:name w:val="Char Char38"/>
    <w:autoRedefine/>
    <w:qFormat/>
    <w:uiPriority w:val="0"/>
    <w:rPr>
      <w:rFonts w:eastAsia="宋体"/>
      <w:kern w:val="2"/>
      <w:sz w:val="21"/>
      <w:lang w:val="en-US" w:eastAsia="zh-CN" w:bidi="ar-SA"/>
    </w:rPr>
  </w:style>
  <w:style w:type="character" w:customStyle="1" w:styleId="624">
    <w:name w:val="zjaf12"/>
    <w:basedOn w:val="62"/>
    <w:autoRedefine/>
    <w:qFormat/>
    <w:uiPriority w:val="0"/>
  </w:style>
  <w:style w:type="character" w:customStyle="1" w:styleId="625">
    <w:name w:val="Char Char39"/>
    <w:autoRedefine/>
    <w:qFormat/>
    <w:uiPriority w:val="0"/>
    <w:rPr>
      <w:rFonts w:ascii="Arial" w:hAnsi="Arial" w:eastAsia="宋体"/>
      <w:kern w:val="2"/>
      <w:sz w:val="21"/>
      <w:lang w:val="en-US" w:eastAsia="zh-CN" w:bidi="ar-SA"/>
    </w:rPr>
  </w:style>
  <w:style w:type="character" w:customStyle="1" w:styleId="626">
    <w:name w:val="批注框文本 Char"/>
    <w:link w:val="35"/>
    <w:autoRedefine/>
    <w:qFormat/>
    <w:uiPriority w:val="0"/>
    <w:rPr>
      <w:sz w:val="18"/>
      <w:szCs w:val="18"/>
    </w:rPr>
  </w:style>
  <w:style w:type="character" w:customStyle="1" w:styleId="627">
    <w:name w:val="Char Char34"/>
    <w:autoRedefine/>
    <w:qFormat/>
    <w:uiPriority w:val="0"/>
    <w:rPr>
      <w:rFonts w:ascii="宋体" w:eastAsia="宋体"/>
      <w:sz w:val="18"/>
      <w:lang w:val="en-US" w:eastAsia="zh-CN" w:bidi="ar-SA"/>
    </w:rPr>
  </w:style>
  <w:style w:type="character" w:customStyle="1" w:styleId="628">
    <w:name w:val="模板正文 Char Char"/>
    <w:link w:val="99"/>
    <w:autoRedefine/>
    <w:qFormat/>
    <w:uiPriority w:val="0"/>
    <w:rPr>
      <w:rFonts w:ascii="Calibri" w:hAnsi="Calibri" w:eastAsia="宋体"/>
      <w:sz w:val="24"/>
      <w:szCs w:val="24"/>
      <w:lang w:bidi="en-US"/>
    </w:rPr>
  </w:style>
  <w:style w:type="character" w:customStyle="1" w:styleId="629">
    <w:name w:val="正文文本缩进 3 Char"/>
    <w:basedOn w:val="62"/>
    <w:link w:val="45"/>
    <w:autoRedefine/>
    <w:qFormat/>
    <w:uiPriority w:val="0"/>
    <w:rPr>
      <w:rFonts w:ascii="宋体" w:hAnsi="Times New Roman" w:eastAsia="宋体" w:cs="Times New Roman"/>
      <w:kern w:val="0"/>
      <w:sz w:val="16"/>
      <w:szCs w:val="16"/>
    </w:rPr>
  </w:style>
  <w:style w:type="character" w:customStyle="1" w:styleId="630">
    <w:name w:val="HTML 打字机 New"/>
    <w:autoRedefine/>
    <w:qFormat/>
    <w:uiPriority w:val="0"/>
    <w:rPr>
      <w:rFonts w:ascii="宋体" w:hAnsi="宋体" w:eastAsia="宋体" w:cs="宋体"/>
      <w:sz w:val="18"/>
      <w:szCs w:val="18"/>
    </w:rPr>
  </w:style>
  <w:style w:type="character" w:customStyle="1" w:styleId="631">
    <w:name w:val="ca-141"/>
    <w:autoRedefine/>
    <w:qFormat/>
    <w:uiPriority w:val="0"/>
    <w:rPr>
      <w:rFonts w:hint="eastAsia" w:ascii="宋体" w:hAnsi="宋体" w:eastAsia="宋体"/>
      <w:sz w:val="24"/>
      <w:szCs w:val="24"/>
    </w:rPr>
  </w:style>
  <w:style w:type="character" w:customStyle="1" w:styleId="632">
    <w:name w:val="列出段落 Char"/>
    <w:link w:val="100"/>
    <w:autoRedefine/>
    <w:qFormat/>
    <w:uiPriority w:val="34"/>
    <w:rPr>
      <w:rFonts w:ascii="Calibri" w:hAnsi="Calibri" w:eastAsia="宋体"/>
    </w:rPr>
  </w:style>
  <w:style w:type="character" w:customStyle="1" w:styleId="633">
    <w:name w:val="bei21"/>
    <w:autoRedefine/>
    <w:qFormat/>
    <w:uiPriority w:val="0"/>
    <w:rPr>
      <w:color w:val="FFFFFF"/>
    </w:rPr>
  </w:style>
  <w:style w:type="character" w:customStyle="1" w:styleId="634">
    <w:name w:val="注释标题 Char"/>
    <w:link w:val="13"/>
    <w:autoRedefine/>
    <w:qFormat/>
    <w:uiPriority w:val="0"/>
    <w:rPr>
      <w:rFonts w:eastAsia="宋体"/>
      <w:szCs w:val="24"/>
    </w:rPr>
  </w:style>
  <w:style w:type="character" w:customStyle="1" w:styleId="635">
    <w:name w:val="Char Char22"/>
    <w:autoRedefine/>
    <w:qFormat/>
    <w:uiPriority w:val="0"/>
    <w:rPr>
      <w:b/>
      <w:bCs/>
      <w:color w:val="000000"/>
      <w:kern w:val="44"/>
      <w:sz w:val="44"/>
      <w:szCs w:val="44"/>
      <w:lang w:val="zh-CN"/>
    </w:rPr>
  </w:style>
  <w:style w:type="character" w:customStyle="1" w:styleId="636">
    <w:name w:val="t"/>
    <w:basedOn w:val="62"/>
    <w:autoRedefine/>
    <w:qFormat/>
    <w:uiPriority w:val="0"/>
  </w:style>
  <w:style w:type="character" w:customStyle="1" w:styleId="637">
    <w:name w:val="style1031"/>
    <w:autoRedefine/>
    <w:qFormat/>
    <w:uiPriority w:val="0"/>
    <w:rPr>
      <w:rFonts w:hint="default" w:ascii="Arial" w:hAnsi="Arial" w:cs="Arial"/>
    </w:rPr>
  </w:style>
  <w:style w:type="character" w:customStyle="1" w:styleId="638">
    <w:name w:val="标准文件_标准正文 Char Char Char Char"/>
    <w:link w:val="101"/>
    <w:autoRedefine/>
    <w:qFormat/>
    <w:uiPriority w:val="0"/>
    <w:rPr>
      <w:rFonts w:eastAsia="宋体"/>
      <w:bCs/>
      <w:color w:val="000000"/>
      <w:spacing w:val="2"/>
      <w:sz w:val="24"/>
      <w:szCs w:val="24"/>
    </w:rPr>
  </w:style>
  <w:style w:type="character" w:customStyle="1" w:styleId="639">
    <w:name w:val="Numbered list 2.4 Char Char"/>
    <w:link w:val="102"/>
    <w:autoRedefine/>
    <w:qFormat/>
    <w:uiPriority w:val="0"/>
    <w:rPr>
      <w:rFonts w:ascii="Futura Bk" w:hAnsi="Futura Bk" w:eastAsia="宋体"/>
      <w:b/>
      <w:sz w:val="28"/>
      <w:lang w:eastAsia="en-US"/>
    </w:rPr>
  </w:style>
  <w:style w:type="character" w:customStyle="1" w:styleId="640">
    <w:name w:val="bord3"/>
    <w:basedOn w:val="62"/>
    <w:autoRedefine/>
    <w:qFormat/>
    <w:uiPriority w:val="0"/>
  </w:style>
  <w:style w:type="character" w:customStyle="1" w:styleId="641">
    <w:name w:val="正文文本缩进 2 Char1"/>
    <w:basedOn w:val="62"/>
    <w:autoRedefine/>
    <w:semiHidden/>
    <w:qFormat/>
    <w:uiPriority w:val="99"/>
    <w:rPr>
      <w:rFonts w:ascii="宋体" w:hAnsi="Times New Roman" w:eastAsia="宋体" w:cs="Times New Roman"/>
      <w:kern w:val="0"/>
      <w:sz w:val="34"/>
      <w:szCs w:val="20"/>
    </w:rPr>
  </w:style>
  <w:style w:type="character" w:customStyle="1" w:styleId="642">
    <w:name w:val="信息标题 Char"/>
    <w:basedOn w:val="62"/>
    <w:link w:val="52"/>
    <w:autoRedefine/>
    <w:qFormat/>
    <w:uiPriority w:val="0"/>
    <w:rPr>
      <w:rFonts w:ascii="Arial" w:hAnsi="Arial"/>
      <w:spacing w:val="-5"/>
      <w:sz w:val="20"/>
    </w:rPr>
  </w:style>
  <w:style w:type="character" w:customStyle="1" w:styleId="643">
    <w:name w:val="页脚 Char2"/>
    <w:basedOn w:val="62"/>
    <w:autoRedefine/>
    <w:semiHidden/>
    <w:qFormat/>
    <w:uiPriority w:val="99"/>
    <w:rPr>
      <w:rFonts w:ascii="宋体" w:hAnsi="Times New Roman" w:eastAsia="宋体" w:cs="Times New Roman"/>
      <w:kern w:val="0"/>
      <w:sz w:val="18"/>
      <w:szCs w:val="18"/>
    </w:rPr>
  </w:style>
  <w:style w:type="character" w:customStyle="1" w:styleId="644">
    <w:name w:val="正文文本缩进 Char1"/>
    <w:basedOn w:val="62"/>
    <w:autoRedefine/>
    <w:semiHidden/>
    <w:qFormat/>
    <w:uiPriority w:val="99"/>
    <w:rPr>
      <w:rFonts w:ascii="宋体" w:hAnsi="Times New Roman" w:eastAsia="宋体" w:cs="Times New Roman"/>
      <w:kern w:val="0"/>
      <w:sz w:val="34"/>
      <w:szCs w:val="20"/>
    </w:rPr>
  </w:style>
  <w:style w:type="character" w:customStyle="1" w:styleId="645">
    <w:name w:val="正文文本 3 Char"/>
    <w:basedOn w:val="62"/>
    <w:link w:val="20"/>
    <w:autoRedefine/>
    <w:qFormat/>
    <w:uiPriority w:val="0"/>
    <w:rPr>
      <w:rFonts w:ascii="宋体" w:hAnsi="Times New Roman" w:eastAsia="宋体" w:cs="Times New Roman"/>
      <w:iCs/>
      <w:kern w:val="0"/>
      <w:sz w:val="24"/>
      <w:szCs w:val="24"/>
    </w:rPr>
  </w:style>
  <w:style w:type="character" w:customStyle="1" w:styleId="646">
    <w:name w:val="批注框文本 Char1"/>
    <w:basedOn w:val="62"/>
    <w:autoRedefine/>
    <w:qFormat/>
    <w:uiPriority w:val="0"/>
    <w:rPr>
      <w:rFonts w:ascii="宋体" w:hAnsi="Times New Roman" w:eastAsia="宋体" w:cs="Times New Roman"/>
      <w:kern w:val="0"/>
      <w:sz w:val="18"/>
      <w:szCs w:val="18"/>
    </w:rPr>
  </w:style>
  <w:style w:type="character" w:customStyle="1" w:styleId="647">
    <w:name w:val="批注主题 Char1"/>
    <w:basedOn w:val="532"/>
    <w:autoRedefine/>
    <w:qFormat/>
    <w:uiPriority w:val="0"/>
    <w:rPr>
      <w:rFonts w:ascii="宋体" w:hAnsi="Times New Roman" w:eastAsia="宋体" w:cs="Times New Roman"/>
      <w:b/>
      <w:bCs/>
      <w:kern w:val="0"/>
      <w:sz w:val="34"/>
      <w:szCs w:val="20"/>
    </w:rPr>
  </w:style>
  <w:style w:type="character" w:customStyle="1" w:styleId="648">
    <w:name w:val="正文文本 Char1"/>
    <w:basedOn w:val="62"/>
    <w:autoRedefine/>
    <w:qFormat/>
    <w:uiPriority w:val="0"/>
    <w:rPr>
      <w:rFonts w:ascii="宋体" w:hAnsi="Times New Roman" w:eastAsia="宋体" w:cs="Times New Roman"/>
      <w:kern w:val="0"/>
      <w:sz w:val="34"/>
      <w:szCs w:val="20"/>
    </w:rPr>
  </w:style>
  <w:style w:type="character" w:customStyle="1" w:styleId="649">
    <w:name w:val="称呼 Char"/>
    <w:basedOn w:val="62"/>
    <w:link w:val="19"/>
    <w:autoRedefine/>
    <w:qFormat/>
    <w:uiPriority w:val="0"/>
    <w:rPr>
      <w:rFonts w:ascii="宋体" w:hAnsi="Times New Roman" w:eastAsia="宋体" w:cs="Times New Roman"/>
      <w:color w:val="000000"/>
      <w:kern w:val="0"/>
      <w:sz w:val="34"/>
      <w:szCs w:val="23"/>
    </w:rPr>
  </w:style>
  <w:style w:type="character" w:customStyle="1" w:styleId="650">
    <w:name w:val="文档结构图 Char1"/>
    <w:basedOn w:val="62"/>
    <w:autoRedefine/>
    <w:qFormat/>
    <w:uiPriority w:val="0"/>
    <w:rPr>
      <w:rFonts w:ascii="宋体" w:hAnsi="Times New Roman" w:eastAsia="宋体" w:cs="Times New Roman"/>
      <w:kern w:val="0"/>
      <w:sz w:val="18"/>
      <w:szCs w:val="18"/>
    </w:rPr>
  </w:style>
  <w:style w:type="character" w:customStyle="1" w:styleId="651">
    <w:name w:val="页眉 Char2"/>
    <w:basedOn w:val="62"/>
    <w:autoRedefine/>
    <w:semiHidden/>
    <w:qFormat/>
    <w:uiPriority w:val="99"/>
    <w:rPr>
      <w:rFonts w:ascii="宋体" w:hAnsi="Times New Roman" w:eastAsia="宋体" w:cs="Times New Roman"/>
      <w:kern w:val="0"/>
      <w:sz w:val="18"/>
      <w:szCs w:val="18"/>
    </w:rPr>
  </w:style>
  <w:style w:type="character" w:customStyle="1" w:styleId="652">
    <w:name w:val="日期 Char1"/>
    <w:basedOn w:val="62"/>
    <w:autoRedefine/>
    <w:qFormat/>
    <w:uiPriority w:val="0"/>
    <w:rPr>
      <w:rFonts w:ascii="宋体" w:hAnsi="Times New Roman" w:eastAsia="宋体" w:cs="Times New Roman"/>
      <w:kern w:val="0"/>
      <w:sz w:val="34"/>
      <w:szCs w:val="20"/>
    </w:rPr>
  </w:style>
  <w:style w:type="character" w:customStyle="1" w:styleId="653">
    <w:name w:val="标题 Char"/>
    <w:basedOn w:val="62"/>
    <w:link w:val="56"/>
    <w:autoRedefine/>
    <w:qFormat/>
    <w:uiPriority w:val="0"/>
    <w:rPr>
      <w:rFonts w:ascii="Arial" w:hAnsi="Arial" w:eastAsia="宋体" w:cs="Arial"/>
      <w:b/>
      <w:bCs/>
      <w:kern w:val="0"/>
      <w:sz w:val="32"/>
      <w:szCs w:val="32"/>
    </w:rPr>
  </w:style>
  <w:style w:type="character" w:customStyle="1" w:styleId="654">
    <w:name w:val="普通(网站) Char"/>
    <w:link w:val="54"/>
    <w:autoRedefine/>
    <w:qFormat/>
    <w:uiPriority w:val="99"/>
    <w:rPr>
      <w:rFonts w:ascii="宋体" w:hAnsi="宋体" w:eastAsia="宋体" w:cs="Times New Roman"/>
      <w:kern w:val="0"/>
      <w:sz w:val="24"/>
      <w:szCs w:val="24"/>
    </w:rPr>
  </w:style>
  <w:style w:type="character" w:customStyle="1" w:styleId="655">
    <w:name w:val="纯文本 Char1"/>
    <w:basedOn w:val="62"/>
    <w:autoRedefine/>
    <w:semiHidden/>
    <w:qFormat/>
    <w:uiPriority w:val="99"/>
    <w:rPr>
      <w:rFonts w:ascii="宋体" w:hAnsi="Courier New" w:eastAsia="宋体" w:cs="Courier New"/>
      <w:kern w:val="0"/>
      <w:szCs w:val="21"/>
    </w:rPr>
  </w:style>
  <w:style w:type="character" w:customStyle="1" w:styleId="656">
    <w:name w:val="正文首行缩进 2 Char1"/>
    <w:basedOn w:val="644"/>
    <w:autoRedefine/>
    <w:semiHidden/>
    <w:qFormat/>
    <w:uiPriority w:val="99"/>
    <w:rPr>
      <w:rFonts w:ascii="宋体" w:hAnsi="Times New Roman" w:eastAsia="宋体" w:cs="Times New Roman"/>
      <w:kern w:val="0"/>
      <w:sz w:val="34"/>
      <w:szCs w:val="20"/>
    </w:rPr>
  </w:style>
  <w:style w:type="character" w:customStyle="1" w:styleId="657">
    <w:name w:val="注释标题 Char1"/>
    <w:basedOn w:val="62"/>
    <w:autoRedefine/>
    <w:semiHidden/>
    <w:qFormat/>
    <w:uiPriority w:val="99"/>
    <w:rPr>
      <w:rFonts w:ascii="宋体" w:hAnsi="Times New Roman" w:eastAsia="宋体" w:cs="Times New Roman"/>
      <w:kern w:val="0"/>
      <w:sz w:val="34"/>
      <w:szCs w:val="20"/>
    </w:rPr>
  </w:style>
  <w:style w:type="character" w:customStyle="1" w:styleId="658">
    <w:name w:val="HTML 预设格式 Char1"/>
    <w:basedOn w:val="62"/>
    <w:autoRedefine/>
    <w:semiHidden/>
    <w:qFormat/>
    <w:uiPriority w:val="99"/>
    <w:rPr>
      <w:rFonts w:ascii="Courier New" w:hAnsi="Courier New" w:eastAsia="宋体" w:cs="Courier New"/>
      <w:kern w:val="0"/>
      <w:sz w:val="20"/>
      <w:szCs w:val="20"/>
    </w:rPr>
  </w:style>
  <w:style w:type="character" w:customStyle="1" w:styleId="659">
    <w:name w:val="正文首行缩进 Char"/>
    <w:basedOn w:val="648"/>
    <w:link w:val="58"/>
    <w:autoRedefine/>
    <w:qFormat/>
    <w:uiPriority w:val="0"/>
    <w:rPr>
      <w:rFonts w:ascii="宋体" w:hAnsi="Times New Roman" w:eastAsia="宋体" w:cs="Times New Roman"/>
      <w:kern w:val="0"/>
      <w:sz w:val="24"/>
      <w:szCs w:val="20"/>
    </w:rPr>
  </w:style>
  <w:style w:type="character" w:customStyle="1" w:styleId="660">
    <w:name w:val="正文文本 2 Char"/>
    <w:basedOn w:val="62"/>
    <w:link w:val="49"/>
    <w:autoRedefine/>
    <w:qFormat/>
    <w:uiPriority w:val="0"/>
    <w:rPr>
      <w:rFonts w:ascii="宋体" w:hAnsi="Times New Roman" w:eastAsia="宋体" w:cs="Times New Roman"/>
      <w:kern w:val="0"/>
      <w:sz w:val="34"/>
      <w:szCs w:val="20"/>
    </w:rPr>
  </w:style>
  <w:style w:type="character" w:customStyle="1" w:styleId="661">
    <w:name w:val="结束语 Char"/>
    <w:basedOn w:val="62"/>
    <w:link w:val="21"/>
    <w:autoRedefine/>
    <w:qFormat/>
    <w:uiPriority w:val="0"/>
    <w:rPr>
      <w:rFonts w:ascii="宋体" w:hAnsi="Times New Roman" w:eastAsia="宋体" w:cs="Times New Roman"/>
      <w:color w:val="000000"/>
      <w:kern w:val="0"/>
      <w:sz w:val="34"/>
      <w:szCs w:val="23"/>
    </w:rPr>
  </w:style>
  <w:style w:type="character" w:customStyle="1" w:styleId="662">
    <w:name w:val="副标题 Char"/>
    <w:basedOn w:val="62"/>
    <w:link w:val="41"/>
    <w:autoRedefine/>
    <w:qFormat/>
    <w:uiPriority w:val="0"/>
    <w:rPr>
      <w:rFonts w:ascii="Arial" w:hAnsi="Arial" w:eastAsia="宋体" w:cs="Times New Roman"/>
      <w:b/>
      <w:kern w:val="28"/>
      <w:sz w:val="32"/>
      <w:szCs w:val="20"/>
    </w:rPr>
  </w:style>
  <w:style w:type="character" w:customStyle="1" w:styleId="663">
    <w:name w:val="z-窗体底端 Char"/>
    <w:basedOn w:val="62"/>
    <w:link w:val="279"/>
    <w:autoRedefine/>
    <w:qFormat/>
    <w:uiPriority w:val="0"/>
    <w:rPr>
      <w:rFonts w:ascii="Arial" w:hAnsi="Arial" w:eastAsia="宋体" w:cs="Arial"/>
      <w:vanish/>
      <w:kern w:val="0"/>
      <w:sz w:val="16"/>
      <w:szCs w:val="16"/>
    </w:rPr>
  </w:style>
  <w:style w:type="character" w:customStyle="1" w:styleId="664">
    <w:name w:val="z-窗体顶端 Char"/>
    <w:basedOn w:val="62"/>
    <w:link w:val="470"/>
    <w:autoRedefine/>
    <w:qFormat/>
    <w:uiPriority w:val="0"/>
    <w:rPr>
      <w:rFonts w:ascii="Arial" w:hAnsi="Arial" w:eastAsia="宋体" w:cs="Arial"/>
      <w:vanish/>
      <w:kern w:val="0"/>
      <w:sz w:val="16"/>
      <w:szCs w:val="16"/>
    </w:rPr>
  </w:style>
  <w:style w:type="character" w:customStyle="1" w:styleId="665">
    <w:name w:val="my正文 Char Char"/>
    <w:link w:val="496"/>
    <w:autoRedefine/>
    <w:qFormat/>
    <w:uiPriority w:val="0"/>
    <w:rPr>
      <w:rFonts w:ascii="Times New Roman" w:hAnsi="Times New Roman" w:eastAsia="宋体" w:cs="Times New Roman"/>
      <w:kern w:val="0"/>
      <w:sz w:val="24"/>
      <w:szCs w:val="24"/>
    </w:rPr>
  </w:style>
  <w:style w:type="character" w:customStyle="1" w:styleId="666">
    <w:name w:val="GP正文(无首行缩进) Char Char"/>
    <w:link w:val="497"/>
    <w:autoRedefine/>
    <w:qFormat/>
    <w:uiPriority w:val="0"/>
    <w:rPr>
      <w:sz w:val="24"/>
      <w:szCs w:val="21"/>
      <w:lang w:bidi="ar-SA"/>
    </w:rPr>
  </w:style>
  <w:style w:type="paragraph" w:customStyle="1" w:styleId="667">
    <w:name w:val="列出段落3"/>
    <w:basedOn w:val="1"/>
    <w:autoRedefine/>
    <w:unhideWhenUsed/>
    <w:qFormat/>
    <w:uiPriority w:val="0"/>
    <w:pPr>
      <w:ind w:firstLine="420" w:firstLineChars="200"/>
    </w:pPr>
  </w:style>
  <w:style w:type="paragraph" w:customStyle="1" w:styleId="668">
    <w:name w:val="TOC 标题2"/>
    <w:basedOn w:val="2"/>
    <w:next w:val="1"/>
    <w:autoRedefine/>
    <w:unhideWhenUsed/>
    <w:qFormat/>
    <w:uiPriority w:val="39"/>
    <w:pPr>
      <w:widowControl/>
      <w:autoSpaceDE/>
      <w:autoSpaceDN/>
      <w:adjustRightInd/>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669">
    <w:name w:val="样式2 Char"/>
    <w:basedOn w:val="62"/>
    <w:link w:val="332"/>
    <w:autoRedefine/>
    <w:qFormat/>
    <w:locked/>
    <w:uiPriority w:val="99"/>
    <w:rPr>
      <w:rFonts w:ascii="宋体"/>
      <w:sz w:val="28"/>
    </w:rPr>
  </w:style>
  <w:style w:type="character" w:customStyle="1" w:styleId="670">
    <w:name w:val="A4"/>
    <w:autoRedefine/>
    <w:qFormat/>
    <w:uiPriority w:val="0"/>
    <w:rPr>
      <w:rFonts w:cs="新宋体"/>
      <w:color w:val="000000"/>
    </w:rPr>
  </w:style>
  <w:style w:type="character" w:customStyle="1" w:styleId="671">
    <w:name w:val="ca-41"/>
    <w:basedOn w:val="62"/>
    <w:autoRedefine/>
    <w:qFormat/>
    <w:uiPriority w:val="0"/>
    <w:rPr>
      <w:rFonts w:ascii="宋体" w:hAnsi="宋体" w:eastAsia="宋体" w:cs="Times New Roman"/>
      <w:sz w:val="24"/>
      <w:szCs w:val="24"/>
    </w:rPr>
  </w:style>
  <w:style w:type="character" w:customStyle="1" w:styleId="672">
    <w:name w:val="fontstrikethrough"/>
    <w:basedOn w:val="62"/>
    <w:autoRedefine/>
    <w:qFormat/>
    <w:uiPriority w:val="0"/>
    <w:rPr>
      <w:strike/>
    </w:rPr>
  </w:style>
  <w:style w:type="character" w:customStyle="1" w:styleId="673">
    <w:name w:val="fontborder"/>
    <w:basedOn w:val="62"/>
    <w:autoRedefine/>
    <w:qFormat/>
    <w:uiPriority w:val="0"/>
    <w:rPr>
      <w:bdr w:val="single" w:color="000000" w:sz="4" w:space="0"/>
    </w:rPr>
  </w:style>
  <w:style w:type="character" w:customStyle="1" w:styleId="674">
    <w:name w:val="keyword-span-wrap"/>
    <w:basedOn w:val="62"/>
    <w:autoRedefine/>
    <w:qFormat/>
    <w:uiPriority w:val="0"/>
    <w:rPr>
      <w:color w:val="19A97B"/>
    </w:rPr>
  </w:style>
  <w:style w:type="character" w:customStyle="1" w:styleId="675">
    <w:name w:val="r-time"/>
    <w:basedOn w:val="62"/>
    <w:autoRedefine/>
    <w:qFormat/>
    <w:uiPriority w:val="0"/>
    <w:rPr>
      <w:color w:val="B30000"/>
    </w:rPr>
  </w:style>
  <w:style w:type="character" w:customStyle="1" w:styleId="676">
    <w:name w:val="r-text"/>
    <w:basedOn w:val="62"/>
    <w:autoRedefine/>
    <w:qFormat/>
    <w:uiPriority w:val="0"/>
    <w:rPr>
      <w:color w:val="00349B"/>
    </w:rPr>
  </w:style>
  <w:style w:type="paragraph" w:customStyle="1" w:styleId="677">
    <w:name w:val="TWW2级"/>
    <w:basedOn w:val="1"/>
    <w:autoRedefine/>
    <w:qFormat/>
    <w:uiPriority w:val="0"/>
    <w:pPr>
      <w:keepNext/>
      <w:keepLines/>
      <w:tabs>
        <w:tab w:val="left" w:pos="210"/>
      </w:tabs>
      <w:spacing w:before="160" w:after="160" w:line="360" w:lineRule="auto"/>
      <w:outlineLvl w:val="1"/>
    </w:pPr>
    <w:rPr>
      <w:rFonts w:hAnsi="宋体"/>
      <w:b/>
      <w:bCs/>
      <w:color w:val="000000" w:themeColor="text1"/>
      <w:kern w:val="2"/>
      <w:sz w:val="32"/>
      <w:szCs w:val="32"/>
      <w14:textFill>
        <w14:solidFill>
          <w14:schemeClr w14:val="tx1"/>
        </w14:solidFill>
      </w14:textFill>
    </w:rPr>
  </w:style>
  <w:style w:type="character" w:customStyle="1" w:styleId="678">
    <w:name w:val="正文缩进 Char1"/>
    <w:autoRedefine/>
    <w:qFormat/>
    <w:uiPriority w:val="0"/>
    <w:rPr>
      <w:rFonts w:eastAsia="宋体"/>
      <w:kern w:val="2"/>
      <w:sz w:val="21"/>
      <w:lang w:val="en-US" w:eastAsia="zh-CN" w:bidi="ar-SA"/>
    </w:rPr>
  </w:style>
  <w:style w:type="paragraph" w:customStyle="1" w:styleId="679">
    <w:name w:val="Table caption|1"/>
    <w:basedOn w:val="1"/>
    <w:autoRedefine/>
    <w:qFormat/>
    <w:uiPriority w:val="0"/>
    <w:rPr>
      <w:rFonts w:hAnsi="宋体" w:cs="宋体"/>
      <w:color w:val="5F5E5E"/>
      <w:kern w:val="2"/>
      <w:sz w:val="17"/>
      <w:szCs w:val="17"/>
      <w:lang w:val="zh-CN" w:bidi="zh-CN"/>
    </w:rPr>
  </w:style>
  <w:style w:type="paragraph" w:customStyle="1" w:styleId="680">
    <w:name w:val="Other|1"/>
    <w:basedOn w:val="1"/>
    <w:autoRedefine/>
    <w:qFormat/>
    <w:uiPriority w:val="0"/>
    <w:pPr>
      <w:spacing w:line="442" w:lineRule="auto"/>
    </w:pPr>
    <w:rPr>
      <w:rFonts w:hAnsi="宋体" w:cs="宋体"/>
      <w:color w:val="5F5E5E"/>
      <w:kern w:val="2"/>
      <w:sz w:val="17"/>
      <w:szCs w:val="17"/>
      <w:lang w:val="zh-CN" w:bidi="zh-CN"/>
    </w:rPr>
  </w:style>
  <w:style w:type="paragraph" w:customStyle="1" w:styleId="681">
    <w:name w:val="Body text|1"/>
    <w:basedOn w:val="1"/>
    <w:autoRedefine/>
    <w:qFormat/>
    <w:uiPriority w:val="0"/>
    <w:pPr>
      <w:spacing w:line="442" w:lineRule="auto"/>
    </w:pPr>
    <w:rPr>
      <w:rFonts w:hAnsi="宋体" w:cs="宋体"/>
      <w:color w:val="5F5E5E"/>
      <w:kern w:val="2"/>
      <w:sz w:val="17"/>
      <w:szCs w:val="17"/>
      <w:lang w:val="zh-CN" w:bidi="zh-CN"/>
    </w:rPr>
  </w:style>
  <w:style w:type="paragraph" w:customStyle="1" w:styleId="682">
    <w:name w:val="Char3"/>
    <w:basedOn w:val="1"/>
    <w:autoRedefine/>
    <w:qFormat/>
    <w:uiPriority w:val="0"/>
    <w:pPr>
      <w:widowControl/>
      <w:spacing w:after="160" w:line="240" w:lineRule="exact"/>
      <w:jc w:val="left"/>
    </w:pPr>
    <w:rPr>
      <w:rFonts w:ascii="Verdana" w:hAnsi="Verdana"/>
      <w:sz w:val="21"/>
      <w:lang w:eastAsia="en-US"/>
    </w:rPr>
  </w:style>
  <w:style w:type="paragraph" w:customStyle="1" w:styleId="683">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84">
    <w:name w:val="hover2"/>
    <w:basedOn w:val="62"/>
    <w:autoRedefine/>
    <w:qFormat/>
    <w:uiPriority w:val="0"/>
  </w:style>
  <w:style w:type="character" w:customStyle="1" w:styleId="685">
    <w:name w:val="标题5 Char Char"/>
    <w:link w:val="227"/>
    <w:autoRedefine/>
    <w:qFormat/>
    <w:uiPriority w:val="0"/>
    <w:rPr>
      <w:rFonts w:ascii="宋体" w:hAnsi="Times New Roman" w:eastAsia="楷体_GB2312" w:cs="Times New Roman"/>
      <w:sz w:val="28"/>
      <w:szCs w:val="24"/>
    </w:rPr>
  </w:style>
  <w:style w:type="character" w:customStyle="1" w:styleId="686">
    <w:name w:val="Char Char11"/>
    <w:autoRedefine/>
    <w:qFormat/>
    <w:uiPriority w:val="0"/>
    <w:rPr>
      <w:rFonts w:eastAsia="宋体"/>
      <w:b/>
      <w:bCs/>
      <w:kern w:val="2"/>
      <w:sz w:val="24"/>
      <w:szCs w:val="24"/>
      <w:lang w:val="en-US" w:eastAsia="zh-CN" w:bidi="ar-SA"/>
    </w:rPr>
  </w:style>
  <w:style w:type="character" w:customStyle="1" w:styleId="687">
    <w:name w:val="引用 Char1"/>
    <w:autoRedefine/>
    <w:qFormat/>
    <w:uiPriority w:val="99"/>
    <w:rPr>
      <w:i/>
      <w:iCs/>
      <w:color w:val="000000"/>
      <w:kern w:val="2"/>
      <w:sz w:val="21"/>
      <w:szCs w:val="24"/>
    </w:rPr>
  </w:style>
  <w:style w:type="character" w:customStyle="1" w:styleId="688">
    <w:name w:val="正文（首行缩进2字符） Char"/>
    <w:link w:val="689"/>
    <w:autoRedefine/>
    <w:qFormat/>
    <w:uiPriority w:val="0"/>
    <w:rPr>
      <w:kern w:val="2"/>
      <w:sz w:val="22"/>
      <w:szCs w:val="22"/>
    </w:rPr>
  </w:style>
  <w:style w:type="paragraph" w:customStyle="1" w:styleId="689">
    <w:name w:val="正文（首行缩进2字符）"/>
    <w:basedOn w:val="1"/>
    <w:link w:val="688"/>
    <w:autoRedefine/>
    <w:qFormat/>
    <w:uiPriority w:val="0"/>
    <w:pPr>
      <w:spacing w:line="300" w:lineRule="auto"/>
      <w:ind w:firstLine="440" w:firstLineChars="200"/>
    </w:pPr>
    <w:rPr>
      <w:rFonts w:asciiTheme="minorHAnsi" w:hAnsiTheme="minorHAnsi" w:eastAsiaTheme="minorEastAsia" w:cstheme="minorBidi"/>
      <w:kern w:val="2"/>
      <w:sz w:val="22"/>
      <w:szCs w:val="22"/>
    </w:rPr>
  </w:style>
  <w:style w:type="character" w:customStyle="1" w:styleId="690">
    <w:name w:val="Char Char9"/>
    <w:autoRedefine/>
    <w:qFormat/>
    <w:uiPriority w:val="0"/>
    <w:rPr>
      <w:rFonts w:ascii="宋体" w:eastAsia="宋体"/>
      <w:sz w:val="18"/>
      <w:szCs w:val="18"/>
      <w:lang w:val="en-US" w:eastAsia="zh-CN" w:bidi="ar-SA"/>
    </w:rPr>
  </w:style>
  <w:style w:type="character" w:customStyle="1" w:styleId="691">
    <w:name w:val="Default Char"/>
    <w:link w:val="76"/>
    <w:autoRedefine/>
    <w:qFormat/>
    <w:uiPriority w:val="0"/>
    <w:rPr>
      <w:rFonts w:ascii="Arial" w:hAnsi="Arial" w:eastAsia="宋体" w:cs="Arial"/>
      <w:color w:val="000000"/>
      <w:sz w:val="24"/>
      <w:szCs w:val="24"/>
    </w:rPr>
  </w:style>
  <w:style w:type="character" w:customStyle="1" w:styleId="692">
    <w:name w:val="脚注文本 Char1"/>
    <w:autoRedefine/>
    <w:qFormat/>
    <w:uiPriority w:val="99"/>
    <w:rPr>
      <w:sz w:val="18"/>
      <w:szCs w:val="18"/>
    </w:rPr>
  </w:style>
  <w:style w:type="character" w:customStyle="1" w:styleId="693">
    <w:name w:val="spaninhover1"/>
    <w:autoRedefine/>
    <w:qFormat/>
    <w:uiPriority w:val="0"/>
    <w:rPr>
      <w:color w:val="000000"/>
    </w:rPr>
  </w:style>
  <w:style w:type="character" w:customStyle="1" w:styleId="694">
    <w:name w:val="hover40"/>
    <w:basedOn w:val="62"/>
    <w:autoRedefine/>
    <w:qFormat/>
    <w:uiPriority w:val="0"/>
  </w:style>
  <w:style w:type="character" w:customStyle="1" w:styleId="695">
    <w:name w:val="明显参考1"/>
    <w:autoRedefine/>
    <w:qFormat/>
    <w:uiPriority w:val="0"/>
    <w:rPr>
      <w:b/>
      <w:bCs/>
      <w:smallCaps/>
      <w:color w:val="C0504D"/>
      <w:spacing w:val="5"/>
      <w:u w:val="single"/>
    </w:rPr>
  </w:style>
  <w:style w:type="character" w:customStyle="1" w:styleId="696">
    <w:name w:val="Char Char221"/>
    <w:autoRedefine/>
    <w:qFormat/>
    <w:uiPriority w:val="0"/>
    <w:rPr>
      <w:rFonts w:eastAsia="宋体"/>
      <w:b/>
      <w:bCs/>
      <w:kern w:val="44"/>
      <w:sz w:val="44"/>
      <w:szCs w:val="44"/>
      <w:lang w:val="en-US" w:eastAsia="zh-CN" w:bidi="ar-SA"/>
    </w:rPr>
  </w:style>
  <w:style w:type="character" w:customStyle="1" w:styleId="697">
    <w:name w:val="Char Char14"/>
    <w:autoRedefine/>
    <w:qFormat/>
    <w:uiPriority w:val="0"/>
    <w:rPr>
      <w:rFonts w:eastAsia="仿宋"/>
      <w:b/>
      <w:bCs/>
      <w:kern w:val="44"/>
      <w:sz w:val="32"/>
      <w:szCs w:val="32"/>
      <w:lang w:val="en-US" w:eastAsia="zh-CN" w:bidi="ar-SA"/>
    </w:rPr>
  </w:style>
  <w:style w:type="character" w:customStyle="1" w:styleId="698">
    <w:name w:val="small"/>
    <w:basedOn w:val="62"/>
    <w:autoRedefine/>
    <w:qFormat/>
    <w:uiPriority w:val="0"/>
  </w:style>
  <w:style w:type="character" w:customStyle="1" w:styleId="699">
    <w:name w:val="签名 Char"/>
    <w:link w:val="38"/>
    <w:autoRedefine/>
    <w:qFormat/>
    <w:uiPriority w:val="0"/>
    <w:rPr>
      <w:kern w:val="2"/>
      <w:sz w:val="21"/>
      <w:szCs w:val="21"/>
    </w:rPr>
  </w:style>
  <w:style w:type="character" w:customStyle="1" w:styleId="700">
    <w:name w:val="表格标题 Char"/>
    <w:link w:val="292"/>
    <w:autoRedefine/>
    <w:qFormat/>
    <w:uiPriority w:val="0"/>
    <w:rPr>
      <w:rFonts w:ascii="Calibri" w:hAnsi="Calibri" w:eastAsia="仿宋_GB2312" w:cs="黑体"/>
      <w:b/>
      <w:bCs/>
      <w:i/>
      <w:iCs/>
      <w:kern w:val="1"/>
      <w:sz w:val="28"/>
      <w:szCs w:val="24"/>
      <w:lang w:eastAsia="ar-SA"/>
    </w:rPr>
  </w:style>
  <w:style w:type="character" w:customStyle="1" w:styleId="701">
    <w:name w:val="Heading 4 Char"/>
    <w:autoRedefine/>
    <w:qFormat/>
    <w:uiPriority w:val="0"/>
    <w:rPr>
      <w:rFonts w:eastAsia="仿宋"/>
      <w:b/>
      <w:bCs/>
      <w:kern w:val="44"/>
      <w:sz w:val="32"/>
      <w:szCs w:val="32"/>
      <w:lang w:val="en-US" w:eastAsia="zh-CN" w:bidi="ar-SA"/>
    </w:rPr>
  </w:style>
  <w:style w:type="character" w:customStyle="1" w:styleId="702">
    <w:name w:val="正文文本 Char2"/>
    <w:autoRedefine/>
    <w:qFormat/>
    <w:uiPriority w:val="0"/>
    <w:rPr>
      <w:kern w:val="2"/>
      <w:sz w:val="21"/>
      <w:szCs w:val="24"/>
    </w:rPr>
  </w:style>
  <w:style w:type="character" w:customStyle="1" w:styleId="703">
    <w:name w:val=". (a.) Char"/>
    <w:link w:val="704"/>
    <w:autoRedefine/>
    <w:qFormat/>
    <w:uiPriority w:val="0"/>
    <w:rPr>
      <w:rFonts w:ascii="Cambria" w:hAnsi="Cambria"/>
      <w:b/>
      <w:kern w:val="2"/>
      <w:sz w:val="24"/>
    </w:rPr>
  </w:style>
  <w:style w:type="paragraph" w:customStyle="1" w:styleId="704">
    <w:name w:val="标题 61"/>
    <w:basedOn w:val="1"/>
    <w:next w:val="1"/>
    <w:link w:val="703"/>
    <w:autoRedefine/>
    <w:qFormat/>
    <w:uiPriority w:val="0"/>
    <w:pPr>
      <w:keepNext/>
      <w:keepLines/>
      <w:numPr>
        <w:ilvl w:val="5"/>
        <w:numId w:val="1"/>
      </w:numPr>
      <w:tabs>
        <w:tab w:val="left" w:pos="1152"/>
        <w:tab w:val="left" w:pos="3799"/>
      </w:tabs>
      <w:spacing w:before="240" w:after="64" w:line="317" w:lineRule="auto"/>
      <w:outlineLvl w:val="5"/>
    </w:pPr>
    <w:rPr>
      <w:rFonts w:ascii="Cambria" w:hAnsi="Cambria" w:eastAsiaTheme="minorEastAsia" w:cstheme="minorBidi"/>
      <w:b/>
      <w:kern w:val="2"/>
      <w:sz w:val="24"/>
    </w:rPr>
  </w:style>
  <w:style w:type="character" w:customStyle="1" w:styleId="705">
    <w:name w:val="Char Char Char Char Char Char Char Char Char"/>
    <w:autoRedefine/>
    <w:qFormat/>
    <w:uiPriority w:val="0"/>
    <w:rPr>
      <w:rFonts w:ascii="Tahoma" w:hAnsi="Tahoma"/>
      <w:kern w:val="2"/>
      <w:sz w:val="24"/>
      <w:szCs w:val="24"/>
      <w:shd w:val="clear" w:color="auto" w:fill="000080"/>
    </w:rPr>
  </w:style>
  <w:style w:type="character" w:customStyle="1" w:styleId="706">
    <w:name w:val="plaintext"/>
    <w:basedOn w:val="62"/>
    <w:autoRedefine/>
    <w:qFormat/>
    <w:uiPriority w:val="0"/>
  </w:style>
  <w:style w:type="character" w:customStyle="1" w:styleId="707">
    <w:name w:val="Char Char211"/>
    <w:autoRedefine/>
    <w:qFormat/>
    <w:uiPriority w:val="0"/>
    <w:rPr>
      <w:rFonts w:eastAsia="宋体"/>
      <w:b/>
      <w:bCs/>
      <w:kern w:val="2"/>
      <w:sz w:val="32"/>
      <w:szCs w:val="32"/>
      <w:lang w:val="en-US" w:eastAsia="zh-CN" w:bidi="ar-SA"/>
    </w:rPr>
  </w:style>
  <w:style w:type="character" w:customStyle="1" w:styleId="708">
    <w:name w:val="font161"/>
    <w:autoRedefine/>
    <w:qFormat/>
    <w:uiPriority w:val="0"/>
    <w:rPr>
      <w:b/>
      <w:bCs/>
      <w:sz w:val="32"/>
      <w:szCs w:val="32"/>
    </w:rPr>
  </w:style>
  <w:style w:type="character" w:customStyle="1" w:styleId="709">
    <w:name w:val="time1"/>
    <w:basedOn w:val="62"/>
    <w:autoRedefine/>
    <w:qFormat/>
    <w:uiPriority w:val="0"/>
  </w:style>
  <w:style w:type="character" w:customStyle="1" w:styleId="710">
    <w:name w:val="hover1"/>
    <w:autoRedefine/>
    <w:qFormat/>
    <w:uiPriority w:val="0"/>
    <w:rPr>
      <w:color w:val="2EC3CC"/>
    </w:rPr>
  </w:style>
  <w:style w:type="character" w:customStyle="1" w:styleId="711">
    <w:name w:val="title"/>
    <w:basedOn w:val="62"/>
    <w:autoRedefine/>
    <w:qFormat/>
    <w:uiPriority w:val="0"/>
  </w:style>
  <w:style w:type="character" w:customStyle="1" w:styleId="712">
    <w:name w:val="Char Char191"/>
    <w:autoRedefine/>
    <w:qFormat/>
    <w:uiPriority w:val="0"/>
    <w:rPr>
      <w:rFonts w:ascii="宋体" w:eastAsia="宋体"/>
      <w:sz w:val="18"/>
      <w:szCs w:val="18"/>
      <w:lang w:val="en-US" w:eastAsia="zh-CN" w:bidi="ar-SA"/>
    </w:rPr>
  </w:style>
  <w:style w:type="character" w:customStyle="1" w:styleId="713">
    <w:name w:val="Char Char15"/>
    <w:autoRedefine/>
    <w:qFormat/>
    <w:uiPriority w:val="0"/>
    <w:rPr>
      <w:rFonts w:eastAsia="仿宋"/>
      <w:b/>
      <w:bCs/>
      <w:kern w:val="44"/>
      <w:sz w:val="32"/>
      <w:szCs w:val="32"/>
      <w:lang w:val="en-US" w:eastAsia="zh-CN" w:bidi="ar-SA"/>
    </w:rPr>
  </w:style>
  <w:style w:type="character" w:customStyle="1" w:styleId="714">
    <w:name w:val="标准正文 Char"/>
    <w:link w:val="267"/>
    <w:autoRedefine/>
    <w:qFormat/>
    <w:uiPriority w:val="0"/>
    <w:rPr>
      <w:rFonts w:ascii="宋体" w:hAnsi="Times New Roman" w:eastAsia="宋体" w:cs="Times New Roman"/>
      <w:sz w:val="28"/>
      <w:szCs w:val="24"/>
    </w:rPr>
  </w:style>
  <w:style w:type="character" w:customStyle="1" w:styleId="715">
    <w:name w:val="白皮书 序号1 Char Char"/>
    <w:link w:val="716"/>
    <w:autoRedefine/>
    <w:qFormat/>
    <w:uiPriority w:val="0"/>
    <w:rPr>
      <w:rFonts w:ascii="宋体" w:hAnsi="宋体"/>
      <w:b/>
      <w:kern w:val="2"/>
      <w:sz w:val="24"/>
      <w:szCs w:val="22"/>
    </w:rPr>
  </w:style>
  <w:style w:type="paragraph" w:customStyle="1" w:styleId="716">
    <w:name w:val="白皮书 序号1"/>
    <w:basedOn w:val="1"/>
    <w:link w:val="715"/>
    <w:autoRedefine/>
    <w:qFormat/>
    <w:uiPriority w:val="0"/>
    <w:pPr>
      <w:numPr>
        <w:ilvl w:val="0"/>
        <w:numId w:val="3"/>
      </w:numPr>
      <w:tabs>
        <w:tab w:val="left" w:pos="953"/>
        <w:tab w:val="left" w:pos="986"/>
      </w:tabs>
      <w:spacing w:line="360" w:lineRule="auto"/>
    </w:pPr>
    <w:rPr>
      <w:rFonts w:hAnsi="宋体" w:eastAsiaTheme="minorEastAsia" w:cstheme="minorBidi"/>
      <w:b/>
      <w:kern w:val="2"/>
      <w:sz w:val="24"/>
      <w:szCs w:val="22"/>
    </w:rPr>
  </w:style>
  <w:style w:type="character" w:customStyle="1" w:styleId="717">
    <w:name w:val="QB正文 Char Char"/>
    <w:link w:val="718"/>
    <w:autoRedefine/>
    <w:qFormat/>
    <w:uiPriority w:val="0"/>
    <w:rPr>
      <w:rFonts w:ascii="宋体"/>
      <w:sz w:val="21"/>
    </w:rPr>
  </w:style>
  <w:style w:type="paragraph" w:customStyle="1" w:styleId="718">
    <w:name w:val="QB正文"/>
    <w:basedOn w:val="1"/>
    <w:link w:val="717"/>
    <w:autoRedefine/>
    <w:qFormat/>
    <w:uiPriority w:val="0"/>
    <w:pPr>
      <w:widowControl/>
      <w:autoSpaceDE w:val="0"/>
      <w:autoSpaceDN w:val="0"/>
      <w:ind w:firstLine="200" w:firstLineChars="200"/>
    </w:pPr>
    <w:rPr>
      <w:rFonts w:hAnsiTheme="minorHAnsi" w:eastAsiaTheme="minorEastAsia" w:cstheme="minorBidi"/>
      <w:sz w:val="21"/>
    </w:rPr>
  </w:style>
  <w:style w:type="character" w:customStyle="1" w:styleId="719">
    <w:name w:val="Char Char161"/>
    <w:autoRedefine/>
    <w:qFormat/>
    <w:uiPriority w:val="0"/>
    <w:rPr>
      <w:rFonts w:eastAsia="仿宋"/>
      <w:b/>
      <w:bCs/>
      <w:kern w:val="44"/>
      <w:sz w:val="32"/>
      <w:szCs w:val="32"/>
      <w:lang w:val="en-US" w:eastAsia="zh-CN" w:bidi="ar-SA"/>
    </w:rPr>
  </w:style>
  <w:style w:type="character" w:customStyle="1" w:styleId="720">
    <w:name w:val="不明显强调1"/>
    <w:autoRedefine/>
    <w:qFormat/>
    <w:uiPriority w:val="0"/>
    <w:rPr>
      <w:i/>
      <w:iCs/>
      <w:color w:val="808080"/>
    </w:rPr>
  </w:style>
  <w:style w:type="character" w:customStyle="1" w:styleId="721">
    <w:name w:val="表格字居中 Char"/>
    <w:link w:val="722"/>
    <w:autoRedefine/>
    <w:qFormat/>
    <w:uiPriority w:val="0"/>
    <w:rPr>
      <w:kern w:val="2"/>
      <w:sz w:val="24"/>
      <w:szCs w:val="24"/>
    </w:rPr>
  </w:style>
  <w:style w:type="paragraph" w:customStyle="1" w:styleId="722">
    <w:name w:val="表格字居中"/>
    <w:basedOn w:val="723"/>
    <w:link w:val="721"/>
    <w:autoRedefine/>
    <w:qFormat/>
    <w:uiPriority w:val="0"/>
    <w:pPr>
      <w:jc w:val="center"/>
    </w:pPr>
    <w:rPr>
      <w:sz w:val="24"/>
      <w:szCs w:val="24"/>
    </w:rPr>
  </w:style>
  <w:style w:type="paragraph" w:customStyle="1" w:styleId="723">
    <w:name w:val="表格字"/>
    <w:link w:val="772"/>
    <w:autoRedefine/>
    <w:qFormat/>
    <w:uiPriority w:val="0"/>
    <w:rPr>
      <w:rFonts w:asciiTheme="minorHAnsi" w:hAnsiTheme="minorHAnsi" w:eastAsiaTheme="minorEastAsia" w:cstheme="minorBidi"/>
      <w:kern w:val="2"/>
      <w:sz w:val="21"/>
      <w:szCs w:val="21"/>
      <w:lang w:val="en-US" w:eastAsia="zh-CN" w:bidi="ar-SA"/>
    </w:rPr>
  </w:style>
  <w:style w:type="character" w:customStyle="1" w:styleId="724">
    <w:name w:val="书籍标题1"/>
    <w:autoRedefine/>
    <w:qFormat/>
    <w:uiPriority w:val="0"/>
    <w:rPr>
      <w:b/>
      <w:bCs/>
      <w:smallCaps/>
      <w:spacing w:val="5"/>
    </w:rPr>
  </w:style>
  <w:style w:type="character" w:customStyle="1" w:styleId="725">
    <w:name w:val="hover44"/>
    <w:autoRedefine/>
    <w:qFormat/>
    <w:uiPriority w:val="0"/>
    <w:rPr>
      <w:color w:val="2EC3CC"/>
    </w:rPr>
  </w:style>
  <w:style w:type="character" w:customStyle="1" w:styleId="726">
    <w:name w:val="Char Char"/>
    <w:autoRedefine/>
    <w:qFormat/>
    <w:uiPriority w:val="0"/>
    <w:rPr>
      <w:rFonts w:ascii="Arial" w:hAnsi="Arial" w:eastAsia="黑体"/>
      <w:b/>
      <w:bCs/>
      <w:kern w:val="2"/>
      <w:sz w:val="32"/>
      <w:szCs w:val="32"/>
      <w:lang w:val="en-US" w:eastAsia="zh-CN" w:bidi="ar-SA"/>
    </w:rPr>
  </w:style>
  <w:style w:type="character" w:customStyle="1" w:styleId="727">
    <w:name w:val="抬头 Char"/>
    <w:link w:val="728"/>
    <w:autoRedefine/>
    <w:qFormat/>
    <w:uiPriority w:val="0"/>
    <w:rPr>
      <w:rFonts w:eastAsia="楷体"/>
      <w:b/>
      <w:bCs/>
      <w:sz w:val="24"/>
      <w:szCs w:val="24"/>
    </w:rPr>
  </w:style>
  <w:style w:type="paragraph" w:customStyle="1" w:styleId="728">
    <w:name w:val="抬头"/>
    <w:link w:val="727"/>
    <w:autoRedefine/>
    <w:qFormat/>
    <w:uiPriority w:val="0"/>
    <w:rPr>
      <w:rFonts w:eastAsia="楷体" w:asciiTheme="minorHAnsi" w:hAnsiTheme="minorHAnsi" w:cstheme="minorBidi"/>
      <w:b/>
      <w:bCs/>
      <w:sz w:val="24"/>
      <w:szCs w:val="24"/>
      <w:lang w:val="en-US" w:eastAsia="zh-CN" w:bidi="ar-SA"/>
    </w:rPr>
  </w:style>
  <w:style w:type="character" w:customStyle="1" w:styleId="729">
    <w:name w:val="Char Char7"/>
    <w:autoRedefine/>
    <w:qFormat/>
    <w:uiPriority w:val="0"/>
    <w:rPr>
      <w:rFonts w:ascii="Arial" w:hAnsi="Arial" w:eastAsia="黑体"/>
      <w:b/>
      <w:bCs/>
      <w:kern w:val="2"/>
      <w:sz w:val="32"/>
      <w:szCs w:val="32"/>
      <w:lang w:val="en-US" w:eastAsia="zh-CN" w:bidi="ar-SA"/>
    </w:rPr>
  </w:style>
  <w:style w:type="character" w:customStyle="1" w:styleId="730">
    <w:name w:val="h2 Char1"/>
    <w:autoRedefine/>
    <w:qFormat/>
    <w:uiPriority w:val="0"/>
    <w:rPr>
      <w:rFonts w:ascii="Arial" w:hAnsi="Arial" w:eastAsia="黑体"/>
      <w:b/>
      <w:bCs/>
      <w:kern w:val="2"/>
      <w:sz w:val="32"/>
      <w:szCs w:val="32"/>
      <w:lang w:val="en-US" w:eastAsia="zh-CN" w:bidi="ar-SA"/>
    </w:rPr>
  </w:style>
  <w:style w:type="character" w:customStyle="1" w:styleId="731">
    <w:name w:val="spaninhover"/>
    <w:autoRedefine/>
    <w:qFormat/>
    <w:uiPriority w:val="0"/>
    <w:rPr>
      <w:color w:val="000000"/>
    </w:rPr>
  </w:style>
  <w:style w:type="character" w:customStyle="1" w:styleId="732">
    <w:name w:val="hover5"/>
    <w:basedOn w:val="62"/>
    <w:autoRedefine/>
    <w:qFormat/>
    <w:uiPriority w:val="0"/>
  </w:style>
  <w:style w:type="character" w:customStyle="1" w:styleId="733">
    <w:name w:val="hover41"/>
    <w:autoRedefine/>
    <w:qFormat/>
    <w:uiPriority w:val="0"/>
    <w:rPr>
      <w:color w:val="2EC3CC"/>
    </w:rPr>
  </w:style>
  <w:style w:type="character" w:customStyle="1" w:styleId="734">
    <w:name w:val="签名 Char1"/>
    <w:autoRedefine/>
    <w:semiHidden/>
    <w:qFormat/>
    <w:uiPriority w:val="99"/>
    <w:rPr>
      <w:kern w:val="2"/>
      <w:sz w:val="21"/>
      <w:szCs w:val="24"/>
    </w:rPr>
  </w:style>
  <w:style w:type="character" w:customStyle="1" w:styleId="735">
    <w:name w:val="hover45"/>
    <w:basedOn w:val="62"/>
    <w:autoRedefine/>
    <w:qFormat/>
    <w:uiPriority w:val="0"/>
  </w:style>
  <w:style w:type="character" w:customStyle="1" w:styleId="736">
    <w:name w:val="正文粗体 Char"/>
    <w:link w:val="737"/>
    <w:autoRedefine/>
    <w:qFormat/>
    <w:uiPriority w:val="0"/>
    <w:rPr>
      <w:rFonts w:eastAsia="仿宋"/>
      <w:b/>
      <w:bCs/>
      <w:sz w:val="32"/>
      <w:szCs w:val="32"/>
    </w:rPr>
  </w:style>
  <w:style w:type="paragraph" w:customStyle="1" w:styleId="737">
    <w:name w:val="正文粗体"/>
    <w:basedOn w:val="1"/>
    <w:link w:val="736"/>
    <w:autoRedefine/>
    <w:qFormat/>
    <w:uiPriority w:val="0"/>
    <w:pPr>
      <w:spacing w:line="360" w:lineRule="auto"/>
      <w:ind w:firstLine="560" w:firstLineChars="200"/>
      <w:jc w:val="left"/>
    </w:pPr>
    <w:rPr>
      <w:rFonts w:eastAsia="仿宋" w:asciiTheme="minorHAnsi" w:hAnsiTheme="minorHAnsi" w:cstheme="minorBidi"/>
      <w:b/>
      <w:bCs/>
      <w:sz w:val="32"/>
      <w:szCs w:val="32"/>
    </w:rPr>
  </w:style>
  <w:style w:type="character" w:customStyle="1" w:styleId="738">
    <w:name w:val="Char Char13"/>
    <w:autoRedefine/>
    <w:qFormat/>
    <w:uiPriority w:val="0"/>
    <w:rPr>
      <w:rFonts w:eastAsia="仿宋"/>
      <w:b/>
      <w:bCs/>
      <w:kern w:val="44"/>
      <w:sz w:val="32"/>
      <w:szCs w:val="32"/>
      <w:lang w:val="en-US" w:eastAsia="zh-CN" w:bidi="ar-SA"/>
    </w:rPr>
  </w:style>
  <w:style w:type="character" w:customStyle="1" w:styleId="739">
    <w:name w:val="脚注文本 Char"/>
    <w:link w:val="43"/>
    <w:autoRedefine/>
    <w:qFormat/>
    <w:uiPriority w:val="0"/>
    <w:rPr>
      <w:rFonts w:ascii="宋体" w:hAnsi="Times New Roman" w:eastAsia="宋体" w:cs="Times New Roman"/>
      <w:sz w:val="18"/>
      <w:szCs w:val="18"/>
    </w:rPr>
  </w:style>
  <w:style w:type="character" w:customStyle="1" w:styleId="740">
    <w:name w:val=". (1.) Char"/>
    <w:autoRedefine/>
    <w:qFormat/>
    <w:uiPriority w:val="0"/>
    <w:rPr>
      <w:rFonts w:hint="eastAsia" w:ascii="Calibri" w:hAnsi="Calibri" w:eastAsia="宋体"/>
      <w:b/>
      <w:kern w:val="2"/>
      <w:sz w:val="28"/>
      <w:lang w:val="en-US" w:eastAsia="zh-CN"/>
    </w:rPr>
  </w:style>
  <w:style w:type="character" w:customStyle="1" w:styleId="741">
    <w:name w:val="time2"/>
    <w:basedOn w:val="62"/>
    <w:autoRedefine/>
    <w:qFormat/>
    <w:uiPriority w:val="0"/>
  </w:style>
  <w:style w:type="character" w:customStyle="1" w:styleId="742">
    <w:name w:val="Char Char201"/>
    <w:autoRedefine/>
    <w:qFormat/>
    <w:uiPriority w:val="0"/>
    <w:rPr>
      <w:rFonts w:ascii="Arial" w:hAnsi="Arial" w:eastAsia="黑体"/>
      <w:b/>
      <w:bCs/>
      <w:kern w:val="2"/>
      <w:sz w:val="28"/>
      <w:szCs w:val="28"/>
      <w:lang w:val="en-US" w:eastAsia="zh-CN" w:bidi="ar-SA"/>
    </w:rPr>
  </w:style>
  <w:style w:type="character" w:customStyle="1" w:styleId="743">
    <w:name w:val="Normal Indent Char Char"/>
    <w:link w:val="744"/>
    <w:autoRedefine/>
    <w:qFormat/>
    <w:uiPriority w:val="0"/>
    <w:rPr>
      <w:sz w:val="24"/>
      <w:szCs w:val="24"/>
    </w:rPr>
  </w:style>
  <w:style w:type="paragraph" w:customStyle="1" w:styleId="744">
    <w:name w:val="标题4"/>
    <w:basedOn w:val="3"/>
    <w:next w:val="28"/>
    <w:link w:val="743"/>
    <w:autoRedefine/>
    <w:qFormat/>
    <w:uiPriority w:val="0"/>
    <w:rPr>
      <w:rFonts w:asciiTheme="minorHAnsi" w:hAnsiTheme="minorHAnsi" w:eastAsiaTheme="minorEastAsia" w:cstheme="minorBidi"/>
      <w:b w:val="0"/>
      <w:bCs w:val="0"/>
      <w:kern w:val="0"/>
      <w:sz w:val="24"/>
      <w:szCs w:val="24"/>
    </w:rPr>
  </w:style>
  <w:style w:type="character" w:customStyle="1" w:styleId="745">
    <w:name w:val="表内文字 Char"/>
    <w:link w:val="746"/>
    <w:autoRedefine/>
    <w:qFormat/>
    <w:uiPriority w:val="0"/>
    <w:rPr>
      <w:rFonts w:ascii="Arial" w:hAnsi="Arial" w:cs="宋体"/>
      <w:kern w:val="2"/>
      <w:sz w:val="21"/>
    </w:rPr>
  </w:style>
  <w:style w:type="paragraph" w:customStyle="1" w:styleId="746">
    <w:name w:val="表内文字"/>
    <w:basedOn w:val="1"/>
    <w:link w:val="745"/>
    <w:autoRedefine/>
    <w:qFormat/>
    <w:uiPriority w:val="0"/>
    <w:rPr>
      <w:rFonts w:ascii="Arial" w:hAnsi="Arial" w:cs="宋体" w:eastAsiaTheme="minorEastAsia"/>
      <w:kern w:val="2"/>
      <w:sz w:val="21"/>
    </w:rPr>
  </w:style>
  <w:style w:type="character" w:customStyle="1" w:styleId="747">
    <w:name w:val="clh15"/>
    <w:basedOn w:val="62"/>
    <w:autoRedefine/>
    <w:qFormat/>
    <w:uiPriority w:val="0"/>
  </w:style>
  <w:style w:type="character" w:customStyle="1" w:styleId="748">
    <w:name w:val="hover"/>
    <w:autoRedefine/>
    <w:qFormat/>
    <w:uiPriority w:val="0"/>
    <w:rPr>
      <w:color w:val="009BAE"/>
    </w:rPr>
  </w:style>
  <w:style w:type="character" w:customStyle="1" w:styleId="749">
    <w:name w:val="line12"/>
    <w:autoRedefine/>
    <w:qFormat/>
    <w:uiPriority w:val="0"/>
    <w:rPr>
      <w:color w:val="3F4C84"/>
    </w:rPr>
  </w:style>
  <w:style w:type="character" w:customStyle="1" w:styleId="750">
    <w:name w:val="Char Char12"/>
    <w:autoRedefine/>
    <w:qFormat/>
    <w:uiPriority w:val="0"/>
    <w:rPr>
      <w:rFonts w:eastAsia="仿宋"/>
      <w:b/>
      <w:bCs/>
      <w:kern w:val="44"/>
      <w:sz w:val="32"/>
      <w:szCs w:val="32"/>
      <w:lang w:val="en-US" w:eastAsia="zh-CN" w:bidi="ar-SA"/>
    </w:rPr>
  </w:style>
  <w:style w:type="character" w:customStyle="1" w:styleId="751">
    <w:name w:val="Heading 2 Char"/>
    <w:autoRedefine/>
    <w:qFormat/>
    <w:uiPriority w:val="0"/>
    <w:rPr>
      <w:rFonts w:eastAsia="仿宋"/>
      <w:b/>
      <w:bCs/>
      <w:kern w:val="44"/>
      <w:sz w:val="32"/>
      <w:szCs w:val="32"/>
      <w:lang w:val="en-US" w:eastAsia="zh-CN" w:bidi="ar-SA"/>
    </w:rPr>
  </w:style>
  <w:style w:type="character" w:customStyle="1" w:styleId="752">
    <w:name w:val="title114"/>
    <w:basedOn w:val="62"/>
    <w:autoRedefine/>
    <w:qFormat/>
    <w:uiPriority w:val="0"/>
  </w:style>
  <w:style w:type="character" w:customStyle="1" w:styleId="753">
    <w:name w:val="px14"/>
    <w:basedOn w:val="62"/>
    <w:autoRedefine/>
    <w:qFormat/>
    <w:uiPriority w:val="0"/>
  </w:style>
  <w:style w:type="character" w:customStyle="1" w:styleId="754">
    <w:name w:val="textcontents"/>
    <w:autoRedefine/>
    <w:qFormat/>
    <w:uiPriority w:val="0"/>
    <w:rPr>
      <w:rFonts w:cs="Times New Roman"/>
    </w:rPr>
  </w:style>
  <w:style w:type="character" w:customStyle="1" w:styleId="755">
    <w:name w:val="明显强调1"/>
    <w:autoRedefine/>
    <w:qFormat/>
    <w:uiPriority w:val="0"/>
    <w:rPr>
      <w:b/>
      <w:bCs/>
      <w:i/>
      <w:iCs/>
      <w:color w:val="4F81BD"/>
    </w:rPr>
  </w:style>
  <w:style w:type="character" w:customStyle="1" w:styleId="756">
    <w:name w:val="normalpara"/>
    <w:basedOn w:val="62"/>
    <w:autoRedefine/>
    <w:qFormat/>
    <w:uiPriority w:val="0"/>
  </w:style>
  <w:style w:type="character" w:customStyle="1" w:styleId="757">
    <w:name w:val="Char Char351"/>
    <w:autoRedefine/>
    <w:qFormat/>
    <w:uiPriority w:val="0"/>
    <w:rPr>
      <w:rFonts w:eastAsia="宋体"/>
      <w:b/>
      <w:bCs/>
      <w:kern w:val="44"/>
      <w:sz w:val="44"/>
      <w:szCs w:val="44"/>
      <w:lang w:val="en-US" w:eastAsia="zh-CN" w:bidi="ar-SA"/>
    </w:rPr>
  </w:style>
  <w:style w:type="character" w:customStyle="1" w:styleId="758">
    <w:name w:val="已访问超链接"/>
    <w:autoRedefine/>
    <w:qFormat/>
    <w:uiPriority w:val="0"/>
    <w:rPr>
      <w:color w:val="800080"/>
      <w:u w:val="single" w:color="800080"/>
    </w:rPr>
  </w:style>
  <w:style w:type="character" w:customStyle="1" w:styleId="759">
    <w:name w:val="表哥标题居左 Char"/>
    <w:link w:val="760"/>
    <w:autoRedefine/>
    <w:qFormat/>
    <w:uiPriority w:val="0"/>
    <w:rPr>
      <w:b/>
      <w:bCs/>
      <w:sz w:val="21"/>
      <w:szCs w:val="21"/>
    </w:rPr>
  </w:style>
  <w:style w:type="paragraph" w:customStyle="1" w:styleId="760">
    <w:name w:val="表哥标题居左"/>
    <w:basedOn w:val="292"/>
    <w:link w:val="759"/>
    <w:autoRedefine/>
    <w:qFormat/>
    <w:uiPriority w:val="0"/>
    <w:pPr>
      <w:widowControl/>
      <w:suppressLineNumbers w:val="0"/>
      <w:suppressAutoHyphens w:val="0"/>
      <w:spacing w:before="0" w:after="0"/>
      <w:ind w:firstLine="0"/>
      <w:jc w:val="left"/>
    </w:pPr>
    <w:rPr>
      <w:rFonts w:asciiTheme="minorHAnsi" w:hAnsiTheme="minorHAnsi" w:eastAsiaTheme="minorEastAsia" w:cstheme="minorBidi"/>
      <w:i w:val="0"/>
      <w:iCs w:val="0"/>
      <w:kern w:val="0"/>
      <w:sz w:val="21"/>
      <w:szCs w:val="21"/>
      <w:lang w:eastAsia="zh-CN"/>
    </w:rPr>
  </w:style>
  <w:style w:type="character" w:customStyle="1" w:styleId="761">
    <w:name w:val="明显引用 Char1"/>
    <w:autoRedefine/>
    <w:qFormat/>
    <w:uiPriority w:val="99"/>
    <w:rPr>
      <w:b/>
      <w:bCs/>
      <w:i/>
      <w:iCs/>
      <w:color w:val="4F81BD"/>
      <w:kern w:val="2"/>
      <w:sz w:val="21"/>
      <w:szCs w:val="24"/>
    </w:rPr>
  </w:style>
  <w:style w:type="character" w:customStyle="1" w:styleId="762">
    <w:name w:val="c lh15"/>
    <w:basedOn w:val="62"/>
    <w:autoRedefine/>
    <w:qFormat/>
    <w:uiPriority w:val="0"/>
  </w:style>
  <w:style w:type="character" w:customStyle="1" w:styleId="763">
    <w:name w:val="Char Char8"/>
    <w:autoRedefine/>
    <w:qFormat/>
    <w:uiPriority w:val="0"/>
    <w:rPr>
      <w:rFonts w:ascii="Arial" w:hAnsi="Arial" w:eastAsia="黑体"/>
      <w:b/>
      <w:bCs/>
      <w:kern w:val="2"/>
      <w:sz w:val="32"/>
      <w:szCs w:val="32"/>
      <w:lang w:val="en-US" w:eastAsia="zh-CN" w:bidi="ar-SA"/>
    </w:rPr>
  </w:style>
  <w:style w:type="character" w:customStyle="1" w:styleId="764">
    <w:name w:val="Char Char30"/>
    <w:autoRedefine/>
    <w:qFormat/>
    <w:uiPriority w:val="0"/>
    <w:rPr>
      <w:rFonts w:eastAsia="宋体"/>
      <w:b/>
      <w:bCs/>
      <w:kern w:val="44"/>
      <w:sz w:val="44"/>
      <w:szCs w:val="44"/>
      <w:lang w:val="en-US" w:eastAsia="zh-CN" w:bidi="ar-SA"/>
    </w:rPr>
  </w:style>
  <w:style w:type="character" w:customStyle="1" w:styleId="765">
    <w:name w:val="强调2"/>
    <w:autoRedefine/>
    <w:qFormat/>
    <w:uiPriority w:val="0"/>
    <w:rPr>
      <w:rFonts w:ascii="Arial Black" w:hAnsi="Arial Black" w:eastAsia="宋体"/>
      <w:sz w:val="18"/>
    </w:rPr>
  </w:style>
  <w:style w:type="character" w:customStyle="1" w:styleId="766">
    <w:name w:val="font"/>
    <w:autoRedefine/>
    <w:qFormat/>
    <w:uiPriority w:val="0"/>
    <w:rPr>
      <w:rFonts w:hint="default" w:ascii="Times New Roman"/>
    </w:rPr>
  </w:style>
  <w:style w:type="character" w:customStyle="1" w:styleId="767">
    <w:name w:val="time"/>
    <w:basedOn w:val="62"/>
    <w:autoRedefine/>
    <w:qFormat/>
    <w:uiPriority w:val="0"/>
  </w:style>
  <w:style w:type="character" w:customStyle="1" w:styleId="768">
    <w:name w:val="引用 Char"/>
    <w:autoRedefine/>
    <w:qFormat/>
    <w:uiPriority w:val="0"/>
    <w:rPr>
      <w:i/>
      <w:iCs/>
      <w:color w:val="000000"/>
      <w:kern w:val="2"/>
      <w:sz w:val="21"/>
      <w:szCs w:val="22"/>
    </w:rPr>
  </w:style>
  <w:style w:type="paragraph" w:styleId="769">
    <w:name w:val="Quote"/>
    <w:basedOn w:val="1"/>
    <w:next w:val="1"/>
    <w:link w:val="893"/>
    <w:autoRedefine/>
    <w:qFormat/>
    <w:uiPriority w:val="0"/>
    <w:rPr>
      <w:rFonts w:asciiTheme="minorHAnsi" w:hAnsiTheme="minorHAnsi" w:eastAsiaTheme="minorEastAsia" w:cstheme="minorBidi"/>
      <w:i/>
      <w:iCs/>
      <w:color w:val="000000"/>
      <w:kern w:val="2"/>
      <w:sz w:val="21"/>
      <w:szCs w:val="22"/>
    </w:rPr>
  </w:style>
  <w:style w:type="character" w:customStyle="1" w:styleId="770">
    <w:name w:val="白皮书 正文 Char Char"/>
    <w:link w:val="771"/>
    <w:autoRedefine/>
    <w:qFormat/>
    <w:uiPriority w:val="0"/>
    <w:rPr>
      <w:rFonts w:ascii="宋体"/>
      <w:kern w:val="2"/>
      <w:sz w:val="24"/>
    </w:rPr>
  </w:style>
  <w:style w:type="paragraph" w:customStyle="1" w:styleId="771">
    <w:name w:val="白皮书 正文"/>
    <w:basedOn w:val="1"/>
    <w:link w:val="770"/>
    <w:autoRedefine/>
    <w:qFormat/>
    <w:uiPriority w:val="0"/>
    <w:pPr>
      <w:spacing w:beforeLines="50" w:afterLines="50" w:line="360" w:lineRule="auto"/>
      <w:ind w:firstLine="480" w:firstLineChars="200"/>
    </w:pPr>
    <w:rPr>
      <w:rFonts w:hAnsiTheme="minorHAnsi" w:eastAsiaTheme="minorEastAsia" w:cstheme="minorBidi"/>
      <w:kern w:val="2"/>
      <w:sz w:val="24"/>
    </w:rPr>
  </w:style>
  <w:style w:type="character" w:customStyle="1" w:styleId="772">
    <w:name w:val="表格字 Char"/>
    <w:link w:val="723"/>
    <w:autoRedefine/>
    <w:qFormat/>
    <w:uiPriority w:val="0"/>
    <w:rPr>
      <w:kern w:val="2"/>
      <w:sz w:val="21"/>
      <w:szCs w:val="21"/>
    </w:rPr>
  </w:style>
  <w:style w:type="character" w:customStyle="1" w:styleId="773">
    <w:name w:val="Heading 3 Char"/>
    <w:autoRedefine/>
    <w:qFormat/>
    <w:uiPriority w:val="0"/>
    <w:rPr>
      <w:rFonts w:eastAsia="仿宋"/>
      <w:b/>
      <w:bCs/>
      <w:kern w:val="44"/>
      <w:sz w:val="32"/>
      <w:szCs w:val="32"/>
      <w:lang w:val="en-US" w:eastAsia="zh-CN" w:bidi="ar-SA"/>
    </w:rPr>
  </w:style>
  <w:style w:type="character" w:customStyle="1" w:styleId="774">
    <w:name w:val="公文正文 Char Char"/>
    <w:link w:val="775"/>
    <w:autoRedefine/>
    <w:qFormat/>
    <w:uiPriority w:val="0"/>
    <w:rPr>
      <w:rFonts w:eastAsia="Times New Roman"/>
      <w:kern w:val="2"/>
      <w:sz w:val="22"/>
    </w:rPr>
  </w:style>
  <w:style w:type="paragraph" w:customStyle="1" w:styleId="775">
    <w:name w:val="公文正文"/>
    <w:next w:val="37"/>
    <w:link w:val="774"/>
    <w:autoRedefine/>
    <w:qFormat/>
    <w:uiPriority w:val="0"/>
    <w:rPr>
      <w:rFonts w:eastAsia="Times New Roman" w:asciiTheme="minorHAnsi" w:hAnsiTheme="minorHAnsi" w:cstheme="minorBidi"/>
      <w:kern w:val="2"/>
      <w:sz w:val="22"/>
      <w:lang w:val="en-US" w:eastAsia="zh-CN" w:bidi="ar-SA"/>
    </w:rPr>
  </w:style>
  <w:style w:type="character" w:customStyle="1" w:styleId="776">
    <w:name w:val="hover43"/>
    <w:autoRedefine/>
    <w:qFormat/>
    <w:uiPriority w:val="0"/>
    <w:rPr>
      <w:color w:val="009BAE"/>
    </w:rPr>
  </w:style>
  <w:style w:type="character" w:customStyle="1" w:styleId="777">
    <w:name w:val="hover3"/>
    <w:autoRedefine/>
    <w:qFormat/>
    <w:uiPriority w:val="0"/>
    <w:rPr>
      <w:color w:val="2EC3CC"/>
    </w:rPr>
  </w:style>
  <w:style w:type="character" w:customStyle="1" w:styleId="778">
    <w:name w:val="line14"/>
    <w:basedOn w:val="62"/>
    <w:autoRedefine/>
    <w:qFormat/>
    <w:uiPriority w:val="0"/>
  </w:style>
  <w:style w:type="character" w:customStyle="1" w:styleId="779">
    <w:name w:val="样式 (符号) 宋体 加粗 下划线"/>
    <w:autoRedefine/>
    <w:qFormat/>
    <w:uiPriority w:val="0"/>
    <w:rPr>
      <w:b/>
      <w:bCs/>
      <w:u w:val="single"/>
    </w:rPr>
  </w:style>
  <w:style w:type="character" w:customStyle="1" w:styleId="780">
    <w:name w:val="Emphasis1"/>
    <w:autoRedefine/>
    <w:qFormat/>
    <w:uiPriority w:val="0"/>
    <w:rPr>
      <w:rFonts w:ascii="Arial Black" w:hAnsi="Arial Black" w:eastAsia="宋体"/>
      <w:sz w:val="18"/>
    </w:rPr>
  </w:style>
  <w:style w:type="character" w:customStyle="1" w:styleId="781">
    <w:name w:val="样式 仿宋_GB2312 四号"/>
    <w:autoRedefine/>
    <w:qFormat/>
    <w:uiPriority w:val="0"/>
    <w:rPr>
      <w:rFonts w:ascii="仿宋_GB2312" w:hAnsi="仿宋_GB2312" w:eastAsia="仿宋_GB2312"/>
      <w:kern w:val="0"/>
      <w:sz w:val="28"/>
    </w:rPr>
  </w:style>
  <w:style w:type="character" w:customStyle="1" w:styleId="782">
    <w:name w:val="Char Char5"/>
    <w:autoRedefine/>
    <w:qFormat/>
    <w:uiPriority w:val="0"/>
    <w:rPr>
      <w:rFonts w:eastAsia="仿宋"/>
      <w:kern w:val="2"/>
      <w:sz w:val="32"/>
      <w:szCs w:val="32"/>
      <w:lang w:val="en-US" w:eastAsia="zh-CN" w:bidi="ar-SA"/>
    </w:rPr>
  </w:style>
  <w:style w:type="character" w:customStyle="1" w:styleId="783">
    <w:name w:val="Char Char6"/>
    <w:autoRedefine/>
    <w:qFormat/>
    <w:uiPriority w:val="0"/>
    <w:rPr>
      <w:rFonts w:ascii="宋体" w:eastAsia="宋体"/>
      <w:sz w:val="18"/>
      <w:szCs w:val="18"/>
      <w:lang w:val="en-US" w:eastAsia="zh-CN" w:bidi="ar-SA"/>
    </w:rPr>
  </w:style>
  <w:style w:type="character" w:customStyle="1" w:styleId="784">
    <w:name w:val="文本块 Char"/>
    <w:link w:val="26"/>
    <w:autoRedefine/>
    <w:qFormat/>
    <w:uiPriority w:val="0"/>
    <w:rPr>
      <w:rFonts w:ascii="宋体" w:hAnsi="Times New Roman" w:eastAsia="宋体" w:cs="Times New Roman"/>
      <w:sz w:val="24"/>
    </w:rPr>
  </w:style>
  <w:style w:type="character" w:customStyle="1" w:styleId="785">
    <w:name w:val="hover42"/>
    <w:autoRedefine/>
    <w:qFormat/>
    <w:uiPriority w:val="0"/>
    <w:rPr>
      <w:color w:val="FFFFFF"/>
      <w:u w:val="single"/>
    </w:rPr>
  </w:style>
  <w:style w:type="character" w:customStyle="1" w:styleId="786">
    <w:name w:val="unnamed61"/>
    <w:autoRedefine/>
    <w:qFormat/>
    <w:uiPriority w:val="0"/>
    <w:rPr>
      <w:sz w:val="20"/>
      <w:szCs w:val="20"/>
      <w:u w:val="none"/>
    </w:rPr>
  </w:style>
  <w:style w:type="character" w:customStyle="1" w:styleId="787">
    <w:name w:val="不明显参考1"/>
    <w:autoRedefine/>
    <w:qFormat/>
    <w:uiPriority w:val="0"/>
    <w:rPr>
      <w:smallCaps/>
      <w:color w:val="C0504D"/>
      <w:u w:val="single"/>
    </w:rPr>
  </w:style>
  <w:style w:type="character" w:customStyle="1" w:styleId="788">
    <w:name w:val="Char Char171"/>
    <w:autoRedefine/>
    <w:qFormat/>
    <w:uiPriority w:val="0"/>
    <w:rPr>
      <w:rFonts w:eastAsia="宋体"/>
      <w:sz w:val="21"/>
      <w:lang w:val="en-US" w:eastAsia="zh-CN" w:bidi="ar-SA"/>
    </w:rPr>
  </w:style>
  <w:style w:type="character" w:customStyle="1" w:styleId="789">
    <w:name w:val="批注文字 Char Char"/>
    <w:autoRedefine/>
    <w:qFormat/>
    <w:uiPriority w:val="0"/>
    <w:rPr>
      <w:rFonts w:ascii="宋体" w:hAnsi="Times New Roman" w:eastAsia="宋体" w:cs="Times New Roman"/>
      <w:sz w:val="28"/>
      <w:szCs w:val="20"/>
    </w:rPr>
  </w:style>
  <w:style w:type="character" w:customStyle="1" w:styleId="790">
    <w:name w:val="明显引用 Char"/>
    <w:autoRedefine/>
    <w:qFormat/>
    <w:uiPriority w:val="0"/>
    <w:rPr>
      <w:b/>
      <w:bCs/>
      <w:i/>
      <w:iCs/>
      <w:color w:val="4F81BD"/>
      <w:kern w:val="2"/>
      <w:sz w:val="21"/>
      <w:szCs w:val="22"/>
    </w:rPr>
  </w:style>
  <w:style w:type="paragraph" w:styleId="791">
    <w:name w:val="Intense Quote"/>
    <w:basedOn w:val="1"/>
    <w:next w:val="1"/>
    <w:link w:val="829"/>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792">
    <w:name w:val="english"/>
    <w:autoRedefine/>
    <w:qFormat/>
    <w:uiPriority w:val="0"/>
    <w:rPr>
      <w:rFonts w:ascii="微软雅黑" w:hAnsi="微软雅黑" w:eastAsia="微软雅黑" w:cs="微软雅黑"/>
      <w:i/>
      <w:caps/>
      <w:color w:val="9E9E9E"/>
      <w:sz w:val="21"/>
      <w:szCs w:val="21"/>
    </w:rPr>
  </w:style>
  <w:style w:type="character" w:customStyle="1" w:styleId="793">
    <w:name w:val="ec_mean"/>
    <w:basedOn w:val="62"/>
    <w:autoRedefine/>
    <w:qFormat/>
    <w:uiPriority w:val="0"/>
  </w:style>
  <w:style w:type="character" w:customStyle="1" w:styleId="794">
    <w:name w:val="hover4"/>
    <w:autoRedefine/>
    <w:qFormat/>
    <w:uiPriority w:val="0"/>
    <w:rPr>
      <w:color w:val="FFFFFF"/>
      <w:u w:val="single"/>
    </w:rPr>
  </w:style>
  <w:style w:type="character" w:customStyle="1" w:styleId="795">
    <w:name w:val="english2"/>
    <w:autoRedefine/>
    <w:qFormat/>
    <w:uiPriority w:val="0"/>
    <w:rPr>
      <w:rFonts w:hint="eastAsia" w:ascii="微软雅黑" w:hAnsi="微软雅黑" w:eastAsia="微软雅黑" w:cs="微软雅黑"/>
      <w:color w:val="000000"/>
      <w:sz w:val="12"/>
      <w:szCs w:val="12"/>
    </w:rPr>
  </w:style>
  <w:style w:type="character" w:customStyle="1" w:styleId="796">
    <w:name w:val="!标题3 Ctrl+3 Char Char"/>
    <w:link w:val="797"/>
    <w:autoRedefine/>
    <w:qFormat/>
    <w:uiPriority w:val="0"/>
    <w:rPr>
      <w:rFonts w:ascii="宋体" w:hAnsi="宋体"/>
      <w:b/>
      <w:bCs/>
      <w:kern w:val="2"/>
      <w:sz w:val="28"/>
      <w:szCs w:val="28"/>
    </w:rPr>
  </w:style>
  <w:style w:type="paragraph" w:customStyle="1" w:styleId="797">
    <w:name w:val="!标题3 Ctrl+3"/>
    <w:basedOn w:val="4"/>
    <w:next w:val="1"/>
    <w:link w:val="796"/>
    <w:autoRedefine/>
    <w:qFormat/>
    <w:uiPriority w:val="0"/>
    <w:pPr>
      <w:keepNext w:val="0"/>
      <w:keepLines w:val="0"/>
      <w:widowControl w:val="0"/>
      <w:numPr>
        <w:ilvl w:val="1"/>
        <w:numId w:val="2"/>
      </w:numPr>
      <w:tabs>
        <w:tab w:val="left" w:pos="1028"/>
        <w:tab w:val="left" w:pos="1406"/>
      </w:tabs>
      <w:adjustRightInd w:val="0"/>
      <w:snapToGrid w:val="0"/>
      <w:spacing w:beforeLines="50" w:after="0" w:line="360" w:lineRule="auto"/>
      <w:ind w:left="720"/>
      <w:jc w:val="both"/>
    </w:pPr>
    <w:rPr>
      <w:rFonts w:ascii="宋体" w:hAnsi="宋体" w:eastAsiaTheme="minorEastAsia" w:cstheme="minorBidi"/>
      <w:kern w:val="2"/>
      <w:sz w:val="28"/>
      <w:szCs w:val="28"/>
    </w:rPr>
  </w:style>
  <w:style w:type="character" w:customStyle="1" w:styleId="798">
    <w:name w:val="Char Char2"/>
    <w:autoRedefine/>
    <w:qFormat/>
    <w:uiPriority w:val="0"/>
    <w:rPr>
      <w:rFonts w:eastAsia="宋体"/>
      <w:kern w:val="2"/>
      <w:sz w:val="21"/>
      <w:szCs w:val="24"/>
      <w:lang w:val="en-US" w:eastAsia="zh-CN" w:bidi="ar-SA"/>
    </w:rPr>
  </w:style>
  <w:style w:type="character" w:customStyle="1" w:styleId="799">
    <w:name w:val="Char Char3"/>
    <w:link w:val="168"/>
    <w:autoRedefine/>
    <w:qFormat/>
    <w:uiPriority w:val="0"/>
    <w:rPr>
      <w:rFonts w:ascii="Verdana" w:hAnsi="Verdana" w:eastAsia="宋体" w:cs="Times New Roman"/>
      <w:sz w:val="34"/>
      <w:lang w:eastAsia="en-US"/>
    </w:rPr>
  </w:style>
  <w:style w:type="character" w:customStyle="1" w:styleId="800">
    <w:name w:val="Char Char181"/>
    <w:autoRedefine/>
    <w:qFormat/>
    <w:uiPriority w:val="0"/>
    <w:rPr>
      <w:rFonts w:ascii="宋体" w:hAnsi="Courier New" w:eastAsia="宋体" w:cs="Courier New"/>
      <w:kern w:val="2"/>
      <w:sz w:val="21"/>
      <w:szCs w:val="21"/>
      <w:lang w:val="en-US" w:eastAsia="zh-CN" w:bidi="ar-SA"/>
    </w:rPr>
  </w:style>
  <w:style w:type="character" w:customStyle="1" w:styleId="801">
    <w:name w:val="正文内容 Char Char"/>
    <w:link w:val="802"/>
    <w:autoRedefine/>
    <w:qFormat/>
    <w:uiPriority w:val="0"/>
    <w:rPr>
      <w:kern w:val="2"/>
      <w:sz w:val="24"/>
    </w:rPr>
  </w:style>
  <w:style w:type="paragraph" w:customStyle="1" w:styleId="802">
    <w:name w:val="正文内容"/>
    <w:basedOn w:val="1"/>
    <w:link w:val="801"/>
    <w:autoRedefine/>
    <w:qFormat/>
    <w:uiPriority w:val="0"/>
    <w:pPr>
      <w:spacing w:beforeLines="50" w:afterLines="50" w:line="360" w:lineRule="auto"/>
      <w:ind w:firstLine="480" w:firstLineChars="200"/>
    </w:pPr>
    <w:rPr>
      <w:rFonts w:asciiTheme="minorHAnsi" w:hAnsiTheme="minorHAnsi" w:eastAsiaTheme="minorEastAsia" w:cstheme="minorBidi"/>
      <w:kern w:val="2"/>
      <w:sz w:val="24"/>
    </w:rPr>
  </w:style>
  <w:style w:type="character" w:customStyle="1" w:styleId="803">
    <w:name w:val="english1"/>
    <w:autoRedefine/>
    <w:qFormat/>
    <w:uiPriority w:val="0"/>
    <w:rPr>
      <w:rFonts w:hint="eastAsia" w:ascii="微软雅黑" w:hAnsi="微软雅黑" w:eastAsia="微软雅黑" w:cs="微软雅黑"/>
      <w:i/>
      <w:caps/>
      <w:color w:val="9E9E9E"/>
      <w:sz w:val="21"/>
      <w:szCs w:val="21"/>
    </w:rPr>
  </w:style>
  <w:style w:type="character" w:customStyle="1" w:styleId="804">
    <w:name w:val="白皮书 标题4 Char Char"/>
    <w:link w:val="805"/>
    <w:autoRedefine/>
    <w:qFormat/>
    <w:uiPriority w:val="0"/>
    <w:rPr>
      <w:rFonts w:ascii="Arial" w:hAnsi="Arial" w:eastAsiaTheme="minorEastAsia" w:cstheme="minorBidi"/>
      <w:b/>
      <w:bCs/>
      <w:kern w:val="2"/>
      <w:sz w:val="28"/>
      <w:szCs w:val="28"/>
    </w:rPr>
  </w:style>
  <w:style w:type="paragraph" w:customStyle="1" w:styleId="805">
    <w:name w:val="白皮书 标题4"/>
    <w:basedOn w:val="1"/>
    <w:link w:val="804"/>
    <w:autoRedefine/>
    <w:qFormat/>
    <w:uiPriority w:val="0"/>
    <w:pPr>
      <w:keepNext/>
      <w:keepLines/>
      <w:tabs>
        <w:tab w:val="left" w:pos="1680"/>
        <w:tab w:val="left" w:pos="2100"/>
      </w:tabs>
      <w:spacing w:before="260" w:after="260" w:line="360" w:lineRule="auto"/>
      <w:ind w:left="142"/>
      <w:outlineLvl w:val="3"/>
    </w:pPr>
    <w:rPr>
      <w:rFonts w:ascii="Arial" w:hAnsi="Arial" w:eastAsiaTheme="minorEastAsia" w:cstheme="minorBidi"/>
      <w:b/>
      <w:bCs/>
      <w:kern w:val="2"/>
      <w:sz w:val="28"/>
      <w:szCs w:val="28"/>
    </w:rPr>
  </w:style>
  <w:style w:type="character" w:customStyle="1" w:styleId="806">
    <w:name w:val="表格 Char"/>
    <w:link w:val="346"/>
    <w:autoRedefine/>
    <w:qFormat/>
    <w:uiPriority w:val="0"/>
    <w:rPr>
      <w:rFonts w:ascii="宋体" w:hAnsi="宋体" w:eastAsia="宋体" w:cs="Times New Roman"/>
      <w:sz w:val="34"/>
      <w:szCs w:val="21"/>
    </w:rPr>
  </w:style>
  <w:style w:type="paragraph" w:customStyle="1" w:styleId="807">
    <w:name w:val="纯文本 Char Char2"/>
    <w:basedOn w:val="1"/>
    <w:autoRedefine/>
    <w:qFormat/>
    <w:uiPriority w:val="0"/>
    <w:pPr>
      <w:widowControl/>
      <w:spacing w:after="160" w:line="240" w:lineRule="exact"/>
      <w:jc w:val="left"/>
    </w:pPr>
    <w:rPr>
      <w:rFonts w:ascii="Verdana" w:hAnsi="Verdana" w:eastAsia="楷体_GB2312"/>
      <w:b/>
      <w:i/>
      <w:iCs/>
      <w:color w:val="000000"/>
      <w:sz w:val="20"/>
      <w:lang w:eastAsia="en-US"/>
    </w:rPr>
  </w:style>
  <w:style w:type="paragraph" w:customStyle="1" w:styleId="808">
    <w:name w:val="样式 样式 宋体 小四 黑色 两端对齐 段前: 1.2 磅 段后: 1.2 磅 行距: 1.5 倍行距 + 首行缩进:  2 字符"/>
    <w:basedOn w:val="1"/>
    <w:autoRedefine/>
    <w:qFormat/>
    <w:uiPriority w:val="0"/>
    <w:pPr>
      <w:spacing w:line="360" w:lineRule="auto"/>
      <w:ind w:firstLine="420" w:firstLineChars="150"/>
    </w:pPr>
    <w:rPr>
      <w:rFonts w:ascii="Times New Roman" w:eastAsia="仿宋_GB2312"/>
      <w:kern w:val="2"/>
      <w:sz w:val="28"/>
      <w:szCs w:val="28"/>
    </w:rPr>
  </w:style>
  <w:style w:type="character" w:customStyle="1" w:styleId="809">
    <w:name w:val="签名 Char2"/>
    <w:basedOn w:val="62"/>
    <w:link w:val="38"/>
    <w:autoRedefine/>
    <w:semiHidden/>
    <w:qFormat/>
    <w:uiPriority w:val="0"/>
    <w:rPr>
      <w:rFonts w:ascii="宋体" w:hAnsi="Times New Roman" w:eastAsia="宋体" w:cs="Times New Roman"/>
      <w:sz w:val="34"/>
    </w:rPr>
  </w:style>
  <w:style w:type="paragraph" w:customStyle="1" w:styleId="810">
    <w:name w:val="默认段落字体 Para Char Char Char Char Char Char Char"/>
    <w:basedOn w:val="1"/>
    <w:autoRedefine/>
    <w:qFormat/>
    <w:uiPriority w:val="0"/>
    <w:rPr>
      <w:rFonts w:ascii="Times New Roman" w:eastAsia="仿宋_GB2312"/>
      <w:kern w:val="2"/>
      <w:sz w:val="28"/>
      <w:szCs w:val="24"/>
    </w:rPr>
  </w:style>
  <w:style w:type="paragraph" w:customStyle="1" w:styleId="811">
    <w:name w:val="xl16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color w:val="000000"/>
      <w:sz w:val="28"/>
      <w:szCs w:val="28"/>
    </w:rPr>
  </w:style>
  <w:style w:type="paragraph" w:customStyle="1" w:styleId="812">
    <w:name w:val="代码"/>
    <w:basedOn w:val="1"/>
    <w:autoRedefine/>
    <w:qFormat/>
    <w:uiPriority w:val="0"/>
    <w:pPr>
      <w:spacing w:beforeLines="50" w:afterLines="50"/>
      <w:ind w:left="960" w:leftChars="400"/>
    </w:pPr>
    <w:rPr>
      <w:rFonts w:ascii="Courier New" w:hAnsi="Courier New"/>
      <w:kern w:val="2"/>
      <w:sz w:val="21"/>
      <w:szCs w:val="21"/>
    </w:rPr>
  </w:style>
  <w:style w:type="paragraph" w:customStyle="1" w:styleId="813">
    <w:name w:val="2册标题1"/>
    <w:basedOn w:val="1"/>
    <w:next w:val="1"/>
    <w:autoRedefine/>
    <w:qFormat/>
    <w:uiPriority w:val="0"/>
    <w:pPr>
      <w:spacing w:beforeLines="50" w:afterLines="50"/>
      <w:jc w:val="center"/>
      <w:outlineLvl w:val="0"/>
    </w:pPr>
    <w:rPr>
      <w:rFonts w:ascii="Arial" w:hAnsi="Arial" w:eastAsia="黑体"/>
      <w:kern w:val="2"/>
      <w:sz w:val="32"/>
      <w:szCs w:val="32"/>
    </w:rPr>
  </w:style>
  <w:style w:type="paragraph" w:customStyle="1" w:styleId="814">
    <w:name w:val="1册标题1"/>
    <w:basedOn w:val="1"/>
    <w:next w:val="1"/>
    <w:autoRedefine/>
    <w:qFormat/>
    <w:uiPriority w:val="0"/>
    <w:pPr>
      <w:spacing w:beforeLines="50" w:afterLines="50"/>
      <w:jc w:val="center"/>
      <w:outlineLvl w:val="0"/>
    </w:pPr>
    <w:rPr>
      <w:rFonts w:hAnsi="宋体"/>
      <w:b/>
      <w:bCs/>
      <w:kern w:val="2"/>
      <w:sz w:val="32"/>
      <w:szCs w:val="44"/>
    </w:rPr>
  </w:style>
  <w:style w:type="paragraph" w:customStyle="1" w:styleId="815">
    <w:name w:val="此正文"/>
    <w:basedOn w:val="1"/>
    <w:autoRedefine/>
    <w:qFormat/>
    <w:uiPriority w:val="0"/>
    <w:pPr>
      <w:spacing w:line="360" w:lineRule="auto"/>
      <w:ind w:firstLine="200" w:firstLineChars="200"/>
    </w:pPr>
    <w:rPr>
      <w:rFonts w:ascii="Times New Roman"/>
      <w:kern w:val="2"/>
      <w:sz w:val="24"/>
      <w:szCs w:val="24"/>
    </w:rPr>
  </w:style>
  <w:style w:type="paragraph" w:customStyle="1" w:styleId="81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sz w:val="24"/>
      <w:szCs w:val="24"/>
    </w:rPr>
  </w:style>
  <w:style w:type="paragraph" w:customStyle="1" w:styleId="8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left"/>
    </w:pPr>
    <w:rPr>
      <w:rFonts w:ascii="Times New Roman"/>
      <w:b/>
      <w:bCs/>
      <w:sz w:val="24"/>
      <w:szCs w:val="24"/>
    </w:rPr>
  </w:style>
  <w:style w:type="paragraph" w:customStyle="1" w:styleId="818">
    <w:name w:val="样式 标题 3 + (中文) 黑体 小四 非加粗 段前: 7.8 磅 段后: 0 磅 行距: 固定值 20 磅"/>
    <w:basedOn w:val="4"/>
    <w:autoRedefine/>
    <w:qFormat/>
    <w:uiPriority w:val="0"/>
    <w:pPr>
      <w:widowControl w:val="0"/>
      <w:spacing w:before="0" w:after="0" w:line="400" w:lineRule="exact"/>
      <w:jc w:val="both"/>
    </w:pPr>
    <w:rPr>
      <w:rFonts w:ascii="Calibri" w:hAnsi="Calibri" w:eastAsia="黑体" w:cs="宋体"/>
      <w:b w:val="0"/>
      <w:bCs w:val="0"/>
      <w:kern w:val="2"/>
      <w:sz w:val="24"/>
      <w:szCs w:val="20"/>
    </w:rPr>
  </w:style>
  <w:style w:type="paragraph" w:customStyle="1" w:styleId="81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
      <w:bCs/>
      <w:sz w:val="24"/>
      <w:szCs w:val="24"/>
    </w:rPr>
  </w:style>
  <w:style w:type="paragraph" w:customStyle="1" w:styleId="820">
    <w:name w:val="xl13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hAnsi="宋体" w:cs="宋体"/>
      <w:sz w:val="24"/>
      <w:szCs w:val="24"/>
    </w:rPr>
  </w:style>
  <w:style w:type="paragraph" w:customStyle="1" w:styleId="821">
    <w:name w:val="xl16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sz w:val="24"/>
      <w:szCs w:val="24"/>
    </w:rPr>
  </w:style>
  <w:style w:type="paragraph" w:customStyle="1" w:styleId="822">
    <w:name w:val="xl16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hAnsi="宋体" w:cs="宋体"/>
      <w:sz w:val="24"/>
      <w:szCs w:val="24"/>
    </w:rPr>
  </w:style>
  <w:style w:type="paragraph" w:customStyle="1" w:styleId="823">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sz w:val="24"/>
      <w:szCs w:val="24"/>
    </w:rPr>
  </w:style>
  <w:style w:type="paragraph" w:styleId="824">
    <w:name w:val="List Paragraph"/>
    <w:basedOn w:val="1"/>
    <w:autoRedefine/>
    <w:qFormat/>
    <w:uiPriority w:val="34"/>
    <w:pPr>
      <w:ind w:firstLine="420" w:firstLineChars="200"/>
    </w:pPr>
    <w:rPr>
      <w:rFonts w:ascii="Calibri" w:hAnsi="Calibri"/>
      <w:kern w:val="2"/>
      <w:sz w:val="21"/>
      <w:szCs w:val="24"/>
    </w:rPr>
  </w:style>
  <w:style w:type="paragraph" w:customStyle="1" w:styleId="825">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4"/>
      <w:szCs w:val="24"/>
    </w:rPr>
  </w:style>
  <w:style w:type="paragraph" w:customStyle="1" w:styleId="826">
    <w:name w:val="表图名"/>
    <w:basedOn w:val="1"/>
    <w:autoRedefine/>
    <w:qFormat/>
    <w:uiPriority w:val="0"/>
    <w:pPr>
      <w:spacing w:line="360" w:lineRule="auto"/>
    </w:pPr>
    <w:rPr>
      <w:rFonts w:ascii="Arial" w:hAnsi="Arial" w:cs="Arial"/>
      <w:kern w:val="2"/>
      <w:sz w:val="24"/>
      <w:szCs w:val="18"/>
    </w:rPr>
  </w:style>
  <w:style w:type="paragraph" w:customStyle="1" w:styleId="827">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828">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hAnsi="宋体" w:cs="宋体"/>
      <w:sz w:val="24"/>
      <w:szCs w:val="24"/>
    </w:rPr>
  </w:style>
  <w:style w:type="character" w:customStyle="1" w:styleId="829">
    <w:name w:val="明显引用 Char2"/>
    <w:basedOn w:val="62"/>
    <w:link w:val="791"/>
    <w:autoRedefine/>
    <w:semiHidden/>
    <w:qFormat/>
    <w:uiPriority w:val="99"/>
    <w:rPr>
      <w:rFonts w:ascii="宋体" w:hAnsi="Times New Roman" w:eastAsia="宋体" w:cs="Times New Roman"/>
      <w:b/>
      <w:bCs/>
      <w:i/>
      <w:iCs/>
      <w:color w:val="4F81BD" w:themeColor="accent1"/>
      <w:sz w:val="34"/>
      <w14:textFill>
        <w14:solidFill>
          <w14:schemeClr w14:val="accent1"/>
        </w14:solidFill>
      </w14:textFill>
    </w:rPr>
  </w:style>
  <w:style w:type="paragraph" w:customStyle="1" w:styleId="830">
    <w:name w:val="font23"/>
    <w:basedOn w:val="1"/>
    <w:autoRedefine/>
    <w:qFormat/>
    <w:uiPriority w:val="0"/>
    <w:pPr>
      <w:widowControl/>
      <w:spacing w:before="100" w:beforeAutospacing="1" w:after="100" w:afterAutospacing="1"/>
      <w:jc w:val="left"/>
    </w:pPr>
    <w:rPr>
      <w:rFonts w:ascii="仿宋_GB2312" w:hAnsi="宋体" w:eastAsia="仿宋_GB2312" w:cs="宋体"/>
      <w:sz w:val="20"/>
    </w:rPr>
  </w:style>
  <w:style w:type="paragraph" w:customStyle="1" w:styleId="831">
    <w:name w:val="xl167"/>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hAnsi="宋体" w:cs="宋体"/>
      <w:b/>
      <w:bCs/>
      <w:color w:val="000000"/>
      <w:sz w:val="28"/>
      <w:szCs w:val="28"/>
    </w:rPr>
  </w:style>
  <w:style w:type="paragraph" w:customStyle="1" w:styleId="832">
    <w:name w:val="qw"/>
    <w:autoRedefine/>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833">
    <w:name w:val="font19"/>
    <w:basedOn w:val="1"/>
    <w:autoRedefine/>
    <w:qFormat/>
    <w:uiPriority w:val="0"/>
    <w:pPr>
      <w:widowControl/>
      <w:spacing w:before="100" w:beforeAutospacing="1" w:after="100" w:afterAutospacing="1"/>
      <w:jc w:val="left"/>
    </w:pPr>
    <w:rPr>
      <w:rFonts w:hAnsi="宋体" w:cs="宋体"/>
      <w:sz w:val="18"/>
      <w:szCs w:val="18"/>
    </w:rPr>
  </w:style>
  <w:style w:type="paragraph" w:customStyle="1" w:styleId="834">
    <w:name w:val="正文加黑"/>
    <w:basedOn w:val="1"/>
    <w:autoRedefine/>
    <w:qFormat/>
    <w:uiPriority w:val="0"/>
    <w:rPr>
      <w:rFonts w:ascii="Times New Roman"/>
      <w:b/>
      <w:kern w:val="2"/>
      <w:sz w:val="21"/>
    </w:rPr>
  </w:style>
  <w:style w:type="paragraph" w:customStyle="1" w:styleId="835">
    <w:name w:val="xl150"/>
    <w:basedOn w:val="1"/>
    <w:autoRedefine/>
    <w:qFormat/>
    <w:uiPriority w:val="0"/>
    <w:pPr>
      <w:widowControl/>
      <w:pBdr>
        <w:top w:val="single" w:color="auto" w:sz="4" w:space="0"/>
        <w:left w:val="single" w:color="auto" w:sz="4" w:space="0"/>
        <w:bottom w:val="double" w:color="auto" w:sz="6" w:space="0"/>
        <w:right w:val="single" w:color="auto" w:sz="4" w:space="0"/>
      </w:pBdr>
      <w:shd w:val="clear" w:color="000000" w:fill="FFFF00"/>
      <w:spacing w:before="100" w:beforeAutospacing="1" w:after="100" w:afterAutospacing="1"/>
      <w:jc w:val="center"/>
    </w:pPr>
    <w:rPr>
      <w:rFonts w:hAnsi="宋体" w:cs="宋体"/>
      <w:b/>
      <w:bCs/>
      <w:color w:val="FF0000"/>
      <w:sz w:val="24"/>
      <w:szCs w:val="24"/>
    </w:rPr>
  </w:style>
  <w:style w:type="paragraph" w:customStyle="1" w:styleId="836">
    <w:name w:val="font17"/>
    <w:basedOn w:val="1"/>
    <w:autoRedefine/>
    <w:qFormat/>
    <w:uiPriority w:val="0"/>
    <w:pPr>
      <w:widowControl/>
      <w:spacing w:before="100" w:beforeAutospacing="1" w:after="100" w:afterAutospacing="1"/>
      <w:jc w:val="left"/>
    </w:pPr>
    <w:rPr>
      <w:rFonts w:hAnsi="宋体" w:cs="宋体"/>
      <w:color w:val="000000"/>
      <w:sz w:val="24"/>
      <w:szCs w:val="24"/>
    </w:rPr>
  </w:style>
  <w:style w:type="paragraph" w:customStyle="1" w:styleId="837">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40"/>
      <w:szCs w:val="40"/>
    </w:rPr>
  </w:style>
  <w:style w:type="paragraph" w:customStyle="1" w:styleId="838">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4"/>
      <w:szCs w:val="24"/>
    </w:rPr>
  </w:style>
  <w:style w:type="paragraph" w:customStyle="1" w:styleId="839">
    <w:name w:val="xl111"/>
    <w:basedOn w:val="1"/>
    <w:autoRedefine/>
    <w:qFormat/>
    <w:uiPriority w:val="0"/>
    <w:pPr>
      <w:widowControl/>
      <w:spacing w:before="100" w:beforeAutospacing="1" w:after="100" w:afterAutospacing="1"/>
      <w:jc w:val="left"/>
    </w:pPr>
    <w:rPr>
      <w:rFonts w:ascii="仿宋_GB2312" w:hAnsi="宋体" w:eastAsia="仿宋_GB2312" w:cs="宋体"/>
      <w:color w:val="000000"/>
      <w:sz w:val="24"/>
      <w:szCs w:val="24"/>
    </w:rPr>
  </w:style>
  <w:style w:type="paragraph" w:customStyle="1" w:styleId="840">
    <w:name w:val="正文缩进2字符"/>
    <w:basedOn w:val="1"/>
    <w:autoRedefine/>
    <w:qFormat/>
    <w:uiPriority w:val="0"/>
    <w:pPr>
      <w:spacing w:line="360" w:lineRule="auto"/>
      <w:ind w:firstLine="200" w:firstLineChars="200"/>
    </w:pPr>
    <w:rPr>
      <w:rFonts w:ascii="Times New Roman"/>
      <w:kern w:val="2"/>
      <w:sz w:val="24"/>
      <w:szCs w:val="24"/>
    </w:rPr>
  </w:style>
  <w:style w:type="paragraph" w:customStyle="1" w:styleId="841">
    <w:name w:val="font16"/>
    <w:basedOn w:val="1"/>
    <w:autoRedefine/>
    <w:qFormat/>
    <w:uiPriority w:val="0"/>
    <w:pPr>
      <w:widowControl/>
      <w:spacing w:before="100" w:beforeAutospacing="1" w:after="100" w:afterAutospacing="1"/>
      <w:jc w:val="left"/>
    </w:pPr>
    <w:rPr>
      <w:rFonts w:hAnsi="宋体" w:cs="宋体"/>
      <w:sz w:val="18"/>
      <w:szCs w:val="18"/>
    </w:rPr>
  </w:style>
  <w:style w:type="paragraph" w:customStyle="1" w:styleId="842">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left"/>
      <w:textAlignment w:val="center"/>
    </w:pPr>
    <w:rPr>
      <w:rFonts w:ascii="Times New Roman"/>
      <w:sz w:val="24"/>
      <w:szCs w:val="24"/>
    </w:rPr>
  </w:style>
  <w:style w:type="paragraph" w:customStyle="1" w:styleId="843">
    <w:name w:val="样式 ˎ̥ 左 首行缩进:  2 字符"/>
    <w:basedOn w:val="1"/>
    <w:autoRedefine/>
    <w:qFormat/>
    <w:uiPriority w:val="0"/>
    <w:pPr>
      <w:spacing w:line="360" w:lineRule="auto"/>
      <w:ind w:firstLine="480" w:firstLineChars="200"/>
      <w:jc w:val="left"/>
    </w:pPr>
    <w:rPr>
      <w:rFonts w:ascii="ˎ̥" w:hAnsi="ˎ̥"/>
      <w:sz w:val="24"/>
    </w:rPr>
  </w:style>
  <w:style w:type="paragraph" w:customStyle="1" w:styleId="844">
    <w:name w:val="12册标题"/>
    <w:basedOn w:val="1"/>
    <w:next w:val="1"/>
    <w:autoRedefine/>
    <w:qFormat/>
    <w:uiPriority w:val="0"/>
    <w:pPr>
      <w:spacing w:beforeLines="50" w:afterLines="50"/>
      <w:jc w:val="center"/>
      <w:outlineLvl w:val="0"/>
    </w:pPr>
    <w:rPr>
      <w:rFonts w:ascii="Arial" w:hAnsi="Arial" w:eastAsia="黑体"/>
      <w:kern w:val="2"/>
      <w:sz w:val="44"/>
    </w:rPr>
  </w:style>
  <w:style w:type="paragraph" w:customStyle="1" w:styleId="845">
    <w:name w:val="表头文字"/>
    <w:basedOn w:val="1"/>
    <w:autoRedefine/>
    <w:qFormat/>
    <w:uiPriority w:val="0"/>
    <w:pPr>
      <w:jc w:val="center"/>
    </w:pPr>
    <w:rPr>
      <w:rFonts w:ascii="Arial" w:hAnsi="Arial" w:cs="宋体"/>
      <w:b/>
      <w:bCs/>
      <w:kern w:val="2"/>
      <w:sz w:val="21"/>
    </w:rPr>
  </w:style>
  <w:style w:type="paragraph" w:customStyle="1" w:styleId="846">
    <w:name w:val="xl15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hAnsi="宋体" w:cs="宋体"/>
      <w:sz w:val="24"/>
      <w:szCs w:val="24"/>
    </w:rPr>
  </w:style>
  <w:style w:type="paragraph" w:customStyle="1" w:styleId="847">
    <w:name w:val="xl11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cs="宋体"/>
      <w:sz w:val="24"/>
      <w:szCs w:val="24"/>
    </w:rPr>
  </w:style>
  <w:style w:type="paragraph" w:styleId="848">
    <w:name w:val="No Spacing"/>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849">
    <w:name w:val="font13"/>
    <w:basedOn w:val="1"/>
    <w:autoRedefine/>
    <w:qFormat/>
    <w:uiPriority w:val="0"/>
    <w:pPr>
      <w:widowControl/>
      <w:spacing w:before="100" w:beforeAutospacing="1" w:after="100" w:afterAutospacing="1"/>
      <w:jc w:val="left"/>
    </w:pPr>
    <w:rPr>
      <w:rFonts w:ascii="Times New Roman"/>
      <w:color w:val="000000"/>
      <w:sz w:val="24"/>
      <w:szCs w:val="24"/>
    </w:rPr>
  </w:style>
  <w:style w:type="paragraph" w:customStyle="1" w:styleId="850">
    <w:name w:val="font20"/>
    <w:basedOn w:val="1"/>
    <w:autoRedefine/>
    <w:qFormat/>
    <w:uiPriority w:val="0"/>
    <w:pPr>
      <w:widowControl/>
      <w:spacing w:before="100" w:beforeAutospacing="1" w:after="100" w:afterAutospacing="1"/>
      <w:jc w:val="left"/>
    </w:pPr>
    <w:rPr>
      <w:rFonts w:ascii="仿宋_GB2312" w:hAnsi="宋体" w:eastAsia="仿宋_GB2312" w:cs="宋体"/>
      <w:color w:val="FF0000"/>
      <w:sz w:val="24"/>
      <w:szCs w:val="24"/>
    </w:rPr>
  </w:style>
  <w:style w:type="paragraph" w:customStyle="1" w:styleId="851">
    <w:name w:val="Char Char Char Char"/>
    <w:basedOn w:val="1"/>
    <w:autoRedefine/>
    <w:qFormat/>
    <w:uiPriority w:val="0"/>
    <w:pPr>
      <w:widowControl/>
      <w:spacing w:after="160" w:line="240" w:lineRule="exact"/>
      <w:jc w:val="left"/>
    </w:pPr>
    <w:rPr>
      <w:rFonts w:ascii="Verdana" w:hAnsi="Verdana"/>
      <w:sz w:val="21"/>
      <w:lang w:eastAsia="en-US"/>
    </w:rPr>
  </w:style>
  <w:style w:type="paragraph" w:customStyle="1" w:styleId="852">
    <w:name w:val="Char4"/>
    <w:basedOn w:val="1"/>
    <w:autoRedefine/>
    <w:qFormat/>
    <w:uiPriority w:val="0"/>
    <w:pPr>
      <w:tabs>
        <w:tab w:val="left" w:pos="360"/>
      </w:tabs>
    </w:pPr>
    <w:rPr>
      <w:rFonts w:ascii="Calibri" w:hAnsi="Calibri"/>
      <w:kern w:val="2"/>
      <w:sz w:val="24"/>
      <w:szCs w:val="24"/>
    </w:rPr>
  </w:style>
  <w:style w:type="paragraph" w:customStyle="1" w:styleId="853">
    <w:name w:val="font12"/>
    <w:basedOn w:val="1"/>
    <w:autoRedefine/>
    <w:qFormat/>
    <w:uiPriority w:val="0"/>
    <w:pPr>
      <w:widowControl/>
      <w:spacing w:before="100" w:beforeAutospacing="1" w:after="100" w:afterAutospacing="1"/>
      <w:jc w:val="left"/>
    </w:pPr>
    <w:rPr>
      <w:rFonts w:ascii="Times New Roman"/>
      <w:b/>
      <w:bCs/>
      <w:sz w:val="24"/>
      <w:szCs w:val="24"/>
    </w:rPr>
  </w:style>
  <w:style w:type="paragraph" w:customStyle="1" w:styleId="854">
    <w:name w:val="样式 样式 样式 小四 行距: 1.5 倍行距 + 加粗 + 首行缩进:  2 字符"/>
    <w:basedOn w:val="1"/>
    <w:autoRedefine/>
    <w:qFormat/>
    <w:uiPriority w:val="0"/>
    <w:pPr>
      <w:ind w:firstLine="482"/>
    </w:pPr>
    <w:rPr>
      <w:rFonts w:ascii="Times New Roman" w:cs="宋体"/>
      <w:b/>
      <w:bCs/>
      <w:kern w:val="2"/>
      <w:sz w:val="24"/>
    </w:rPr>
  </w:style>
  <w:style w:type="paragraph" w:customStyle="1" w:styleId="855">
    <w:name w:val="xl14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856">
    <w:name w:val="font14"/>
    <w:basedOn w:val="1"/>
    <w:autoRedefine/>
    <w:qFormat/>
    <w:uiPriority w:val="0"/>
    <w:pPr>
      <w:widowControl/>
      <w:spacing w:before="100" w:beforeAutospacing="1" w:after="100" w:afterAutospacing="1"/>
      <w:jc w:val="left"/>
    </w:pPr>
    <w:rPr>
      <w:rFonts w:ascii="仿宋_GB2312" w:hAnsi="宋体" w:eastAsia="仿宋_GB2312" w:cs="宋体"/>
      <w:color w:val="000000"/>
      <w:sz w:val="24"/>
      <w:szCs w:val="24"/>
    </w:rPr>
  </w:style>
  <w:style w:type="paragraph" w:customStyle="1" w:styleId="857">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仿宋_GB2312" w:hAnsi="宋体" w:eastAsia="仿宋_GB2312" w:cs="宋体"/>
      <w:sz w:val="24"/>
      <w:szCs w:val="24"/>
    </w:rPr>
  </w:style>
  <w:style w:type="paragraph" w:customStyle="1" w:styleId="858">
    <w:name w:val="Char11"/>
    <w:basedOn w:val="1"/>
    <w:autoRedefine/>
    <w:qFormat/>
    <w:uiPriority w:val="0"/>
    <w:pPr>
      <w:adjustRightInd w:val="0"/>
      <w:spacing w:line="360" w:lineRule="auto"/>
    </w:pPr>
    <w:rPr>
      <w:rFonts w:ascii="Times New Roman"/>
      <w:sz w:val="24"/>
    </w:rPr>
  </w:style>
  <w:style w:type="paragraph" w:customStyle="1" w:styleId="859">
    <w:name w:val="1册标题3"/>
    <w:basedOn w:val="1"/>
    <w:next w:val="1"/>
    <w:autoRedefine/>
    <w:qFormat/>
    <w:uiPriority w:val="0"/>
    <w:pPr>
      <w:keepNext/>
      <w:keepLines/>
      <w:numPr>
        <w:ilvl w:val="0"/>
        <w:numId w:val="4"/>
      </w:numPr>
      <w:tabs>
        <w:tab w:val="left" w:pos="1140"/>
      </w:tabs>
      <w:adjustRightInd w:val="0"/>
      <w:spacing w:beforeLines="50" w:afterLines="50"/>
      <w:jc w:val="center"/>
      <w:textAlignment w:val="baseline"/>
      <w:outlineLvl w:val="2"/>
    </w:pPr>
    <w:rPr>
      <w:rFonts w:hAnsi="宋体"/>
      <w:b/>
      <w:sz w:val="24"/>
    </w:rPr>
  </w:style>
  <w:style w:type="paragraph" w:customStyle="1" w:styleId="860">
    <w:name w:val="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861">
    <w:name w:val="font25"/>
    <w:basedOn w:val="1"/>
    <w:autoRedefine/>
    <w:qFormat/>
    <w:uiPriority w:val="0"/>
    <w:pPr>
      <w:widowControl/>
      <w:spacing w:before="100" w:beforeAutospacing="1" w:after="100" w:afterAutospacing="1"/>
      <w:jc w:val="left"/>
    </w:pPr>
    <w:rPr>
      <w:rFonts w:ascii="Times New Roman"/>
      <w:color w:val="0000FF"/>
      <w:sz w:val="24"/>
      <w:szCs w:val="24"/>
    </w:rPr>
  </w:style>
  <w:style w:type="paragraph" w:customStyle="1" w:styleId="8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86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color w:val="000000"/>
      <w:sz w:val="24"/>
      <w:szCs w:val="24"/>
    </w:rPr>
  </w:style>
  <w:style w:type="paragraph" w:customStyle="1" w:styleId="864">
    <w:name w:val="p19"/>
    <w:basedOn w:val="1"/>
    <w:autoRedefine/>
    <w:qFormat/>
    <w:uiPriority w:val="0"/>
    <w:pPr>
      <w:widowControl/>
      <w:spacing w:after="60"/>
      <w:jc w:val="center"/>
    </w:pPr>
    <w:rPr>
      <w:rFonts w:ascii="华康简标题宋" w:hAnsi="宋体" w:eastAsia="华康简标题宋" w:cs="宋体"/>
      <w:sz w:val="52"/>
      <w:szCs w:val="52"/>
    </w:rPr>
  </w:style>
  <w:style w:type="paragraph" w:customStyle="1" w:styleId="865">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sz w:val="24"/>
      <w:szCs w:val="24"/>
    </w:rPr>
  </w:style>
  <w:style w:type="paragraph" w:customStyle="1" w:styleId="866">
    <w:name w:val="xl16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hAnsi="宋体" w:cs="宋体"/>
      <w:b/>
      <w:bCs/>
      <w:sz w:val="24"/>
      <w:szCs w:val="24"/>
    </w:rPr>
  </w:style>
  <w:style w:type="paragraph" w:customStyle="1" w:styleId="86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FF"/>
      <w:sz w:val="24"/>
      <w:szCs w:val="24"/>
    </w:rPr>
  </w:style>
  <w:style w:type="paragraph" w:customStyle="1" w:styleId="868">
    <w:name w:val="Char1 Char Char Char Char Char Char2"/>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869">
    <w:name w:val="xl15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870">
    <w:name w:val="_Style 3"/>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871">
    <w:name w:val="Default Paragraph Font Para Char"/>
    <w:basedOn w:val="1"/>
    <w:autoRedefine/>
    <w:qFormat/>
    <w:uiPriority w:val="0"/>
    <w:pPr>
      <w:widowControl/>
      <w:spacing w:after="160" w:line="240" w:lineRule="exact"/>
      <w:jc w:val="left"/>
    </w:pPr>
    <w:rPr>
      <w:rFonts w:ascii="Times New Roman"/>
      <w:kern w:val="2"/>
      <w:sz w:val="21"/>
      <w:szCs w:val="24"/>
    </w:rPr>
  </w:style>
  <w:style w:type="paragraph" w:customStyle="1" w:styleId="872">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color w:val="000000"/>
      <w:sz w:val="24"/>
      <w:szCs w:val="24"/>
    </w:rPr>
  </w:style>
  <w:style w:type="paragraph" w:customStyle="1" w:styleId="873">
    <w:name w:val="标题 11"/>
    <w:basedOn w:val="1"/>
    <w:next w:val="1"/>
    <w:autoRedefine/>
    <w:qFormat/>
    <w:uiPriority w:val="0"/>
    <w:pPr>
      <w:keepNext/>
      <w:keepLines/>
      <w:tabs>
        <w:tab w:val="left" w:pos="420"/>
        <w:tab w:val="left" w:pos="709"/>
        <w:tab w:val="left" w:pos="1696"/>
      </w:tabs>
      <w:spacing w:before="340" w:after="330" w:line="576" w:lineRule="auto"/>
      <w:ind w:left="420" w:hanging="420"/>
      <w:outlineLvl w:val="0"/>
    </w:pPr>
    <w:rPr>
      <w:rFonts w:hint="eastAsia" w:ascii="Calibri" w:hAnsi="Calibri"/>
      <w:b/>
      <w:kern w:val="44"/>
      <w:sz w:val="44"/>
    </w:rPr>
  </w:style>
  <w:style w:type="paragraph" w:customStyle="1" w:styleId="874">
    <w:name w:val="xl1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sz w:val="24"/>
      <w:szCs w:val="24"/>
    </w:rPr>
  </w:style>
  <w:style w:type="paragraph" w:customStyle="1" w:styleId="875">
    <w:name w:val="样式 (西文) 宋体 小四 左 段前: 5 磅 段后: 5 磅 行距: 最小值 12 磅 图案: 清除 (白色) ...1"/>
    <w:basedOn w:val="1"/>
    <w:autoRedefine/>
    <w:qFormat/>
    <w:uiPriority w:val="0"/>
    <w:pPr>
      <w:widowControl/>
      <w:shd w:val="clear" w:color="auto" w:fill="FFFFFF"/>
      <w:spacing w:before="100" w:after="100" w:line="240" w:lineRule="atLeast"/>
      <w:ind w:firstLine="250" w:firstLineChars="250"/>
      <w:jc w:val="left"/>
    </w:pPr>
    <w:rPr>
      <w:rFonts w:hAnsi="宋体" w:cs="宋体"/>
      <w:sz w:val="24"/>
    </w:rPr>
  </w:style>
  <w:style w:type="paragraph" w:customStyle="1" w:styleId="876">
    <w:name w:val="2册标题2"/>
    <w:basedOn w:val="1"/>
    <w:next w:val="1"/>
    <w:autoRedefine/>
    <w:qFormat/>
    <w:uiPriority w:val="0"/>
    <w:pPr>
      <w:spacing w:beforeLines="50" w:afterLines="50"/>
      <w:outlineLvl w:val="1"/>
    </w:pPr>
    <w:rPr>
      <w:rFonts w:ascii="Arial" w:hAnsi="Arial" w:eastAsia="黑体"/>
      <w:kern w:val="2"/>
      <w:sz w:val="30"/>
      <w:szCs w:val="30"/>
    </w:rPr>
  </w:style>
  <w:style w:type="paragraph" w:customStyle="1" w:styleId="877">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sz w:val="24"/>
      <w:szCs w:val="24"/>
    </w:rPr>
  </w:style>
  <w:style w:type="paragraph" w:customStyle="1" w:styleId="878">
    <w:name w:val="xl15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hAnsi="宋体" w:cs="宋体"/>
      <w:color w:val="FF0000"/>
      <w:sz w:val="24"/>
      <w:szCs w:val="24"/>
    </w:rPr>
  </w:style>
  <w:style w:type="paragraph" w:customStyle="1" w:styleId="879">
    <w:name w:val="TOC 标题3"/>
    <w:basedOn w:val="2"/>
    <w:next w:val="1"/>
    <w:autoRedefine/>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880">
    <w:name w:val="项目排列"/>
    <w:basedOn w:val="1"/>
    <w:autoRedefine/>
    <w:qFormat/>
    <w:uiPriority w:val="0"/>
    <w:pPr>
      <w:numPr>
        <w:ilvl w:val="0"/>
        <w:numId w:val="5"/>
      </w:numPr>
      <w:tabs>
        <w:tab w:val="left" w:pos="420"/>
        <w:tab w:val="left" w:pos="709"/>
      </w:tabs>
      <w:spacing w:beforeLines="50" w:afterLines="50" w:line="300" w:lineRule="auto"/>
    </w:pPr>
    <w:rPr>
      <w:rFonts w:ascii="Times New Roman"/>
      <w:kern w:val="2"/>
      <w:sz w:val="24"/>
      <w:szCs w:val="24"/>
    </w:rPr>
  </w:style>
  <w:style w:type="paragraph" w:customStyle="1" w:styleId="881">
    <w:name w:val="黑体标题"/>
    <w:basedOn w:val="1"/>
    <w:autoRedefine/>
    <w:qFormat/>
    <w:uiPriority w:val="0"/>
    <w:pPr>
      <w:ind w:firstLine="200" w:firstLineChars="200"/>
    </w:pPr>
    <w:rPr>
      <w:rFonts w:ascii="Times New Roman" w:eastAsia="黑体"/>
      <w:b/>
      <w:kern w:val="2"/>
      <w:sz w:val="21"/>
    </w:rPr>
  </w:style>
  <w:style w:type="paragraph" w:customStyle="1" w:styleId="882">
    <w:name w:val="列出段落4"/>
    <w:basedOn w:val="1"/>
    <w:autoRedefine/>
    <w:qFormat/>
    <w:uiPriority w:val="0"/>
    <w:pPr>
      <w:ind w:firstLine="420" w:firstLineChars="200"/>
    </w:pPr>
    <w:rPr>
      <w:rFonts w:ascii="Calibri" w:hAnsi="Calibri" w:cs="Calibri"/>
      <w:kern w:val="2"/>
      <w:sz w:val="21"/>
      <w:szCs w:val="21"/>
    </w:rPr>
  </w:style>
  <w:style w:type="paragraph" w:customStyle="1" w:styleId="883">
    <w:name w:val="xl12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4"/>
      <w:szCs w:val="24"/>
    </w:rPr>
  </w:style>
  <w:style w:type="paragraph" w:customStyle="1" w:styleId="884">
    <w:name w:val="列项——（一级）"/>
    <w:autoRedefine/>
    <w:qFormat/>
    <w:uiPriority w:val="0"/>
    <w:pPr>
      <w:widowControl w:val="0"/>
      <w:numPr>
        <w:ilvl w:val="0"/>
        <w:numId w:val="6"/>
      </w:numPr>
      <w:tabs>
        <w:tab w:val="left" w:pos="854"/>
        <w:tab w:val="left" w:pos="1181"/>
      </w:tabs>
      <w:ind w:left="200" w:leftChars="200" w:hanging="200" w:hangingChars="200"/>
      <w:jc w:val="both"/>
    </w:pPr>
    <w:rPr>
      <w:rFonts w:ascii="宋体" w:hAnsi="Calibri" w:eastAsia="宋体" w:cs="Times New Roman"/>
      <w:sz w:val="21"/>
      <w:lang w:val="en-US" w:eastAsia="zh-CN" w:bidi="ar-SA"/>
    </w:rPr>
  </w:style>
  <w:style w:type="paragraph" w:customStyle="1" w:styleId="885">
    <w:name w:val="Char1 Char Char Char Char Char Char11"/>
    <w:basedOn w:val="1"/>
    <w:autoRedefine/>
    <w:qFormat/>
    <w:uiPriority w:val="0"/>
    <w:pPr>
      <w:widowControl/>
      <w:spacing w:after="160" w:line="240" w:lineRule="exact"/>
      <w:jc w:val="left"/>
    </w:pPr>
    <w:rPr>
      <w:rFonts w:ascii="Verdana" w:hAnsi="Verdana"/>
      <w:sz w:val="20"/>
      <w:lang w:eastAsia="en-US"/>
    </w:rPr>
  </w:style>
  <w:style w:type="paragraph" w:customStyle="1" w:styleId="886">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66CC"/>
      <w:spacing w:before="100" w:beforeAutospacing="1" w:after="100" w:afterAutospacing="1"/>
      <w:jc w:val="left"/>
    </w:pPr>
    <w:rPr>
      <w:rFonts w:ascii="Times New Roman"/>
      <w:sz w:val="24"/>
      <w:szCs w:val="24"/>
    </w:rPr>
  </w:style>
  <w:style w:type="paragraph" w:customStyle="1" w:styleId="887">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FF"/>
      <w:sz w:val="24"/>
      <w:szCs w:val="24"/>
    </w:rPr>
  </w:style>
  <w:style w:type="paragraph" w:customStyle="1" w:styleId="888">
    <w:name w:val="(文字) (文字)"/>
    <w:basedOn w:val="1"/>
    <w:autoRedefine/>
    <w:qFormat/>
    <w:uiPriority w:val="0"/>
    <w:pPr>
      <w:tabs>
        <w:tab w:val="left" w:pos="360"/>
      </w:tabs>
    </w:pPr>
    <w:rPr>
      <w:rFonts w:ascii="Times New Roman"/>
      <w:kern w:val="2"/>
      <w:sz w:val="24"/>
      <w:szCs w:val="24"/>
    </w:rPr>
  </w:style>
  <w:style w:type="paragraph" w:customStyle="1" w:styleId="889">
    <w:name w:val="2册标题3"/>
    <w:basedOn w:val="1"/>
    <w:next w:val="1"/>
    <w:autoRedefine/>
    <w:qFormat/>
    <w:uiPriority w:val="0"/>
    <w:pPr>
      <w:spacing w:beforeLines="50" w:afterLines="50"/>
      <w:ind w:left="100" w:leftChars="100"/>
      <w:outlineLvl w:val="2"/>
    </w:pPr>
    <w:rPr>
      <w:rFonts w:ascii="Arial" w:hAnsi="Arial" w:eastAsia="黑体"/>
      <w:kern w:val="2"/>
      <w:sz w:val="28"/>
      <w:szCs w:val="28"/>
    </w:rPr>
  </w:style>
  <w:style w:type="paragraph" w:customStyle="1" w:styleId="890">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hAnsi="宋体" w:cs="宋体"/>
      <w:sz w:val="24"/>
      <w:szCs w:val="24"/>
    </w:rPr>
  </w:style>
  <w:style w:type="paragraph" w:customStyle="1" w:styleId="891">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89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sz w:val="24"/>
      <w:szCs w:val="24"/>
    </w:rPr>
  </w:style>
  <w:style w:type="character" w:customStyle="1" w:styleId="893">
    <w:name w:val="引用 Char2"/>
    <w:basedOn w:val="62"/>
    <w:link w:val="769"/>
    <w:autoRedefine/>
    <w:semiHidden/>
    <w:qFormat/>
    <w:uiPriority w:val="99"/>
    <w:rPr>
      <w:rFonts w:ascii="宋体" w:hAnsi="Times New Roman" w:eastAsia="宋体" w:cs="Times New Roman"/>
      <w:i/>
      <w:iCs/>
      <w:color w:val="000000" w:themeColor="text1"/>
      <w:sz w:val="34"/>
      <w14:textFill>
        <w14:solidFill>
          <w14:schemeClr w14:val="tx1"/>
        </w14:solidFill>
      </w14:textFill>
    </w:rPr>
  </w:style>
  <w:style w:type="paragraph" w:customStyle="1" w:styleId="894">
    <w:name w:val="修订2"/>
    <w:autoRedefine/>
    <w:qFormat/>
    <w:uiPriority w:val="0"/>
    <w:rPr>
      <w:rFonts w:ascii="Calibri" w:hAnsi="Calibri" w:eastAsia="宋体" w:cs="Times New Roman"/>
      <w:kern w:val="2"/>
      <w:sz w:val="21"/>
      <w:szCs w:val="24"/>
      <w:lang w:val="en-US" w:eastAsia="zh-CN" w:bidi="ar-SA"/>
    </w:rPr>
  </w:style>
  <w:style w:type="paragraph" w:customStyle="1" w:styleId="895">
    <w:name w:val="字元 字元"/>
    <w:basedOn w:val="1"/>
    <w:autoRedefine/>
    <w:qFormat/>
    <w:uiPriority w:val="0"/>
    <w:pPr>
      <w:widowControl/>
      <w:spacing w:after="160" w:line="240" w:lineRule="exact"/>
      <w:jc w:val="left"/>
    </w:pPr>
    <w:rPr>
      <w:rFonts w:ascii="Verdana" w:hAnsi="Verdana"/>
      <w:sz w:val="20"/>
      <w:lang w:eastAsia="en-US"/>
    </w:rPr>
  </w:style>
  <w:style w:type="paragraph" w:customStyle="1" w:styleId="896">
    <w:name w:val="p18"/>
    <w:basedOn w:val="1"/>
    <w:autoRedefine/>
    <w:qFormat/>
    <w:uiPriority w:val="0"/>
    <w:pPr>
      <w:widowControl/>
    </w:pPr>
    <w:rPr>
      <w:rFonts w:hAnsi="宋体" w:cs="宋体"/>
      <w:sz w:val="21"/>
      <w:szCs w:val="21"/>
    </w:rPr>
  </w:style>
  <w:style w:type="paragraph" w:customStyle="1" w:styleId="897">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hAnsi="宋体" w:cs="宋体"/>
      <w:sz w:val="24"/>
      <w:szCs w:val="24"/>
    </w:rPr>
  </w:style>
  <w:style w:type="paragraph" w:customStyle="1" w:styleId="898">
    <w:name w:val="Char Char Char1"/>
    <w:basedOn w:val="1"/>
    <w:autoRedefine/>
    <w:qFormat/>
    <w:uiPriority w:val="0"/>
    <w:pPr>
      <w:widowControl/>
      <w:spacing w:after="160" w:line="240" w:lineRule="exact"/>
      <w:jc w:val="left"/>
    </w:pPr>
    <w:rPr>
      <w:rFonts w:ascii="Verdana" w:hAnsi="Verdana" w:cs="Verdana"/>
      <w:sz w:val="21"/>
      <w:szCs w:val="21"/>
      <w:lang w:eastAsia="en-US"/>
    </w:rPr>
  </w:style>
  <w:style w:type="paragraph" w:customStyle="1" w:styleId="899">
    <w:name w:val="1"/>
    <w:basedOn w:val="1"/>
    <w:next w:val="1"/>
    <w:autoRedefine/>
    <w:qFormat/>
    <w:uiPriority w:val="0"/>
    <w:rPr>
      <w:rFonts w:ascii="Calibri" w:hAnsi="Calibri"/>
      <w:kern w:val="2"/>
      <w:sz w:val="21"/>
      <w:szCs w:val="24"/>
    </w:rPr>
  </w:style>
  <w:style w:type="paragraph" w:customStyle="1" w:styleId="900">
    <w:name w:val="Char1 Char Char Char"/>
    <w:basedOn w:val="1"/>
    <w:autoRedefine/>
    <w:qFormat/>
    <w:uiPriority w:val="0"/>
    <w:rPr>
      <w:rFonts w:ascii="Calibri" w:hAnsi="Calibri"/>
      <w:kern w:val="2"/>
      <w:sz w:val="21"/>
    </w:rPr>
  </w:style>
  <w:style w:type="paragraph" w:customStyle="1" w:styleId="901">
    <w:name w:val="第12册用标题"/>
    <w:basedOn w:val="1"/>
    <w:next w:val="1"/>
    <w:autoRedefine/>
    <w:qFormat/>
    <w:uiPriority w:val="0"/>
    <w:pPr>
      <w:spacing w:beforeLines="50" w:afterLines="50"/>
      <w:jc w:val="center"/>
      <w:outlineLvl w:val="0"/>
    </w:pPr>
    <w:rPr>
      <w:rFonts w:ascii="Arial" w:hAnsi="Arial" w:eastAsia="黑体"/>
      <w:kern w:val="2"/>
      <w:sz w:val="44"/>
    </w:rPr>
  </w:style>
  <w:style w:type="paragraph" w:customStyle="1" w:styleId="902">
    <w:name w:val="font15"/>
    <w:basedOn w:val="1"/>
    <w:autoRedefine/>
    <w:qFormat/>
    <w:uiPriority w:val="0"/>
    <w:pPr>
      <w:widowControl/>
      <w:spacing w:before="100" w:beforeAutospacing="1" w:after="100" w:afterAutospacing="1"/>
      <w:jc w:val="left"/>
    </w:pPr>
    <w:rPr>
      <w:rFonts w:hAnsi="宋体" w:cs="宋体"/>
      <w:sz w:val="18"/>
      <w:szCs w:val="18"/>
    </w:rPr>
  </w:style>
  <w:style w:type="paragraph" w:customStyle="1" w:styleId="90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904">
    <w:name w:val="_Style 6"/>
    <w:basedOn w:val="2"/>
    <w:next w:val="1"/>
    <w:autoRedefine/>
    <w:qFormat/>
    <w:uiPriority w:val="0"/>
    <w:pPr>
      <w:autoSpaceDE/>
      <w:autoSpaceDN/>
      <w:adjustRightInd/>
      <w:spacing w:before="340" w:after="330" w:line="576" w:lineRule="auto"/>
      <w:jc w:val="both"/>
      <w:outlineLvl w:val="9"/>
    </w:pPr>
    <w:rPr>
      <w:rFonts w:ascii="Calibri" w:hAnsi="Calibri"/>
      <w:bCs/>
      <w:sz w:val="44"/>
      <w:szCs w:val="44"/>
    </w:rPr>
  </w:style>
  <w:style w:type="paragraph" w:customStyle="1" w:styleId="90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4"/>
      <w:szCs w:val="24"/>
    </w:rPr>
  </w:style>
  <w:style w:type="paragraph" w:customStyle="1" w:styleId="906">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sz w:val="24"/>
      <w:szCs w:val="24"/>
    </w:rPr>
  </w:style>
  <w:style w:type="paragraph" w:customStyle="1" w:styleId="907">
    <w:name w:val="图"/>
    <w:basedOn w:val="1"/>
    <w:autoRedefine/>
    <w:qFormat/>
    <w:uiPriority w:val="0"/>
    <w:pPr>
      <w:keepNext/>
      <w:adjustRightInd w:val="0"/>
      <w:snapToGrid w:val="0"/>
      <w:spacing w:before="60" w:after="60" w:line="300" w:lineRule="auto"/>
      <w:jc w:val="center"/>
    </w:pPr>
    <w:rPr>
      <w:rFonts w:ascii="Times New Roman"/>
      <w:spacing w:val="20"/>
      <w:sz w:val="24"/>
    </w:rPr>
  </w:style>
  <w:style w:type="paragraph" w:customStyle="1" w:styleId="908">
    <w:name w:val="样式 标题 1 + 黑体 三号 非加粗 居中 段前: 6 磅 段后: 6 磅 行距: 固定值 20 磅"/>
    <w:basedOn w:val="2"/>
    <w:autoRedefine/>
    <w:qFormat/>
    <w:uiPriority w:val="0"/>
    <w:pPr>
      <w:autoSpaceDE/>
      <w:autoSpaceDN/>
      <w:adjustRightInd/>
      <w:spacing w:before="120" w:line="400" w:lineRule="exact"/>
    </w:pPr>
    <w:rPr>
      <w:rFonts w:ascii="黑体" w:hAnsi="黑体" w:eastAsia="黑体" w:cs="宋体"/>
      <w:b w:val="0"/>
    </w:rPr>
  </w:style>
  <w:style w:type="paragraph" w:customStyle="1" w:styleId="909">
    <w:name w:val="2册标题5"/>
    <w:basedOn w:val="371"/>
    <w:next w:val="1"/>
    <w:autoRedefine/>
    <w:qFormat/>
    <w:uiPriority w:val="0"/>
    <w:pPr>
      <w:spacing w:beforeLines="50" w:afterLines="50" w:line="240" w:lineRule="auto"/>
      <w:ind w:left="720" w:leftChars="300"/>
      <w:outlineLvl w:val="4"/>
    </w:pPr>
    <w:rPr>
      <w:rFonts w:eastAsia="楷体_GB2312" w:cs="Arial"/>
      <w:kern w:val="2"/>
      <w:szCs w:val="24"/>
    </w:rPr>
  </w:style>
  <w:style w:type="paragraph" w:customStyle="1" w:styleId="910">
    <w:name w:val="样式41"/>
    <w:basedOn w:val="1"/>
    <w:autoRedefine/>
    <w:qFormat/>
    <w:uiPriority w:val="0"/>
    <w:pPr>
      <w:numPr>
        <w:ilvl w:val="0"/>
        <w:numId w:val="7"/>
      </w:numPr>
      <w:tabs>
        <w:tab w:val="left" w:pos="945"/>
        <w:tab w:val="left" w:pos="1980"/>
      </w:tabs>
      <w:spacing w:line="360" w:lineRule="auto"/>
    </w:pPr>
    <w:rPr>
      <w:rFonts w:ascii="Times New Roman"/>
      <w:b/>
      <w:color w:val="000000"/>
      <w:kern w:val="2"/>
      <w:sz w:val="24"/>
    </w:rPr>
  </w:style>
  <w:style w:type="paragraph" w:customStyle="1" w:styleId="911">
    <w:name w:val="xl1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sz w:val="24"/>
      <w:szCs w:val="24"/>
    </w:rPr>
  </w:style>
  <w:style w:type="paragraph" w:customStyle="1" w:styleId="91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sz w:val="24"/>
      <w:szCs w:val="24"/>
    </w:rPr>
  </w:style>
  <w:style w:type="paragraph" w:customStyle="1" w:styleId="913">
    <w:name w:val="说明文字"/>
    <w:basedOn w:val="1"/>
    <w:next w:val="14"/>
    <w:autoRedefine/>
    <w:qFormat/>
    <w:uiPriority w:val="0"/>
    <w:pPr>
      <w:spacing w:beforeLines="50" w:afterLines="50"/>
    </w:pPr>
    <w:rPr>
      <w:rFonts w:ascii="Times New Roman"/>
      <w:i/>
      <w:color w:val="0000FF"/>
      <w:kern w:val="2"/>
      <w:sz w:val="21"/>
      <w:szCs w:val="21"/>
    </w:rPr>
  </w:style>
  <w:style w:type="paragraph" w:customStyle="1" w:styleId="914">
    <w:name w:val="题注4"/>
    <w:basedOn w:val="1"/>
    <w:next w:val="15"/>
    <w:autoRedefine/>
    <w:qFormat/>
    <w:uiPriority w:val="0"/>
    <w:pPr>
      <w:ind w:left="-132" w:leftChars="-64" w:right="-105" w:rightChars="-50" w:hanging="2"/>
      <w:jc w:val="center"/>
    </w:pPr>
    <w:rPr>
      <w:rFonts w:ascii="Times New Roman"/>
      <w:b/>
      <w:color w:val="FF0000"/>
      <w:kern w:val="2"/>
      <w:sz w:val="21"/>
      <w:szCs w:val="21"/>
      <w:lang w:val="en-GB"/>
    </w:rPr>
  </w:style>
  <w:style w:type="paragraph" w:customStyle="1" w:styleId="91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sz w:val="24"/>
      <w:szCs w:val="24"/>
    </w:rPr>
  </w:style>
  <w:style w:type="paragraph" w:customStyle="1" w:styleId="9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hAnsi="宋体" w:cs="宋体"/>
      <w:color w:val="FF0000"/>
      <w:sz w:val="24"/>
      <w:szCs w:val="24"/>
    </w:rPr>
  </w:style>
  <w:style w:type="paragraph" w:customStyle="1" w:styleId="917">
    <w:name w:val="空半行"/>
    <w:basedOn w:val="1"/>
    <w:autoRedefine/>
    <w:qFormat/>
    <w:uiPriority w:val="0"/>
    <w:pPr>
      <w:adjustRightInd w:val="0"/>
      <w:spacing w:line="120" w:lineRule="exact"/>
      <w:textAlignment w:val="baseline"/>
    </w:pPr>
    <w:rPr>
      <w:rFonts w:ascii="Times New Roman" w:eastAsia="仿宋_GB2312"/>
      <w:color w:val="FFFFFF"/>
      <w:sz w:val="30"/>
    </w:rPr>
  </w:style>
  <w:style w:type="paragraph" w:customStyle="1" w:styleId="918">
    <w:name w:val="xl110"/>
    <w:basedOn w:val="1"/>
    <w:autoRedefine/>
    <w:qFormat/>
    <w:uiPriority w:val="0"/>
    <w:pPr>
      <w:widowControl/>
      <w:spacing w:before="100" w:beforeAutospacing="1" w:after="100" w:afterAutospacing="1"/>
      <w:jc w:val="left"/>
      <w:textAlignment w:val="center"/>
    </w:pPr>
    <w:rPr>
      <w:rFonts w:hAnsi="宋体" w:cs="宋体"/>
      <w:color w:val="000000"/>
      <w:sz w:val="24"/>
      <w:szCs w:val="24"/>
    </w:rPr>
  </w:style>
  <w:style w:type="paragraph" w:customStyle="1" w:styleId="919">
    <w:name w:val="xl15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hAnsi="宋体" w:cs="宋体"/>
      <w:sz w:val="20"/>
    </w:rPr>
  </w:style>
  <w:style w:type="paragraph" w:customStyle="1" w:styleId="920">
    <w:name w:val="文件正文"/>
    <w:basedOn w:val="1"/>
    <w:autoRedefine/>
    <w:qFormat/>
    <w:uiPriority w:val="0"/>
    <w:pPr>
      <w:spacing w:line="360" w:lineRule="auto"/>
      <w:ind w:firstLine="480" w:firstLineChars="200"/>
    </w:pPr>
    <w:rPr>
      <w:rFonts w:ascii="Times New Roman" w:eastAsia="仿宋_GB2312" w:cs="仿宋_GB2312"/>
      <w:kern w:val="2"/>
      <w:sz w:val="24"/>
      <w:szCs w:val="24"/>
    </w:rPr>
  </w:style>
  <w:style w:type="paragraph" w:customStyle="1" w:styleId="921">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sz w:val="24"/>
      <w:szCs w:val="24"/>
    </w:rPr>
  </w:style>
  <w:style w:type="paragraph" w:customStyle="1" w:styleId="922">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color w:val="000000"/>
      <w:sz w:val="24"/>
      <w:szCs w:val="24"/>
    </w:rPr>
  </w:style>
  <w:style w:type="paragraph" w:customStyle="1" w:styleId="923">
    <w:name w:val="普通标题"/>
    <w:basedOn w:val="1"/>
    <w:next w:val="14"/>
    <w:autoRedefine/>
    <w:qFormat/>
    <w:uiPriority w:val="0"/>
    <w:pPr>
      <w:pageBreakBefore/>
      <w:spacing w:beforeLines="200" w:afterLines="100"/>
      <w:jc w:val="center"/>
    </w:pPr>
    <w:rPr>
      <w:rFonts w:ascii="Arial" w:hAnsi="Arial" w:eastAsia="黑体"/>
      <w:b/>
      <w:kern w:val="2"/>
      <w:sz w:val="32"/>
      <w:szCs w:val="32"/>
    </w:rPr>
  </w:style>
  <w:style w:type="paragraph" w:customStyle="1" w:styleId="924">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b/>
      <w:bCs/>
      <w:sz w:val="24"/>
      <w:szCs w:val="24"/>
    </w:rPr>
  </w:style>
  <w:style w:type="paragraph" w:customStyle="1" w:styleId="925">
    <w:name w:val="表格注释"/>
    <w:basedOn w:val="1"/>
    <w:autoRedefine/>
    <w:qFormat/>
    <w:uiPriority w:val="0"/>
    <w:rPr>
      <w:rFonts w:ascii="Times New Roman"/>
      <w:kern w:val="2"/>
      <w:sz w:val="21"/>
    </w:rPr>
  </w:style>
  <w:style w:type="paragraph" w:customStyle="1" w:styleId="926">
    <w:name w:val="1册标题2"/>
    <w:basedOn w:val="3"/>
    <w:next w:val="1"/>
    <w:autoRedefine/>
    <w:qFormat/>
    <w:uiPriority w:val="0"/>
    <w:pPr>
      <w:keepNext w:val="0"/>
      <w:keepLines w:val="0"/>
      <w:spacing w:before="0" w:after="0" w:line="312" w:lineRule="auto"/>
      <w:jc w:val="center"/>
      <w:outlineLvl w:val="9"/>
    </w:pPr>
    <w:rPr>
      <w:rFonts w:ascii="宋体" w:hAnsi="宋体" w:eastAsia="宋体"/>
      <w:szCs w:val="21"/>
    </w:rPr>
  </w:style>
  <w:style w:type="paragraph" w:customStyle="1" w:styleId="927">
    <w:name w:val="默认段落字体 Para Char Char Char Char Char Char Char Char Char1 Char"/>
    <w:basedOn w:val="1"/>
    <w:autoRedefine/>
    <w:qFormat/>
    <w:uiPriority w:val="0"/>
    <w:rPr>
      <w:rFonts w:ascii="Times New Roman"/>
      <w:kern w:val="2"/>
      <w:sz w:val="21"/>
      <w:szCs w:val="24"/>
    </w:rPr>
  </w:style>
  <w:style w:type="paragraph" w:customStyle="1" w:styleId="928">
    <w:name w:val="样式 左侧:  2 字符"/>
    <w:basedOn w:val="1"/>
    <w:autoRedefine/>
    <w:qFormat/>
    <w:uiPriority w:val="0"/>
    <w:pPr>
      <w:ind w:firstLine="200" w:firstLineChars="200"/>
    </w:pPr>
    <w:rPr>
      <w:rFonts w:ascii="Times New Roman" w:cs="宋体"/>
      <w:kern w:val="2"/>
      <w:sz w:val="21"/>
    </w:rPr>
  </w:style>
  <w:style w:type="paragraph" w:customStyle="1" w:styleId="929">
    <w:name w:val="xl1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
      <w:bCs/>
      <w:sz w:val="24"/>
      <w:szCs w:val="24"/>
    </w:rPr>
  </w:style>
  <w:style w:type="paragraph" w:customStyle="1" w:styleId="930">
    <w:name w:val="WPSOffice手动目录 1"/>
    <w:autoRedefine/>
    <w:qFormat/>
    <w:uiPriority w:val="0"/>
    <w:rPr>
      <w:rFonts w:ascii="Calibri" w:hAnsi="Calibri" w:eastAsia="宋体" w:cs="Times New Roman"/>
      <w:lang w:val="en-US" w:eastAsia="zh-CN" w:bidi="ar-SA"/>
    </w:rPr>
  </w:style>
  <w:style w:type="paragraph" w:customStyle="1" w:styleId="931">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4"/>
      <w:szCs w:val="24"/>
    </w:rPr>
  </w:style>
  <w:style w:type="paragraph" w:customStyle="1" w:styleId="932">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b/>
      <w:bCs/>
      <w:sz w:val="24"/>
      <w:szCs w:val="24"/>
    </w:rPr>
  </w:style>
  <w:style w:type="paragraph" w:customStyle="1" w:styleId="93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
      <w:bCs/>
      <w:sz w:val="24"/>
      <w:szCs w:val="24"/>
    </w:rPr>
  </w:style>
  <w:style w:type="paragraph" w:customStyle="1" w:styleId="934">
    <w:name w:val="xl149"/>
    <w:basedOn w:val="1"/>
    <w:autoRedefine/>
    <w:qFormat/>
    <w:uiPriority w:val="0"/>
    <w:pPr>
      <w:widowControl/>
      <w:pBdr>
        <w:top w:val="single" w:color="auto" w:sz="4" w:space="0"/>
        <w:left w:val="single" w:color="auto" w:sz="4" w:space="0"/>
        <w:bottom w:val="double" w:color="auto" w:sz="6" w:space="0"/>
        <w:right w:val="single" w:color="auto" w:sz="4" w:space="0"/>
      </w:pBdr>
      <w:shd w:val="clear" w:color="000000" w:fill="FFFF00"/>
      <w:spacing w:before="100" w:beforeAutospacing="1" w:after="100" w:afterAutospacing="1"/>
      <w:jc w:val="center"/>
    </w:pPr>
    <w:rPr>
      <w:rFonts w:hAnsi="宋体" w:cs="宋体"/>
      <w:b/>
      <w:bCs/>
      <w:color w:val="000000"/>
      <w:sz w:val="24"/>
      <w:szCs w:val="24"/>
    </w:rPr>
  </w:style>
  <w:style w:type="paragraph" w:customStyle="1" w:styleId="935">
    <w:name w:val="font18"/>
    <w:basedOn w:val="1"/>
    <w:autoRedefine/>
    <w:qFormat/>
    <w:uiPriority w:val="0"/>
    <w:pPr>
      <w:widowControl/>
      <w:spacing w:before="100" w:beforeAutospacing="1" w:after="100" w:afterAutospacing="1"/>
      <w:jc w:val="left"/>
    </w:pPr>
    <w:rPr>
      <w:rFonts w:hAnsi="宋体" w:cs="宋体"/>
      <w:sz w:val="18"/>
      <w:szCs w:val="18"/>
    </w:rPr>
  </w:style>
  <w:style w:type="paragraph" w:customStyle="1" w:styleId="936">
    <w:name w:val="xl16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hAnsi="宋体" w:cs="宋体"/>
      <w:color w:val="000000"/>
      <w:sz w:val="24"/>
      <w:szCs w:val="24"/>
    </w:rPr>
  </w:style>
  <w:style w:type="paragraph" w:customStyle="1" w:styleId="937">
    <w:name w:val="xl15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938">
    <w:name w:val="09正文_wh"/>
    <w:autoRedefine/>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93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sz w:val="20"/>
    </w:rPr>
  </w:style>
  <w:style w:type="paragraph" w:customStyle="1" w:styleId="940">
    <w:name w:val="xl16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hAnsi="宋体" w:cs="宋体"/>
      <w:b/>
      <w:bCs/>
      <w:color w:val="000000"/>
      <w:sz w:val="28"/>
      <w:szCs w:val="28"/>
    </w:rPr>
  </w:style>
  <w:style w:type="paragraph" w:customStyle="1" w:styleId="941">
    <w:name w:val="font24"/>
    <w:basedOn w:val="1"/>
    <w:autoRedefine/>
    <w:qFormat/>
    <w:uiPriority w:val="0"/>
    <w:pPr>
      <w:widowControl/>
      <w:spacing w:before="100" w:beforeAutospacing="1" w:after="100" w:afterAutospacing="1"/>
      <w:jc w:val="left"/>
    </w:pPr>
    <w:rPr>
      <w:rFonts w:ascii="仿宋_GB2312" w:hAnsi="宋体" w:eastAsia="仿宋_GB2312" w:cs="宋体"/>
      <w:color w:val="0000FF"/>
      <w:sz w:val="24"/>
      <w:szCs w:val="24"/>
    </w:rPr>
  </w:style>
  <w:style w:type="paragraph" w:customStyle="1" w:styleId="942">
    <w:name w:val="xl16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hAnsi="宋体" w:cs="宋体"/>
      <w:color w:val="000000"/>
      <w:sz w:val="24"/>
      <w:szCs w:val="24"/>
    </w:rPr>
  </w:style>
  <w:style w:type="paragraph" w:customStyle="1" w:styleId="943">
    <w:name w:val="LED标题1"/>
    <w:basedOn w:val="1"/>
    <w:next w:val="1"/>
    <w:autoRedefine/>
    <w:qFormat/>
    <w:uiPriority w:val="0"/>
    <w:pPr>
      <w:spacing w:beforeLines="50" w:afterLines="50"/>
      <w:ind w:firstLine="320" w:firstLineChars="100"/>
      <w:jc w:val="center"/>
      <w:outlineLvl w:val="0"/>
    </w:pPr>
    <w:rPr>
      <w:rFonts w:ascii="Arial" w:hAnsi="Arial" w:eastAsia="黑体"/>
      <w:color w:val="FF0000"/>
      <w:kern w:val="2"/>
      <w:sz w:val="32"/>
      <w:szCs w:val="32"/>
    </w:rPr>
  </w:style>
  <w:style w:type="paragraph" w:customStyle="1" w:styleId="94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45">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946">
    <w:name w:val="样式4"/>
    <w:basedOn w:val="4"/>
    <w:autoRedefine/>
    <w:qFormat/>
    <w:uiPriority w:val="0"/>
    <w:pPr>
      <w:widowControl w:val="0"/>
      <w:spacing w:line="415" w:lineRule="auto"/>
      <w:jc w:val="both"/>
    </w:pPr>
    <w:rPr>
      <w:rFonts w:ascii="Calibri" w:hAnsi="Calibri" w:eastAsia="Arial"/>
      <w:kern w:val="2"/>
    </w:rPr>
  </w:style>
  <w:style w:type="paragraph" w:customStyle="1" w:styleId="947">
    <w:name w:val="封面标题"/>
    <w:autoRedefine/>
    <w:qFormat/>
    <w:uiPriority w:val="0"/>
    <w:pPr>
      <w:spacing w:line="360" w:lineRule="auto"/>
      <w:jc w:val="center"/>
    </w:pPr>
    <w:rPr>
      <w:rFonts w:ascii="Calibri" w:hAnsi="Calibri" w:eastAsia="幼圆" w:cs="Times New Roman"/>
      <w:b/>
      <w:bCs/>
      <w:kern w:val="2"/>
      <w:sz w:val="48"/>
      <w:szCs w:val="48"/>
      <w:lang w:val="en-US" w:eastAsia="zh-CN" w:bidi="ar-SA"/>
    </w:rPr>
  </w:style>
  <w:style w:type="paragraph" w:customStyle="1" w:styleId="948">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paragraph" w:customStyle="1" w:styleId="94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sz w:val="24"/>
      <w:szCs w:val="24"/>
    </w:rPr>
  </w:style>
  <w:style w:type="paragraph" w:customStyle="1" w:styleId="950">
    <w:name w:val="列出段落41"/>
    <w:basedOn w:val="1"/>
    <w:autoRedefine/>
    <w:qFormat/>
    <w:uiPriority w:val="0"/>
    <w:pPr>
      <w:ind w:firstLine="420" w:firstLineChars="200"/>
    </w:pPr>
    <w:rPr>
      <w:rFonts w:ascii="Times New Roman"/>
      <w:kern w:val="2"/>
      <w:sz w:val="21"/>
    </w:rPr>
  </w:style>
  <w:style w:type="paragraph" w:customStyle="1" w:styleId="951">
    <w:name w:val="xl16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hAnsi="宋体" w:cs="宋体"/>
      <w:b/>
      <w:bCs/>
      <w:sz w:val="24"/>
      <w:szCs w:val="24"/>
    </w:rPr>
  </w:style>
  <w:style w:type="paragraph" w:customStyle="1" w:styleId="952">
    <w:name w:val="xl13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b/>
      <w:bCs/>
      <w:sz w:val="24"/>
      <w:szCs w:val="24"/>
    </w:rPr>
  </w:style>
  <w:style w:type="paragraph" w:customStyle="1" w:styleId="953">
    <w:name w:val="xl13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hAnsi="宋体" w:cs="宋体"/>
      <w:sz w:val="24"/>
      <w:szCs w:val="24"/>
    </w:rPr>
  </w:style>
  <w:style w:type="paragraph" w:customStyle="1" w:styleId="954">
    <w:name w:val="xl148"/>
    <w:basedOn w:val="1"/>
    <w:autoRedefine/>
    <w:qFormat/>
    <w:uiPriority w:val="0"/>
    <w:pPr>
      <w:widowControl/>
      <w:shd w:val="clear" w:color="000000" w:fill="FFFFFF"/>
      <w:spacing w:before="100" w:beforeAutospacing="1" w:after="100" w:afterAutospacing="1"/>
      <w:jc w:val="center"/>
    </w:pPr>
    <w:rPr>
      <w:rFonts w:hAnsi="宋体" w:cs="宋体"/>
      <w:color w:val="FF0000"/>
      <w:sz w:val="24"/>
      <w:szCs w:val="24"/>
    </w:rPr>
  </w:style>
  <w:style w:type="paragraph" w:customStyle="1" w:styleId="955">
    <w:name w:val="文档标题"/>
    <w:basedOn w:val="56"/>
    <w:autoRedefine/>
    <w:qFormat/>
    <w:uiPriority w:val="0"/>
    <w:pPr>
      <w:spacing w:beforeLines="100" w:after="100" w:line="300" w:lineRule="auto"/>
      <w:outlineLvl w:val="9"/>
    </w:pPr>
    <w:rPr>
      <w:rFonts w:eastAsia="黑体"/>
      <w:bCs w:val="0"/>
      <w:kern w:val="2"/>
      <w:sz w:val="48"/>
    </w:rPr>
  </w:style>
  <w:style w:type="paragraph" w:customStyle="1" w:styleId="95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
      <w:bCs/>
      <w:sz w:val="24"/>
      <w:szCs w:val="24"/>
    </w:rPr>
  </w:style>
  <w:style w:type="paragraph" w:customStyle="1" w:styleId="957">
    <w:name w:val="Char Char Char Char Char Char Char Char Char Char Char"/>
    <w:autoRedefine/>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958">
    <w:name w:val="标题（无编号）"/>
    <w:basedOn w:val="5"/>
    <w:autoRedefine/>
    <w:qFormat/>
    <w:uiPriority w:val="0"/>
    <w:pPr>
      <w:spacing w:beforeLines="100" w:afterLines="100" w:line="240" w:lineRule="auto"/>
      <w:jc w:val="left"/>
    </w:pPr>
    <w:rPr>
      <w:sz w:val="30"/>
    </w:rPr>
  </w:style>
  <w:style w:type="paragraph" w:customStyle="1" w:styleId="959">
    <w:name w:val="Char Char Char Char1"/>
    <w:basedOn w:val="1"/>
    <w:autoRedefine/>
    <w:qFormat/>
    <w:uiPriority w:val="0"/>
    <w:pPr>
      <w:tabs>
        <w:tab w:val="left" w:pos="360"/>
      </w:tabs>
      <w:ind w:firstLine="420" w:firstLineChars="150"/>
    </w:pPr>
    <w:rPr>
      <w:rFonts w:ascii="Arial" w:hAnsi="Arial" w:cs="Arial"/>
      <w:kern w:val="2"/>
      <w:sz w:val="20"/>
    </w:rPr>
  </w:style>
  <w:style w:type="paragraph" w:customStyle="1" w:styleId="96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4"/>
      <w:szCs w:val="24"/>
    </w:rPr>
  </w:style>
  <w:style w:type="paragraph" w:customStyle="1" w:styleId="961">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left"/>
      <w:textAlignment w:val="center"/>
    </w:pPr>
    <w:rPr>
      <w:rFonts w:ascii="Times New Roman"/>
      <w:b/>
      <w:bCs/>
      <w:sz w:val="24"/>
      <w:szCs w:val="24"/>
    </w:rPr>
  </w:style>
  <w:style w:type="paragraph" w:customStyle="1" w:styleId="962">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hAnsi="宋体" w:cs="宋体"/>
      <w:sz w:val="24"/>
      <w:szCs w:val="24"/>
    </w:rPr>
  </w:style>
  <w:style w:type="paragraph" w:customStyle="1" w:styleId="963">
    <w:name w:val="前面加点"/>
    <w:basedOn w:val="1"/>
    <w:autoRedefine/>
    <w:qFormat/>
    <w:uiPriority w:val="0"/>
    <w:pPr>
      <w:tabs>
        <w:tab w:val="left" w:pos="420"/>
        <w:tab w:val="left" w:pos="720"/>
        <w:tab w:val="left" w:pos="1696"/>
      </w:tabs>
      <w:ind w:left="760" w:firstLine="200"/>
    </w:pPr>
    <w:rPr>
      <w:rFonts w:ascii="Times New Roman"/>
      <w:kern w:val="2"/>
      <w:sz w:val="21"/>
    </w:rPr>
  </w:style>
  <w:style w:type="paragraph" w:customStyle="1" w:styleId="964">
    <w:name w:val="正文图标题"/>
    <w:next w:val="171"/>
    <w:autoRedefine/>
    <w:qFormat/>
    <w:uiPriority w:val="0"/>
    <w:pPr>
      <w:numPr>
        <w:ilvl w:val="0"/>
        <w:numId w:val="8"/>
      </w:numPr>
      <w:tabs>
        <w:tab w:val="left" w:pos="481"/>
      </w:tabs>
      <w:jc w:val="center"/>
    </w:pPr>
    <w:rPr>
      <w:rFonts w:ascii="黑体" w:hAnsi="Calibri" w:eastAsia="黑体" w:cs="Times New Roman"/>
      <w:sz w:val="21"/>
      <w:lang w:val="en-US" w:eastAsia="zh-CN" w:bidi="ar-SA"/>
    </w:rPr>
  </w:style>
  <w:style w:type="paragraph" w:customStyle="1" w:styleId="965">
    <w:name w:val="Char2 Char Char Char Char Char Char1"/>
    <w:basedOn w:val="1"/>
    <w:autoRedefine/>
    <w:qFormat/>
    <w:uiPriority w:val="0"/>
    <w:rPr>
      <w:rFonts w:ascii="Tahoma" w:hAnsi="Tahoma"/>
      <w:kern w:val="2"/>
      <w:sz w:val="24"/>
    </w:rPr>
  </w:style>
  <w:style w:type="paragraph" w:customStyle="1" w:styleId="966">
    <w:name w:val="正文缩进1"/>
    <w:basedOn w:val="1"/>
    <w:autoRedefine/>
    <w:qFormat/>
    <w:uiPriority w:val="0"/>
    <w:pPr>
      <w:ind w:firstLine="420"/>
    </w:pPr>
    <w:rPr>
      <w:rFonts w:ascii="Times New Roman" w:hAnsi="Calibri"/>
      <w:kern w:val="2"/>
      <w:sz w:val="21"/>
    </w:rPr>
  </w:style>
  <w:style w:type="paragraph" w:customStyle="1" w:styleId="967">
    <w:name w:val="样式 正文（首行缩进两字） + 宋体 小四"/>
    <w:basedOn w:val="14"/>
    <w:autoRedefine/>
    <w:qFormat/>
    <w:uiPriority w:val="0"/>
    <w:pPr>
      <w:autoSpaceDE/>
      <w:autoSpaceDN/>
      <w:adjustRightInd/>
      <w:spacing w:line="100" w:lineRule="atLeast"/>
      <w:ind w:firstLine="614" w:firstLineChars="192"/>
    </w:pPr>
    <w:rPr>
      <w:rFonts w:ascii="仿宋_GB2312" w:hAnsi="宋体" w:eastAsia="仿宋_GB2312"/>
      <w:kern w:val="2"/>
      <w:sz w:val="32"/>
    </w:rPr>
  </w:style>
  <w:style w:type="paragraph" w:customStyle="1" w:styleId="968">
    <w:name w:val="font22"/>
    <w:basedOn w:val="1"/>
    <w:autoRedefine/>
    <w:qFormat/>
    <w:uiPriority w:val="0"/>
    <w:pPr>
      <w:widowControl/>
      <w:spacing w:before="100" w:beforeAutospacing="1" w:after="100" w:afterAutospacing="1"/>
      <w:jc w:val="left"/>
    </w:pPr>
    <w:rPr>
      <w:rFonts w:ascii="Times New Roman"/>
      <w:sz w:val="20"/>
    </w:rPr>
  </w:style>
  <w:style w:type="paragraph" w:customStyle="1" w:styleId="96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sz w:val="24"/>
      <w:szCs w:val="24"/>
    </w:rPr>
  </w:style>
  <w:style w:type="paragraph" w:customStyle="1" w:styleId="970">
    <w:name w:val="宏文本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pPr>
    <w:rPr>
      <w:rFonts w:hint="eastAsia" w:ascii="Courier New" w:hAnsi="Courier New" w:eastAsia="宋体" w:cs="Times New Roman"/>
      <w:kern w:val="2"/>
      <w:sz w:val="24"/>
      <w:lang w:val="en-US" w:eastAsia="zh-CN" w:bidi="ar-SA"/>
    </w:rPr>
  </w:style>
  <w:style w:type="table" w:customStyle="1" w:styleId="971">
    <w:name w:val="网格型1"/>
    <w:basedOn w:val="6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2">
    <w:name w:val="Table Paragraph"/>
    <w:basedOn w:val="1"/>
    <w:autoRedefine/>
    <w:qFormat/>
    <w:uiPriority w:val="1"/>
    <w:pPr>
      <w:autoSpaceDE w:val="0"/>
      <w:autoSpaceDN w:val="0"/>
      <w:jc w:val="left"/>
    </w:pPr>
    <w:rPr>
      <w:rFonts w:hAnsi="宋体" w:cs="宋体"/>
      <w:sz w:val="22"/>
      <w:szCs w:val="22"/>
      <w:lang w:eastAsia="en-US"/>
    </w:rPr>
  </w:style>
  <w:style w:type="paragraph" w:customStyle="1" w:styleId="973">
    <w:name w:val="05正文"/>
    <w:basedOn w:val="1"/>
    <w:autoRedefine/>
    <w:qFormat/>
    <w:uiPriority w:val="0"/>
    <w:pPr>
      <w:adjustRightInd w:val="0"/>
      <w:snapToGrid w:val="0"/>
      <w:spacing w:line="360" w:lineRule="auto"/>
      <w:ind w:firstLine="200" w:firstLineChars="200"/>
    </w:pPr>
    <w:rPr>
      <w:rFonts w:cs="宋体"/>
      <w:snapToGrid w:val="0"/>
      <w:sz w:val="28"/>
    </w:rPr>
  </w:style>
  <w:style w:type="paragraph" w:customStyle="1" w:styleId="974">
    <w:name w:val="表内"/>
    <w:basedOn w:val="1"/>
    <w:autoRedefine/>
    <w:qFormat/>
    <w:uiPriority w:val="0"/>
    <w:pPr>
      <w:spacing w:line="360" w:lineRule="auto"/>
    </w:pPr>
    <w:rPr>
      <w:bCs/>
      <w:color w:val="000000" w:themeColor="text1"/>
      <w:sz w:val="24"/>
      <w:szCs w:val="32"/>
      <w14:textFill>
        <w14:solidFill>
          <w14:schemeClr w14:val="tx1"/>
        </w14:solidFill>
      </w14:textFill>
    </w:rPr>
  </w:style>
  <w:style w:type="paragraph" w:customStyle="1" w:styleId="975">
    <w:name w:val="Heading 5_0"/>
    <w:basedOn w:val="1"/>
    <w:autoRedefine/>
    <w:qFormat/>
    <w:uiPriority w:val="1"/>
    <w:pPr>
      <w:spacing w:line="441" w:lineRule="exact"/>
      <w:ind w:left="205"/>
      <w:outlineLvl w:val="5"/>
    </w:pPr>
    <w:rPr>
      <w:b/>
      <w:bCs/>
      <w:sz w:val="36"/>
      <w:szCs w:val="36"/>
    </w:rPr>
  </w:style>
  <w:style w:type="paragraph" w:customStyle="1" w:styleId="976">
    <w:name w:val="Normal Indent1"/>
    <w:basedOn w:val="1"/>
    <w:qFormat/>
    <w:uiPriority w:val="0"/>
    <w:pPr>
      <w:ind w:firstLine="420" w:firstLineChars="200"/>
    </w:pPr>
  </w:style>
  <w:style w:type="paragraph" w:customStyle="1" w:styleId="977">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9">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98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82">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83">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84">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98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EE9CE-8C08-4E7A-AD65-ED0BF4903F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35307</Words>
  <Characters>37968</Characters>
  <Lines>224</Lines>
  <Paragraphs>63</Paragraphs>
  <TotalTime>1</TotalTime>
  <ScaleCrop>false</ScaleCrop>
  <LinksUpToDate>false</LinksUpToDate>
  <CharactersWithSpaces>38758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2020-07-20T07:52:00Z</dcterms:created>
  <dc:creator>thinkpad</dc:creator>
  <cp:lastModifiedBy>王</cp:lastModifiedBy>
  <cp:lastPrinted>2024-09-24T01:32:00Z</cp:lastPrinted>
  <dcterms:modified xsi:type="dcterms:W3CDTF">2024-10-17T08:07:18Z</dcterms:modified>
  <cp:revision>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8C47396A4E784AE69423554BF90BE59F_13</vt:lpwstr>
  </property>
  <property fmtid="{D5CDD505-2E9C-101B-9397-08002B2CF9AE}" pid="3" name="KSOProductBuildVer">
    <vt:lpwstr>2052-12.1.0.18276</vt:lpwstr>
  </property>
</Properties>
</file>