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283F18">
      <w:pPr>
        <w:jc w:val="center"/>
        <w:rPr>
          <w:rFonts w:cs="宋体"/>
          <w:b/>
          <w:bCs/>
          <w:sz w:val="36"/>
          <w:szCs w:val="36"/>
        </w:rPr>
      </w:pPr>
      <w:r>
        <w:rPr>
          <w:rFonts w:hint="eastAsia" w:ascii="宋体" w:hAnsi="宋体" w:cs="宋体"/>
          <w:b/>
          <w:bCs/>
          <w:sz w:val="52"/>
          <w:szCs w:val="52"/>
        </w:rPr>
        <w:t>耳鼻喉科保健基地医疗设备一批</w:t>
      </w:r>
    </w:p>
    <w:p w14:paraId="3428257E">
      <w:pPr>
        <w:jc w:val="center"/>
        <w:rPr>
          <w:b/>
          <w:sz w:val="84"/>
          <w:szCs w:val="84"/>
        </w:rPr>
      </w:pPr>
    </w:p>
    <w:p w14:paraId="65B81928">
      <w:pPr>
        <w:jc w:val="center"/>
        <w:rPr>
          <w:b/>
          <w:sz w:val="84"/>
          <w:szCs w:val="84"/>
        </w:rPr>
      </w:pPr>
    </w:p>
    <w:p w14:paraId="34624237">
      <w:pPr>
        <w:jc w:val="center"/>
        <w:rPr>
          <w:b/>
          <w:sz w:val="84"/>
          <w:szCs w:val="84"/>
        </w:rPr>
      </w:pPr>
    </w:p>
    <w:p w14:paraId="4749EBA8">
      <w:pPr>
        <w:jc w:val="center"/>
        <w:rPr>
          <w:b/>
          <w:sz w:val="84"/>
          <w:szCs w:val="84"/>
        </w:rPr>
      </w:pPr>
      <w:r>
        <w:rPr>
          <w:rFonts w:hint="eastAsia"/>
          <w:b/>
          <w:sz w:val="84"/>
          <w:szCs w:val="84"/>
        </w:rPr>
        <w:t>招 标 文 件</w:t>
      </w:r>
    </w:p>
    <w:p w14:paraId="7E771104">
      <w:pPr>
        <w:spacing w:line="360" w:lineRule="auto"/>
        <w:ind w:firstLine="1002" w:firstLineChars="200"/>
        <w:rPr>
          <w:rFonts w:ascii="宋体"/>
          <w:b/>
          <w:bCs/>
          <w:spacing w:val="100"/>
          <w:sz w:val="30"/>
          <w:szCs w:val="30"/>
        </w:rPr>
      </w:pPr>
    </w:p>
    <w:p w14:paraId="4D180848">
      <w:pPr>
        <w:spacing w:line="360" w:lineRule="auto"/>
        <w:ind w:firstLine="1002" w:firstLineChars="200"/>
        <w:rPr>
          <w:rFonts w:ascii="宋体"/>
          <w:b/>
          <w:bCs/>
          <w:spacing w:val="100"/>
          <w:sz w:val="30"/>
          <w:szCs w:val="30"/>
        </w:rPr>
      </w:pPr>
    </w:p>
    <w:p w14:paraId="39426BA9">
      <w:pPr>
        <w:spacing w:line="360" w:lineRule="auto"/>
        <w:ind w:firstLine="1002" w:firstLineChars="200"/>
        <w:rPr>
          <w:rFonts w:ascii="宋体"/>
          <w:b/>
          <w:bCs/>
          <w:spacing w:val="100"/>
          <w:sz w:val="30"/>
          <w:szCs w:val="30"/>
        </w:rPr>
      </w:pPr>
    </w:p>
    <w:p w14:paraId="767D2E18">
      <w:pPr>
        <w:spacing w:line="360" w:lineRule="auto"/>
        <w:ind w:firstLine="1002" w:firstLineChars="200"/>
        <w:rPr>
          <w:rFonts w:ascii="宋体"/>
          <w:b/>
          <w:bCs/>
          <w:spacing w:val="100"/>
          <w:sz w:val="30"/>
          <w:szCs w:val="30"/>
        </w:rPr>
      </w:pPr>
    </w:p>
    <w:p w14:paraId="2BBB3181">
      <w:pPr>
        <w:ind w:firstLine="723" w:firstLineChars="200"/>
        <w:rPr>
          <w:b/>
          <w:bCs/>
          <w:sz w:val="36"/>
          <w:szCs w:val="36"/>
        </w:rPr>
      </w:pPr>
    </w:p>
    <w:p w14:paraId="448BBD03">
      <w:pPr>
        <w:rPr>
          <w:b/>
          <w:bCs/>
          <w:sz w:val="36"/>
          <w:szCs w:val="36"/>
        </w:rPr>
      </w:pPr>
    </w:p>
    <w:p w14:paraId="15041915">
      <w:pPr>
        <w:spacing w:line="360" w:lineRule="auto"/>
        <w:rPr>
          <w:rFonts w:cs="宋体"/>
          <w:b/>
          <w:bCs/>
          <w:sz w:val="32"/>
          <w:szCs w:val="32"/>
        </w:rPr>
      </w:pPr>
    </w:p>
    <w:p w14:paraId="70924EE5">
      <w:pPr>
        <w:spacing w:line="360" w:lineRule="auto"/>
        <w:rPr>
          <w:rFonts w:cs="宋体"/>
          <w:b/>
          <w:bCs/>
          <w:sz w:val="32"/>
          <w:szCs w:val="32"/>
        </w:rPr>
      </w:pPr>
    </w:p>
    <w:p w14:paraId="3F06F99D">
      <w:pPr>
        <w:spacing w:line="360" w:lineRule="auto"/>
        <w:rPr>
          <w:rFonts w:cs="宋体"/>
          <w:b/>
          <w:bCs/>
          <w:sz w:val="32"/>
          <w:szCs w:val="32"/>
        </w:rPr>
      </w:pPr>
      <w:r>
        <w:rPr>
          <w:rFonts w:hint="eastAsia" w:cs="宋体"/>
          <w:b/>
          <w:bCs/>
          <w:sz w:val="32"/>
          <w:szCs w:val="32"/>
        </w:rPr>
        <w:t>项目编号：HNTXGP2024-032</w:t>
      </w:r>
    </w:p>
    <w:p w14:paraId="29882BED">
      <w:pPr>
        <w:spacing w:line="360" w:lineRule="auto"/>
        <w:ind w:firstLine="643" w:firstLineChars="200"/>
        <w:rPr>
          <w:b/>
          <w:bCs/>
          <w:sz w:val="32"/>
          <w:szCs w:val="32"/>
        </w:rPr>
      </w:pPr>
    </w:p>
    <w:p w14:paraId="5E2180FA">
      <w:pPr>
        <w:adjustRightInd w:val="0"/>
        <w:spacing w:line="360" w:lineRule="auto"/>
        <w:rPr>
          <w:rFonts w:ascii="宋体"/>
          <w:b/>
          <w:bCs/>
          <w:sz w:val="32"/>
          <w:szCs w:val="32"/>
        </w:rPr>
      </w:pPr>
      <w:r>
        <w:rPr>
          <w:rFonts w:hint="eastAsia" w:cs="宋体"/>
          <w:b/>
          <w:bCs/>
          <w:sz w:val="32"/>
          <w:szCs w:val="32"/>
        </w:rPr>
        <w:t>采 购 人：海口市人民医院</w:t>
      </w:r>
    </w:p>
    <w:p w14:paraId="4C6CFD63">
      <w:pPr>
        <w:spacing w:line="360" w:lineRule="auto"/>
        <w:ind w:firstLine="643" w:firstLineChars="200"/>
        <w:rPr>
          <w:b/>
          <w:bCs/>
          <w:sz w:val="32"/>
          <w:szCs w:val="32"/>
        </w:rPr>
      </w:pPr>
    </w:p>
    <w:p w14:paraId="48DC4547">
      <w:pPr>
        <w:adjustRightInd w:val="0"/>
        <w:spacing w:line="360" w:lineRule="auto"/>
        <w:rPr>
          <w:rFonts w:ascii="宋体"/>
          <w:b/>
          <w:bCs/>
          <w:sz w:val="32"/>
          <w:szCs w:val="32"/>
        </w:rPr>
      </w:pPr>
      <w:r>
        <w:rPr>
          <w:rFonts w:hint="eastAsia" w:cs="宋体"/>
          <w:b/>
          <w:bCs/>
          <w:sz w:val="32"/>
          <w:szCs w:val="32"/>
        </w:rPr>
        <w:t>招标代理：海南天行招投标有限公司</w:t>
      </w:r>
    </w:p>
    <w:p w14:paraId="7D4DD683">
      <w:pPr>
        <w:spacing w:line="360" w:lineRule="auto"/>
        <w:ind w:firstLine="723" w:firstLineChars="200"/>
        <w:rPr>
          <w:b/>
          <w:bCs/>
          <w:sz w:val="36"/>
          <w:szCs w:val="36"/>
        </w:rPr>
      </w:pPr>
    </w:p>
    <w:p w14:paraId="27E14599">
      <w:pPr>
        <w:ind w:firstLine="723" w:firstLineChars="200"/>
        <w:rPr>
          <w:b/>
          <w:bCs/>
          <w:sz w:val="36"/>
          <w:szCs w:val="36"/>
        </w:rPr>
      </w:pPr>
    </w:p>
    <w:p w14:paraId="760FE38E"/>
    <w:p w14:paraId="0634F9E9">
      <w:pPr>
        <w:spacing w:line="360" w:lineRule="auto"/>
        <w:jc w:val="center"/>
        <w:rPr>
          <w:rFonts w:ascii="宋体" w:hAnsi="Courier New"/>
          <w:b/>
          <w:bCs/>
          <w:w w:val="95"/>
          <w:kern w:val="2"/>
          <w:sz w:val="32"/>
          <w:szCs w:val="32"/>
        </w:rPr>
        <w:sectPr>
          <w:footerReference r:id="rId3" w:type="default"/>
          <w:pgSz w:w="11906" w:h="16838"/>
          <w:pgMar w:top="1440" w:right="1797" w:bottom="1440" w:left="1797" w:header="851" w:footer="992" w:gutter="0"/>
          <w:pgNumType w:start="0"/>
          <w:cols w:space="708" w:num="1"/>
          <w:docGrid w:linePitch="312" w:charSpace="0"/>
        </w:sectPr>
      </w:pPr>
      <w:r>
        <w:rPr>
          <w:rFonts w:hint="eastAsia" w:ascii="宋体" w:hAnsi="Courier New" w:cs="宋体"/>
          <w:b/>
          <w:bCs/>
          <w:w w:val="95"/>
          <w:kern w:val="2"/>
          <w:sz w:val="32"/>
          <w:szCs w:val="32"/>
        </w:rPr>
        <w:t>二〇二四年</w:t>
      </w:r>
      <w:r>
        <w:rPr>
          <w:rFonts w:hint="eastAsia" w:ascii="宋体" w:hAnsi="Courier New" w:cs="宋体"/>
          <w:b/>
          <w:bCs/>
          <w:w w:val="95"/>
          <w:kern w:val="2"/>
          <w:sz w:val="32"/>
          <w:szCs w:val="32"/>
          <w:lang w:val="en-US" w:eastAsia="zh-CN"/>
        </w:rPr>
        <w:t>九</w:t>
      </w:r>
      <w:r>
        <w:rPr>
          <w:rFonts w:hint="eastAsia" w:ascii="宋体" w:hAnsi="Courier New" w:cs="宋体"/>
          <w:b/>
          <w:bCs/>
          <w:w w:val="95"/>
          <w:kern w:val="2"/>
          <w:sz w:val="32"/>
          <w:szCs w:val="32"/>
        </w:rPr>
        <w:t>月</w:t>
      </w:r>
    </w:p>
    <w:p w14:paraId="36622943">
      <w:pPr>
        <w:pStyle w:val="160"/>
        <w:spacing w:line="720" w:lineRule="auto"/>
        <w:ind w:firstLine="1044" w:firstLineChars="200"/>
        <w:jc w:val="center"/>
        <w:rPr>
          <w:rFonts w:cs="Times New Roman"/>
          <w:color w:val="auto"/>
          <w:sz w:val="52"/>
          <w:szCs w:val="52"/>
        </w:rPr>
      </w:pPr>
      <w:r>
        <w:rPr>
          <w:rFonts w:hint="eastAsia" w:cs="宋体"/>
          <w:color w:val="auto"/>
          <w:sz w:val="52"/>
          <w:szCs w:val="52"/>
          <w:lang w:val="zh-CN"/>
        </w:rPr>
        <w:t>目录</w:t>
      </w:r>
    </w:p>
    <w:p w14:paraId="5B5E9573">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aps w:val="0"/>
          <w:color w:val="000000" w:themeColor="text1"/>
          <w:sz w:val="24"/>
          <w:szCs w:val="24"/>
          <w14:textFill>
            <w14:solidFill>
              <w14:schemeClr w14:val="tx1"/>
            </w14:solidFill>
          </w14:textFill>
        </w:rPr>
        <w:fldChar w:fldCharType="begin"/>
      </w:r>
      <w:r>
        <w:rPr>
          <w:rFonts w:hint="eastAsia" w:ascii="宋体" w:hAnsi="宋体" w:cs="宋体"/>
          <w:b w:val="0"/>
          <w:bCs w:val="0"/>
          <w:caps w:val="0"/>
          <w:color w:val="000000" w:themeColor="text1"/>
          <w:sz w:val="24"/>
          <w:szCs w:val="24"/>
          <w14:textFill>
            <w14:solidFill>
              <w14:schemeClr w14:val="tx1"/>
            </w14:solidFill>
          </w14:textFill>
        </w:rPr>
        <w:instrText xml:space="preserve"> TOC \o "1-3" \h \z \u </w:instrText>
      </w:r>
      <w:r>
        <w:rPr>
          <w:rFonts w:hint="eastAsia" w:ascii="宋体" w:hAnsi="宋体" w:cs="宋体"/>
          <w:b w:val="0"/>
          <w:bCs w:val="0"/>
          <w:caps w:val="0"/>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"_Toc10656"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第一章  招标公告</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_Toc10656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1</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7468745E">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"_Toc32575"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第二章  投标人须知</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_Toc32575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7</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4A05BDB1">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"_Toc22764"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二、招标文件</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_Toc22764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0D67A35E">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"_Toc30330"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三、投标文件</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_Toc30330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19</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0165785D">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"_Toc12158"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四、投标文件的递交</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_Toc12158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0B5E03C3">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"_Toc23317"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五、开标及评标</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_Toc23317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58673D92">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"_Toc29017"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六、授标、签约和质疑投诉</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_Toc29017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6E307C50">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"_Toc19618"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七、其他</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_Toc19618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579BEBDD">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"_Toc25844"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第三章  用户需求书</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_Toc25844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31</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4CEC69A1">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"_Toc20519"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一、商务要求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_Toc20519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78F34235">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"_Toc6659"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（一）产品质量</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_Toc6659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0F2B3C0A">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"_Toc25155"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（二）安装验收</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_Toc25155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2C8B9A5C">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"_Toc32634"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（三）培训计划</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_Toc32634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44A3B46D">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"_Toc20385"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（四）保修服务</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_Toc20385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383C6266">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（五）其他要求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_Toc2745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5ECB087D">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"_Toc11771"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bidi="ar"/>
          <w14:textFill>
            <w14:solidFill>
              <w14:schemeClr w14:val="tx1"/>
            </w14:solidFill>
          </w14:textFill>
        </w:rPr>
        <w:t>二、技术要求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_Toc11771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5A7F3EB5">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电子鼻咽镜</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_Toc257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69E98E4E">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"_Toc25145"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2.眩晕诊疗系统</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_Toc25145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692C4A98">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"_Toc15777"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44"/>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双工位诊疗台</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_Toc15777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58E20926">
      <w:pPr>
        <w:pStyle w:val="31"/>
        <w:tabs>
          <w:tab w:val="right" w:leader="dot" w:pos="9639"/>
        </w:tabs>
        <w:spacing w:line="540" w:lineRule="exact"/>
        <w:rPr>
          <w:rFonts w:hint="eastAsia"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"_Toc17515"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鼻功能诊断系统</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_Toc17515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1DA8523C">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"_Toc25212"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第四章  合同条款</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_Toc25212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47</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16CA2C5D">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"_Toc14509"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第五章  投标文件格式 （A、B、C、D包通用）</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_Toc14509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54</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22B2E6F9">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"_Toc3546"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一、投标函</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_Toc3546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57</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7ACFEABB">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"_Toc3141"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二、法人授权委托书</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_Toc3141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58</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200D13CD">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"_Toc18335"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三、开标一览表</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_Toc18335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59</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29DA4568">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"_Toc8301"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四、技术、商务标偏离表</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_Toc8301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60</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6499F74B">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"_Toc10591"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五、类似项目业绩表</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_Toc10591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62</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032132F0">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"_Toc30886"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六、资格证明材料</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_Toc30886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63</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694D988C">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"_Toc8167"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七、中小企业声明函</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_Toc8167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73</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41E8A7CA">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"_Toc12436"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八、监狱企业证明文件</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_Toc12436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75</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4C749B23">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"_Toc23087"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九、残疾人福利性单位声明函</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_Toc23087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76</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5AAF1206">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"_Toc15783"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十、售后服务及培训方案</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_Toc15783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77</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1607B6DB">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"_Toc22746"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十一、质量保证保修方案</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_Toc22746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78</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16D3E6C0">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"_Toc17181"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十二、验收方案</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_Toc17181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79</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240A4039">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"_Toc27307"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十三、投标人认为需要的其他证明材料（包含资格性、符合性审查、技术商务评分表内容）</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_Toc27307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80</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16D4F388">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"_Toc13103"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第六章  评标办法</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_Toc13103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81</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1540B17E">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"_Toc1424"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（一）评标办法</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_Toc1424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81</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7BA24D76">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"_Toc3668"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（二）资格性审查</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_Toc3668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81</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0258A887">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"_Toc10559"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（三）符合性审查</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_Toc10559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81</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1F889D7B">
      <w:pPr>
        <w:pStyle w:val="27"/>
        <w:tabs>
          <w:tab w:val="right" w:leader="dot" w:pos="9639"/>
        </w:tabs>
        <w:spacing w:line="540" w:lineRule="exact"/>
        <w:rPr>
          <w:rFonts w:hint="eastAsia" w:ascii="宋体" w:hAnsi="宋体" w:cs="宋体"/>
          <w:b w:val="0"/>
          <w:b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"_Toc23051"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（四）详细评审</w:t>
      </w:r>
      <w:r>
        <w:rPr>
          <w:rFonts w:hint="eastAsia" w:ascii="宋体" w:hAnsi="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14:textFill>
            <w14:solidFill>
              <w14:schemeClr w14:val="tx1"/>
            </w14:solidFill>
          </w14:textFill>
        </w:rPr>
        <w:fldChar w:fldCharType="begin"/>
      </w:r>
      <w:r>
        <w:rPr>
          <w:rFonts w:hint="eastAsia" w:ascii="宋体" w:hAnsi="宋体" w:cs="宋体"/>
          <w:b w:val="0"/>
          <w:bCs w:val="0"/>
          <w:color w:val="000000" w:themeColor="text1"/>
          <w:sz w:val="24"/>
          <w:szCs w:val="24"/>
          <w14:textFill>
            <w14:solidFill>
              <w14:schemeClr w14:val="tx1"/>
            </w14:solidFill>
          </w14:textFill>
        </w:rPr>
        <w:instrText xml:space="preserve"> PAGEREF _Toc23051 \h </w:instrText>
      </w:r>
      <w:r>
        <w:rPr>
          <w:rFonts w:hint="eastAsia" w:ascii="宋体" w:hAnsi="宋体" w:cs="宋体"/>
          <w:b w:val="0"/>
          <w:bCs w:val="0"/>
          <w:color w:val="000000" w:themeColor="text1"/>
          <w:sz w:val="24"/>
          <w:szCs w:val="24"/>
          <w14:textFill>
            <w14:solidFill>
              <w14:schemeClr w14:val="tx1"/>
            </w14:solidFill>
          </w14:textFill>
        </w:rPr>
        <w:fldChar w:fldCharType="separate"/>
      </w:r>
      <w:r>
        <w:rPr>
          <w:rFonts w:hint="eastAsia" w:ascii="宋体" w:hAnsi="宋体" w:cs="宋体"/>
          <w:b w:val="0"/>
          <w:bCs w:val="0"/>
          <w:color w:val="000000" w:themeColor="text1"/>
          <w:sz w:val="24"/>
          <w:szCs w:val="24"/>
          <w14:textFill>
            <w14:solidFill>
              <w14:schemeClr w14:val="tx1"/>
            </w14:solidFill>
          </w14:textFill>
        </w:rPr>
        <w:t>82</w:t>
      </w:r>
      <w:r>
        <w:rPr>
          <w:rFonts w:hint="eastAsia" w:ascii="宋体" w:hAnsi="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14:textFill>
            <w14:solidFill>
              <w14:schemeClr w14:val="tx1"/>
            </w14:solidFill>
          </w14:textFill>
        </w:rPr>
        <w:fldChar w:fldCharType="end"/>
      </w:r>
    </w:p>
    <w:p w14:paraId="22D25EEB">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"_Toc8050"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技术、商务评分表（A包）</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_Toc8050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86</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06EABA89">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"_Toc29322"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技术、商务评分表（B包）</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_Toc29322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87</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220756AD">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"_Toc20292"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技术、商务评分表（C包）</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_Toc20292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88</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5014E4E4">
      <w:pPr>
        <w:pStyle w:val="21"/>
        <w:tabs>
          <w:tab w:val="right" w:leader="dot" w:pos="9639"/>
        </w:tabs>
        <w:spacing w:line="540" w:lineRule="exact"/>
        <w:rPr>
          <w:rFonts w:hint="eastAsia" w:ascii="宋体" w:hAnsi="宋体" w:cs="宋体"/>
          <w:i w:val="0"/>
          <w:iC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"_Toc14144" </w:instrText>
      </w:r>
      <w:r>
        <w:rPr>
          <w:color w:val="000000" w:themeColor="text1"/>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技术、商务评分表（D包）</w:t>
      </w:r>
      <w:r>
        <w:rPr>
          <w:rFonts w:hint="eastAsia" w:ascii="宋体" w:hAnsi="宋体" w:cs="宋体"/>
          <w:i w:val="0"/>
          <w:iCs w:val="0"/>
          <w:color w:val="000000" w:themeColor="text1"/>
          <w:sz w:val="24"/>
          <w:szCs w:val="24"/>
          <w14:textFill>
            <w14:solidFill>
              <w14:schemeClr w14:val="tx1"/>
            </w14:solidFill>
          </w14:textFill>
        </w:rPr>
        <w:tab/>
      </w:r>
      <w:r>
        <w:rPr>
          <w:rFonts w:hint="eastAsia" w:ascii="宋体" w:hAnsi="宋体" w:cs="宋体"/>
          <w:i w:val="0"/>
          <w:iCs w:val="0"/>
          <w:color w:val="000000" w:themeColor="text1"/>
          <w:sz w:val="24"/>
          <w:szCs w:val="24"/>
          <w14:textFill>
            <w14:solidFill>
              <w14:schemeClr w14:val="tx1"/>
            </w14:solidFill>
          </w14:textFill>
        </w:rPr>
        <w:fldChar w:fldCharType="begin"/>
      </w:r>
      <w:r>
        <w:rPr>
          <w:rFonts w:hint="eastAsia" w:ascii="宋体" w:hAnsi="宋体" w:cs="宋体"/>
          <w:i w:val="0"/>
          <w:iCs w:val="0"/>
          <w:color w:val="000000" w:themeColor="text1"/>
          <w:sz w:val="24"/>
          <w:szCs w:val="24"/>
          <w14:textFill>
            <w14:solidFill>
              <w14:schemeClr w14:val="tx1"/>
            </w14:solidFill>
          </w14:textFill>
        </w:rPr>
        <w:instrText xml:space="preserve"> PAGEREF _Toc14144 \h </w:instrText>
      </w:r>
      <w:r>
        <w:rPr>
          <w:rFonts w:hint="eastAsia" w:ascii="宋体" w:hAnsi="宋体" w:cs="宋体"/>
          <w:i w:val="0"/>
          <w:iCs w:val="0"/>
          <w:color w:val="000000" w:themeColor="text1"/>
          <w:sz w:val="24"/>
          <w:szCs w:val="24"/>
          <w14:textFill>
            <w14:solidFill>
              <w14:schemeClr w14:val="tx1"/>
            </w14:solidFill>
          </w14:textFill>
        </w:rPr>
        <w:fldChar w:fldCharType="separate"/>
      </w:r>
      <w:r>
        <w:rPr>
          <w:rFonts w:hint="eastAsia" w:ascii="宋体" w:hAnsi="宋体" w:cs="宋体"/>
          <w:i w:val="0"/>
          <w:iCs w:val="0"/>
          <w:color w:val="000000" w:themeColor="text1"/>
          <w:sz w:val="24"/>
          <w:szCs w:val="24"/>
          <w14:textFill>
            <w14:solidFill>
              <w14:schemeClr w14:val="tx1"/>
            </w14:solidFill>
          </w14:textFill>
        </w:rPr>
        <w:t>89</w:t>
      </w:r>
      <w:r>
        <w:rPr>
          <w:rFonts w:hint="eastAsia" w:ascii="宋体" w:hAnsi="宋体" w:cs="宋体"/>
          <w:i w:val="0"/>
          <w:iCs w:val="0"/>
          <w:color w:val="000000" w:themeColor="text1"/>
          <w:sz w:val="24"/>
          <w:szCs w:val="24"/>
          <w14:textFill>
            <w14:solidFill>
              <w14:schemeClr w14:val="tx1"/>
            </w14:solidFill>
          </w14:textFill>
        </w:rPr>
        <w:fldChar w:fldCharType="end"/>
      </w:r>
      <w:r>
        <w:rPr>
          <w:rFonts w:hint="eastAsia" w:ascii="宋体" w:hAnsi="宋体" w:cs="宋体"/>
          <w:i w:val="0"/>
          <w:iCs w:val="0"/>
          <w:color w:val="000000" w:themeColor="text1"/>
          <w:sz w:val="24"/>
          <w:szCs w:val="24"/>
          <w14:textFill>
            <w14:solidFill>
              <w14:schemeClr w14:val="tx1"/>
            </w14:solidFill>
          </w14:textFill>
        </w:rPr>
        <w:fldChar w:fldCharType="end"/>
      </w:r>
    </w:p>
    <w:p w14:paraId="67AF73A9">
      <w:pPr>
        <w:pStyle w:val="178"/>
        <w:spacing w:line="540" w:lineRule="exact"/>
        <w:ind w:left="1500" w:firstLine="0" w:firstLineChars="0"/>
        <w:rPr>
          <w:rFonts w:hint="eastAsia" w:ascii="宋体" w:hAnsi="宋体" w:cs="宋体"/>
          <w:b/>
          <w:bCs/>
          <w:caps/>
          <w:color w:val="000000" w:themeColor="text1"/>
          <w:sz w:val="28"/>
          <w:szCs w:val="28"/>
          <w14:textFill>
            <w14:solidFill>
              <w14:schemeClr w14:val="tx1"/>
            </w14:solidFill>
          </w14:textFill>
        </w:rPr>
      </w:pPr>
      <w:r>
        <w:rPr>
          <w:rFonts w:hint="eastAsia" w:ascii="宋体" w:hAnsi="宋体" w:cs="宋体"/>
          <w:caps/>
          <w:color w:val="000000" w:themeColor="text1"/>
          <w:sz w:val="24"/>
          <w:szCs w:val="24"/>
          <w14:textFill>
            <w14:solidFill>
              <w14:schemeClr w14:val="tx1"/>
            </w14:solidFill>
          </w14:textFill>
        </w:rPr>
        <w:fldChar w:fldCharType="end"/>
      </w:r>
    </w:p>
    <w:p w14:paraId="26955DFE">
      <w:pPr>
        <w:pStyle w:val="178"/>
        <w:ind w:left="1500" w:firstLine="0" w:firstLineChars="0"/>
        <w:rPr>
          <w:b/>
          <w:bCs/>
          <w:caps/>
          <w:color w:val="000000" w:themeColor="text1"/>
          <w14:textFill>
            <w14:solidFill>
              <w14:schemeClr w14:val="tx1"/>
            </w14:solidFill>
          </w14:textFill>
        </w:rPr>
      </w:pPr>
    </w:p>
    <w:p w14:paraId="729D5781">
      <w:pPr>
        <w:jc w:val="center"/>
        <w:rPr>
          <w:rFonts w:hint="eastAsia" w:hAnsi="宋体" w:cs="宋体"/>
          <w:b/>
          <w:bCs/>
          <w:color w:val="000000" w:themeColor="text1"/>
          <w:sz w:val="36"/>
          <w:szCs w:val="36"/>
          <w14:textFill>
            <w14:solidFill>
              <w14:schemeClr w14:val="tx1"/>
            </w14:solidFill>
          </w14:textFill>
        </w:rPr>
        <w:sectPr>
          <w:headerReference r:id="rId4" w:type="default"/>
          <w:footerReference r:id="rId5" w:type="default"/>
          <w:pgSz w:w="11907" w:h="16840"/>
          <w:pgMar w:top="1418" w:right="1134" w:bottom="1361" w:left="1134" w:header="794" w:footer="794" w:gutter="0"/>
          <w:pgNumType w:start="1"/>
          <w:cols w:space="708" w:num="1"/>
          <w:docGrid w:type="lines" w:linePitch="285" w:charSpace="0"/>
        </w:sectPr>
      </w:pPr>
    </w:p>
    <w:p w14:paraId="68C7D213">
      <w:pPr>
        <w:pStyle w:val="2"/>
        <w:jc w:val="center"/>
        <w:rPr>
          <w:rFonts w:hint="eastAsia" w:hAnsi="宋体" w:cs="宋体"/>
          <w:color w:val="000000" w:themeColor="text1"/>
          <w:szCs w:val="36"/>
          <w14:textFill>
            <w14:solidFill>
              <w14:schemeClr w14:val="tx1"/>
            </w14:solidFill>
          </w14:textFill>
        </w:rPr>
      </w:pPr>
      <w:bookmarkStart w:id="0" w:name="_Toc10656"/>
      <w:r>
        <w:rPr>
          <w:rFonts w:hint="eastAsia"/>
          <w:color w:val="000000" w:themeColor="text1"/>
          <w14:textFill>
            <w14:solidFill>
              <w14:schemeClr w14:val="tx1"/>
            </w14:solidFill>
          </w14:textFill>
        </w:rPr>
        <w:t>第一章</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QUOTE  \* ALPHABETIC  \* MERGEFORMAT </w:instrText>
      </w:r>
      <w:r>
        <w:rPr>
          <w:rFonts w:hint="eastAsia"/>
          <w:color w:val="000000" w:themeColor="text1"/>
          <w14:textFill>
            <w14:solidFill>
              <w14:schemeClr w14:val="tx1"/>
            </w14:solidFill>
          </w14:textFill>
        </w:rPr>
        <w:fldChar w:fldCharType="end"/>
      </w:r>
      <w:bookmarkStart w:id="1" w:name="_Toc483396273"/>
      <w:bookmarkStart w:id="2" w:name="_Toc483396361"/>
      <w:r>
        <w:rPr>
          <w:rFonts w:hint="eastAsia"/>
          <w:color w:val="000000" w:themeColor="text1"/>
          <w14:textFill>
            <w14:solidFill>
              <w14:schemeClr w14:val="tx1"/>
            </w14:solidFill>
          </w14:textFill>
        </w:rPr>
        <w:t xml:space="preserve">  </w:t>
      </w:r>
      <w:bookmarkEnd w:id="1"/>
      <w:bookmarkEnd w:id="2"/>
      <w:bookmarkStart w:id="3" w:name="_Toc238907000"/>
      <w:r>
        <w:rPr>
          <w:rFonts w:hint="eastAsia"/>
          <w:color w:val="000000" w:themeColor="text1"/>
          <w14:textFill>
            <w14:solidFill>
              <w14:schemeClr w14:val="tx1"/>
            </w14:solidFill>
          </w14:textFill>
        </w:rPr>
        <w:t>招标公告</w:t>
      </w:r>
      <w:bookmarkEnd w:id="0"/>
    </w:p>
    <w:p w14:paraId="4DA587CE">
      <w:pPr>
        <w:spacing w:line="560" w:lineRule="exact"/>
        <w:ind w:left="241" w:hanging="241" w:hangingChars="10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项目概况</w:t>
      </w:r>
    </w:p>
    <w:p w14:paraId="0D74CDE7">
      <w:pPr>
        <w:spacing w:line="560" w:lineRule="exact"/>
        <w:ind w:left="239" w:leftChars="114" w:firstLine="480" w:firstLineChars="200"/>
        <w:rPr>
          <w:color w:val="000000" w:themeColor="text1"/>
          <w:sz w:val="24"/>
          <w:szCs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耳鼻喉科保健基地医疗设备一批</w:t>
      </w:r>
      <w:r>
        <w:rPr>
          <w:rFonts w:hint="eastAsia"/>
          <w:color w:val="000000" w:themeColor="text1"/>
          <w:sz w:val="24"/>
          <w:szCs w:val="24"/>
          <w14:textFill>
            <w14:solidFill>
              <w14:schemeClr w14:val="tx1"/>
            </w14:solidFill>
          </w14:textFill>
        </w:rPr>
        <w:t>招标项目的潜在投标人应在</w:t>
      </w:r>
      <w:r>
        <w:rPr>
          <w:rFonts w:hint="eastAsia" w:ascii="宋体" w:hAnsi="宋体"/>
          <w:color w:val="000000" w:themeColor="text1"/>
          <w:sz w:val="24"/>
          <w:u w:val="single"/>
          <w14:textFill>
            <w14:solidFill>
              <w14:schemeClr w14:val="tx1"/>
            </w14:solidFill>
          </w14:textFill>
        </w:rPr>
        <w:t>海南政府采购网(www.ccgp-hainan.gov.cn)-海南省政府采购电子化交易管理系统(新)</w:t>
      </w:r>
      <w:r>
        <w:rPr>
          <w:rFonts w:hint="eastAsia"/>
          <w:color w:val="000000" w:themeColor="text1"/>
          <w:sz w:val="24"/>
          <w:szCs w:val="24"/>
          <w14:textFill>
            <w14:solidFill>
              <w14:schemeClr w14:val="tx1"/>
            </w14:solidFill>
          </w14:textFill>
        </w:rPr>
        <w:t>获取招标文件，并于</w:t>
      </w:r>
      <w:r>
        <w:rPr>
          <w:rFonts w:hint="eastAsia"/>
          <w:color w:val="000000" w:themeColor="text1"/>
          <w:sz w:val="24"/>
          <w:szCs w:val="24"/>
          <w:u w:val="single"/>
          <w14:textFill>
            <w14:solidFill>
              <w14:schemeClr w14:val="tx1"/>
            </w14:solidFill>
          </w14:textFill>
        </w:rPr>
        <w:t>2024年</w:t>
      </w:r>
      <w:r>
        <w:rPr>
          <w:rFonts w:hint="eastAsia"/>
          <w:color w:val="000000" w:themeColor="text1"/>
          <w:sz w:val="24"/>
          <w:szCs w:val="24"/>
          <w:u w:val="single"/>
          <w:lang w:val="en-US" w:eastAsia="zh-CN"/>
          <w14:textFill>
            <w14:solidFill>
              <w14:schemeClr w14:val="tx1"/>
            </w14:solidFill>
          </w14:textFill>
        </w:rPr>
        <w:t>09</w:t>
      </w:r>
      <w:r>
        <w:rPr>
          <w:rFonts w:hint="eastAsia"/>
          <w:color w:val="000000" w:themeColor="text1"/>
          <w:sz w:val="24"/>
          <w:szCs w:val="24"/>
          <w:u w:val="single"/>
          <w14:textFill>
            <w14:solidFill>
              <w14:schemeClr w14:val="tx1"/>
            </w14:solidFill>
          </w14:textFill>
        </w:rPr>
        <w:t>月</w:t>
      </w:r>
      <w:r>
        <w:rPr>
          <w:rFonts w:hint="eastAsia"/>
          <w:color w:val="000000" w:themeColor="text1"/>
          <w:sz w:val="24"/>
          <w:szCs w:val="24"/>
          <w:u w:val="single"/>
          <w:lang w:val="en-US" w:eastAsia="zh-CN"/>
          <w14:textFill>
            <w14:solidFill>
              <w14:schemeClr w14:val="tx1"/>
            </w14:solidFill>
          </w14:textFill>
        </w:rPr>
        <w:t>23</w:t>
      </w:r>
      <w:r>
        <w:rPr>
          <w:rFonts w:hint="eastAsia"/>
          <w:color w:val="000000" w:themeColor="text1"/>
          <w:sz w:val="24"/>
          <w:szCs w:val="24"/>
          <w:u w:val="single"/>
          <w14:textFill>
            <w14:solidFill>
              <w14:schemeClr w14:val="tx1"/>
            </w14:solidFill>
          </w14:textFill>
        </w:rPr>
        <w:t>日09点00分</w:t>
      </w:r>
      <w:r>
        <w:rPr>
          <w:rFonts w:hint="eastAsia"/>
          <w:color w:val="000000" w:themeColor="text1"/>
          <w:sz w:val="24"/>
          <w:szCs w:val="24"/>
          <w14:textFill>
            <w14:solidFill>
              <w14:schemeClr w14:val="tx1"/>
            </w14:solidFill>
          </w14:textFill>
        </w:rPr>
        <w:t>（北京时间）前递交投标文件。</w:t>
      </w:r>
    </w:p>
    <w:p w14:paraId="03D6A25A">
      <w:pPr>
        <w:spacing w:line="56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一、项目基本情况</w:t>
      </w:r>
    </w:p>
    <w:p w14:paraId="468F2C33">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项目编号：HNTXGP2024-032</w:t>
      </w:r>
    </w:p>
    <w:p w14:paraId="3655B811">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项目名称：耳鼻喉科保健基地医疗设备一批</w:t>
      </w:r>
    </w:p>
    <w:p w14:paraId="2C699060">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所属行业：制造业</w:t>
      </w:r>
    </w:p>
    <w:p w14:paraId="2EEB7B53">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预算金额：337.6万元（人民币）</w:t>
      </w:r>
    </w:p>
    <w:p w14:paraId="0315BB9D">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最高限价：337.6万元（人民币）</w:t>
      </w:r>
      <w:r>
        <w:rPr>
          <w:rFonts w:hint="eastAsia" w:ascii="宋体" w:hAnsi="宋体" w:cs="宋体"/>
          <w:color w:val="000000" w:themeColor="text1"/>
          <w:sz w:val="28"/>
          <w:szCs w:val="28"/>
          <w:lang w:bidi="ar"/>
          <w14:textFill>
            <w14:solidFill>
              <w14:schemeClr w14:val="tx1"/>
            </w14:solidFill>
          </w14:textFill>
        </w:rPr>
        <w:t>，</w:t>
      </w:r>
      <w:r>
        <w:rPr>
          <w:rFonts w:hint="eastAsia"/>
          <w:color w:val="000000" w:themeColor="text1"/>
          <w:sz w:val="24"/>
          <w:szCs w:val="24"/>
          <w14:textFill>
            <w14:solidFill>
              <w14:schemeClr w14:val="tx1"/>
            </w14:solidFill>
          </w14:textFill>
        </w:rPr>
        <w:t>其中A包：</w:t>
      </w:r>
      <w:r>
        <w:rPr>
          <w:rFonts w:hint="eastAsia"/>
          <w:color w:val="000000" w:themeColor="text1"/>
          <w:sz w:val="24"/>
          <w:szCs w:val="24"/>
          <w:lang w:eastAsia="zh-CN"/>
          <w14:textFill>
            <w14:solidFill>
              <w14:schemeClr w14:val="tx1"/>
            </w14:solidFill>
          </w14:textFill>
        </w:rPr>
        <w:t>电子鼻咽镜</w:t>
      </w:r>
      <w:r>
        <w:rPr>
          <w:rFonts w:hint="eastAsia"/>
          <w:color w:val="000000" w:themeColor="text1"/>
          <w:sz w:val="24"/>
          <w:szCs w:val="24"/>
          <w14:textFill>
            <w14:solidFill>
              <w14:schemeClr w14:val="tx1"/>
            </w14:solidFill>
          </w14:textFill>
        </w:rPr>
        <w:t>不得超过31.8万元、B包：眩晕诊疗系统不得超过158万元、C包：</w:t>
      </w:r>
      <w:r>
        <w:rPr>
          <w:rFonts w:hint="eastAsia"/>
          <w:color w:val="000000" w:themeColor="text1"/>
          <w:sz w:val="24"/>
          <w:szCs w:val="24"/>
          <w:lang w:eastAsia="zh-CN"/>
          <w14:textFill>
            <w14:solidFill>
              <w14:schemeClr w14:val="tx1"/>
            </w14:solidFill>
          </w14:textFill>
        </w:rPr>
        <w:t>双工位诊疗台</w:t>
      </w:r>
      <w:r>
        <w:rPr>
          <w:rFonts w:hint="eastAsia"/>
          <w:color w:val="000000" w:themeColor="text1"/>
          <w:sz w:val="24"/>
          <w:szCs w:val="24"/>
          <w14:textFill>
            <w14:solidFill>
              <w14:schemeClr w14:val="tx1"/>
            </w14:solidFill>
          </w14:textFill>
        </w:rPr>
        <w:t>不得超过38.5万元、D包：</w:t>
      </w:r>
      <w:r>
        <w:rPr>
          <w:rFonts w:hint="eastAsia"/>
          <w:color w:val="000000" w:themeColor="text1"/>
          <w:sz w:val="24"/>
          <w:szCs w:val="24"/>
          <w:lang w:eastAsia="zh-CN"/>
          <w14:textFill>
            <w14:solidFill>
              <w14:schemeClr w14:val="tx1"/>
            </w14:solidFill>
          </w14:textFill>
        </w:rPr>
        <w:t>鼻功能诊断系统</w:t>
      </w:r>
      <w:r>
        <w:rPr>
          <w:rFonts w:hint="eastAsia"/>
          <w:color w:val="000000" w:themeColor="text1"/>
          <w:sz w:val="24"/>
          <w:szCs w:val="24"/>
          <w14:textFill>
            <w14:solidFill>
              <w14:schemeClr w14:val="tx1"/>
            </w14:solidFill>
          </w14:textFill>
        </w:rPr>
        <w:t>不得超过109.3万元，超出设备采购预算金额（最高限价）的投标，按无效投标处理。</w:t>
      </w:r>
    </w:p>
    <w:p w14:paraId="0F8AD15B">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采购需求：采购耳鼻喉科保健基地医疗设备一批，其中A包采购</w:t>
      </w:r>
      <w:r>
        <w:rPr>
          <w:rFonts w:hint="eastAsia"/>
          <w:color w:val="000000" w:themeColor="text1"/>
          <w:sz w:val="24"/>
          <w:szCs w:val="24"/>
          <w:lang w:eastAsia="zh-CN"/>
          <w14:textFill>
            <w14:solidFill>
              <w14:schemeClr w14:val="tx1"/>
            </w14:solidFill>
          </w14:textFill>
        </w:rPr>
        <w:t>电子鼻咽镜</w:t>
      </w:r>
      <w:r>
        <w:rPr>
          <w:rFonts w:hint="eastAsia"/>
          <w:color w:val="000000" w:themeColor="text1"/>
          <w:sz w:val="24"/>
          <w:szCs w:val="24"/>
          <w14:textFill>
            <w14:solidFill>
              <w14:schemeClr w14:val="tx1"/>
            </w14:solidFill>
          </w14:textFill>
        </w:rPr>
        <w:t>；B包采购眩晕诊疗系统；C包采购</w:t>
      </w:r>
      <w:r>
        <w:rPr>
          <w:rFonts w:hint="eastAsia"/>
          <w:color w:val="000000" w:themeColor="text1"/>
          <w:sz w:val="24"/>
          <w:szCs w:val="24"/>
          <w:lang w:eastAsia="zh-CN"/>
          <w14:textFill>
            <w14:solidFill>
              <w14:schemeClr w14:val="tx1"/>
            </w14:solidFill>
          </w14:textFill>
        </w:rPr>
        <w:t>双工位诊疗台</w:t>
      </w:r>
      <w:r>
        <w:rPr>
          <w:rFonts w:hint="eastAsia"/>
          <w:color w:val="000000" w:themeColor="text1"/>
          <w:sz w:val="24"/>
          <w:szCs w:val="24"/>
          <w14:textFill>
            <w14:solidFill>
              <w14:schemeClr w14:val="tx1"/>
            </w14:solidFill>
          </w14:textFill>
        </w:rPr>
        <w:t>；D包采购</w:t>
      </w:r>
      <w:r>
        <w:rPr>
          <w:rFonts w:hint="eastAsia"/>
          <w:color w:val="000000" w:themeColor="text1"/>
          <w:sz w:val="24"/>
          <w:szCs w:val="24"/>
          <w:lang w:eastAsia="zh-CN"/>
          <w14:textFill>
            <w14:solidFill>
              <w14:schemeClr w14:val="tx1"/>
            </w14:solidFill>
          </w14:textFill>
        </w:rPr>
        <w:t>鼻功能诊断系统</w:t>
      </w:r>
      <w:r>
        <w:rPr>
          <w:rFonts w:hint="eastAsia"/>
          <w:color w:val="000000" w:themeColor="text1"/>
          <w:sz w:val="24"/>
          <w:szCs w:val="24"/>
          <w14:textFill>
            <w14:solidFill>
              <w14:schemeClr w14:val="tx1"/>
            </w14:solidFill>
          </w14:textFill>
        </w:rPr>
        <w:t>。</w:t>
      </w:r>
    </w:p>
    <w:p w14:paraId="054CA031">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合同履行期限（交货期）：国产产品合同签订生效之日起30天内交付，进口产品合同签订生效之日起90天内交付。</w:t>
      </w:r>
    </w:p>
    <w:p w14:paraId="58627483">
      <w:pPr>
        <w:widowControl w:val="0"/>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本项目（不接受）联合体投标。</w:t>
      </w:r>
    </w:p>
    <w:p w14:paraId="0F1AC219">
      <w:pPr>
        <w:spacing w:line="56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二、申请人的资格要求：</w:t>
      </w:r>
    </w:p>
    <w:p w14:paraId="28EA50DE">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1、满足《中华人民共和国政府采购法》第二十二条规定；</w:t>
      </w:r>
    </w:p>
    <w:p w14:paraId="04554B3A">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落实政府采购政策需满足的资格要求：《政府采购促进中小企业发展管理办法》、《节能产品政府采购实施意见》、《关于环境标志产品政府采购实施的意见》、《关于促进残疾人就业政府采购政策的通知》、《财政部、司法部关于政府采购支持监狱企业发展有关问题的通知书》等相关政策。</w:t>
      </w:r>
    </w:p>
    <w:p w14:paraId="14F97979">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3、本项目的特定资格要求：</w:t>
      </w:r>
    </w:p>
    <w:p w14:paraId="580652E3">
      <w:pPr>
        <w:spacing w:line="560" w:lineRule="exact"/>
        <w:ind w:firstLine="480" w:firstLineChars="20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（1） 在中华人民共和国注册，具有独立承担民事责任的能力；（注：①投标人若为企业法人：提供有效的“统一 社会信用代码营业执照 ”；②若为事业法人：提供有效的“统一社会信用代码法人登记证书 ”；③若为其他组织：提供“对应主管部门颁发的准许执业证明文件或营业执照 ”； 以上均提供复印件加盖公章）</w:t>
      </w:r>
    </w:p>
    <w:p w14:paraId="3E965E32">
      <w:pPr>
        <w:spacing w:line="560" w:lineRule="exact"/>
        <w:ind w:firstLine="480" w:firstLineChars="20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（2）具有良好的商业信誉和健全的财务会计制度（提供承诺函加盖公章）；</w:t>
      </w:r>
    </w:p>
    <w:p w14:paraId="4DDBBBCC">
      <w:pPr>
        <w:spacing w:line="560" w:lineRule="exact"/>
        <w:ind w:firstLine="480" w:firstLineChars="20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（3）具有履行合同所必需的设备和专业技术能力（提供承诺函加盖公章）；</w:t>
      </w:r>
    </w:p>
    <w:p w14:paraId="289171A0">
      <w:pPr>
        <w:spacing w:line="560" w:lineRule="exact"/>
        <w:ind w:firstLine="480" w:firstLineChars="20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 xml:space="preserve">（4）有依法缴纳税收和社会保障资金的良好记录（提供承诺函加盖公章）； </w:t>
      </w:r>
    </w:p>
    <w:p w14:paraId="4E11E8D2">
      <w:pPr>
        <w:spacing w:line="560" w:lineRule="exact"/>
        <w:ind w:firstLine="480" w:firstLineChars="20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 xml:space="preserve">（5）参加此项采购活动前三年内，在经营活动中没有重大违法记录（提供承诺函加盖公章）； </w:t>
      </w:r>
    </w:p>
    <w:p w14:paraId="200623E6">
      <w:pPr>
        <w:spacing w:line="560" w:lineRule="exact"/>
        <w:ind w:firstLine="480" w:firstLineChars="200"/>
        <w:rPr>
          <w:color w:val="000000" w:themeColor="text1"/>
          <w14:textFill>
            <w14:solidFill>
              <w14:schemeClr w14:val="tx1"/>
            </w14:solidFill>
          </w14:textFill>
        </w:rPr>
      </w:pPr>
      <w:r>
        <w:rPr>
          <w:rFonts w:hint="eastAsia" w:ascii="宋体"/>
          <w:bCs/>
          <w:color w:val="000000" w:themeColor="text1"/>
          <w:sz w:val="24"/>
          <w14:textFill>
            <w14:solidFill>
              <w14:schemeClr w14:val="tx1"/>
            </w14:solidFill>
          </w14:textFill>
        </w:rPr>
        <w:t>（6）在“ 中国执行信息公开网（http://zxgk.court.gov.cn/shixin/） ”没有列入失信被执行人、“信用中国（www.creditchi na.gov.cn ）”没有列入重大税收违法失信主体、中国政府采购网（www.ccgp.gov.cn ）没有列入政府采购严重违法失信行为记录名单的供应商（提供承诺函并加盖单位公章，以现场查询为准）；</w:t>
      </w:r>
    </w:p>
    <w:p w14:paraId="482F0BF4">
      <w:pPr>
        <w:spacing w:line="560" w:lineRule="exact"/>
        <w:ind w:firstLine="480" w:firstLineChars="20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 xml:space="preserve">（7）提供政府采购活动前三年内无环保类行政处罚记录声明函（环保类行政处罚记录声明函）。 </w:t>
      </w:r>
    </w:p>
    <w:p w14:paraId="7D0E8A46">
      <w:pPr>
        <w:spacing w:line="560" w:lineRule="exact"/>
        <w:ind w:firstLine="480" w:firstLineChars="200"/>
        <w:rPr>
          <w:rFonts w:hint="eastAsia" w:hAnsi="宋体" w:cs="宋体"/>
          <w:color w:val="000000" w:themeColor="text1"/>
          <w14:textFill>
            <w14:solidFill>
              <w14:schemeClr w14:val="tx1"/>
            </w14:solidFill>
          </w14:textFill>
        </w:rPr>
      </w:pPr>
      <w:r>
        <w:rPr>
          <w:rFonts w:hint="eastAsia" w:ascii="宋体"/>
          <w:bCs/>
          <w:color w:val="000000" w:themeColor="text1"/>
          <w:sz w:val="24"/>
          <w14:textFill>
            <w14:solidFill>
              <w14:schemeClr w14:val="tx1"/>
            </w14:solidFill>
          </w14:textFill>
        </w:rPr>
        <w:t>（8）单位负责人为同一人或者单位负责人存在直接控股、管理关系的不同供应商情形，不得参加同一标段投标或者未划分标段的同一招标项目的投标。除单一来源采购项目外，为采购项目提供整体设计、规范编制或者项目管理、监理、检测等服务的供应商，也不得再参加该采购项目的其他采购活动（提供声明函加盖公章）；</w:t>
      </w:r>
    </w:p>
    <w:p w14:paraId="6B7DF5D3">
      <w:pPr>
        <w:pStyle w:val="33"/>
        <w:spacing w:before="0" w:beforeAutospacing="0" w:after="0" w:afterAutospacing="0" w:line="560" w:lineRule="exact"/>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（9）如投标人不是所投设备生产厂家的，属于三类医疗器械的须具有医疗器械经营企业许可证，属于二类医疗器械的须具有医疗器械经营企业备案登记凭证（提供证件复印件加盖公章）； </w:t>
      </w:r>
    </w:p>
    <w:p w14:paraId="6DD9CB2B">
      <w:pPr>
        <w:pStyle w:val="33"/>
        <w:spacing w:before="0" w:beforeAutospacing="0" w:after="0" w:afterAutospacing="0" w:line="560" w:lineRule="exact"/>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（10）所投设备属于二、三类医疗器械产品的须具有医疗器械注册证、医疗器械生产许可证（进口设备除外），属于一类医疗器械产品的须具备第一类医疗器械备案凭证（提供证件复印件加盖公章）。</w:t>
      </w:r>
    </w:p>
    <w:p w14:paraId="038ECF04">
      <w:pPr>
        <w:pStyle w:val="33"/>
        <w:spacing w:before="0" w:beforeAutospacing="0" w:after="0" w:afterAutospacing="0" w:line="560" w:lineRule="exact"/>
        <w:ind w:firstLine="480" w:firstLineChars="200"/>
        <w:rPr>
          <w:rFonts w:hint="eastAsia" w:hAnsi="宋体" w:cs="宋体"/>
          <w:color w:val="000000" w:themeColor="text1"/>
          <w:lang w:eastAsia="zh-CN"/>
          <w14:textFill>
            <w14:solidFill>
              <w14:schemeClr w14:val="tx1"/>
            </w14:solidFill>
          </w14:textFill>
        </w:rPr>
      </w:pP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11</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提供</w:t>
      </w:r>
      <w:r>
        <w:rPr>
          <w:rFonts w:hint="eastAsia" w:hAnsi="宋体" w:cs="宋体"/>
          <w:color w:val="000000" w:themeColor="text1"/>
          <w:lang w:eastAsia="zh-CN"/>
          <w14:textFill>
            <w14:solidFill>
              <w14:schemeClr w14:val="tx1"/>
            </w14:solidFill>
          </w14:textFill>
        </w:rPr>
        <w:t>国家企业信用信息公示系统”法人、股东等高管人员相关资料截图。</w:t>
      </w:r>
    </w:p>
    <w:p w14:paraId="4EC20A17">
      <w:pPr>
        <w:spacing w:line="56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三、获取招标文件</w:t>
      </w:r>
    </w:p>
    <w:p w14:paraId="004DC134">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时间：2024年</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02</w:t>
      </w:r>
      <w:r>
        <w:rPr>
          <w:rFonts w:hint="eastAsia"/>
          <w:color w:val="000000" w:themeColor="text1"/>
          <w:sz w:val="24"/>
          <w:szCs w:val="24"/>
          <w14:textFill>
            <w14:solidFill>
              <w14:schemeClr w14:val="tx1"/>
            </w14:solidFill>
          </w14:textFill>
        </w:rPr>
        <w:t>日至2024年</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日，每天上午00:00至12:00，下午12:00至23:59。（北京时间，法定节假日除外）</w:t>
      </w:r>
    </w:p>
    <w:p w14:paraId="467C9CC9">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地点：海南政府采购网(www.ccgp-hainan.gov.cn)-海南省政府采购电子化交易管理系统</w:t>
      </w:r>
    </w:p>
    <w:p w14:paraId="6C46B771">
      <w:pPr>
        <w:spacing w:line="560" w:lineRule="exact"/>
        <w:ind w:firstLine="480" w:firstLineChars="200"/>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方式：网上下载</w:t>
      </w:r>
    </w:p>
    <w:p w14:paraId="7FC4E14E">
      <w:pPr>
        <w:spacing w:line="56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四、提交投标文件截止时间、开标时间和地点</w:t>
      </w:r>
    </w:p>
    <w:p w14:paraId="0935743F">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时间：2024年</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23</w:t>
      </w:r>
      <w:r>
        <w:rPr>
          <w:rFonts w:hint="eastAsia"/>
          <w:color w:val="000000" w:themeColor="text1"/>
          <w:sz w:val="24"/>
          <w:szCs w:val="24"/>
          <w14:textFill>
            <w14:solidFill>
              <w14:schemeClr w14:val="tx1"/>
            </w14:solidFill>
          </w14:textFill>
        </w:rPr>
        <w:t>日09点00分（北京时间）</w:t>
      </w:r>
    </w:p>
    <w:p w14:paraId="2AA439D6">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地点：中坚招投标交易中心(海南省海口市美兰区蓝天路15号4栋中坚招投标交易中心三楼)</w:t>
      </w:r>
    </w:p>
    <w:p w14:paraId="48E63C3D">
      <w:pPr>
        <w:spacing w:line="56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五、公告期限</w:t>
      </w:r>
    </w:p>
    <w:p w14:paraId="65480887">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自本公告发布之日起5个工作日。</w:t>
      </w:r>
    </w:p>
    <w:p w14:paraId="470609B9">
      <w:pPr>
        <w:numPr>
          <w:ilvl w:val="0"/>
          <w:numId w:val="2"/>
        </w:numPr>
        <w:spacing w:line="56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其他补充事宜</w:t>
      </w:r>
    </w:p>
    <w:p w14:paraId="167DD206">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1、采购信息及采购结果发布媒体：海南政府采购网(www.ccgp-hainan.gov.cn)。 </w:t>
      </w:r>
    </w:p>
    <w:p w14:paraId="404B5CE8">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2、系统报名时间：2024年</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02</w:t>
      </w:r>
      <w:r>
        <w:rPr>
          <w:rFonts w:hint="eastAsia"/>
          <w:color w:val="000000" w:themeColor="text1"/>
          <w:sz w:val="24"/>
          <w:szCs w:val="24"/>
          <w14:textFill>
            <w14:solidFill>
              <w14:schemeClr w14:val="tx1"/>
            </w14:solidFill>
          </w14:textFill>
        </w:rPr>
        <w:t>日至2024年</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09</w:t>
      </w:r>
      <w:r>
        <w:rPr>
          <w:rFonts w:hint="eastAsia"/>
          <w:color w:val="000000" w:themeColor="text1"/>
          <w:sz w:val="24"/>
          <w:szCs w:val="24"/>
          <w14:textFill>
            <w14:solidFill>
              <w14:schemeClr w14:val="tx1"/>
            </w14:solidFill>
          </w14:textFill>
        </w:rPr>
        <w:t xml:space="preserve">日，每天00:00 至 12:00，下午 12:00 至 23:59。（北京时间，法定节假日除外）。 </w:t>
      </w:r>
    </w:p>
    <w:p w14:paraId="2C1DD4F1">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3、地点：海南政府采购网(www.ccgp-hainan.gov.cn)-海南省政府采购电子化交易管理系统。</w:t>
      </w:r>
    </w:p>
    <w:p w14:paraId="34D320FE">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4、售价：人民币0元； </w:t>
      </w:r>
    </w:p>
    <w:p w14:paraId="5C3B57AA">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5、方式：网上下载，按以下步骤报名并获取文件； 获取采购文件方式（按以下步骤报名并获取文件）： </w:t>
      </w:r>
    </w:p>
    <w:p w14:paraId="524DF364">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（1）网上注册：投标人须在海南省政府采购网（https://www.ccgp-hainan.gov.cn/zhuzhan/）中的海南省政府采购电子化交易管理系统平台进行注册。 </w:t>
      </w:r>
    </w:p>
    <w:p w14:paraId="61B469FA">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（2）获取采购文件方式：下载电子版的采购文件。未按时在系统平台注册报名、未到海南天行招投标有限公司进行报名登记并缴纳报名费的，均视为无效报名。</w:t>
      </w:r>
    </w:p>
    <w:p w14:paraId="40D7664A">
      <w:pPr>
        <w:pStyle w:val="16"/>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注意事项：本项目采用电子辅助操作，投标人应详细阅读海南省政府采购网的通知《海南省财政厅关于政府采购电子化交易管理系统全省推广应用的通知》，下载查看操作手册，在使用交易系统遇到问题可致电技术支持：0898-68546705。</w:t>
      </w:r>
    </w:p>
    <w:p w14:paraId="37F7E0E9">
      <w:pPr>
        <w:pStyle w:val="195"/>
        <w:spacing w:line="560" w:lineRule="exact"/>
        <w:ind w:firstLine="496" w:firstLineChars="206"/>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3.1、本项目为远程电子开标，必须使用最新版本的电子投标书编制工具制作电子版投标文件并使用 CA 数字证书（含手机 CA）的电子印章进行签章，且使用 CA 数字证书（含手机 CA）进行加密后在提交投标文件截止时间前上传至交易系统，否则视为无效投标（投标文件制作工具是配合政府采购交易系统制作投标文件的工具。投标人/供应商使用该工具打开从系统下载的招投标文件包【为wtbwj格式】，离线编辑完成的投标文件各组成部分导入pdf格式签章，最终生成加密的投标文件【为wenc格式】）。 电子投标书编制工具、投标工具使用手册及供应商使用手册等均可在海南省政府采购电子化交易管理系统（http://218.77.183.212:8199/u/loginu/）-帮助中心下载。</w:t>
      </w:r>
    </w:p>
    <w:p w14:paraId="12C973F2">
      <w:pPr>
        <w:pStyle w:val="195"/>
        <w:spacing w:line="560" w:lineRule="exact"/>
        <w:ind w:firstLine="496" w:firstLineChars="206"/>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3.2、远程开标（签到）倒计时结束前投标人须在签到页面进行电子签章。投标人未按时签到的，作为无效投标处理，建议投标人提前30分钟进入开标大厅做准备。检查系统环境及签章工具情况。同时查看参与投标人数，及废标原因。</w:t>
      </w:r>
    </w:p>
    <w:p w14:paraId="42A55116">
      <w:pPr>
        <w:pStyle w:val="195"/>
        <w:spacing w:line="560" w:lineRule="exact"/>
        <w:ind w:firstLine="496" w:firstLineChars="206"/>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3.3、CA数字证书所需材料：登录海南省数字证书认证中心网站（网址：http://www.hndca.com/CA/） “服务支持”中的“海南省电子招投标用户办理数字证书业务指南”下载。（可在线办理，也可现场办理）。CA 数字证书现场办理地址：海南省海口市美兰区大英山东三路2号海南数据谷二号营地2层212室。 数字证书咨询电话：0898-66668096、0898-66664947，电子签章咨询电话：0898-6520320）。 已注册备案通过并取得数字证书和电子签章的投标人不需要再重新备案。</w:t>
      </w:r>
    </w:p>
    <w:p w14:paraId="28B17136">
      <w:pPr>
        <w:pStyle w:val="195"/>
        <w:spacing w:line="560" w:lineRule="exact"/>
        <w:ind w:firstLine="496" w:firstLineChars="206"/>
        <w:rPr>
          <w:color w:val="000000" w:themeColor="text1"/>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3.4、具体事项请投标人详细阅读海南政府采购网《关于实施政府采购电子化交易管理系统试点应用工作的通知》，投标人使用交易系统遇到问题可致电技术支持：0898-68546705。</w:t>
      </w:r>
    </w:p>
    <w:p w14:paraId="3C06844D">
      <w:pPr>
        <w:spacing w:line="56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七、对本次招标提出询问，请按以下方式联系</w:t>
      </w:r>
    </w:p>
    <w:p w14:paraId="753B3669">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1、采购人信息</w:t>
      </w:r>
    </w:p>
    <w:p w14:paraId="32A04EB3">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名 称：海口市人民医院　　　　　</w:t>
      </w:r>
    </w:p>
    <w:p w14:paraId="11618675">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地址：</w:t>
      </w:r>
      <w:r>
        <w:rPr>
          <w:rFonts w:hint="eastAsia" w:ascii="宋体" w:hAnsi="宋体" w:cs="宋体"/>
          <w:color w:val="000000" w:themeColor="text1"/>
          <w:sz w:val="24"/>
          <w:szCs w:val="24"/>
          <w14:textFill>
            <w14:solidFill>
              <w14:schemeClr w14:val="tx1"/>
            </w14:solidFill>
          </w14:textFill>
        </w:rPr>
        <w:t>海口市人民大道43号</w:t>
      </w:r>
      <w:r>
        <w:rPr>
          <w:rFonts w:hint="eastAsia"/>
          <w:color w:val="000000" w:themeColor="text1"/>
          <w:sz w:val="24"/>
          <w:szCs w:val="24"/>
          <w14:textFill>
            <w14:solidFill>
              <w14:schemeClr w14:val="tx1"/>
            </w14:solidFill>
          </w14:textFill>
        </w:rPr>
        <w:t>　　　　　　　　</w:t>
      </w:r>
    </w:p>
    <w:p w14:paraId="3B13711B">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联系方式：</w:t>
      </w:r>
      <w:r>
        <w:rPr>
          <w:rFonts w:hint="eastAsia" w:hAnsi="宋体" w:cs="宋体"/>
          <w:color w:val="000000" w:themeColor="text1"/>
          <w:sz w:val="24"/>
          <w:szCs w:val="24"/>
          <w14:textFill>
            <w14:solidFill>
              <w14:schemeClr w14:val="tx1"/>
            </w14:solidFill>
          </w14:textFill>
        </w:rPr>
        <w:t>0898-66189960</w:t>
      </w:r>
      <w:r>
        <w:rPr>
          <w:rFonts w:hint="eastAsia"/>
          <w:color w:val="000000" w:themeColor="text1"/>
          <w:sz w:val="24"/>
          <w:szCs w:val="24"/>
          <w14:textFill>
            <w14:solidFill>
              <w14:schemeClr w14:val="tx1"/>
            </w14:solidFill>
          </w14:textFill>
        </w:rPr>
        <w:t>　　　　　　</w:t>
      </w:r>
    </w:p>
    <w:p w14:paraId="6D6E9C83">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2、采购代理机构信息</w:t>
      </w:r>
    </w:p>
    <w:p w14:paraId="7D69DAEF">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名 称：海南天行招投标有限公司　　　　　　　　　　　　</w:t>
      </w:r>
    </w:p>
    <w:p w14:paraId="6C40C12D">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　址：海口市龙华区渡海路1-31号（宝岛花园C栋铺面二层）　　　　　　　　　　　　</w:t>
      </w:r>
    </w:p>
    <w:p w14:paraId="3C18EB30">
      <w:pPr>
        <w:spacing w:line="560" w:lineRule="exact"/>
        <w:ind w:firstLine="480" w:firstLineChars="200"/>
        <w:rPr>
          <w:sz w:val="24"/>
          <w:szCs w:val="24"/>
        </w:rPr>
      </w:pPr>
      <w:r>
        <w:rPr>
          <w:rFonts w:hint="eastAsia"/>
          <w:color w:val="000000" w:themeColor="text1"/>
          <w:sz w:val="24"/>
          <w:szCs w:val="24"/>
          <w14:textFill>
            <w14:solidFill>
              <w14:schemeClr w14:val="tx1"/>
            </w14:solidFill>
          </w14:textFill>
        </w:rPr>
        <w:t>联系方式：0898-68597362　　　　　　　　</w:t>
      </w:r>
      <w:r>
        <w:rPr>
          <w:rFonts w:hint="eastAsia"/>
          <w:sz w:val="24"/>
          <w:szCs w:val="24"/>
        </w:rPr>
        <w:t>　　　　</w:t>
      </w:r>
    </w:p>
    <w:p w14:paraId="61421753">
      <w:pPr>
        <w:spacing w:line="560" w:lineRule="exact"/>
        <w:ind w:firstLine="480" w:firstLineChars="200"/>
        <w:rPr>
          <w:sz w:val="24"/>
          <w:szCs w:val="24"/>
        </w:rPr>
      </w:pPr>
      <w:r>
        <w:rPr>
          <w:rFonts w:hint="eastAsia"/>
          <w:sz w:val="24"/>
          <w:szCs w:val="24"/>
        </w:rPr>
        <w:t>3、项目联系方式</w:t>
      </w:r>
    </w:p>
    <w:p w14:paraId="728D9781">
      <w:pPr>
        <w:spacing w:line="560" w:lineRule="exact"/>
        <w:ind w:firstLine="480" w:firstLineChars="200"/>
        <w:rPr>
          <w:sz w:val="24"/>
          <w:szCs w:val="24"/>
        </w:rPr>
      </w:pPr>
      <w:r>
        <w:rPr>
          <w:rFonts w:hint="eastAsia"/>
          <w:sz w:val="24"/>
          <w:szCs w:val="24"/>
        </w:rPr>
        <w:t>项目联系人：胡工</w:t>
      </w:r>
    </w:p>
    <w:p w14:paraId="0B45A981">
      <w:pPr>
        <w:spacing w:line="560" w:lineRule="exact"/>
        <w:ind w:firstLine="480" w:firstLineChars="200"/>
        <w:rPr>
          <w:sz w:val="24"/>
          <w:szCs w:val="24"/>
        </w:rPr>
      </w:pPr>
      <w:r>
        <w:rPr>
          <w:rFonts w:hint="eastAsia"/>
          <w:sz w:val="24"/>
          <w:szCs w:val="24"/>
        </w:rPr>
        <w:t>电　话：0898-68597362</w:t>
      </w:r>
    </w:p>
    <w:p w14:paraId="6C3ACF12">
      <w:pPr>
        <w:snapToGrid w:val="0"/>
        <w:spacing w:line="360" w:lineRule="auto"/>
        <w:ind w:firstLine="480" w:firstLineChars="200"/>
        <w:jc w:val="both"/>
        <w:rPr>
          <w:rFonts w:hint="eastAsia" w:hAnsi="宋体"/>
          <w:sz w:val="24"/>
          <w:szCs w:val="24"/>
        </w:rPr>
      </w:pPr>
    </w:p>
    <w:p w14:paraId="7EC68383"/>
    <w:p w14:paraId="38ABCB35"/>
    <w:p w14:paraId="38DC9D0E">
      <w:pPr>
        <w:pStyle w:val="2"/>
        <w:jc w:val="center"/>
      </w:pPr>
      <w:bookmarkStart w:id="4" w:name="_Toc483396367"/>
      <w:bookmarkStart w:id="5" w:name="_Toc483396279"/>
      <w:r>
        <w:rPr>
          <w:rStyle w:val="45"/>
          <w:rFonts w:hint="eastAsia"/>
          <w:b/>
          <w:bCs/>
        </w:rPr>
        <w:br w:type="page"/>
      </w:r>
      <w:bookmarkEnd w:id="3"/>
      <w:bookmarkEnd w:id="4"/>
      <w:bookmarkEnd w:id="5"/>
      <w:bookmarkStart w:id="6" w:name="_Toc19654"/>
      <w:bookmarkStart w:id="7" w:name="_Toc46510700"/>
      <w:bookmarkStart w:id="8" w:name="_Toc147763026"/>
      <w:bookmarkStart w:id="9" w:name="_Toc32575"/>
      <w:bookmarkStart w:id="10" w:name="_Toc4974"/>
      <w:bookmarkStart w:id="11" w:name="_Toc531861751"/>
      <w:bookmarkStart w:id="12" w:name="_Toc483396412"/>
      <w:bookmarkStart w:id="13" w:name="_Toc483396324"/>
      <w:bookmarkStart w:id="14" w:name="_Toc238907038"/>
      <w:r>
        <w:rPr>
          <w:rFonts w:hint="eastAsia"/>
        </w:rPr>
        <w:t>第二章  投标人须知</w:t>
      </w:r>
      <w:bookmarkEnd w:id="6"/>
      <w:bookmarkEnd w:id="7"/>
      <w:bookmarkEnd w:id="8"/>
      <w:bookmarkEnd w:id="9"/>
      <w:bookmarkEnd w:id="10"/>
    </w:p>
    <w:p w14:paraId="11CD7104">
      <w:pPr>
        <w:jc w:val="center"/>
        <w:rPr>
          <w:rFonts w:hint="eastAsia" w:ascii="宋体" w:hAnsi="宋体" w:cs="宋体"/>
          <w:sz w:val="28"/>
        </w:rPr>
      </w:pPr>
      <w:r>
        <w:rPr>
          <w:rFonts w:hint="eastAsia" w:ascii="宋体" w:hAnsi="宋体" w:cs="宋体"/>
          <w:sz w:val="28"/>
        </w:rPr>
        <w:t>供应商须知表</w:t>
      </w:r>
    </w:p>
    <w:tbl>
      <w:tblPr>
        <w:tblStyle w:val="35"/>
        <w:tblW w:w="10205" w:type="dxa"/>
        <w:jc w:val="center"/>
        <w:tblLayout w:type="fixed"/>
        <w:tblCellMar>
          <w:top w:w="0" w:type="dxa"/>
          <w:left w:w="108" w:type="dxa"/>
          <w:bottom w:w="0" w:type="dxa"/>
          <w:right w:w="108" w:type="dxa"/>
        </w:tblCellMar>
      </w:tblPr>
      <w:tblGrid>
        <w:gridCol w:w="874"/>
        <w:gridCol w:w="2689"/>
        <w:gridCol w:w="6642"/>
      </w:tblGrid>
      <w:tr w14:paraId="57588C56">
        <w:tblPrEx>
          <w:tblCellMar>
            <w:top w:w="0" w:type="dxa"/>
            <w:left w:w="108" w:type="dxa"/>
            <w:bottom w:w="0" w:type="dxa"/>
            <w:right w:w="108" w:type="dxa"/>
          </w:tblCellMar>
        </w:tblPrEx>
        <w:trPr>
          <w:trHeight w:val="545" w:hRule="atLeast"/>
          <w:tblHeader/>
          <w:jc w:val="center"/>
        </w:trPr>
        <w:tc>
          <w:tcPr>
            <w:tcW w:w="874" w:type="dxa"/>
            <w:tcBorders>
              <w:top w:val="double" w:color="000000" w:sz="4" w:space="0"/>
              <w:left w:val="double" w:color="000000" w:sz="4" w:space="0"/>
              <w:bottom w:val="single" w:color="000000" w:sz="6" w:space="0"/>
              <w:right w:val="single" w:color="000000" w:sz="6" w:space="0"/>
            </w:tcBorders>
            <w:vAlign w:val="center"/>
          </w:tcPr>
          <w:p w14:paraId="2CAB774E">
            <w:pPr>
              <w:spacing w:line="360" w:lineRule="auto"/>
              <w:rPr>
                <w:rFonts w:hint="eastAsia" w:ascii="宋体" w:hAnsi="宋体" w:cs="宋体"/>
                <w:sz w:val="24"/>
                <w:szCs w:val="24"/>
              </w:rPr>
            </w:pPr>
            <w:r>
              <w:rPr>
                <w:rFonts w:hint="eastAsia" w:ascii="宋体" w:hAnsi="宋体" w:cs="宋体"/>
                <w:sz w:val="24"/>
                <w:szCs w:val="24"/>
              </w:rPr>
              <w:t>序号</w:t>
            </w:r>
          </w:p>
        </w:tc>
        <w:tc>
          <w:tcPr>
            <w:tcW w:w="2689" w:type="dxa"/>
            <w:tcBorders>
              <w:top w:val="double" w:color="000000" w:sz="4" w:space="0"/>
              <w:left w:val="single" w:color="000000" w:sz="6" w:space="0"/>
              <w:bottom w:val="single" w:color="000000" w:sz="6" w:space="0"/>
              <w:right w:val="single" w:color="000000" w:sz="6" w:space="0"/>
            </w:tcBorders>
            <w:vAlign w:val="center"/>
          </w:tcPr>
          <w:p w14:paraId="0A47CAE9">
            <w:pPr>
              <w:spacing w:line="360" w:lineRule="auto"/>
              <w:rPr>
                <w:rFonts w:hint="eastAsia" w:ascii="宋体" w:hAnsi="宋体" w:cs="宋体"/>
                <w:sz w:val="24"/>
                <w:szCs w:val="24"/>
              </w:rPr>
            </w:pPr>
            <w:r>
              <w:rPr>
                <w:rFonts w:hint="eastAsia" w:ascii="宋体" w:hAnsi="宋体" w:cs="宋体"/>
                <w:sz w:val="24"/>
                <w:szCs w:val="24"/>
              </w:rPr>
              <w:t>条款名称</w:t>
            </w:r>
          </w:p>
        </w:tc>
        <w:tc>
          <w:tcPr>
            <w:tcW w:w="6642" w:type="dxa"/>
            <w:tcBorders>
              <w:top w:val="double" w:color="000000" w:sz="4" w:space="0"/>
              <w:left w:val="single" w:color="000000" w:sz="6" w:space="0"/>
              <w:bottom w:val="single" w:color="000000" w:sz="6" w:space="0"/>
              <w:right w:val="double" w:color="000000" w:sz="4" w:space="0"/>
            </w:tcBorders>
            <w:vAlign w:val="center"/>
          </w:tcPr>
          <w:p w14:paraId="39AE8464">
            <w:pPr>
              <w:spacing w:line="360" w:lineRule="auto"/>
              <w:rPr>
                <w:rFonts w:hint="eastAsia" w:ascii="宋体" w:hAnsi="宋体" w:cs="宋体"/>
                <w:sz w:val="24"/>
                <w:szCs w:val="24"/>
              </w:rPr>
            </w:pPr>
            <w:r>
              <w:rPr>
                <w:rFonts w:hint="eastAsia" w:ascii="宋体" w:hAnsi="宋体" w:cs="宋体"/>
                <w:sz w:val="24"/>
                <w:szCs w:val="24"/>
              </w:rPr>
              <w:t>编列内容规定</w:t>
            </w:r>
          </w:p>
        </w:tc>
      </w:tr>
      <w:tr w14:paraId="2B339A50">
        <w:tblPrEx>
          <w:tblCellMar>
            <w:top w:w="0" w:type="dxa"/>
            <w:left w:w="108" w:type="dxa"/>
            <w:bottom w:w="0" w:type="dxa"/>
            <w:right w:w="108" w:type="dxa"/>
          </w:tblCellMar>
        </w:tblPrEx>
        <w:trPr>
          <w:trHeight w:val="545" w:hRule="atLeast"/>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41E13238">
            <w:pPr>
              <w:spacing w:line="360" w:lineRule="auto"/>
              <w:rPr>
                <w:rFonts w:hint="eastAsia" w:ascii="宋体" w:hAnsi="宋体" w:cs="宋体"/>
                <w:sz w:val="24"/>
                <w:szCs w:val="24"/>
              </w:rPr>
            </w:pPr>
            <w:r>
              <w:rPr>
                <w:rFonts w:hint="eastAsia" w:ascii="宋体" w:hAnsi="宋体" w:cs="宋体"/>
                <w:sz w:val="24"/>
                <w:szCs w:val="24"/>
              </w:rPr>
              <w:t>一、总则</w:t>
            </w:r>
          </w:p>
        </w:tc>
      </w:tr>
      <w:tr w14:paraId="66A09494">
        <w:tblPrEx>
          <w:tblCellMar>
            <w:top w:w="0" w:type="dxa"/>
            <w:left w:w="108" w:type="dxa"/>
            <w:bottom w:w="0" w:type="dxa"/>
            <w:right w:w="108" w:type="dxa"/>
          </w:tblCellMar>
        </w:tblPrEx>
        <w:trPr>
          <w:jc w:val="center"/>
        </w:trPr>
        <w:tc>
          <w:tcPr>
            <w:tcW w:w="874" w:type="dxa"/>
            <w:vMerge w:val="restart"/>
            <w:tcBorders>
              <w:top w:val="single" w:color="000000" w:sz="6" w:space="0"/>
              <w:left w:val="double" w:color="000000" w:sz="4" w:space="0"/>
              <w:right w:val="single" w:color="000000" w:sz="6" w:space="0"/>
            </w:tcBorders>
            <w:vAlign w:val="center"/>
          </w:tcPr>
          <w:p w14:paraId="0A6A3569">
            <w:pPr>
              <w:spacing w:line="360" w:lineRule="auto"/>
              <w:jc w:val="center"/>
              <w:rPr>
                <w:rFonts w:hint="eastAsia" w:ascii="宋体" w:hAnsi="宋体" w:cs="宋体"/>
                <w:sz w:val="24"/>
                <w:szCs w:val="24"/>
              </w:rPr>
            </w:pPr>
            <w:r>
              <w:rPr>
                <w:rFonts w:hint="eastAsia" w:ascii="宋体" w:hAnsi="宋体" w:cs="宋体"/>
                <w:sz w:val="24"/>
                <w:szCs w:val="24"/>
              </w:rPr>
              <w:t>1</w:t>
            </w:r>
          </w:p>
        </w:tc>
        <w:tc>
          <w:tcPr>
            <w:tcW w:w="2689" w:type="dxa"/>
            <w:tcBorders>
              <w:top w:val="single" w:color="000000" w:sz="6" w:space="0"/>
              <w:left w:val="single" w:color="000000" w:sz="6" w:space="0"/>
              <w:bottom w:val="single" w:color="000000" w:sz="6" w:space="0"/>
              <w:right w:val="single" w:color="000000" w:sz="6" w:space="0"/>
            </w:tcBorders>
            <w:vAlign w:val="center"/>
          </w:tcPr>
          <w:p w14:paraId="1C2F5514">
            <w:pPr>
              <w:spacing w:line="360" w:lineRule="auto"/>
              <w:jc w:val="center"/>
              <w:rPr>
                <w:rFonts w:hint="eastAsia" w:ascii="宋体" w:hAnsi="宋体" w:cs="宋体"/>
                <w:sz w:val="24"/>
                <w:szCs w:val="24"/>
              </w:rPr>
            </w:pPr>
            <w:r>
              <w:rPr>
                <w:rFonts w:hint="eastAsia" w:ascii="宋体" w:hAnsi="宋体" w:cs="宋体"/>
                <w:sz w:val="24"/>
                <w:szCs w:val="24"/>
              </w:rPr>
              <w:t>项目名称</w:t>
            </w:r>
          </w:p>
        </w:tc>
        <w:tc>
          <w:tcPr>
            <w:tcW w:w="6642" w:type="dxa"/>
            <w:tcBorders>
              <w:top w:val="single" w:color="000000" w:sz="6" w:space="0"/>
              <w:left w:val="single" w:color="000000" w:sz="6" w:space="0"/>
              <w:bottom w:val="single" w:color="000000" w:sz="6" w:space="0"/>
              <w:right w:val="double" w:color="000000" w:sz="4" w:space="0"/>
            </w:tcBorders>
            <w:vAlign w:val="center"/>
          </w:tcPr>
          <w:p w14:paraId="01E1FA0B">
            <w:pPr>
              <w:spacing w:line="360" w:lineRule="auto"/>
              <w:rPr>
                <w:rFonts w:hint="eastAsia" w:ascii="宋体" w:hAnsi="宋体" w:cs="宋体"/>
                <w:sz w:val="24"/>
                <w:szCs w:val="24"/>
                <w:lang w:val="en"/>
              </w:rPr>
            </w:pPr>
            <w:r>
              <w:rPr>
                <w:rFonts w:hint="eastAsia"/>
                <w:sz w:val="24"/>
                <w:szCs w:val="24"/>
              </w:rPr>
              <w:t>耳鼻喉科保健基地医疗设备一批</w:t>
            </w:r>
          </w:p>
        </w:tc>
      </w:tr>
      <w:tr w14:paraId="7A5AFD2C">
        <w:tblPrEx>
          <w:tblCellMar>
            <w:top w:w="0" w:type="dxa"/>
            <w:left w:w="108" w:type="dxa"/>
            <w:bottom w:w="0" w:type="dxa"/>
            <w:right w:w="108" w:type="dxa"/>
          </w:tblCellMar>
        </w:tblPrEx>
        <w:trPr>
          <w:trHeight w:val="90" w:hRule="atLeast"/>
          <w:jc w:val="center"/>
        </w:trPr>
        <w:tc>
          <w:tcPr>
            <w:tcW w:w="874" w:type="dxa"/>
            <w:vMerge w:val="continue"/>
            <w:tcBorders>
              <w:left w:val="double" w:color="000000" w:sz="4" w:space="0"/>
              <w:right w:val="single" w:color="000000" w:sz="6" w:space="0"/>
            </w:tcBorders>
            <w:vAlign w:val="center"/>
          </w:tcPr>
          <w:p w14:paraId="16E2F484">
            <w:pPr>
              <w:spacing w:line="360" w:lineRule="auto"/>
              <w:jc w:val="center"/>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34143B89">
            <w:pPr>
              <w:spacing w:line="360" w:lineRule="auto"/>
              <w:jc w:val="center"/>
              <w:rPr>
                <w:rFonts w:hint="eastAsia" w:ascii="宋体" w:hAnsi="宋体" w:cs="宋体"/>
                <w:sz w:val="24"/>
                <w:szCs w:val="24"/>
              </w:rPr>
            </w:pPr>
            <w:r>
              <w:rPr>
                <w:rFonts w:hint="eastAsia" w:ascii="宋体" w:hAnsi="宋体" w:cs="宋体"/>
                <w:sz w:val="24"/>
                <w:szCs w:val="24"/>
              </w:rPr>
              <w:t>预算金额</w:t>
            </w:r>
          </w:p>
        </w:tc>
        <w:tc>
          <w:tcPr>
            <w:tcW w:w="6642" w:type="dxa"/>
            <w:tcBorders>
              <w:top w:val="single" w:color="000000" w:sz="6" w:space="0"/>
              <w:left w:val="single" w:color="000000" w:sz="6" w:space="0"/>
              <w:bottom w:val="single" w:color="000000" w:sz="6" w:space="0"/>
              <w:right w:val="double" w:color="000000" w:sz="4" w:space="0"/>
            </w:tcBorders>
            <w:vAlign w:val="center"/>
          </w:tcPr>
          <w:p w14:paraId="4F9BD4C3">
            <w:pPr>
              <w:spacing w:line="360" w:lineRule="auto"/>
              <w:rPr>
                <w:rFonts w:hint="eastAsia" w:ascii="宋体" w:hAnsi="宋体" w:cs="宋体"/>
                <w:sz w:val="24"/>
                <w:szCs w:val="24"/>
              </w:rPr>
            </w:pPr>
            <w:r>
              <w:rPr>
                <w:rFonts w:hint="eastAsia"/>
                <w:sz w:val="24"/>
                <w:szCs w:val="24"/>
              </w:rPr>
              <w:t>337.6万元（人民币）</w:t>
            </w:r>
          </w:p>
        </w:tc>
      </w:tr>
      <w:tr w14:paraId="51F3C102">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25BF23D9">
            <w:pPr>
              <w:spacing w:line="360" w:lineRule="auto"/>
              <w:jc w:val="center"/>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415DE934">
            <w:pPr>
              <w:spacing w:line="360" w:lineRule="auto"/>
              <w:jc w:val="center"/>
              <w:rPr>
                <w:rFonts w:hint="eastAsia" w:ascii="宋体" w:hAnsi="宋体" w:cs="宋体"/>
                <w:sz w:val="24"/>
                <w:szCs w:val="24"/>
              </w:rPr>
            </w:pPr>
            <w:r>
              <w:rPr>
                <w:rFonts w:hint="eastAsia" w:ascii="宋体" w:hAnsi="宋体" w:cs="宋体"/>
                <w:sz w:val="24"/>
                <w:szCs w:val="24"/>
              </w:rPr>
              <w:t>最高限价</w:t>
            </w:r>
          </w:p>
        </w:tc>
        <w:tc>
          <w:tcPr>
            <w:tcW w:w="6642" w:type="dxa"/>
            <w:tcBorders>
              <w:top w:val="single" w:color="000000" w:sz="6" w:space="0"/>
              <w:left w:val="single" w:color="000000" w:sz="6" w:space="0"/>
              <w:bottom w:val="single" w:color="000000" w:sz="6" w:space="0"/>
              <w:right w:val="double" w:color="000000" w:sz="4" w:space="0"/>
            </w:tcBorders>
            <w:vAlign w:val="center"/>
          </w:tcPr>
          <w:p w14:paraId="715C4E70">
            <w:pPr>
              <w:spacing w:line="360" w:lineRule="auto"/>
              <w:rPr>
                <w:rFonts w:hint="eastAsia" w:ascii="宋体" w:hAnsi="宋体" w:cs="宋体"/>
                <w:sz w:val="24"/>
                <w:szCs w:val="24"/>
              </w:rPr>
            </w:pPr>
            <w:r>
              <w:rPr>
                <w:rFonts w:hint="eastAsia" w:ascii="宋体" w:hAnsi="宋体" w:cs="宋体"/>
                <w:sz w:val="24"/>
                <w:szCs w:val="24"/>
              </w:rPr>
              <w:t>本项目共4个包，</w:t>
            </w:r>
            <w:r>
              <w:rPr>
                <w:rFonts w:hint="eastAsia"/>
                <w:sz w:val="24"/>
                <w:szCs w:val="24"/>
              </w:rPr>
              <w:t>其中A包：</w:t>
            </w:r>
            <w:r>
              <w:rPr>
                <w:rFonts w:hint="eastAsia"/>
                <w:sz w:val="24"/>
                <w:szCs w:val="24"/>
                <w:lang w:eastAsia="zh-CN"/>
              </w:rPr>
              <w:t>电子鼻咽镜</w:t>
            </w:r>
            <w:r>
              <w:rPr>
                <w:rFonts w:hint="eastAsia"/>
                <w:sz w:val="24"/>
                <w:szCs w:val="24"/>
              </w:rPr>
              <w:t>不得超过31.8万元、B包：眩晕诊疗系统不得超过158万元、C包：</w:t>
            </w:r>
            <w:r>
              <w:rPr>
                <w:rFonts w:hint="eastAsia"/>
                <w:sz w:val="24"/>
                <w:szCs w:val="24"/>
                <w:lang w:eastAsia="zh-CN"/>
              </w:rPr>
              <w:t>双工位诊疗台</w:t>
            </w:r>
            <w:r>
              <w:rPr>
                <w:rFonts w:hint="eastAsia"/>
                <w:sz w:val="24"/>
                <w:szCs w:val="24"/>
              </w:rPr>
              <w:t>不得超过38.5万元、D包：</w:t>
            </w:r>
            <w:r>
              <w:rPr>
                <w:rFonts w:hint="eastAsia"/>
                <w:sz w:val="24"/>
                <w:szCs w:val="24"/>
                <w:lang w:eastAsia="zh-CN"/>
              </w:rPr>
              <w:t>鼻功能诊断系统</w:t>
            </w:r>
            <w:r>
              <w:rPr>
                <w:rFonts w:hint="eastAsia"/>
                <w:sz w:val="24"/>
                <w:szCs w:val="24"/>
              </w:rPr>
              <w:t>不得超过109.3万元，超出设备采购预算金额（最高限价）的投标，按无效投标处理。</w:t>
            </w:r>
          </w:p>
        </w:tc>
      </w:tr>
      <w:tr w14:paraId="39BC1075">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3F6E3964">
            <w:pPr>
              <w:spacing w:line="360" w:lineRule="auto"/>
              <w:jc w:val="center"/>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43D2B526">
            <w:pPr>
              <w:spacing w:line="360" w:lineRule="auto"/>
              <w:jc w:val="center"/>
              <w:rPr>
                <w:sz w:val="24"/>
                <w:szCs w:val="24"/>
              </w:rPr>
            </w:pPr>
            <w:r>
              <w:rPr>
                <w:rFonts w:hint="eastAsia"/>
                <w:sz w:val="24"/>
                <w:szCs w:val="24"/>
              </w:rPr>
              <w:t>合同履行期限</w:t>
            </w:r>
          </w:p>
          <w:p w14:paraId="565C4FAB">
            <w:pPr>
              <w:spacing w:line="360" w:lineRule="auto"/>
              <w:jc w:val="center"/>
              <w:rPr>
                <w:rFonts w:hint="eastAsia" w:ascii="宋体" w:hAnsi="宋体" w:cs="宋体"/>
                <w:sz w:val="24"/>
                <w:szCs w:val="24"/>
              </w:rPr>
            </w:pPr>
            <w:r>
              <w:rPr>
                <w:rFonts w:hint="eastAsia"/>
                <w:sz w:val="24"/>
                <w:szCs w:val="24"/>
              </w:rPr>
              <w:t>（交货期）</w:t>
            </w:r>
          </w:p>
        </w:tc>
        <w:tc>
          <w:tcPr>
            <w:tcW w:w="6642" w:type="dxa"/>
            <w:tcBorders>
              <w:top w:val="single" w:color="000000" w:sz="6" w:space="0"/>
              <w:left w:val="single" w:color="000000" w:sz="6" w:space="0"/>
              <w:bottom w:val="single" w:color="000000" w:sz="6" w:space="0"/>
              <w:right w:val="double" w:color="000000" w:sz="4" w:space="0"/>
            </w:tcBorders>
            <w:vAlign w:val="center"/>
          </w:tcPr>
          <w:p w14:paraId="78216C94">
            <w:pPr>
              <w:rPr>
                <w:rFonts w:hint="eastAsia" w:ascii="宋体" w:hAnsi="宋体" w:cs="宋体"/>
                <w:sz w:val="24"/>
                <w:szCs w:val="24"/>
              </w:rPr>
            </w:pPr>
            <w:r>
              <w:rPr>
                <w:rFonts w:hint="eastAsia"/>
                <w:sz w:val="24"/>
                <w:szCs w:val="24"/>
              </w:rPr>
              <w:t>国产产品合同签订生效之日起30天内交付，进口产品合同签订生效之日起90天内交付。</w:t>
            </w:r>
          </w:p>
        </w:tc>
      </w:tr>
      <w:tr w14:paraId="1650BB7B">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683D5460">
            <w:pPr>
              <w:spacing w:line="360" w:lineRule="auto"/>
              <w:jc w:val="center"/>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4C4CA971">
            <w:pPr>
              <w:spacing w:line="360" w:lineRule="auto"/>
              <w:jc w:val="center"/>
              <w:rPr>
                <w:rFonts w:hint="eastAsia" w:ascii="宋体" w:hAnsi="宋体" w:cs="宋体"/>
                <w:sz w:val="24"/>
                <w:szCs w:val="24"/>
              </w:rPr>
            </w:pPr>
            <w:r>
              <w:rPr>
                <w:rFonts w:hint="eastAsia" w:ascii="宋体" w:hAnsi="宋体" w:cs="宋体"/>
                <w:sz w:val="24"/>
                <w:szCs w:val="24"/>
              </w:rPr>
              <w:t>资金来源</w:t>
            </w:r>
          </w:p>
        </w:tc>
        <w:tc>
          <w:tcPr>
            <w:tcW w:w="6642" w:type="dxa"/>
            <w:tcBorders>
              <w:top w:val="single" w:color="000000" w:sz="6" w:space="0"/>
              <w:left w:val="single" w:color="000000" w:sz="6" w:space="0"/>
              <w:bottom w:val="single" w:color="000000" w:sz="6" w:space="0"/>
              <w:right w:val="double" w:color="000000" w:sz="4" w:space="0"/>
            </w:tcBorders>
            <w:vAlign w:val="center"/>
          </w:tcPr>
          <w:p w14:paraId="29CE5DC9">
            <w:pPr>
              <w:spacing w:line="360" w:lineRule="auto"/>
              <w:rPr>
                <w:rFonts w:hint="eastAsia" w:ascii="宋体" w:hAnsi="宋体" w:cs="宋体"/>
                <w:sz w:val="24"/>
                <w:szCs w:val="24"/>
              </w:rPr>
            </w:pPr>
            <w:r>
              <w:rPr>
                <w:rFonts w:hint="eastAsia" w:ascii="宋体" w:hAnsi="宋体" w:cs="宋体"/>
                <w:sz w:val="24"/>
                <w:szCs w:val="24"/>
              </w:rPr>
              <w:t>财政资金</w:t>
            </w:r>
          </w:p>
        </w:tc>
      </w:tr>
      <w:tr w14:paraId="451180C7">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1F48B14E">
            <w:pPr>
              <w:spacing w:line="360" w:lineRule="auto"/>
              <w:jc w:val="center"/>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22345E87">
            <w:pPr>
              <w:spacing w:line="360" w:lineRule="auto"/>
              <w:jc w:val="center"/>
              <w:rPr>
                <w:rFonts w:hint="eastAsia" w:ascii="宋体" w:hAnsi="宋体" w:cs="宋体"/>
                <w:sz w:val="24"/>
                <w:szCs w:val="24"/>
              </w:rPr>
            </w:pPr>
            <w:r>
              <w:rPr>
                <w:rFonts w:hint="eastAsia" w:ascii="宋体" w:hAnsi="宋体" w:cs="宋体"/>
                <w:sz w:val="24"/>
                <w:szCs w:val="24"/>
              </w:rPr>
              <w:t>采购模式</w:t>
            </w:r>
          </w:p>
        </w:tc>
        <w:tc>
          <w:tcPr>
            <w:tcW w:w="6642" w:type="dxa"/>
            <w:tcBorders>
              <w:top w:val="single" w:color="000000" w:sz="6" w:space="0"/>
              <w:left w:val="single" w:color="000000" w:sz="6" w:space="0"/>
              <w:bottom w:val="single" w:color="000000" w:sz="6" w:space="0"/>
              <w:right w:val="double" w:color="000000" w:sz="4" w:space="0"/>
            </w:tcBorders>
            <w:vAlign w:val="center"/>
          </w:tcPr>
          <w:p w14:paraId="5D6F8A8E">
            <w:pPr>
              <w:spacing w:line="360" w:lineRule="auto"/>
              <w:rPr>
                <w:rFonts w:hint="eastAsia" w:ascii="宋体" w:hAnsi="宋体" w:cs="宋体"/>
                <w:sz w:val="24"/>
                <w:szCs w:val="24"/>
              </w:rPr>
            </w:pPr>
            <w:r>
              <w:rPr>
                <w:rFonts w:hint="eastAsia" w:ascii="宋体" w:hAnsi="宋体" w:cs="宋体"/>
                <w:sz w:val="24"/>
                <w:szCs w:val="24"/>
              </w:rPr>
              <w:t>公开招标</w:t>
            </w:r>
          </w:p>
        </w:tc>
      </w:tr>
      <w:tr w14:paraId="0EDDA2D6">
        <w:tblPrEx>
          <w:tblCellMar>
            <w:top w:w="0" w:type="dxa"/>
            <w:left w:w="108" w:type="dxa"/>
            <w:bottom w:w="0" w:type="dxa"/>
            <w:right w:w="108" w:type="dxa"/>
          </w:tblCellMar>
        </w:tblPrEx>
        <w:trPr>
          <w:jc w:val="center"/>
        </w:trPr>
        <w:tc>
          <w:tcPr>
            <w:tcW w:w="874" w:type="dxa"/>
            <w:vMerge w:val="continue"/>
            <w:tcBorders>
              <w:left w:val="double" w:color="000000" w:sz="4" w:space="0"/>
              <w:bottom w:val="single" w:color="000000" w:sz="6" w:space="0"/>
              <w:right w:val="single" w:color="000000" w:sz="6" w:space="0"/>
            </w:tcBorders>
            <w:vAlign w:val="center"/>
          </w:tcPr>
          <w:p w14:paraId="6B5A0093">
            <w:pPr>
              <w:spacing w:line="360" w:lineRule="auto"/>
              <w:jc w:val="center"/>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2CA43D29">
            <w:pPr>
              <w:spacing w:line="360" w:lineRule="auto"/>
              <w:jc w:val="center"/>
              <w:rPr>
                <w:rFonts w:hint="eastAsia" w:ascii="宋体" w:hAnsi="宋体" w:cs="宋体"/>
                <w:sz w:val="24"/>
                <w:szCs w:val="24"/>
              </w:rPr>
            </w:pPr>
            <w:r>
              <w:rPr>
                <w:rFonts w:hint="eastAsia" w:ascii="宋体" w:hAnsi="宋体" w:cs="宋体"/>
                <w:sz w:val="24"/>
                <w:szCs w:val="24"/>
              </w:rPr>
              <w:t>评定方式</w:t>
            </w:r>
          </w:p>
        </w:tc>
        <w:tc>
          <w:tcPr>
            <w:tcW w:w="6642" w:type="dxa"/>
            <w:tcBorders>
              <w:top w:val="single" w:color="000000" w:sz="6" w:space="0"/>
              <w:left w:val="single" w:color="000000" w:sz="6" w:space="0"/>
              <w:bottom w:val="single" w:color="000000" w:sz="6" w:space="0"/>
              <w:right w:val="double" w:color="000000" w:sz="4" w:space="0"/>
            </w:tcBorders>
            <w:vAlign w:val="center"/>
          </w:tcPr>
          <w:p w14:paraId="6B1F5666">
            <w:pPr>
              <w:spacing w:line="360" w:lineRule="auto"/>
              <w:rPr>
                <w:rFonts w:hint="eastAsia" w:ascii="宋体" w:hAnsi="宋体" w:cs="宋体"/>
                <w:sz w:val="24"/>
                <w:szCs w:val="24"/>
              </w:rPr>
            </w:pPr>
            <w:r>
              <w:rPr>
                <w:rFonts w:hint="eastAsia" w:ascii="宋体" w:hAnsi="宋体" w:cs="宋体"/>
                <w:sz w:val="24"/>
                <w:szCs w:val="24"/>
              </w:rPr>
              <w:t>综合评分</w:t>
            </w:r>
          </w:p>
        </w:tc>
      </w:tr>
      <w:tr w14:paraId="23C980A2">
        <w:tblPrEx>
          <w:tblCellMar>
            <w:top w:w="0" w:type="dxa"/>
            <w:left w:w="108" w:type="dxa"/>
            <w:bottom w:w="0" w:type="dxa"/>
            <w:right w:w="108" w:type="dxa"/>
          </w:tblCellMar>
        </w:tblPrEx>
        <w:trPr>
          <w:jc w:val="center"/>
        </w:trPr>
        <w:tc>
          <w:tcPr>
            <w:tcW w:w="874" w:type="dxa"/>
            <w:vMerge w:val="restart"/>
            <w:tcBorders>
              <w:top w:val="single" w:color="000000" w:sz="6" w:space="0"/>
              <w:left w:val="double" w:color="000000" w:sz="4" w:space="0"/>
              <w:right w:val="single" w:color="000000" w:sz="6" w:space="0"/>
            </w:tcBorders>
            <w:vAlign w:val="center"/>
          </w:tcPr>
          <w:p w14:paraId="249F0CE6">
            <w:pPr>
              <w:spacing w:line="360" w:lineRule="auto"/>
              <w:rPr>
                <w:rFonts w:hint="eastAsia" w:ascii="宋体" w:hAnsi="宋体" w:cs="宋体"/>
                <w:sz w:val="24"/>
                <w:szCs w:val="24"/>
              </w:rPr>
            </w:pPr>
            <w:r>
              <w:rPr>
                <w:rFonts w:hint="eastAsia" w:ascii="宋体" w:hAnsi="宋体" w:cs="宋体"/>
                <w:sz w:val="24"/>
                <w:szCs w:val="24"/>
              </w:rPr>
              <w:t>2</w:t>
            </w:r>
          </w:p>
        </w:tc>
        <w:tc>
          <w:tcPr>
            <w:tcW w:w="2689" w:type="dxa"/>
            <w:tcBorders>
              <w:top w:val="single" w:color="000000" w:sz="6" w:space="0"/>
              <w:left w:val="single" w:color="000000" w:sz="6" w:space="0"/>
              <w:bottom w:val="single" w:color="000000" w:sz="6" w:space="0"/>
              <w:right w:val="single" w:color="000000" w:sz="6" w:space="0"/>
            </w:tcBorders>
            <w:vAlign w:val="center"/>
          </w:tcPr>
          <w:p w14:paraId="559C0563">
            <w:pPr>
              <w:spacing w:line="360" w:lineRule="auto"/>
              <w:jc w:val="center"/>
              <w:rPr>
                <w:rFonts w:hint="eastAsia" w:ascii="宋体" w:hAnsi="宋体" w:cs="宋体"/>
                <w:sz w:val="24"/>
                <w:szCs w:val="24"/>
              </w:rPr>
            </w:pPr>
            <w:r>
              <w:rPr>
                <w:rFonts w:hint="eastAsia" w:ascii="宋体" w:hAnsi="宋体" w:cs="宋体"/>
                <w:sz w:val="24"/>
                <w:szCs w:val="24"/>
              </w:rPr>
              <w:t>采购人/招标人</w:t>
            </w:r>
          </w:p>
        </w:tc>
        <w:tc>
          <w:tcPr>
            <w:tcW w:w="6642" w:type="dxa"/>
            <w:tcBorders>
              <w:top w:val="single" w:color="000000" w:sz="6" w:space="0"/>
              <w:left w:val="single" w:color="000000" w:sz="6" w:space="0"/>
              <w:bottom w:val="single" w:color="000000" w:sz="6" w:space="0"/>
              <w:right w:val="double" w:color="000000" w:sz="4" w:space="0"/>
            </w:tcBorders>
            <w:vAlign w:val="center"/>
          </w:tcPr>
          <w:p w14:paraId="4AFBC36D">
            <w:pPr>
              <w:spacing w:line="360" w:lineRule="auto"/>
              <w:rPr>
                <w:rFonts w:hint="eastAsia" w:ascii="宋体" w:hAnsi="宋体" w:cs="宋体"/>
                <w:sz w:val="24"/>
                <w:szCs w:val="24"/>
              </w:rPr>
            </w:pPr>
            <w:r>
              <w:rPr>
                <w:rFonts w:hint="eastAsia" w:ascii="宋体" w:hAnsi="宋体" w:cs="宋体"/>
                <w:sz w:val="24"/>
                <w:szCs w:val="24"/>
              </w:rPr>
              <w:t>海口市人民医院</w:t>
            </w:r>
          </w:p>
        </w:tc>
      </w:tr>
      <w:tr w14:paraId="2DCD4F57">
        <w:tblPrEx>
          <w:tblCellMar>
            <w:top w:w="0" w:type="dxa"/>
            <w:left w:w="108" w:type="dxa"/>
            <w:bottom w:w="0" w:type="dxa"/>
            <w:right w:w="108" w:type="dxa"/>
          </w:tblCellMar>
        </w:tblPrEx>
        <w:trPr>
          <w:jc w:val="center"/>
        </w:trPr>
        <w:tc>
          <w:tcPr>
            <w:tcW w:w="874" w:type="dxa"/>
            <w:vMerge w:val="continue"/>
            <w:tcBorders>
              <w:left w:val="double" w:color="000000" w:sz="4" w:space="0"/>
              <w:bottom w:val="single" w:color="000000" w:sz="6" w:space="0"/>
              <w:right w:val="single" w:color="000000" w:sz="6" w:space="0"/>
            </w:tcBorders>
            <w:vAlign w:val="center"/>
          </w:tcPr>
          <w:p w14:paraId="51DD8033">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1B0584D4">
            <w:pPr>
              <w:spacing w:line="360" w:lineRule="auto"/>
              <w:jc w:val="center"/>
              <w:rPr>
                <w:rFonts w:hint="eastAsia" w:ascii="宋体" w:hAnsi="宋体" w:cs="宋体"/>
                <w:sz w:val="24"/>
                <w:szCs w:val="24"/>
              </w:rPr>
            </w:pPr>
            <w:r>
              <w:rPr>
                <w:rFonts w:hint="eastAsia" w:ascii="宋体" w:hAnsi="宋体" w:cs="宋体"/>
                <w:sz w:val="24"/>
                <w:szCs w:val="24"/>
              </w:rPr>
              <w:t>招标代理机构</w:t>
            </w:r>
          </w:p>
        </w:tc>
        <w:tc>
          <w:tcPr>
            <w:tcW w:w="6642" w:type="dxa"/>
            <w:tcBorders>
              <w:top w:val="single" w:color="000000" w:sz="6" w:space="0"/>
              <w:left w:val="single" w:color="000000" w:sz="6" w:space="0"/>
              <w:bottom w:val="single" w:color="000000" w:sz="6" w:space="0"/>
              <w:right w:val="double" w:color="000000" w:sz="4" w:space="0"/>
            </w:tcBorders>
            <w:vAlign w:val="center"/>
          </w:tcPr>
          <w:p w14:paraId="16D12BB9">
            <w:pPr>
              <w:spacing w:line="360" w:lineRule="auto"/>
              <w:rPr>
                <w:rFonts w:hint="eastAsia" w:ascii="宋体" w:hAnsi="宋体" w:cs="宋体"/>
                <w:sz w:val="24"/>
                <w:szCs w:val="24"/>
              </w:rPr>
            </w:pPr>
            <w:r>
              <w:rPr>
                <w:rFonts w:hint="eastAsia" w:ascii="宋体" w:hAnsi="宋体" w:cs="宋体"/>
                <w:sz w:val="24"/>
                <w:szCs w:val="24"/>
              </w:rPr>
              <w:t>海南天行招投标有限公司</w:t>
            </w:r>
          </w:p>
        </w:tc>
      </w:tr>
      <w:tr w14:paraId="76A72A6B">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27E3EACE">
            <w:pPr>
              <w:spacing w:line="360" w:lineRule="auto"/>
              <w:rPr>
                <w:rFonts w:hint="eastAsia" w:ascii="宋体" w:hAnsi="宋体" w:cs="宋体"/>
                <w:sz w:val="24"/>
                <w:szCs w:val="24"/>
              </w:rPr>
            </w:pPr>
            <w:r>
              <w:rPr>
                <w:rFonts w:hint="eastAsia" w:ascii="宋体" w:hAnsi="宋体" w:cs="宋体"/>
                <w:sz w:val="24"/>
                <w:szCs w:val="24"/>
              </w:rPr>
              <w:t>3</w:t>
            </w:r>
          </w:p>
        </w:tc>
        <w:tc>
          <w:tcPr>
            <w:tcW w:w="2689" w:type="dxa"/>
            <w:tcBorders>
              <w:top w:val="single" w:color="000000" w:sz="6" w:space="0"/>
              <w:left w:val="single" w:color="000000" w:sz="6" w:space="0"/>
              <w:bottom w:val="single" w:color="000000" w:sz="6" w:space="0"/>
              <w:right w:val="single" w:color="000000" w:sz="6" w:space="0"/>
            </w:tcBorders>
            <w:vAlign w:val="center"/>
          </w:tcPr>
          <w:p w14:paraId="6F3A3F04">
            <w:pPr>
              <w:spacing w:line="360" w:lineRule="auto"/>
              <w:rPr>
                <w:rFonts w:hint="eastAsia" w:ascii="宋体" w:hAnsi="宋体" w:cs="宋体"/>
                <w:sz w:val="24"/>
                <w:szCs w:val="24"/>
              </w:rPr>
            </w:pPr>
            <w:r>
              <w:rPr>
                <w:rFonts w:hint="eastAsia" w:ascii="宋体" w:hAnsi="宋体" w:cs="宋体"/>
                <w:sz w:val="24"/>
                <w:szCs w:val="24"/>
              </w:rPr>
              <w:t xml:space="preserve"> ★申请人资格要求</w:t>
            </w:r>
          </w:p>
        </w:tc>
        <w:tc>
          <w:tcPr>
            <w:tcW w:w="6642" w:type="dxa"/>
            <w:tcBorders>
              <w:top w:val="single" w:color="000000" w:sz="6" w:space="0"/>
              <w:left w:val="single" w:color="000000" w:sz="6" w:space="0"/>
              <w:bottom w:val="single" w:color="000000" w:sz="6" w:space="0"/>
              <w:right w:val="double" w:color="000000" w:sz="4" w:space="0"/>
            </w:tcBorders>
            <w:vAlign w:val="center"/>
          </w:tcPr>
          <w:p w14:paraId="591A5A41">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（1） 在中华人民共和国注册，具有独立承担民事责任的能力；（注：①投标人若为企业法人：提供有效的“统一 社会信用代码营业执照 ”；②若为事业法人：提供有效的“统一社会信用代码法人登记证书 ”；③若为其他组织：提供“对应主管部门颁发的准许执业证明文件或营业执照 ”； 以上均提供复印件加盖公章）</w:t>
            </w:r>
          </w:p>
          <w:p w14:paraId="377F0DED">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（2）具有良好的商业信誉和健全的财务会计制度（提供承诺函加盖公章）；</w:t>
            </w:r>
          </w:p>
          <w:p w14:paraId="1851F4CC">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（3）具有履行合同所必需的设备和专业技术能力（提供承诺函加盖公章）；</w:t>
            </w:r>
          </w:p>
          <w:p w14:paraId="16DE29C5">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 xml:space="preserve">（4）有依法缴纳税收和社会保障资金的良好记录（提供承诺函加盖公章）； </w:t>
            </w:r>
          </w:p>
          <w:p w14:paraId="45329229">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 xml:space="preserve">（5）参加此项采购活动前三年内，在经营活动中没有重大违法记录（提供承诺函加盖公章）； </w:t>
            </w:r>
          </w:p>
          <w:p w14:paraId="578EF35E">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（6）在“ 中国执行信息公开网（http://zxgk.court.gov.cn/shixin/） ”没有列入失信被执行人、“信用中国（www.creditchi na.gov.cn ）”没有列入重大税收违法失信主体、中国政府采购网（www.ccgp.gov.cn ）没有列入政府采购严重违法失信行为记录名单的供应商（提供承诺函并加盖单位公章，以现场查询为准）；</w:t>
            </w:r>
          </w:p>
          <w:p w14:paraId="202E88C5">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 xml:space="preserve">（7）提供政府采购活动前三年内无环保类行政处罚记录声明函（环保类行政处罚记录声明函）。 </w:t>
            </w:r>
          </w:p>
          <w:p w14:paraId="6153E3FA">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8）单位负责人为同一人或者单位负责人存在直接控股、管理关系的不同供应商情形，不得参加同一标段投标或者未划分标段的同一招标项目的投标。除单一来源采购项目外，为采购项目提供整体设计、规范编制或者项目管理、监理、检测等服务的供应商，也不得再参加该采购项目的其他采购活动（提供声明函加盖公章）；</w:t>
            </w:r>
          </w:p>
          <w:p w14:paraId="02C729C9">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 xml:space="preserve">（9）如投标人不是所投设备生产厂家的，属于三类医疗器械的须具有医疗器械经营企业许可证，属于二类医疗器械的须具有医疗器械经营企业备案登记凭证（提供证件复印件加盖公章）； </w:t>
            </w:r>
          </w:p>
          <w:p w14:paraId="08907526">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（10）所投设备属于二、三类医疗器械产品的须具有医疗器械注册证、医疗器械生产许可证（进口设备除外），属于一类医疗器械产品的须具备第一类医疗器械备案凭证（提供证件复印件加盖公章）。</w:t>
            </w:r>
          </w:p>
          <w:p w14:paraId="712075C7">
            <w:pPr>
              <w:pStyle w:val="33"/>
              <w:spacing w:before="0" w:beforeAutospacing="0" w:after="0" w:afterAutospacing="0" w:line="360" w:lineRule="auto"/>
              <w:rPr>
                <w:rFonts w:hint="eastAsia" w:ascii="宋体" w:hAnsi="宋体" w:cs="宋体"/>
                <w:szCs w:val="24"/>
              </w:rPr>
            </w:pPr>
            <w:r>
              <w:rPr>
                <w:rFonts w:hint="eastAsia" w:ascii="宋体" w:hAnsi="宋体" w:cs="宋体"/>
                <w:szCs w:val="24"/>
              </w:rPr>
              <w:t>（11）提供国家企业信用信息公示系统”法人、股东等高管人员相关资料截图。</w:t>
            </w:r>
          </w:p>
        </w:tc>
      </w:tr>
      <w:tr w14:paraId="0AE89723">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4ABE8C3B">
            <w:pPr>
              <w:spacing w:line="360" w:lineRule="auto"/>
              <w:rPr>
                <w:rFonts w:hint="eastAsia" w:ascii="宋体" w:hAnsi="宋体" w:cs="宋体"/>
                <w:sz w:val="24"/>
                <w:szCs w:val="24"/>
              </w:rPr>
            </w:pPr>
            <w:r>
              <w:rPr>
                <w:rFonts w:hint="eastAsia" w:ascii="宋体" w:hAnsi="宋体" w:cs="宋体"/>
                <w:sz w:val="24"/>
                <w:szCs w:val="24"/>
              </w:rPr>
              <w:t>4</w:t>
            </w:r>
          </w:p>
        </w:tc>
        <w:tc>
          <w:tcPr>
            <w:tcW w:w="2689" w:type="dxa"/>
            <w:tcBorders>
              <w:top w:val="single" w:color="000000" w:sz="6" w:space="0"/>
              <w:left w:val="single" w:color="000000" w:sz="6" w:space="0"/>
              <w:bottom w:val="single" w:color="000000" w:sz="6" w:space="0"/>
              <w:right w:val="single" w:color="000000" w:sz="6" w:space="0"/>
            </w:tcBorders>
            <w:vAlign w:val="center"/>
          </w:tcPr>
          <w:p w14:paraId="357E104C">
            <w:pPr>
              <w:spacing w:line="360" w:lineRule="auto"/>
              <w:rPr>
                <w:rFonts w:hint="eastAsia" w:ascii="宋体" w:hAnsi="宋体" w:cs="宋体"/>
                <w:sz w:val="24"/>
                <w:szCs w:val="24"/>
              </w:rPr>
            </w:pPr>
            <w:r>
              <w:rPr>
                <w:rFonts w:hint="eastAsia" w:ascii="宋体" w:hAnsi="宋体" w:cs="宋体"/>
                <w:sz w:val="24"/>
                <w:szCs w:val="24"/>
              </w:rPr>
              <w:t>是否接受联合体投标</w:t>
            </w:r>
          </w:p>
        </w:tc>
        <w:tc>
          <w:tcPr>
            <w:tcW w:w="6642" w:type="dxa"/>
            <w:tcBorders>
              <w:top w:val="single" w:color="000000" w:sz="6" w:space="0"/>
              <w:left w:val="single" w:color="000000" w:sz="6" w:space="0"/>
              <w:bottom w:val="single" w:color="000000" w:sz="6" w:space="0"/>
              <w:right w:val="double" w:color="000000" w:sz="4" w:space="0"/>
            </w:tcBorders>
            <w:vAlign w:val="center"/>
          </w:tcPr>
          <w:p w14:paraId="46F55C3E">
            <w:pPr>
              <w:spacing w:line="360" w:lineRule="auto"/>
              <w:rPr>
                <w:rFonts w:hint="eastAsia" w:ascii="宋体" w:hAnsi="宋体" w:cs="宋体"/>
                <w:sz w:val="24"/>
                <w:szCs w:val="24"/>
              </w:rPr>
            </w:pPr>
            <w:r>
              <w:rPr>
                <w:rFonts w:hint="eastAsia" w:ascii="宋体" w:hAnsi="宋体" w:cs="宋体"/>
                <w:sz w:val="24"/>
                <w:szCs w:val="24"/>
              </w:rPr>
              <w:sym w:font="Wingdings 2" w:char="F052"/>
            </w:r>
            <w:r>
              <w:rPr>
                <w:rFonts w:hint="eastAsia" w:ascii="宋体" w:hAnsi="宋体" w:cs="宋体"/>
                <w:sz w:val="24"/>
                <w:szCs w:val="24"/>
              </w:rPr>
              <w:t xml:space="preserve"> 不接受</w:t>
            </w:r>
          </w:p>
        </w:tc>
      </w:tr>
      <w:tr w14:paraId="7EAF69B2">
        <w:tblPrEx>
          <w:tblCellMar>
            <w:top w:w="0" w:type="dxa"/>
            <w:left w:w="108" w:type="dxa"/>
            <w:bottom w:w="0" w:type="dxa"/>
            <w:right w:w="108" w:type="dxa"/>
          </w:tblCellMar>
        </w:tblPrEx>
        <w:trPr>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00035DE8">
            <w:pPr>
              <w:spacing w:line="360" w:lineRule="auto"/>
              <w:rPr>
                <w:rFonts w:hint="eastAsia" w:ascii="宋体" w:hAnsi="宋体" w:cs="宋体"/>
                <w:sz w:val="24"/>
                <w:szCs w:val="24"/>
              </w:rPr>
            </w:pPr>
            <w:r>
              <w:rPr>
                <w:rFonts w:hint="eastAsia" w:ascii="宋体" w:hAnsi="宋体" w:cs="宋体"/>
                <w:sz w:val="24"/>
                <w:szCs w:val="24"/>
              </w:rPr>
              <w:t>二、招标文件</w:t>
            </w:r>
          </w:p>
        </w:tc>
      </w:tr>
      <w:tr w14:paraId="4B7D3DFB">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752960FC">
            <w:pPr>
              <w:spacing w:line="360" w:lineRule="auto"/>
              <w:rPr>
                <w:rFonts w:hint="eastAsia" w:ascii="宋体" w:hAnsi="宋体" w:cs="宋体"/>
                <w:sz w:val="24"/>
                <w:szCs w:val="24"/>
              </w:rPr>
            </w:pPr>
            <w:r>
              <w:rPr>
                <w:rFonts w:hint="eastAsia" w:ascii="宋体" w:hAnsi="宋体" w:cs="宋体"/>
                <w:sz w:val="24"/>
                <w:szCs w:val="24"/>
              </w:rPr>
              <w:t>5</w:t>
            </w:r>
          </w:p>
        </w:tc>
        <w:tc>
          <w:tcPr>
            <w:tcW w:w="2689" w:type="dxa"/>
            <w:tcBorders>
              <w:top w:val="single" w:color="000000" w:sz="6" w:space="0"/>
              <w:left w:val="single" w:color="000000" w:sz="6" w:space="0"/>
              <w:bottom w:val="single" w:color="000000" w:sz="6" w:space="0"/>
              <w:right w:val="single" w:color="000000" w:sz="6" w:space="0"/>
            </w:tcBorders>
            <w:vAlign w:val="center"/>
          </w:tcPr>
          <w:p w14:paraId="2EE3BAE9">
            <w:pPr>
              <w:spacing w:line="360" w:lineRule="auto"/>
              <w:rPr>
                <w:rFonts w:hint="eastAsia" w:ascii="宋体" w:hAnsi="宋体" w:cs="宋体"/>
                <w:sz w:val="24"/>
                <w:szCs w:val="24"/>
              </w:rPr>
            </w:pPr>
            <w:r>
              <w:rPr>
                <w:rFonts w:hint="eastAsia" w:ascii="宋体" w:hAnsi="宋体" w:cs="宋体"/>
                <w:b/>
                <w:bCs/>
                <w:kern w:val="2"/>
                <w:sz w:val="24"/>
                <w:szCs w:val="24"/>
              </w:rPr>
              <w:t>项目类别</w:t>
            </w:r>
          </w:p>
        </w:tc>
        <w:tc>
          <w:tcPr>
            <w:tcW w:w="6642" w:type="dxa"/>
            <w:tcBorders>
              <w:top w:val="single" w:color="000000" w:sz="6" w:space="0"/>
              <w:left w:val="single" w:color="000000" w:sz="6" w:space="0"/>
              <w:bottom w:val="single" w:color="000000" w:sz="6" w:space="0"/>
              <w:right w:val="double" w:color="000000" w:sz="4" w:space="0"/>
            </w:tcBorders>
            <w:vAlign w:val="center"/>
          </w:tcPr>
          <w:p w14:paraId="241054E4">
            <w:pPr>
              <w:spacing w:line="360" w:lineRule="auto"/>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货物     </w:t>
            </w:r>
            <w:r>
              <w:rPr>
                <w:rFonts w:hint="eastAsia" w:ascii="宋体" w:hAnsi="宋体" w:cs="宋体"/>
                <w:sz w:val="24"/>
                <w:szCs w:val="24"/>
              </w:rPr>
              <w:sym w:font="Wingdings 2" w:char="00A3"/>
            </w:r>
            <w:r>
              <w:rPr>
                <w:rFonts w:hint="eastAsia" w:ascii="宋体" w:hAnsi="宋体" w:cs="宋体"/>
                <w:kern w:val="2"/>
                <w:sz w:val="24"/>
                <w:szCs w:val="24"/>
              </w:rPr>
              <w:t xml:space="preserve">服务 </w:t>
            </w:r>
            <w:r>
              <w:rPr>
                <w:rFonts w:hint="eastAsia" w:ascii="宋体" w:hAnsi="宋体" w:cs="宋体"/>
                <w:b/>
                <w:bCs/>
                <w:kern w:val="2"/>
                <w:sz w:val="24"/>
                <w:szCs w:val="24"/>
              </w:rPr>
              <w:t xml:space="preserve">   </w:t>
            </w:r>
            <w:r>
              <w:rPr>
                <w:rFonts w:hint="eastAsia" w:ascii="宋体" w:hAnsi="宋体" w:cs="宋体"/>
                <w:sz w:val="24"/>
                <w:szCs w:val="24"/>
              </w:rPr>
              <w:sym w:font="Wingdings 2" w:char="F0A3"/>
            </w:r>
            <w:r>
              <w:rPr>
                <w:rFonts w:hint="eastAsia" w:ascii="宋体" w:hAnsi="宋体" w:cs="宋体"/>
                <w:sz w:val="24"/>
                <w:szCs w:val="24"/>
              </w:rPr>
              <w:t>工程</w:t>
            </w:r>
          </w:p>
        </w:tc>
      </w:tr>
      <w:tr w14:paraId="2BEA6044">
        <w:tblPrEx>
          <w:tblCellMar>
            <w:top w:w="0" w:type="dxa"/>
            <w:left w:w="108" w:type="dxa"/>
            <w:bottom w:w="0" w:type="dxa"/>
            <w:right w:w="108" w:type="dxa"/>
          </w:tblCellMar>
        </w:tblPrEx>
        <w:trPr>
          <w:trHeight w:val="90" w:hRule="atLeast"/>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19918F82">
            <w:pPr>
              <w:spacing w:line="360" w:lineRule="auto"/>
              <w:rPr>
                <w:rFonts w:hint="eastAsia" w:ascii="宋体" w:hAnsi="宋体" w:cs="宋体"/>
                <w:sz w:val="24"/>
                <w:szCs w:val="24"/>
              </w:rPr>
            </w:pPr>
            <w:r>
              <w:rPr>
                <w:rFonts w:hint="eastAsia" w:ascii="宋体" w:hAnsi="宋体" w:cs="宋体"/>
                <w:sz w:val="24"/>
                <w:szCs w:val="24"/>
              </w:rPr>
              <w:t>6</w:t>
            </w:r>
          </w:p>
        </w:tc>
        <w:tc>
          <w:tcPr>
            <w:tcW w:w="2689" w:type="dxa"/>
            <w:tcBorders>
              <w:top w:val="single" w:color="000000" w:sz="6" w:space="0"/>
              <w:left w:val="single" w:color="000000" w:sz="6" w:space="0"/>
              <w:bottom w:val="single" w:color="000000" w:sz="6" w:space="0"/>
              <w:right w:val="single" w:color="000000" w:sz="6" w:space="0"/>
            </w:tcBorders>
            <w:vAlign w:val="center"/>
          </w:tcPr>
          <w:p w14:paraId="0731E07D">
            <w:pPr>
              <w:spacing w:line="360" w:lineRule="auto"/>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有无带“▲”号要求</w:t>
            </w:r>
          </w:p>
        </w:tc>
        <w:tc>
          <w:tcPr>
            <w:tcW w:w="6642" w:type="dxa"/>
            <w:tcBorders>
              <w:top w:val="single" w:color="000000" w:sz="6" w:space="0"/>
              <w:left w:val="single" w:color="000000" w:sz="6" w:space="0"/>
              <w:bottom w:val="single" w:color="000000" w:sz="6" w:space="0"/>
              <w:right w:val="double" w:color="000000" w:sz="4" w:space="0"/>
            </w:tcBorders>
            <w:vAlign w:val="center"/>
          </w:tcPr>
          <w:p w14:paraId="014F4FAE">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有，应满足下列要求： </w:t>
            </w:r>
          </w:p>
          <w:p w14:paraId="535E77B1">
            <w:pPr>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带“</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”号的为关键性技术指标，不带“</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”号的为一般性技术指标，负偏离或不满足则将在评分中分别予以扣分，具体要求详见评分细则。</w:t>
            </w:r>
          </w:p>
        </w:tc>
      </w:tr>
      <w:tr w14:paraId="79F122A3">
        <w:tblPrEx>
          <w:tblCellMar>
            <w:top w:w="0" w:type="dxa"/>
            <w:left w:w="108" w:type="dxa"/>
            <w:bottom w:w="0" w:type="dxa"/>
            <w:right w:w="108" w:type="dxa"/>
          </w:tblCellMar>
        </w:tblPrEx>
        <w:trPr>
          <w:trHeight w:val="545" w:hRule="atLeast"/>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47DF6ACB">
            <w:pPr>
              <w:spacing w:line="360" w:lineRule="auto"/>
              <w:rPr>
                <w:rFonts w:hint="eastAsia" w:ascii="宋体" w:hAnsi="宋体" w:cs="宋体"/>
                <w:sz w:val="24"/>
                <w:szCs w:val="24"/>
              </w:rPr>
            </w:pPr>
            <w:r>
              <w:rPr>
                <w:rFonts w:hint="eastAsia" w:ascii="宋体" w:hAnsi="宋体" w:cs="宋体"/>
                <w:sz w:val="24"/>
                <w:szCs w:val="24"/>
              </w:rPr>
              <w:t>三、投标文件</w:t>
            </w:r>
          </w:p>
        </w:tc>
      </w:tr>
      <w:tr w14:paraId="3A77683C">
        <w:tblPrEx>
          <w:tblCellMar>
            <w:top w:w="0" w:type="dxa"/>
            <w:left w:w="108" w:type="dxa"/>
            <w:bottom w:w="0" w:type="dxa"/>
            <w:right w:w="108" w:type="dxa"/>
          </w:tblCellMar>
        </w:tblPrEx>
        <w:trPr>
          <w:trHeight w:val="545" w:hRule="atLeast"/>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654750F7">
            <w:pPr>
              <w:spacing w:line="360" w:lineRule="auto"/>
              <w:rPr>
                <w:rFonts w:hint="eastAsia" w:ascii="宋体" w:hAnsi="宋体" w:cs="宋体"/>
                <w:sz w:val="24"/>
                <w:szCs w:val="24"/>
              </w:rPr>
            </w:pPr>
            <w:r>
              <w:rPr>
                <w:rFonts w:hint="eastAsia" w:ascii="宋体" w:hAnsi="宋体" w:cs="宋体"/>
                <w:sz w:val="24"/>
                <w:szCs w:val="24"/>
              </w:rPr>
              <w:t>7</w:t>
            </w:r>
          </w:p>
        </w:tc>
        <w:tc>
          <w:tcPr>
            <w:tcW w:w="2689" w:type="dxa"/>
            <w:tcBorders>
              <w:top w:val="single" w:color="000000" w:sz="6" w:space="0"/>
              <w:left w:val="single" w:color="000000" w:sz="6" w:space="0"/>
              <w:bottom w:val="single" w:color="000000" w:sz="6" w:space="0"/>
              <w:right w:val="single" w:color="000000" w:sz="6" w:space="0"/>
            </w:tcBorders>
            <w:vAlign w:val="center"/>
          </w:tcPr>
          <w:p w14:paraId="106D4BC9">
            <w:pPr>
              <w:spacing w:line="360" w:lineRule="auto"/>
              <w:rPr>
                <w:rFonts w:hint="eastAsia" w:ascii="宋体" w:hAnsi="宋体" w:cs="宋体"/>
                <w:sz w:val="24"/>
                <w:szCs w:val="24"/>
              </w:rPr>
            </w:pPr>
            <w:r>
              <w:rPr>
                <w:rFonts w:hint="eastAsia" w:ascii="宋体" w:hAnsi="宋体" w:cs="宋体"/>
                <w:sz w:val="24"/>
                <w:szCs w:val="24"/>
              </w:rPr>
              <w:t>投标报价的规定</w:t>
            </w:r>
          </w:p>
        </w:tc>
        <w:tc>
          <w:tcPr>
            <w:tcW w:w="6642" w:type="dxa"/>
            <w:tcBorders>
              <w:top w:val="single" w:color="000000" w:sz="6" w:space="0"/>
              <w:left w:val="single" w:color="000000" w:sz="6" w:space="0"/>
              <w:bottom w:val="single" w:color="000000" w:sz="6" w:space="0"/>
              <w:right w:val="double" w:color="000000" w:sz="4" w:space="0"/>
            </w:tcBorders>
            <w:vAlign w:val="center"/>
          </w:tcPr>
          <w:p w14:paraId="61967B42">
            <w:pPr>
              <w:spacing w:line="360" w:lineRule="auto"/>
              <w:rPr>
                <w:rFonts w:hint="eastAsia" w:ascii="宋体" w:hAnsi="宋体" w:cs="宋体"/>
                <w:sz w:val="24"/>
                <w:szCs w:val="24"/>
              </w:rPr>
            </w:pPr>
            <w:r>
              <w:rPr>
                <w:rFonts w:hint="eastAsia" w:ascii="宋体" w:hAnsi="宋体" w:cs="宋体"/>
                <w:sz w:val="24"/>
                <w:szCs w:val="24"/>
              </w:rPr>
              <w:t>按招标文件要求</w:t>
            </w:r>
          </w:p>
        </w:tc>
      </w:tr>
      <w:tr w14:paraId="7B0BD805">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34FCA42F">
            <w:pPr>
              <w:spacing w:line="360" w:lineRule="auto"/>
              <w:rPr>
                <w:rFonts w:hint="eastAsia" w:ascii="宋体" w:hAnsi="宋体" w:cs="宋体"/>
                <w:sz w:val="24"/>
                <w:szCs w:val="24"/>
              </w:rPr>
            </w:pPr>
            <w:r>
              <w:rPr>
                <w:rFonts w:hint="eastAsia" w:ascii="宋体" w:hAnsi="宋体" w:cs="宋体"/>
                <w:sz w:val="24"/>
                <w:szCs w:val="24"/>
              </w:rPr>
              <w:t>8</w:t>
            </w:r>
          </w:p>
        </w:tc>
        <w:tc>
          <w:tcPr>
            <w:tcW w:w="2689" w:type="dxa"/>
            <w:tcBorders>
              <w:top w:val="single" w:color="000000" w:sz="6" w:space="0"/>
              <w:left w:val="single" w:color="000000" w:sz="6" w:space="0"/>
              <w:bottom w:val="single" w:color="000000" w:sz="6" w:space="0"/>
              <w:right w:val="single" w:color="000000" w:sz="6" w:space="0"/>
            </w:tcBorders>
            <w:vAlign w:val="center"/>
          </w:tcPr>
          <w:p w14:paraId="5920332A">
            <w:pPr>
              <w:spacing w:line="360" w:lineRule="auto"/>
              <w:jc w:val="center"/>
              <w:rPr>
                <w:rFonts w:hint="eastAsia" w:ascii="宋体" w:hAnsi="宋体" w:cs="宋体"/>
                <w:sz w:val="24"/>
                <w:szCs w:val="24"/>
              </w:rPr>
            </w:pPr>
            <w:r>
              <w:rPr>
                <w:rFonts w:hint="eastAsia" w:ascii="宋体" w:hAnsi="宋体" w:cs="宋体"/>
                <w:sz w:val="24"/>
                <w:szCs w:val="24"/>
              </w:rPr>
              <w:t>低于成本价不正当竞争预防措施</w:t>
            </w:r>
          </w:p>
          <w:p w14:paraId="61C14B0C">
            <w:pPr>
              <w:spacing w:line="360" w:lineRule="auto"/>
              <w:jc w:val="center"/>
              <w:rPr>
                <w:rFonts w:hint="eastAsia" w:ascii="宋体" w:hAnsi="宋体" w:cs="宋体"/>
                <w:sz w:val="24"/>
                <w:szCs w:val="24"/>
              </w:rPr>
            </w:pPr>
            <w:r>
              <w:rPr>
                <w:rFonts w:hint="eastAsia" w:ascii="宋体" w:hAnsi="宋体" w:cs="宋体"/>
                <w:b/>
                <w:bCs/>
                <w:sz w:val="24"/>
                <w:szCs w:val="24"/>
              </w:rPr>
              <w:t>（实质性要求）</w:t>
            </w:r>
          </w:p>
        </w:tc>
        <w:tc>
          <w:tcPr>
            <w:tcW w:w="6642" w:type="dxa"/>
            <w:tcBorders>
              <w:top w:val="single" w:color="000000" w:sz="6" w:space="0"/>
              <w:left w:val="single" w:color="000000" w:sz="6" w:space="0"/>
              <w:bottom w:val="single" w:color="000000" w:sz="6" w:space="0"/>
              <w:right w:val="double" w:color="000000" w:sz="4" w:space="0"/>
            </w:tcBorders>
            <w:vAlign w:val="center"/>
          </w:tcPr>
          <w:p w14:paraId="7574B7B9">
            <w:pPr>
              <w:spacing w:line="360" w:lineRule="auto"/>
              <w:rPr>
                <w:rFonts w:hint="eastAsia" w:ascii="宋体" w:hAnsi="宋体" w:cs="宋体"/>
                <w:sz w:val="24"/>
                <w:szCs w:val="24"/>
              </w:rPr>
            </w:pPr>
            <w:r>
              <w:rPr>
                <w:rFonts w:hint="eastAsia" w:ascii="宋体" w:hAnsi="宋体" w:cs="宋体"/>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22AAA6BF">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auto" w:sz="4" w:space="0"/>
              <w:right w:val="single" w:color="000000" w:sz="6" w:space="0"/>
            </w:tcBorders>
            <w:vAlign w:val="center"/>
          </w:tcPr>
          <w:p w14:paraId="514732E5">
            <w:pPr>
              <w:spacing w:line="360" w:lineRule="auto"/>
              <w:rPr>
                <w:rFonts w:hint="eastAsia" w:ascii="宋体" w:hAnsi="宋体" w:cs="宋体"/>
                <w:sz w:val="24"/>
                <w:szCs w:val="24"/>
              </w:rPr>
            </w:pPr>
            <w:r>
              <w:rPr>
                <w:rFonts w:hint="eastAsia" w:ascii="宋体" w:hAnsi="宋体" w:cs="宋体"/>
                <w:sz w:val="24"/>
                <w:szCs w:val="24"/>
              </w:rPr>
              <w:t>9</w:t>
            </w:r>
          </w:p>
        </w:tc>
        <w:tc>
          <w:tcPr>
            <w:tcW w:w="2689" w:type="dxa"/>
            <w:tcBorders>
              <w:top w:val="single" w:color="000000" w:sz="6" w:space="0"/>
              <w:left w:val="single" w:color="000000" w:sz="6" w:space="0"/>
              <w:bottom w:val="single" w:color="auto" w:sz="4" w:space="0"/>
              <w:right w:val="single" w:color="000000" w:sz="6" w:space="0"/>
            </w:tcBorders>
            <w:vAlign w:val="center"/>
          </w:tcPr>
          <w:p w14:paraId="5524ECBC">
            <w:pPr>
              <w:spacing w:line="360" w:lineRule="auto"/>
              <w:rPr>
                <w:rFonts w:hint="eastAsia" w:ascii="宋体" w:hAnsi="宋体" w:cs="宋体"/>
                <w:sz w:val="24"/>
                <w:szCs w:val="24"/>
              </w:rPr>
            </w:pPr>
            <w:r>
              <w:rPr>
                <w:rFonts w:hint="eastAsia" w:ascii="宋体" w:hAnsi="宋体" w:cs="宋体"/>
                <w:sz w:val="24"/>
                <w:szCs w:val="24"/>
              </w:rPr>
              <w:t>投标有效期</w:t>
            </w:r>
          </w:p>
        </w:tc>
        <w:tc>
          <w:tcPr>
            <w:tcW w:w="6642" w:type="dxa"/>
            <w:tcBorders>
              <w:top w:val="single" w:color="000000" w:sz="6" w:space="0"/>
              <w:left w:val="single" w:color="000000" w:sz="6" w:space="0"/>
              <w:bottom w:val="single" w:color="000000" w:sz="6" w:space="0"/>
              <w:right w:val="double" w:color="000000" w:sz="4" w:space="0"/>
            </w:tcBorders>
            <w:vAlign w:val="center"/>
          </w:tcPr>
          <w:p w14:paraId="285753B2">
            <w:pPr>
              <w:spacing w:line="360" w:lineRule="auto"/>
              <w:rPr>
                <w:rFonts w:hint="eastAsia" w:ascii="宋体" w:hAnsi="宋体" w:cs="宋体"/>
                <w:sz w:val="24"/>
                <w:szCs w:val="24"/>
              </w:rPr>
            </w:pPr>
            <w:r>
              <w:rPr>
                <w:rFonts w:hint="eastAsia" w:ascii="宋体" w:hAnsi="宋体" w:cs="宋体"/>
                <w:sz w:val="24"/>
                <w:szCs w:val="24"/>
              </w:rPr>
              <w:t>90日历天</w:t>
            </w:r>
          </w:p>
        </w:tc>
      </w:tr>
      <w:tr w14:paraId="660E26F7">
        <w:tblPrEx>
          <w:tblCellMar>
            <w:top w:w="0" w:type="dxa"/>
            <w:left w:w="108" w:type="dxa"/>
            <w:bottom w:w="0" w:type="dxa"/>
            <w:right w:w="108" w:type="dxa"/>
          </w:tblCellMar>
        </w:tblPrEx>
        <w:trPr>
          <w:trHeight w:val="1072" w:hRule="atLeast"/>
          <w:jc w:val="center"/>
        </w:trPr>
        <w:tc>
          <w:tcPr>
            <w:tcW w:w="874" w:type="dxa"/>
            <w:tcBorders>
              <w:top w:val="single" w:color="auto" w:sz="4" w:space="0"/>
              <w:left w:val="single" w:color="auto" w:sz="4" w:space="0"/>
              <w:bottom w:val="single" w:color="auto" w:sz="4" w:space="0"/>
              <w:right w:val="single" w:color="000000" w:sz="6" w:space="0"/>
            </w:tcBorders>
            <w:vAlign w:val="center"/>
          </w:tcPr>
          <w:p w14:paraId="2EAB093A">
            <w:pPr>
              <w:spacing w:line="360" w:lineRule="auto"/>
              <w:rPr>
                <w:rFonts w:hint="eastAsia" w:ascii="宋体" w:hAnsi="宋体" w:cs="宋体"/>
                <w:sz w:val="24"/>
                <w:szCs w:val="24"/>
              </w:rPr>
            </w:pPr>
            <w:r>
              <w:rPr>
                <w:rFonts w:hint="eastAsia" w:ascii="宋体" w:hAnsi="宋体" w:cs="宋体"/>
                <w:sz w:val="24"/>
                <w:szCs w:val="24"/>
              </w:rPr>
              <w:t>10</w:t>
            </w:r>
          </w:p>
        </w:tc>
        <w:tc>
          <w:tcPr>
            <w:tcW w:w="2689" w:type="dxa"/>
            <w:tcBorders>
              <w:top w:val="single" w:color="auto" w:sz="4" w:space="0"/>
              <w:left w:val="single" w:color="000000" w:sz="6" w:space="0"/>
              <w:bottom w:val="single" w:color="auto" w:sz="4" w:space="0"/>
              <w:right w:val="single" w:color="auto" w:sz="4" w:space="0"/>
            </w:tcBorders>
            <w:vAlign w:val="center"/>
          </w:tcPr>
          <w:p w14:paraId="47F3C454">
            <w:pPr>
              <w:spacing w:line="360" w:lineRule="auto"/>
              <w:rPr>
                <w:rFonts w:hint="eastAsia" w:ascii="宋体" w:hAnsi="宋体" w:cs="宋体"/>
                <w:sz w:val="24"/>
                <w:szCs w:val="24"/>
              </w:rPr>
            </w:pPr>
            <w:r>
              <w:rPr>
                <w:rFonts w:hint="eastAsia" w:ascii="宋体" w:hAnsi="宋体" w:cs="宋体"/>
                <w:sz w:val="24"/>
                <w:szCs w:val="24"/>
              </w:rPr>
              <w:t>电子投标要求</w:t>
            </w:r>
          </w:p>
          <w:p w14:paraId="2BBBCB2C">
            <w:pPr>
              <w:spacing w:line="360" w:lineRule="auto"/>
              <w:rPr>
                <w:rFonts w:hint="eastAsia" w:ascii="宋体" w:hAnsi="宋体" w:cs="宋体"/>
                <w:sz w:val="24"/>
                <w:szCs w:val="24"/>
              </w:rPr>
            </w:pPr>
          </w:p>
        </w:tc>
        <w:tc>
          <w:tcPr>
            <w:tcW w:w="6642" w:type="dxa"/>
            <w:tcBorders>
              <w:top w:val="single" w:color="000000" w:sz="6" w:space="0"/>
              <w:left w:val="single" w:color="auto" w:sz="4" w:space="0"/>
              <w:bottom w:val="single" w:color="000000" w:sz="6" w:space="0"/>
              <w:right w:val="double" w:color="000000" w:sz="4" w:space="0"/>
            </w:tcBorders>
            <w:vAlign w:val="center"/>
          </w:tcPr>
          <w:p w14:paraId="7FFAE334">
            <w:pPr>
              <w:spacing w:line="360" w:lineRule="auto"/>
              <w:rPr>
                <w:rFonts w:hint="eastAsia" w:ascii="宋体" w:hAnsi="宋体" w:cs="宋体"/>
                <w:b/>
                <w:bCs/>
                <w:sz w:val="24"/>
                <w:szCs w:val="24"/>
              </w:rPr>
            </w:pPr>
            <w:r>
              <w:rPr>
                <w:rFonts w:hint="eastAsia" w:ascii="宋体" w:hAnsi="宋体" w:cs="宋体"/>
                <w:b/>
                <w:bCs/>
                <w:sz w:val="24"/>
                <w:szCs w:val="24"/>
              </w:rPr>
              <w:t>（1）投标人提交加密的电子投标文件（wenc 格式） 1 份 ，须在提交投标文件截止时间前成功上传至海南省政府采购电子化交易管理系统(新)（www.ccgp-hainan.gov.cn）。逾期上传或者错误方式上传的投标文件，视为无效投标文件。</w:t>
            </w:r>
          </w:p>
          <w:p w14:paraId="25E01858">
            <w:pPr>
              <w:spacing w:line="360" w:lineRule="auto"/>
              <w:rPr>
                <w:rFonts w:hint="eastAsia" w:ascii="宋体" w:hAnsi="宋体" w:cs="宋体"/>
                <w:b/>
                <w:bCs/>
                <w:sz w:val="24"/>
                <w:szCs w:val="24"/>
              </w:rPr>
            </w:pPr>
            <w:r>
              <w:rPr>
                <w:rFonts w:hint="eastAsia" w:ascii="宋体" w:hAnsi="宋体" w:cs="宋体"/>
                <w:b/>
                <w:bCs/>
                <w:sz w:val="24"/>
                <w:szCs w:val="24"/>
              </w:rPr>
              <w:t>（2）远程开标（签到）倒计时结束前投标人须在签到页面进行电子签章。投标人未按时签到的，作为无效投标处理，建议投标人提前30分钟进入开标大厅做准备。检查系统环境及签章工具情况。</w:t>
            </w:r>
          </w:p>
          <w:p w14:paraId="379E2AB1">
            <w:pPr>
              <w:spacing w:line="360" w:lineRule="auto"/>
              <w:rPr>
                <w:rFonts w:hint="eastAsia" w:ascii="宋体" w:hAnsi="宋体" w:cs="宋体"/>
                <w:b/>
                <w:bCs/>
                <w:sz w:val="24"/>
                <w:szCs w:val="24"/>
              </w:rPr>
            </w:pPr>
            <w:r>
              <w:rPr>
                <w:rFonts w:hint="eastAsia" w:ascii="宋体" w:hAnsi="宋体" w:cs="宋体"/>
                <w:b/>
                <w:bCs/>
                <w:sz w:val="24"/>
                <w:szCs w:val="24"/>
              </w:rPr>
              <w:t>（3）投标人完成签到后，代理机构【发起解密】，设定解密时长（不少于20分钟），显示解密倒计时，投标人在规定时间内自行解密，规定时间内未解密成功的投标人，视为投标无效。</w:t>
            </w:r>
          </w:p>
          <w:p w14:paraId="466C92CB">
            <w:pPr>
              <w:spacing w:line="360" w:lineRule="auto"/>
              <w:rPr>
                <w:rFonts w:hint="eastAsia" w:ascii="宋体" w:hAnsi="宋体" w:cs="宋体"/>
                <w:sz w:val="24"/>
                <w:szCs w:val="24"/>
              </w:rPr>
            </w:pPr>
            <w:r>
              <w:rPr>
                <w:rFonts w:hint="eastAsia" w:ascii="宋体" w:hAnsi="宋体" w:cs="宋体"/>
                <w:b/>
                <w:bCs/>
                <w:sz w:val="24"/>
                <w:szCs w:val="24"/>
              </w:rPr>
              <w:t>（4）代理机构发起开标结果确认后，投标人须进入开标结果页面进行电子签章，确认成功，等待评标。</w:t>
            </w:r>
          </w:p>
        </w:tc>
      </w:tr>
      <w:tr w14:paraId="5235720E">
        <w:tblPrEx>
          <w:tblCellMar>
            <w:top w:w="0" w:type="dxa"/>
            <w:left w:w="108" w:type="dxa"/>
            <w:bottom w:w="0" w:type="dxa"/>
            <w:right w:w="108" w:type="dxa"/>
          </w:tblCellMar>
        </w:tblPrEx>
        <w:trPr>
          <w:trHeight w:val="551" w:hRule="atLeast"/>
          <w:jc w:val="center"/>
        </w:trPr>
        <w:tc>
          <w:tcPr>
            <w:tcW w:w="874" w:type="dxa"/>
            <w:tcBorders>
              <w:top w:val="single" w:color="auto" w:sz="4" w:space="0"/>
              <w:left w:val="double" w:color="000000" w:sz="4" w:space="0"/>
              <w:bottom w:val="single" w:color="000000" w:sz="6" w:space="0"/>
              <w:right w:val="single" w:color="000000" w:sz="6" w:space="0"/>
            </w:tcBorders>
            <w:vAlign w:val="center"/>
          </w:tcPr>
          <w:p w14:paraId="39F4F65B">
            <w:pPr>
              <w:spacing w:line="360" w:lineRule="auto"/>
              <w:rPr>
                <w:rFonts w:hint="eastAsia" w:ascii="宋体" w:hAnsi="宋体" w:cs="宋体"/>
                <w:sz w:val="24"/>
                <w:szCs w:val="24"/>
              </w:rPr>
            </w:pPr>
            <w:r>
              <w:rPr>
                <w:rFonts w:hint="eastAsia" w:ascii="宋体" w:hAnsi="宋体" w:cs="宋体"/>
                <w:sz w:val="24"/>
                <w:szCs w:val="24"/>
              </w:rPr>
              <w:t>11</w:t>
            </w:r>
          </w:p>
        </w:tc>
        <w:tc>
          <w:tcPr>
            <w:tcW w:w="2689" w:type="dxa"/>
            <w:tcBorders>
              <w:top w:val="single" w:color="auto" w:sz="4" w:space="0"/>
              <w:left w:val="single" w:color="000000" w:sz="6" w:space="0"/>
              <w:bottom w:val="single" w:color="000000" w:sz="6" w:space="0"/>
              <w:right w:val="single" w:color="000000" w:sz="6" w:space="0"/>
            </w:tcBorders>
            <w:vAlign w:val="center"/>
          </w:tcPr>
          <w:p w14:paraId="55DB31EB">
            <w:pPr>
              <w:spacing w:line="360" w:lineRule="auto"/>
              <w:rPr>
                <w:rFonts w:hint="eastAsia" w:ascii="宋体" w:hAnsi="宋体" w:cs="宋体"/>
                <w:sz w:val="24"/>
                <w:szCs w:val="24"/>
              </w:rPr>
            </w:pPr>
            <w:r>
              <w:rPr>
                <w:rFonts w:hint="eastAsia" w:ascii="宋体" w:hAnsi="宋体" w:cs="宋体"/>
                <w:sz w:val="24"/>
                <w:szCs w:val="24"/>
              </w:rPr>
              <w:t xml:space="preserve"> 投标保证金</w:t>
            </w:r>
          </w:p>
        </w:tc>
        <w:tc>
          <w:tcPr>
            <w:tcW w:w="6642" w:type="dxa"/>
            <w:tcBorders>
              <w:top w:val="single" w:color="000000" w:sz="6" w:space="0"/>
              <w:left w:val="single" w:color="000000" w:sz="6" w:space="0"/>
              <w:bottom w:val="single" w:color="000000" w:sz="6" w:space="0"/>
              <w:right w:val="double" w:color="000000" w:sz="4" w:space="0"/>
            </w:tcBorders>
            <w:vAlign w:val="center"/>
          </w:tcPr>
          <w:p w14:paraId="152E93EA">
            <w:pPr>
              <w:spacing w:line="360" w:lineRule="auto"/>
              <w:rPr>
                <w:rFonts w:hint="eastAsia" w:ascii="宋体" w:hAnsi="宋体" w:cs="宋体"/>
                <w:sz w:val="24"/>
                <w:szCs w:val="24"/>
              </w:rPr>
            </w:pPr>
            <w:r>
              <w:rPr>
                <w:rFonts w:hint="eastAsia" w:ascii="宋体" w:hAnsi="宋体" w:cs="宋体"/>
                <w:sz w:val="24"/>
                <w:szCs w:val="24"/>
              </w:rPr>
              <w:t>本项目不收取投标保证金</w:t>
            </w:r>
          </w:p>
          <w:p w14:paraId="49680623">
            <w:pPr>
              <w:spacing w:line="360" w:lineRule="auto"/>
              <w:rPr>
                <w:rFonts w:hint="eastAsia" w:ascii="宋体" w:hAnsi="宋体" w:cs="宋体"/>
                <w:sz w:val="24"/>
                <w:szCs w:val="24"/>
              </w:rPr>
            </w:pPr>
            <w:r>
              <w:rPr>
                <w:rFonts w:hint="eastAsia" w:ascii="宋体" w:hAnsi="宋体" w:cs="宋体"/>
                <w:sz w:val="24"/>
                <w:szCs w:val="24"/>
              </w:rPr>
              <w:t>采购文件中关于投标保证金的要求不适用于本项目</w:t>
            </w:r>
          </w:p>
        </w:tc>
      </w:tr>
      <w:tr w14:paraId="662C0B9C">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333BECD3">
            <w:pPr>
              <w:spacing w:line="360" w:lineRule="auto"/>
              <w:rPr>
                <w:rFonts w:hint="eastAsia" w:ascii="宋体" w:hAnsi="宋体" w:cs="宋体"/>
                <w:sz w:val="24"/>
                <w:szCs w:val="24"/>
              </w:rPr>
            </w:pPr>
            <w:r>
              <w:rPr>
                <w:rFonts w:hint="eastAsia" w:ascii="宋体" w:hAnsi="宋体" w:cs="宋体"/>
                <w:sz w:val="24"/>
                <w:szCs w:val="24"/>
              </w:rPr>
              <w:t>12</w:t>
            </w:r>
          </w:p>
        </w:tc>
        <w:tc>
          <w:tcPr>
            <w:tcW w:w="2689" w:type="dxa"/>
            <w:tcBorders>
              <w:top w:val="single" w:color="000000" w:sz="6" w:space="0"/>
              <w:left w:val="single" w:color="000000" w:sz="6" w:space="0"/>
              <w:bottom w:val="single" w:color="000000" w:sz="6" w:space="0"/>
              <w:right w:val="single" w:color="000000" w:sz="6" w:space="0"/>
            </w:tcBorders>
            <w:vAlign w:val="center"/>
          </w:tcPr>
          <w:p w14:paraId="56B1A7A9">
            <w:pPr>
              <w:spacing w:line="360" w:lineRule="auto"/>
              <w:rPr>
                <w:rFonts w:hint="eastAsia" w:ascii="宋体" w:hAnsi="宋体" w:cs="宋体"/>
                <w:sz w:val="24"/>
                <w:szCs w:val="24"/>
              </w:rPr>
            </w:pPr>
            <w:r>
              <w:rPr>
                <w:rFonts w:hint="eastAsia" w:ascii="宋体" w:hAnsi="宋体" w:cs="宋体"/>
                <w:sz w:val="24"/>
                <w:szCs w:val="24"/>
              </w:rPr>
              <w:t>采购信息发布媒体</w:t>
            </w:r>
          </w:p>
        </w:tc>
        <w:tc>
          <w:tcPr>
            <w:tcW w:w="6642" w:type="dxa"/>
            <w:tcBorders>
              <w:top w:val="single" w:color="000000" w:sz="6" w:space="0"/>
              <w:left w:val="single" w:color="000000" w:sz="6" w:space="0"/>
              <w:bottom w:val="single" w:color="000000" w:sz="6" w:space="0"/>
              <w:right w:val="double" w:color="000000" w:sz="4" w:space="0"/>
            </w:tcBorders>
            <w:vAlign w:val="center"/>
          </w:tcPr>
          <w:p w14:paraId="56274AB4">
            <w:pPr>
              <w:spacing w:line="360" w:lineRule="auto"/>
              <w:rPr>
                <w:rFonts w:hint="eastAsia" w:ascii="宋体" w:hAnsi="宋体" w:cs="宋体"/>
                <w:sz w:val="24"/>
                <w:szCs w:val="24"/>
              </w:rPr>
            </w:pPr>
            <w:r>
              <w:rPr>
                <w:rFonts w:hint="eastAsia" w:ascii="宋体" w:hAnsi="宋体" w:cs="宋体"/>
                <w:sz w:val="24"/>
                <w:szCs w:val="24"/>
              </w:rPr>
              <w:t>海南省政府采购网</w:t>
            </w:r>
          </w:p>
        </w:tc>
      </w:tr>
      <w:tr w14:paraId="48D692F0">
        <w:tblPrEx>
          <w:tblCellMar>
            <w:top w:w="0" w:type="dxa"/>
            <w:left w:w="108" w:type="dxa"/>
            <w:bottom w:w="0" w:type="dxa"/>
            <w:right w:w="108" w:type="dxa"/>
          </w:tblCellMar>
        </w:tblPrEx>
        <w:trPr>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1634F60F">
            <w:pPr>
              <w:spacing w:line="360" w:lineRule="auto"/>
              <w:rPr>
                <w:rFonts w:hint="eastAsia" w:ascii="宋体" w:hAnsi="宋体" w:cs="宋体"/>
                <w:sz w:val="24"/>
                <w:szCs w:val="24"/>
              </w:rPr>
            </w:pPr>
            <w:r>
              <w:rPr>
                <w:rFonts w:hint="eastAsia" w:ascii="宋体" w:hAnsi="宋体" w:cs="宋体"/>
                <w:sz w:val="24"/>
                <w:szCs w:val="24"/>
              </w:rPr>
              <w:t>四、投标文件的递交</w:t>
            </w:r>
          </w:p>
        </w:tc>
      </w:tr>
      <w:tr w14:paraId="40F2C801">
        <w:tblPrEx>
          <w:tblCellMar>
            <w:top w:w="0" w:type="dxa"/>
            <w:left w:w="108" w:type="dxa"/>
            <w:bottom w:w="0" w:type="dxa"/>
            <w:right w:w="108" w:type="dxa"/>
          </w:tblCellMar>
        </w:tblPrEx>
        <w:trPr>
          <w:trHeight w:val="90" w:hRule="atLeast"/>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34A94F5E">
            <w:pPr>
              <w:spacing w:line="360" w:lineRule="auto"/>
              <w:rPr>
                <w:rFonts w:hint="eastAsia" w:ascii="宋体" w:hAnsi="宋体" w:cs="宋体"/>
                <w:sz w:val="24"/>
                <w:szCs w:val="24"/>
              </w:rPr>
            </w:pPr>
            <w:r>
              <w:rPr>
                <w:rFonts w:hint="eastAsia" w:ascii="宋体" w:hAnsi="宋体" w:cs="宋体"/>
                <w:sz w:val="24"/>
                <w:szCs w:val="24"/>
              </w:rPr>
              <w:t>13</w:t>
            </w:r>
          </w:p>
        </w:tc>
        <w:tc>
          <w:tcPr>
            <w:tcW w:w="2689" w:type="dxa"/>
            <w:tcBorders>
              <w:top w:val="single" w:color="000000" w:sz="6" w:space="0"/>
              <w:left w:val="single" w:color="000000" w:sz="6" w:space="0"/>
              <w:bottom w:val="single" w:color="000000" w:sz="6" w:space="0"/>
              <w:right w:val="single" w:color="000000" w:sz="6" w:space="0"/>
            </w:tcBorders>
            <w:vAlign w:val="center"/>
          </w:tcPr>
          <w:p w14:paraId="3246F539">
            <w:pPr>
              <w:spacing w:line="360" w:lineRule="auto"/>
              <w:jc w:val="center"/>
              <w:rPr>
                <w:rFonts w:hint="eastAsia" w:ascii="宋体" w:hAnsi="宋体" w:cs="宋体"/>
                <w:sz w:val="24"/>
                <w:szCs w:val="24"/>
              </w:rPr>
            </w:pPr>
            <w:r>
              <w:rPr>
                <w:rFonts w:hint="eastAsia" w:ascii="宋体" w:hAnsi="宋体" w:cs="宋体"/>
                <w:b/>
                <w:bCs/>
                <w:sz w:val="24"/>
                <w:szCs w:val="24"/>
              </w:rPr>
              <w:t>签字或盖章要求</w:t>
            </w:r>
          </w:p>
        </w:tc>
        <w:tc>
          <w:tcPr>
            <w:tcW w:w="6642" w:type="dxa"/>
            <w:tcBorders>
              <w:top w:val="single" w:color="000000" w:sz="6" w:space="0"/>
              <w:left w:val="single" w:color="000000" w:sz="6" w:space="0"/>
              <w:bottom w:val="single" w:color="000000" w:sz="6" w:space="0"/>
              <w:right w:val="double" w:color="000000" w:sz="4" w:space="0"/>
            </w:tcBorders>
            <w:vAlign w:val="center"/>
          </w:tcPr>
          <w:p w14:paraId="061D9E18">
            <w:pPr>
              <w:spacing w:line="360" w:lineRule="auto"/>
              <w:rPr>
                <w:rFonts w:hint="eastAsia" w:ascii="宋体" w:hAnsi="宋体" w:cs="宋体"/>
                <w:b/>
                <w:bCs/>
                <w:sz w:val="24"/>
                <w:szCs w:val="24"/>
              </w:rPr>
            </w:pPr>
            <w:r>
              <w:rPr>
                <w:rFonts w:hint="eastAsia" w:ascii="宋体" w:hAnsi="宋体" w:cs="宋体"/>
                <w:b/>
                <w:bCs/>
                <w:sz w:val="24"/>
                <w:szCs w:val="24"/>
              </w:rPr>
              <w:t>1、投标文件应由投标人的法定代表人或其委托代理人签字或盖单位公章。没有签字或加盖单位公章的投标文件将被拒绝。由委托代理人签字的，投标文件中应附有法定代表人授权书。</w:t>
            </w:r>
          </w:p>
          <w:p w14:paraId="1ABFBAB9">
            <w:pPr>
              <w:spacing w:line="360" w:lineRule="auto"/>
              <w:rPr>
                <w:rFonts w:hint="eastAsia" w:ascii="宋体" w:hAnsi="宋体" w:cs="宋体"/>
                <w:b/>
                <w:bCs/>
                <w:sz w:val="24"/>
                <w:szCs w:val="24"/>
              </w:rPr>
            </w:pPr>
            <w:r>
              <w:rPr>
                <w:rFonts w:hint="eastAsia" w:ascii="宋体" w:hAnsi="宋体" w:cs="宋体"/>
                <w:b/>
                <w:bCs/>
                <w:sz w:val="24"/>
                <w:szCs w:val="24"/>
              </w:rPr>
              <w:t>2、盖章要求：使用 CA 锁在投标文件制作工具中逐页加盖单位公章，投标文件格式中明确要求投标人盖章之处，必须加盖单位电子印章（公章）；</w:t>
            </w:r>
          </w:p>
          <w:p w14:paraId="7750AC75">
            <w:pPr>
              <w:spacing w:line="360" w:lineRule="auto"/>
              <w:rPr>
                <w:rFonts w:hint="eastAsia" w:ascii="宋体" w:hAnsi="宋体" w:cs="宋体"/>
                <w:b/>
                <w:bCs/>
                <w:sz w:val="24"/>
                <w:szCs w:val="24"/>
              </w:rPr>
            </w:pPr>
            <w:r>
              <w:rPr>
                <w:rFonts w:hint="eastAsia" w:ascii="宋体" w:hAnsi="宋体" w:cs="宋体"/>
                <w:b/>
                <w:bCs/>
                <w:sz w:val="24"/>
                <w:szCs w:val="24"/>
              </w:rPr>
              <w:t>3、签字以下四种形式之一均有效：</w:t>
            </w:r>
          </w:p>
          <w:p w14:paraId="38FCEB8C">
            <w:pPr>
              <w:spacing w:line="360" w:lineRule="auto"/>
              <w:rPr>
                <w:rFonts w:hint="eastAsia" w:ascii="宋体" w:hAnsi="宋体" w:cs="宋体"/>
                <w:b/>
                <w:bCs/>
                <w:sz w:val="24"/>
                <w:szCs w:val="24"/>
              </w:rPr>
            </w:pPr>
            <w:r>
              <w:rPr>
                <w:rFonts w:hint="eastAsia" w:ascii="宋体" w:hAnsi="宋体" w:cs="宋体"/>
                <w:b/>
                <w:bCs/>
                <w:sz w:val="24"/>
                <w:szCs w:val="24"/>
              </w:rPr>
              <w:t>（1）投标文件制作工具中加盖签名章或签字章；</w:t>
            </w:r>
          </w:p>
          <w:p w14:paraId="009075EB">
            <w:pPr>
              <w:spacing w:line="360" w:lineRule="auto"/>
              <w:rPr>
                <w:rFonts w:hint="eastAsia" w:ascii="宋体" w:hAnsi="宋体" w:cs="宋体"/>
                <w:b/>
                <w:bCs/>
                <w:sz w:val="24"/>
                <w:szCs w:val="24"/>
              </w:rPr>
            </w:pPr>
            <w:r>
              <w:rPr>
                <w:rFonts w:hint="eastAsia" w:ascii="宋体" w:hAnsi="宋体" w:cs="宋体"/>
                <w:b/>
                <w:bCs/>
                <w:sz w:val="24"/>
                <w:szCs w:val="24"/>
              </w:rPr>
              <w:t>（2）投标文件制作工具中使用“手写签名”签字；</w:t>
            </w:r>
          </w:p>
          <w:p w14:paraId="13EF85C4">
            <w:pPr>
              <w:spacing w:line="360" w:lineRule="auto"/>
              <w:rPr>
                <w:rFonts w:hint="eastAsia" w:ascii="宋体" w:hAnsi="宋体" w:cs="宋体"/>
                <w:b/>
                <w:bCs/>
                <w:sz w:val="24"/>
                <w:szCs w:val="24"/>
              </w:rPr>
            </w:pPr>
            <w:r>
              <w:rPr>
                <w:rFonts w:hint="eastAsia" w:ascii="宋体" w:hAnsi="宋体" w:cs="宋体"/>
                <w:b/>
                <w:bCs/>
                <w:sz w:val="24"/>
                <w:szCs w:val="24"/>
              </w:rPr>
              <w:t>（3）投标文件打印为文本签字后扫描上传；</w:t>
            </w:r>
          </w:p>
          <w:p w14:paraId="39207FCD">
            <w:pPr>
              <w:spacing w:line="360" w:lineRule="auto"/>
              <w:rPr>
                <w:rFonts w:hint="eastAsia" w:ascii="宋体" w:hAnsi="宋体" w:cs="宋体"/>
                <w:sz w:val="24"/>
                <w:szCs w:val="24"/>
              </w:rPr>
            </w:pPr>
            <w:r>
              <w:rPr>
                <w:rFonts w:hint="eastAsia" w:ascii="宋体" w:hAnsi="宋体" w:cs="宋体"/>
                <w:b/>
                <w:bCs/>
                <w:sz w:val="24"/>
                <w:szCs w:val="24"/>
              </w:rPr>
              <w:t>（4）投标文件打印文本盖签名章或签字章后扫描上传。</w:t>
            </w:r>
          </w:p>
        </w:tc>
      </w:tr>
      <w:tr w14:paraId="2AD264D4">
        <w:tblPrEx>
          <w:tblCellMar>
            <w:top w:w="0" w:type="dxa"/>
            <w:left w:w="108" w:type="dxa"/>
            <w:bottom w:w="0" w:type="dxa"/>
            <w:right w:w="108" w:type="dxa"/>
          </w:tblCellMar>
        </w:tblPrEx>
        <w:trPr>
          <w:trHeight w:val="595" w:hRule="atLeast"/>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38482905">
            <w:pPr>
              <w:spacing w:line="360" w:lineRule="auto"/>
              <w:rPr>
                <w:rFonts w:hint="eastAsia" w:ascii="宋体" w:hAnsi="宋体" w:cs="宋体"/>
                <w:sz w:val="24"/>
                <w:szCs w:val="24"/>
              </w:rPr>
            </w:pPr>
            <w:r>
              <w:rPr>
                <w:rFonts w:hint="eastAsia" w:ascii="宋体" w:hAnsi="宋体" w:cs="宋体"/>
                <w:sz w:val="24"/>
                <w:szCs w:val="24"/>
              </w:rPr>
              <w:t>五、开标</w:t>
            </w:r>
          </w:p>
        </w:tc>
      </w:tr>
      <w:tr w14:paraId="4DF20A87">
        <w:tblPrEx>
          <w:tblCellMar>
            <w:top w:w="0" w:type="dxa"/>
            <w:left w:w="108" w:type="dxa"/>
            <w:bottom w:w="0" w:type="dxa"/>
            <w:right w:w="108" w:type="dxa"/>
          </w:tblCellMar>
        </w:tblPrEx>
        <w:trPr>
          <w:jc w:val="center"/>
        </w:trPr>
        <w:tc>
          <w:tcPr>
            <w:tcW w:w="874" w:type="dxa"/>
            <w:vMerge w:val="restart"/>
            <w:tcBorders>
              <w:top w:val="single" w:color="000000" w:sz="6" w:space="0"/>
              <w:left w:val="double" w:color="000000" w:sz="4" w:space="0"/>
              <w:right w:val="single" w:color="000000" w:sz="6" w:space="0"/>
            </w:tcBorders>
            <w:vAlign w:val="center"/>
          </w:tcPr>
          <w:p w14:paraId="0A5D0234">
            <w:pPr>
              <w:spacing w:line="360" w:lineRule="auto"/>
              <w:rPr>
                <w:rFonts w:hint="eastAsia" w:ascii="宋体" w:hAnsi="宋体" w:cs="宋体"/>
                <w:sz w:val="24"/>
                <w:szCs w:val="24"/>
              </w:rPr>
            </w:pPr>
            <w:r>
              <w:rPr>
                <w:rFonts w:hint="eastAsia" w:ascii="宋体" w:hAnsi="宋体" w:cs="宋体"/>
                <w:sz w:val="24"/>
                <w:szCs w:val="24"/>
              </w:rPr>
              <w:t>14</w:t>
            </w:r>
          </w:p>
        </w:tc>
        <w:tc>
          <w:tcPr>
            <w:tcW w:w="2689" w:type="dxa"/>
            <w:tcBorders>
              <w:top w:val="single" w:color="000000" w:sz="6" w:space="0"/>
              <w:left w:val="single" w:color="000000" w:sz="6" w:space="0"/>
              <w:bottom w:val="single" w:color="000000" w:sz="6" w:space="0"/>
              <w:right w:val="single" w:color="000000" w:sz="6" w:space="0"/>
            </w:tcBorders>
            <w:vAlign w:val="center"/>
          </w:tcPr>
          <w:p w14:paraId="07C3C0C0">
            <w:pPr>
              <w:spacing w:line="360" w:lineRule="auto"/>
              <w:jc w:val="center"/>
              <w:rPr>
                <w:rFonts w:hint="eastAsia" w:ascii="宋体" w:hAnsi="宋体" w:cs="宋体"/>
                <w:sz w:val="24"/>
                <w:szCs w:val="24"/>
              </w:rPr>
            </w:pPr>
            <w:r>
              <w:rPr>
                <w:rFonts w:hint="eastAsia" w:ascii="宋体" w:hAnsi="宋体" w:cs="宋体"/>
                <w:sz w:val="24"/>
                <w:szCs w:val="24"/>
              </w:rPr>
              <w:t>本项目是否远程不见面开标</w:t>
            </w:r>
          </w:p>
        </w:tc>
        <w:tc>
          <w:tcPr>
            <w:tcW w:w="6642" w:type="dxa"/>
            <w:tcBorders>
              <w:top w:val="single" w:color="000000" w:sz="6" w:space="0"/>
              <w:left w:val="single" w:color="000000" w:sz="6" w:space="0"/>
              <w:bottom w:val="single" w:color="000000" w:sz="6" w:space="0"/>
              <w:right w:val="double" w:color="000000" w:sz="4" w:space="0"/>
            </w:tcBorders>
            <w:vAlign w:val="center"/>
          </w:tcPr>
          <w:p w14:paraId="1ACD28B0">
            <w:pPr>
              <w:spacing w:before="156" w:beforeLines="50" w:line="360" w:lineRule="auto"/>
              <w:rPr>
                <w:rFonts w:hint="eastAsia" w:ascii="宋体" w:hAnsi="宋体" w:cs="宋体"/>
                <w:sz w:val="24"/>
                <w:szCs w:val="24"/>
              </w:rPr>
            </w:pPr>
            <w:r>
              <w:rPr>
                <w:rFonts w:hint="eastAsia" w:ascii="宋体" w:hAnsi="宋体" w:cs="宋体"/>
                <w:sz w:val="24"/>
                <w:szCs w:val="24"/>
              </w:rPr>
              <w:sym w:font="Wingdings 2" w:char="F052"/>
            </w:r>
            <w:r>
              <w:rPr>
                <w:rFonts w:hint="eastAsia" w:ascii="宋体" w:hAnsi="宋体" w:cs="宋体"/>
                <w:sz w:val="24"/>
                <w:szCs w:val="24"/>
              </w:rPr>
              <w:t xml:space="preserve">是     </w:t>
            </w:r>
            <w:r>
              <w:rPr>
                <w:rFonts w:hint="eastAsia" w:ascii="宋体" w:hAnsi="宋体" w:cs="宋体"/>
                <w:sz w:val="24"/>
                <w:szCs w:val="24"/>
              </w:rPr>
              <w:sym w:font="Wingdings 2" w:char="F0A3"/>
            </w:r>
            <w:r>
              <w:rPr>
                <w:rFonts w:hint="eastAsia" w:ascii="宋体" w:hAnsi="宋体" w:cs="宋体"/>
                <w:kern w:val="2"/>
                <w:sz w:val="24"/>
                <w:szCs w:val="24"/>
              </w:rPr>
              <w:t xml:space="preserve">否 </w:t>
            </w:r>
          </w:p>
        </w:tc>
      </w:tr>
      <w:tr w14:paraId="3A1CAEB5">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0FA820F4">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1155894F">
            <w:pPr>
              <w:spacing w:line="360" w:lineRule="auto"/>
              <w:jc w:val="center"/>
              <w:rPr>
                <w:rFonts w:hint="eastAsia" w:ascii="宋体" w:hAnsi="宋体" w:cs="宋体"/>
                <w:kern w:val="2"/>
                <w:sz w:val="24"/>
                <w:szCs w:val="24"/>
              </w:rPr>
            </w:pPr>
            <w:r>
              <w:rPr>
                <w:rFonts w:hint="eastAsia" w:ascii="宋体" w:hAnsi="宋体" w:cs="宋体"/>
                <w:sz w:val="24"/>
                <w:szCs w:val="24"/>
              </w:rPr>
              <w:t>开标时间和地点</w:t>
            </w:r>
          </w:p>
        </w:tc>
        <w:tc>
          <w:tcPr>
            <w:tcW w:w="6642" w:type="dxa"/>
            <w:tcBorders>
              <w:top w:val="single" w:color="000000" w:sz="6" w:space="0"/>
              <w:left w:val="single" w:color="000000" w:sz="6" w:space="0"/>
              <w:bottom w:val="single" w:color="000000" w:sz="6" w:space="0"/>
              <w:right w:val="double" w:color="000000" w:sz="4" w:space="0"/>
            </w:tcBorders>
            <w:vAlign w:val="center"/>
          </w:tcPr>
          <w:p w14:paraId="1346C6C2">
            <w:pPr>
              <w:spacing w:line="360" w:lineRule="auto"/>
              <w:rPr>
                <w:rFonts w:hint="eastAsia" w:ascii="宋体" w:hAnsi="宋体" w:cs="宋体"/>
                <w:sz w:val="24"/>
                <w:szCs w:val="24"/>
              </w:rPr>
            </w:pPr>
            <w:r>
              <w:rPr>
                <w:rFonts w:hint="eastAsia" w:ascii="宋体" w:hAnsi="宋体" w:cs="宋体"/>
                <w:sz w:val="24"/>
                <w:szCs w:val="24"/>
              </w:rPr>
              <w:t>开标时间：同投标文件递交截止时间一致</w:t>
            </w:r>
          </w:p>
          <w:p w14:paraId="563F0E8A">
            <w:pPr>
              <w:spacing w:before="156" w:beforeLines="50" w:line="360" w:lineRule="auto"/>
              <w:rPr>
                <w:rFonts w:hint="eastAsia" w:ascii="宋体" w:hAnsi="宋体" w:cs="宋体"/>
                <w:kern w:val="2"/>
                <w:sz w:val="24"/>
                <w:szCs w:val="24"/>
              </w:rPr>
            </w:pPr>
            <w:r>
              <w:rPr>
                <w:rFonts w:hint="eastAsia" w:ascii="宋体" w:hAnsi="宋体" w:cs="宋体"/>
                <w:sz w:val="24"/>
                <w:szCs w:val="24"/>
              </w:rPr>
              <w:t>开标地点：同投标文件递交地点一致</w:t>
            </w:r>
          </w:p>
        </w:tc>
      </w:tr>
      <w:tr w14:paraId="48A0E4CF">
        <w:tblPrEx>
          <w:tblCellMar>
            <w:top w:w="0" w:type="dxa"/>
            <w:left w:w="108" w:type="dxa"/>
            <w:bottom w:w="0" w:type="dxa"/>
            <w:right w:w="108" w:type="dxa"/>
          </w:tblCellMar>
        </w:tblPrEx>
        <w:trPr>
          <w:jc w:val="center"/>
        </w:trPr>
        <w:tc>
          <w:tcPr>
            <w:tcW w:w="874" w:type="dxa"/>
            <w:vMerge w:val="continue"/>
            <w:tcBorders>
              <w:left w:val="double" w:color="000000" w:sz="4" w:space="0"/>
              <w:bottom w:val="single" w:color="000000" w:sz="6" w:space="0"/>
              <w:right w:val="single" w:color="000000" w:sz="6" w:space="0"/>
            </w:tcBorders>
            <w:vAlign w:val="center"/>
          </w:tcPr>
          <w:p w14:paraId="040232F2">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1787A5E9">
            <w:pPr>
              <w:spacing w:line="360" w:lineRule="auto"/>
              <w:rPr>
                <w:rFonts w:hint="eastAsia" w:ascii="宋体" w:hAnsi="宋体" w:cs="宋体"/>
                <w:kern w:val="2"/>
                <w:sz w:val="24"/>
                <w:szCs w:val="24"/>
              </w:rPr>
            </w:pPr>
            <w:r>
              <w:rPr>
                <w:rFonts w:hint="eastAsia" w:ascii="宋体" w:hAnsi="宋体" w:cs="宋体"/>
                <w:b/>
                <w:bCs/>
                <w:sz w:val="24"/>
                <w:szCs w:val="24"/>
              </w:rPr>
              <w:t>开标程序</w:t>
            </w:r>
          </w:p>
        </w:tc>
        <w:tc>
          <w:tcPr>
            <w:tcW w:w="6642" w:type="dxa"/>
            <w:tcBorders>
              <w:top w:val="single" w:color="000000" w:sz="6" w:space="0"/>
              <w:left w:val="single" w:color="000000" w:sz="6" w:space="0"/>
              <w:bottom w:val="single" w:color="000000" w:sz="6" w:space="0"/>
              <w:right w:val="double" w:color="000000" w:sz="4" w:space="0"/>
            </w:tcBorders>
            <w:vAlign w:val="center"/>
          </w:tcPr>
          <w:p w14:paraId="1AA416E4">
            <w:pPr>
              <w:spacing w:line="360" w:lineRule="auto"/>
              <w:rPr>
                <w:rFonts w:hint="eastAsia" w:ascii="宋体" w:hAnsi="宋体" w:cs="宋体"/>
                <w:b/>
                <w:bCs/>
                <w:sz w:val="24"/>
                <w:szCs w:val="24"/>
              </w:rPr>
            </w:pPr>
            <w:r>
              <w:rPr>
                <w:rFonts w:hint="eastAsia" w:ascii="宋体" w:hAnsi="宋体" w:cs="宋体"/>
                <w:b/>
                <w:bCs/>
                <w:sz w:val="24"/>
                <w:szCs w:val="24"/>
              </w:rPr>
              <w:t>全程线上远程开标-海南政府采购网(www.ccgp-hainan.gov.cn)-海南省政府采购电子化交易</w:t>
            </w:r>
          </w:p>
          <w:p w14:paraId="1196063D">
            <w:pPr>
              <w:spacing w:line="360" w:lineRule="auto"/>
              <w:rPr>
                <w:rFonts w:hint="eastAsia" w:ascii="宋体" w:hAnsi="宋体" w:cs="宋体"/>
                <w:b/>
                <w:bCs/>
                <w:sz w:val="24"/>
                <w:szCs w:val="24"/>
              </w:rPr>
            </w:pPr>
            <w:r>
              <w:rPr>
                <w:rFonts w:hint="eastAsia" w:ascii="宋体" w:hAnsi="宋体" w:cs="宋体"/>
                <w:b/>
                <w:bCs/>
                <w:sz w:val="24"/>
                <w:szCs w:val="24"/>
              </w:rPr>
              <w:t>管理系统(新)</w:t>
            </w:r>
          </w:p>
          <w:p w14:paraId="75293F6C">
            <w:pPr>
              <w:spacing w:line="360" w:lineRule="auto"/>
              <w:rPr>
                <w:rFonts w:hint="eastAsia" w:ascii="宋体" w:hAnsi="宋体" w:cs="宋体"/>
                <w:kern w:val="2"/>
                <w:sz w:val="24"/>
                <w:szCs w:val="24"/>
              </w:rPr>
            </w:pPr>
            <w:r>
              <w:rPr>
                <w:rFonts w:hint="eastAsia" w:ascii="宋体" w:hAnsi="宋体" w:cs="宋体"/>
                <w:sz w:val="24"/>
                <w:szCs w:val="24"/>
              </w:rPr>
              <w:t>开标顺序：随机</w:t>
            </w:r>
          </w:p>
        </w:tc>
      </w:tr>
      <w:tr w14:paraId="025E3D77">
        <w:tblPrEx>
          <w:tblCellMar>
            <w:top w:w="0" w:type="dxa"/>
            <w:left w:w="108" w:type="dxa"/>
            <w:bottom w:w="0" w:type="dxa"/>
            <w:right w:w="108" w:type="dxa"/>
          </w:tblCellMar>
        </w:tblPrEx>
        <w:trPr>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4AB9EAFE">
            <w:pPr>
              <w:spacing w:line="360" w:lineRule="auto"/>
              <w:rPr>
                <w:rFonts w:hint="eastAsia" w:ascii="宋体" w:hAnsi="宋体" w:cs="宋体"/>
                <w:sz w:val="24"/>
                <w:szCs w:val="24"/>
              </w:rPr>
            </w:pPr>
            <w:r>
              <w:rPr>
                <w:rFonts w:hint="eastAsia" w:ascii="宋体" w:hAnsi="宋体" w:cs="宋体"/>
                <w:sz w:val="24"/>
                <w:szCs w:val="24"/>
              </w:rPr>
              <w:t>六、资格审查</w:t>
            </w:r>
          </w:p>
        </w:tc>
      </w:tr>
      <w:tr w14:paraId="5DB9728D">
        <w:tblPrEx>
          <w:tblCellMar>
            <w:top w:w="0" w:type="dxa"/>
            <w:left w:w="108" w:type="dxa"/>
            <w:bottom w:w="0" w:type="dxa"/>
            <w:right w:w="108" w:type="dxa"/>
          </w:tblCellMar>
        </w:tblPrEx>
        <w:trPr>
          <w:trHeight w:val="90" w:hRule="atLeast"/>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687331EB">
            <w:pPr>
              <w:spacing w:line="360" w:lineRule="auto"/>
              <w:rPr>
                <w:rFonts w:hint="eastAsia" w:ascii="宋体" w:hAnsi="宋体" w:cs="宋体"/>
                <w:sz w:val="24"/>
                <w:szCs w:val="24"/>
              </w:rPr>
            </w:pPr>
            <w:r>
              <w:rPr>
                <w:rFonts w:hint="eastAsia" w:ascii="宋体" w:hAnsi="宋体" w:cs="宋体"/>
                <w:sz w:val="24"/>
                <w:szCs w:val="24"/>
              </w:rPr>
              <w:t>15</w:t>
            </w:r>
          </w:p>
        </w:tc>
        <w:tc>
          <w:tcPr>
            <w:tcW w:w="2689" w:type="dxa"/>
            <w:tcBorders>
              <w:top w:val="single" w:color="000000" w:sz="6" w:space="0"/>
              <w:left w:val="single" w:color="000000" w:sz="6" w:space="0"/>
              <w:bottom w:val="single" w:color="000000" w:sz="6" w:space="0"/>
              <w:right w:val="single" w:color="000000" w:sz="6" w:space="0"/>
            </w:tcBorders>
            <w:vAlign w:val="center"/>
          </w:tcPr>
          <w:p w14:paraId="6FF38349">
            <w:pPr>
              <w:spacing w:line="360" w:lineRule="auto"/>
              <w:rPr>
                <w:rFonts w:hint="eastAsia" w:ascii="宋体" w:hAnsi="宋体" w:cs="宋体"/>
                <w:sz w:val="24"/>
                <w:szCs w:val="24"/>
              </w:rPr>
            </w:pPr>
            <w:r>
              <w:rPr>
                <w:rFonts w:hint="eastAsia" w:ascii="宋体" w:hAnsi="宋体" w:cs="宋体"/>
                <w:sz w:val="24"/>
                <w:szCs w:val="24"/>
              </w:rPr>
              <w:t>资格审查主体</w:t>
            </w:r>
          </w:p>
        </w:tc>
        <w:tc>
          <w:tcPr>
            <w:tcW w:w="6642" w:type="dxa"/>
            <w:tcBorders>
              <w:top w:val="single" w:color="000000" w:sz="6" w:space="0"/>
              <w:left w:val="single" w:color="000000" w:sz="6" w:space="0"/>
              <w:bottom w:val="single" w:color="000000" w:sz="6" w:space="0"/>
              <w:right w:val="double" w:color="000000" w:sz="4" w:space="0"/>
            </w:tcBorders>
            <w:vAlign w:val="center"/>
          </w:tcPr>
          <w:p w14:paraId="2AC18EB2">
            <w:pPr>
              <w:spacing w:line="360" w:lineRule="auto"/>
              <w:rPr>
                <w:rFonts w:hint="eastAsia" w:ascii="宋体" w:hAnsi="宋体" w:cs="宋体"/>
                <w:sz w:val="24"/>
                <w:szCs w:val="24"/>
              </w:rPr>
            </w:pPr>
            <w:r>
              <w:rPr>
                <w:rFonts w:hint="eastAsia" w:ascii="宋体" w:hAnsi="宋体" w:cs="宋体"/>
                <w:sz w:val="24"/>
                <w:szCs w:val="24"/>
              </w:rPr>
              <w:t>采购人与代理机构负责资格审查</w:t>
            </w:r>
          </w:p>
        </w:tc>
      </w:tr>
      <w:tr w14:paraId="00D52584">
        <w:tblPrEx>
          <w:tblCellMar>
            <w:top w:w="0" w:type="dxa"/>
            <w:left w:w="108" w:type="dxa"/>
            <w:bottom w:w="0" w:type="dxa"/>
            <w:right w:w="108" w:type="dxa"/>
          </w:tblCellMar>
        </w:tblPrEx>
        <w:trPr>
          <w:trHeight w:val="535" w:hRule="atLeast"/>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26C6B0AE">
            <w:pPr>
              <w:spacing w:line="360" w:lineRule="auto"/>
              <w:rPr>
                <w:rFonts w:hint="eastAsia" w:ascii="宋体" w:hAnsi="宋体" w:cs="宋体"/>
                <w:sz w:val="24"/>
                <w:szCs w:val="24"/>
              </w:rPr>
            </w:pPr>
            <w:r>
              <w:rPr>
                <w:rFonts w:hint="eastAsia" w:ascii="宋体" w:hAnsi="宋体" w:cs="宋体"/>
                <w:sz w:val="24"/>
                <w:szCs w:val="24"/>
              </w:rPr>
              <w:t>七、评标</w:t>
            </w:r>
          </w:p>
        </w:tc>
      </w:tr>
      <w:tr w14:paraId="472578DD">
        <w:tblPrEx>
          <w:tblCellMar>
            <w:top w:w="0" w:type="dxa"/>
            <w:left w:w="108" w:type="dxa"/>
            <w:bottom w:w="0" w:type="dxa"/>
            <w:right w:w="108" w:type="dxa"/>
          </w:tblCellMar>
        </w:tblPrEx>
        <w:trPr>
          <w:jc w:val="center"/>
        </w:trPr>
        <w:tc>
          <w:tcPr>
            <w:tcW w:w="874" w:type="dxa"/>
            <w:vMerge w:val="restart"/>
            <w:tcBorders>
              <w:top w:val="single" w:color="000000" w:sz="6" w:space="0"/>
              <w:left w:val="double" w:color="000000" w:sz="4" w:space="0"/>
              <w:right w:val="single" w:color="000000" w:sz="6" w:space="0"/>
            </w:tcBorders>
            <w:vAlign w:val="center"/>
          </w:tcPr>
          <w:p w14:paraId="642B3D29">
            <w:pPr>
              <w:spacing w:line="360" w:lineRule="auto"/>
              <w:rPr>
                <w:rFonts w:hint="eastAsia" w:ascii="宋体" w:hAnsi="宋体" w:cs="宋体"/>
                <w:sz w:val="24"/>
                <w:szCs w:val="24"/>
              </w:rPr>
            </w:pPr>
            <w:r>
              <w:rPr>
                <w:rFonts w:hint="eastAsia" w:ascii="宋体" w:hAnsi="宋体" w:cs="宋体"/>
                <w:sz w:val="24"/>
                <w:szCs w:val="24"/>
              </w:rPr>
              <w:t>16</w:t>
            </w:r>
          </w:p>
        </w:tc>
        <w:tc>
          <w:tcPr>
            <w:tcW w:w="2689" w:type="dxa"/>
            <w:tcBorders>
              <w:top w:val="single" w:color="000000" w:sz="6" w:space="0"/>
              <w:left w:val="single" w:color="000000" w:sz="6" w:space="0"/>
              <w:bottom w:val="single" w:color="000000" w:sz="6" w:space="0"/>
              <w:right w:val="single" w:color="000000" w:sz="6" w:space="0"/>
            </w:tcBorders>
            <w:vAlign w:val="center"/>
          </w:tcPr>
          <w:p w14:paraId="15CE2516">
            <w:pPr>
              <w:spacing w:line="360" w:lineRule="auto"/>
              <w:rPr>
                <w:rFonts w:hint="eastAsia" w:ascii="宋体" w:hAnsi="宋体" w:cs="宋体"/>
                <w:sz w:val="24"/>
                <w:szCs w:val="24"/>
              </w:rPr>
            </w:pPr>
            <w:r>
              <w:rPr>
                <w:rFonts w:hint="eastAsia" w:ascii="宋体" w:hAnsi="宋体" w:cs="宋体"/>
                <w:sz w:val="24"/>
                <w:szCs w:val="24"/>
              </w:rPr>
              <w:t>评标办法</w:t>
            </w:r>
          </w:p>
        </w:tc>
        <w:tc>
          <w:tcPr>
            <w:tcW w:w="6642" w:type="dxa"/>
            <w:tcBorders>
              <w:top w:val="single" w:color="000000" w:sz="6" w:space="0"/>
              <w:left w:val="single" w:color="000000" w:sz="6" w:space="0"/>
              <w:bottom w:val="single" w:color="000000" w:sz="6" w:space="0"/>
              <w:right w:val="double" w:color="000000" w:sz="4" w:space="0"/>
            </w:tcBorders>
            <w:vAlign w:val="center"/>
          </w:tcPr>
          <w:p w14:paraId="73FADB8D">
            <w:pPr>
              <w:spacing w:line="360" w:lineRule="auto"/>
              <w:rPr>
                <w:rFonts w:hint="eastAsia" w:ascii="宋体" w:hAnsi="宋体" w:cs="宋体"/>
                <w:sz w:val="24"/>
                <w:szCs w:val="24"/>
              </w:rPr>
            </w:pPr>
            <w:r>
              <w:rPr>
                <w:rFonts w:hint="eastAsia" w:ascii="宋体" w:hAnsi="宋体" w:cs="宋体"/>
                <w:sz w:val="24"/>
                <w:szCs w:val="24"/>
              </w:rPr>
              <w:t>综合评分法</w:t>
            </w:r>
          </w:p>
        </w:tc>
      </w:tr>
      <w:tr w14:paraId="5B7DE153">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6FEBCA8E">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45552648">
            <w:pPr>
              <w:spacing w:line="360" w:lineRule="auto"/>
              <w:jc w:val="both"/>
              <w:rPr>
                <w:rFonts w:hint="eastAsia" w:ascii="宋体" w:hAnsi="宋体" w:cs="宋体"/>
                <w:sz w:val="24"/>
                <w:szCs w:val="24"/>
              </w:rPr>
            </w:pPr>
          </w:p>
          <w:p w14:paraId="744AF99F">
            <w:pPr>
              <w:spacing w:line="360" w:lineRule="auto"/>
              <w:jc w:val="both"/>
              <w:rPr>
                <w:rFonts w:hint="eastAsia" w:ascii="宋体" w:hAnsi="宋体" w:cs="宋体"/>
                <w:sz w:val="24"/>
                <w:szCs w:val="24"/>
              </w:rPr>
            </w:pPr>
            <w:r>
              <w:rPr>
                <w:rFonts w:hint="eastAsia" w:ascii="宋体" w:hAnsi="宋体" w:cs="宋体"/>
                <w:sz w:val="24"/>
                <w:szCs w:val="24"/>
              </w:rPr>
              <w:t>评标委员会的组建</w:t>
            </w:r>
          </w:p>
        </w:tc>
        <w:tc>
          <w:tcPr>
            <w:tcW w:w="6642" w:type="dxa"/>
            <w:tcBorders>
              <w:top w:val="single" w:color="000000" w:sz="6" w:space="0"/>
              <w:left w:val="single" w:color="000000" w:sz="6" w:space="0"/>
              <w:bottom w:val="single" w:color="000000" w:sz="6" w:space="0"/>
              <w:right w:val="double" w:color="000000" w:sz="4" w:space="0"/>
            </w:tcBorders>
            <w:vAlign w:val="center"/>
          </w:tcPr>
          <w:p w14:paraId="72F8A358">
            <w:pPr>
              <w:spacing w:line="360" w:lineRule="auto"/>
              <w:ind w:firstLine="480" w:firstLineChars="200"/>
              <w:rPr>
                <w:rFonts w:hint="eastAsia" w:ascii="宋体" w:hAnsi="宋体" w:cs="宋体"/>
                <w:sz w:val="24"/>
                <w:szCs w:val="24"/>
              </w:rPr>
            </w:pPr>
            <w:r>
              <w:rPr>
                <w:rFonts w:hint="eastAsia" w:ascii="宋体" w:hAnsi="宋体" w:cs="宋体"/>
                <w:sz w:val="24"/>
                <w:szCs w:val="24"/>
              </w:rPr>
              <w:t>评标委员会由采购人代表和评审专家共5人（含）以上单数组成，其中评审专家人数不少于成员总数的2/3（采购人有权根据项目和本单位实际情况决定是否委派采购人代表参与评审），该评标委员会独立工作，负责评审所有投标文件并推荐中标候选人。</w:t>
            </w:r>
          </w:p>
        </w:tc>
      </w:tr>
      <w:tr w14:paraId="0986D9F6">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0EB3FF54">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4DE39C61">
            <w:pPr>
              <w:spacing w:line="360" w:lineRule="auto"/>
              <w:jc w:val="center"/>
              <w:rPr>
                <w:rFonts w:hint="eastAsia" w:ascii="宋体" w:hAnsi="宋体" w:cs="宋体"/>
                <w:kern w:val="2"/>
                <w:sz w:val="24"/>
                <w:szCs w:val="24"/>
              </w:rPr>
            </w:pPr>
            <w:r>
              <w:rPr>
                <w:rFonts w:hint="eastAsia" w:ascii="宋体" w:hAnsi="宋体" w:cs="宋体"/>
                <w:sz w:val="24"/>
                <w:szCs w:val="24"/>
              </w:rPr>
              <w:t>是否授权评标委员会直接确定中标供应商</w:t>
            </w:r>
          </w:p>
        </w:tc>
        <w:tc>
          <w:tcPr>
            <w:tcW w:w="6642" w:type="dxa"/>
            <w:tcBorders>
              <w:top w:val="single" w:color="000000" w:sz="6" w:space="0"/>
              <w:left w:val="single" w:color="000000" w:sz="6" w:space="0"/>
              <w:bottom w:val="single" w:color="000000" w:sz="6" w:space="0"/>
              <w:right w:val="double" w:color="000000" w:sz="4" w:space="0"/>
            </w:tcBorders>
            <w:vAlign w:val="center"/>
          </w:tcPr>
          <w:p w14:paraId="72A28716">
            <w:pPr>
              <w:spacing w:line="360" w:lineRule="auto"/>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是</w:t>
            </w:r>
          </w:p>
          <w:p w14:paraId="01FF74ED">
            <w:pPr>
              <w:spacing w:line="360" w:lineRule="auto"/>
              <w:rPr>
                <w:rFonts w:hint="eastAsia" w:ascii="宋体" w:hAnsi="宋体" w:cs="宋体"/>
                <w:kern w:val="2"/>
                <w:sz w:val="24"/>
                <w:szCs w:val="24"/>
              </w:rPr>
            </w:pPr>
            <w:r>
              <w:rPr>
                <w:rFonts w:hint="eastAsia" w:ascii="宋体" w:hAnsi="宋体" w:cs="宋体"/>
                <w:sz w:val="24"/>
                <w:szCs w:val="24"/>
              </w:rPr>
              <w:sym w:font="Wingdings 2" w:char="0052"/>
            </w:r>
            <w:r>
              <w:rPr>
                <w:rFonts w:hint="eastAsia" w:ascii="宋体" w:hAnsi="宋体" w:cs="宋体"/>
                <w:sz w:val="24"/>
                <w:szCs w:val="24"/>
              </w:rPr>
              <w:t>否，推荐排名第一、第二、第三的中标候选人。</w:t>
            </w:r>
          </w:p>
        </w:tc>
      </w:tr>
      <w:tr w14:paraId="761E50B6">
        <w:tblPrEx>
          <w:tblCellMar>
            <w:top w:w="0" w:type="dxa"/>
            <w:left w:w="108" w:type="dxa"/>
            <w:bottom w:w="0" w:type="dxa"/>
            <w:right w:w="108" w:type="dxa"/>
          </w:tblCellMar>
        </w:tblPrEx>
        <w:trPr>
          <w:jc w:val="center"/>
        </w:trPr>
        <w:tc>
          <w:tcPr>
            <w:tcW w:w="874" w:type="dxa"/>
            <w:vMerge w:val="continue"/>
            <w:tcBorders>
              <w:left w:val="double" w:color="000000" w:sz="4" w:space="0"/>
              <w:bottom w:val="single" w:color="000000" w:sz="6" w:space="0"/>
              <w:right w:val="single" w:color="000000" w:sz="6" w:space="0"/>
            </w:tcBorders>
            <w:vAlign w:val="center"/>
          </w:tcPr>
          <w:p w14:paraId="1A00A8DA">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405F7F3D">
            <w:pPr>
              <w:spacing w:line="360" w:lineRule="auto"/>
              <w:jc w:val="center"/>
              <w:rPr>
                <w:rFonts w:hint="eastAsia" w:ascii="宋体" w:hAnsi="宋体" w:cs="宋体"/>
                <w:sz w:val="24"/>
                <w:szCs w:val="24"/>
              </w:rPr>
            </w:pPr>
            <w:r>
              <w:rPr>
                <w:rFonts w:hint="eastAsia" w:ascii="宋体" w:hAnsi="宋体" w:cs="宋体"/>
                <w:sz w:val="24"/>
                <w:szCs w:val="24"/>
              </w:rPr>
              <w:t>评审方式</w:t>
            </w:r>
          </w:p>
        </w:tc>
        <w:tc>
          <w:tcPr>
            <w:tcW w:w="6642" w:type="dxa"/>
            <w:tcBorders>
              <w:top w:val="single" w:color="000000" w:sz="6" w:space="0"/>
              <w:left w:val="single" w:color="000000" w:sz="6" w:space="0"/>
              <w:bottom w:val="single" w:color="000000" w:sz="6" w:space="0"/>
              <w:right w:val="double" w:color="000000" w:sz="4" w:space="0"/>
            </w:tcBorders>
            <w:vAlign w:val="center"/>
          </w:tcPr>
          <w:p w14:paraId="09B207B9">
            <w:pPr>
              <w:spacing w:line="360" w:lineRule="auto"/>
              <w:rPr>
                <w:rFonts w:hint="eastAsia" w:ascii="宋体" w:hAnsi="宋体" w:cs="宋体"/>
                <w:sz w:val="24"/>
                <w:szCs w:val="24"/>
              </w:rPr>
            </w:pPr>
            <w:r>
              <w:rPr>
                <w:rFonts w:hint="eastAsia" w:ascii="宋体" w:hAnsi="宋体" w:cs="宋体"/>
                <w:sz w:val="24"/>
                <w:szCs w:val="24"/>
              </w:rPr>
              <w:t>线下统一评审</w:t>
            </w:r>
          </w:p>
        </w:tc>
      </w:tr>
      <w:tr w14:paraId="22C08283">
        <w:tblPrEx>
          <w:tblCellMar>
            <w:top w:w="0" w:type="dxa"/>
            <w:left w:w="108" w:type="dxa"/>
            <w:bottom w:w="0" w:type="dxa"/>
            <w:right w:w="108" w:type="dxa"/>
          </w:tblCellMar>
        </w:tblPrEx>
        <w:trPr>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3E7668C4">
            <w:pPr>
              <w:spacing w:line="360" w:lineRule="auto"/>
              <w:rPr>
                <w:rFonts w:hint="eastAsia" w:ascii="宋体" w:hAnsi="宋体" w:cs="宋体"/>
                <w:sz w:val="24"/>
                <w:szCs w:val="24"/>
              </w:rPr>
            </w:pPr>
            <w:r>
              <w:rPr>
                <w:rFonts w:hint="eastAsia" w:ascii="宋体" w:hAnsi="宋体" w:cs="宋体"/>
                <w:sz w:val="24"/>
                <w:szCs w:val="24"/>
              </w:rPr>
              <w:t>八、质疑和投诉</w:t>
            </w:r>
          </w:p>
        </w:tc>
      </w:tr>
      <w:tr w14:paraId="5B8DD172">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1070123D">
            <w:pPr>
              <w:spacing w:line="360" w:lineRule="auto"/>
              <w:rPr>
                <w:rFonts w:hint="eastAsia" w:ascii="宋体" w:hAnsi="宋体" w:cs="宋体"/>
                <w:sz w:val="24"/>
                <w:szCs w:val="24"/>
              </w:rPr>
            </w:pPr>
            <w:r>
              <w:rPr>
                <w:rFonts w:hint="eastAsia" w:ascii="宋体" w:hAnsi="宋体" w:cs="宋体"/>
                <w:sz w:val="24"/>
                <w:szCs w:val="24"/>
              </w:rPr>
              <w:t>17</w:t>
            </w:r>
          </w:p>
        </w:tc>
        <w:tc>
          <w:tcPr>
            <w:tcW w:w="2689" w:type="dxa"/>
            <w:tcBorders>
              <w:top w:val="single" w:color="000000" w:sz="6" w:space="0"/>
              <w:left w:val="single" w:color="000000" w:sz="6" w:space="0"/>
              <w:bottom w:val="single" w:color="000000" w:sz="6" w:space="0"/>
              <w:right w:val="single" w:color="000000" w:sz="6" w:space="0"/>
            </w:tcBorders>
            <w:vAlign w:val="center"/>
          </w:tcPr>
          <w:p w14:paraId="74BA4099">
            <w:pPr>
              <w:spacing w:line="360" w:lineRule="auto"/>
              <w:rPr>
                <w:rFonts w:hint="eastAsia" w:ascii="宋体" w:hAnsi="宋体" w:cs="宋体"/>
                <w:sz w:val="24"/>
                <w:szCs w:val="24"/>
              </w:rPr>
            </w:pPr>
            <w:r>
              <w:rPr>
                <w:rFonts w:hint="eastAsia" w:ascii="宋体" w:hAnsi="宋体" w:cs="宋体"/>
                <w:sz w:val="24"/>
                <w:szCs w:val="24"/>
              </w:rPr>
              <w:t>接收质疑函联系部门、联系电话和通讯地址</w:t>
            </w:r>
          </w:p>
        </w:tc>
        <w:tc>
          <w:tcPr>
            <w:tcW w:w="6642" w:type="dxa"/>
            <w:tcBorders>
              <w:top w:val="single" w:color="000000" w:sz="6" w:space="0"/>
              <w:left w:val="single" w:color="000000" w:sz="6" w:space="0"/>
              <w:bottom w:val="single" w:color="000000" w:sz="6" w:space="0"/>
              <w:right w:val="double" w:color="000000" w:sz="4" w:space="0"/>
            </w:tcBorders>
            <w:vAlign w:val="center"/>
          </w:tcPr>
          <w:p w14:paraId="41DEE076">
            <w:pPr>
              <w:spacing w:line="360" w:lineRule="auto"/>
              <w:rPr>
                <w:rFonts w:hint="eastAsia" w:ascii="宋体" w:hAnsi="宋体" w:cs="宋体"/>
                <w:sz w:val="24"/>
                <w:szCs w:val="24"/>
              </w:rPr>
            </w:pPr>
            <w:r>
              <w:rPr>
                <w:rFonts w:hint="eastAsia" w:ascii="宋体" w:hAnsi="宋体" w:cs="宋体"/>
                <w:sz w:val="24"/>
                <w:szCs w:val="24"/>
              </w:rPr>
              <w:t xml:space="preserve">联系部门：海南天行招投标有限公司   </w:t>
            </w:r>
          </w:p>
          <w:p w14:paraId="192396F2">
            <w:pPr>
              <w:spacing w:line="360" w:lineRule="auto"/>
              <w:rPr>
                <w:rFonts w:hint="eastAsia" w:ascii="宋体" w:hAnsi="宋体" w:cs="宋体"/>
                <w:sz w:val="24"/>
                <w:szCs w:val="24"/>
              </w:rPr>
            </w:pPr>
            <w:r>
              <w:rPr>
                <w:rFonts w:hint="eastAsia" w:ascii="宋体" w:hAnsi="宋体" w:cs="宋体"/>
                <w:sz w:val="24"/>
                <w:szCs w:val="24"/>
              </w:rPr>
              <w:t>电话：0898-68597362</w:t>
            </w:r>
          </w:p>
          <w:p w14:paraId="02B5C550">
            <w:pPr>
              <w:spacing w:line="360" w:lineRule="auto"/>
              <w:rPr>
                <w:rFonts w:hint="eastAsia" w:ascii="宋体" w:hAnsi="宋体" w:cs="宋体"/>
                <w:sz w:val="24"/>
                <w:szCs w:val="24"/>
              </w:rPr>
            </w:pPr>
            <w:r>
              <w:rPr>
                <w:rFonts w:hint="eastAsia" w:ascii="宋体" w:hAnsi="宋体" w:cs="宋体"/>
                <w:sz w:val="24"/>
                <w:szCs w:val="24"/>
              </w:rPr>
              <w:t xml:space="preserve">地址：海口市龙华区渡海路1-31号（宝岛花园C栋铺面二层）  </w:t>
            </w:r>
          </w:p>
        </w:tc>
      </w:tr>
      <w:tr w14:paraId="6A787FE4">
        <w:tblPrEx>
          <w:tblCellMar>
            <w:top w:w="0" w:type="dxa"/>
            <w:left w:w="108" w:type="dxa"/>
            <w:bottom w:w="0" w:type="dxa"/>
            <w:right w:w="108" w:type="dxa"/>
          </w:tblCellMar>
        </w:tblPrEx>
        <w:trPr>
          <w:trHeight w:val="493" w:hRule="atLeast"/>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158B4B13">
            <w:pPr>
              <w:spacing w:line="360" w:lineRule="auto"/>
              <w:rPr>
                <w:rFonts w:hint="eastAsia" w:ascii="宋体" w:hAnsi="宋体" w:cs="宋体"/>
                <w:sz w:val="24"/>
                <w:szCs w:val="24"/>
              </w:rPr>
            </w:pPr>
            <w:r>
              <w:rPr>
                <w:rFonts w:hint="eastAsia" w:ascii="宋体" w:hAnsi="宋体" w:cs="宋体"/>
                <w:sz w:val="24"/>
                <w:szCs w:val="24"/>
              </w:rPr>
              <w:t>九、中标信息的发布</w:t>
            </w:r>
          </w:p>
        </w:tc>
      </w:tr>
      <w:tr w14:paraId="1DC0D29C">
        <w:tblPrEx>
          <w:tblCellMar>
            <w:top w:w="0" w:type="dxa"/>
            <w:left w:w="108" w:type="dxa"/>
            <w:bottom w:w="0" w:type="dxa"/>
            <w:right w:w="108" w:type="dxa"/>
          </w:tblCellMar>
        </w:tblPrEx>
        <w:trPr>
          <w:jc w:val="center"/>
        </w:trPr>
        <w:tc>
          <w:tcPr>
            <w:tcW w:w="874" w:type="dxa"/>
            <w:vMerge w:val="restart"/>
            <w:tcBorders>
              <w:top w:val="single" w:color="000000" w:sz="6" w:space="0"/>
              <w:left w:val="double" w:color="000000" w:sz="4" w:space="0"/>
              <w:right w:val="single" w:color="000000" w:sz="6" w:space="0"/>
            </w:tcBorders>
            <w:vAlign w:val="center"/>
          </w:tcPr>
          <w:p w14:paraId="558B4FE7">
            <w:pPr>
              <w:spacing w:line="360" w:lineRule="auto"/>
              <w:rPr>
                <w:rFonts w:hint="eastAsia" w:ascii="宋体" w:hAnsi="宋体" w:cs="宋体"/>
                <w:sz w:val="24"/>
                <w:szCs w:val="24"/>
              </w:rPr>
            </w:pPr>
            <w:r>
              <w:rPr>
                <w:rFonts w:hint="eastAsia" w:ascii="宋体" w:hAnsi="宋体" w:cs="宋体"/>
                <w:sz w:val="24"/>
                <w:szCs w:val="24"/>
              </w:rPr>
              <w:t>18</w:t>
            </w:r>
          </w:p>
        </w:tc>
        <w:tc>
          <w:tcPr>
            <w:tcW w:w="2689" w:type="dxa"/>
            <w:tcBorders>
              <w:top w:val="single" w:color="000000" w:sz="6" w:space="0"/>
              <w:left w:val="single" w:color="000000" w:sz="6" w:space="0"/>
              <w:bottom w:val="single" w:color="000000" w:sz="6" w:space="0"/>
              <w:right w:val="single" w:color="000000" w:sz="6" w:space="0"/>
            </w:tcBorders>
            <w:vAlign w:val="center"/>
          </w:tcPr>
          <w:p w14:paraId="5C7C49DD">
            <w:pPr>
              <w:spacing w:line="360" w:lineRule="auto"/>
              <w:jc w:val="center"/>
              <w:rPr>
                <w:rFonts w:hint="eastAsia" w:ascii="宋体" w:hAnsi="宋体" w:cs="宋体"/>
                <w:sz w:val="24"/>
                <w:szCs w:val="24"/>
              </w:rPr>
            </w:pPr>
            <w:r>
              <w:rPr>
                <w:rFonts w:hint="eastAsia" w:ascii="宋体" w:hAnsi="宋体" w:cs="宋体"/>
                <w:sz w:val="24"/>
                <w:szCs w:val="24"/>
              </w:rPr>
              <w:t>确定供应商的方式</w:t>
            </w:r>
          </w:p>
        </w:tc>
        <w:tc>
          <w:tcPr>
            <w:tcW w:w="6642" w:type="dxa"/>
            <w:tcBorders>
              <w:top w:val="single" w:color="000000" w:sz="6" w:space="0"/>
              <w:left w:val="single" w:color="000000" w:sz="6" w:space="0"/>
              <w:bottom w:val="single" w:color="000000" w:sz="6" w:space="0"/>
              <w:right w:val="double" w:color="000000" w:sz="4" w:space="0"/>
            </w:tcBorders>
            <w:vAlign w:val="center"/>
          </w:tcPr>
          <w:p w14:paraId="48F48F6A">
            <w:pPr>
              <w:spacing w:line="360" w:lineRule="auto"/>
              <w:rPr>
                <w:rFonts w:hint="eastAsia" w:ascii="宋体" w:hAnsi="宋体" w:cs="宋体"/>
                <w:sz w:val="24"/>
                <w:szCs w:val="24"/>
              </w:rPr>
            </w:pPr>
            <w:r>
              <w:rPr>
                <w:rFonts w:hint="eastAsia" w:ascii="宋体" w:hAnsi="宋体" w:cs="宋体"/>
                <w:sz w:val="24"/>
                <w:szCs w:val="24"/>
              </w:rPr>
              <w:t>采购人应当在评标报告发出2个工作日内确定的中标候选人名单中按顺序确定供应商。</w:t>
            </w:r>
          </w:p>
        </w:tc>
      </w:tr>
      <w:tr w14:paraId="0B60C93C">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6F74E6FD">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461C4E6B">
            <w:pPr>
              <w:spacing w:line="360" w:lineRule="auto"/>
              <w:jc w:val="center"/>
              <w:rPr>
                <w:rFonts w:hint="eastAsia" w:ascii="宋体" w:hAnsi="宋体" w:cs="宋体"/>
                <w:sz w:val="24"/>
                <w:szCs w:val="24"/>
              </w:rPr>
            </w:pPr>
            <w:r>
              <w:rPr>
                <w:rFonts w:hint="eastAsia" w:ascii="宋体" w:hAnsi="宋体" w:cs="宋体"/>
                <w:sz w:val="24"/>
                <w:szCs w:val="24"/>
              </w:rPr>
              <w:t>中标公告期限</w:t>
            </w:r>
          </w:p>
        </w:tc>
        <w:tc>
          <w:tcPr>
            <w:tcW w:w="6642" w:type="dxa"/>
            <w:tcBorders>
              <w:top w:val="single" w:color="000000" w:sz="6" w:space="0"/>
              <w:left w:val="single" w:color="000000" w:sz="6" w:space="0"/>
              <w:bottom w:val="single" w:color="000000" w:sz="6" w:space="0"/>
              <w:right w:val="double" w:color="000000" w:sz="4" w:space="0"/>
            </w:tcBorders>
            <w:vAlign w:val="center"/>
          </w:tcPr>
          <w:p w14:paraId="4CDCAF03">
            <w:pPr>
              <w:spacing w:line="360" w:lineRule="auto"/>
              <w:rPr>
                <w:rFonts w:hint="eastAsia" w:ascii="宋体" w:hAnsi="宋体" w:cs="宋体"/>
                <w:sz w:val="24"/>
                <w:szCs w:val="24"/>
              </w:rPr>
            </w:pPr>
            <w:r>
              <w:rPr>
                <w:rFonts w:hint="eastAsia" w:ascii="宋体" w:hAnsi="宋体" w:cs="宋体"/>
                <w:sz w:val="24"/>
                <w:szCs w:val="24"/>
              </w:rPr>
              <w:t>中标公告在法定媒体公告期限为1个工作日。</w:t>
            </w:r>
          </w:p>
        </w:tc>
      </w:tr>
      <w:tr w14:paraId="056D7B01">
        <w:tblPrEx>
          <w:tblCellMar>
            <w:top w:w="0" w:type="dxa"/>
            <w:left w:w="108" w:type="dxa"/>
            <w:bottom w:w="0" w:type="dxa"/>
            <w:right w:w="108" w:type="dxa"/>
          </w:tblCellMar>
        </w:tblPrEx>
        <w:trPr>
          <w:jc w:val="center"/>
        </w:trPr>
        <w:tc>
          <w:tcPr>
            <w:tcW w:w="874" w:type="dxa"/>
            <w:vMerge w:val="continue"/>
            <w:tcBorders>
              <w:left w:val="double" w:color="000000" w:sz="4" w:space="0"/>
              <w:bottom w:val="single" w:color="000000" w:sz="6" w:space="0"/>
              <w:right w:val="single" w:color="000000" w:sz="6" w:space="0"/>
            </w:tcBorders>
            <w:vAlign w:val="center"/>
          </w:tcPr>
          <w:p w14:paraId="7ED479ED">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68F66F9B">
            <w:pPr>
              <w:spacing w:line="360" w:lineRule="auto"/>
              <w:jc w:val="center"/>
              <w:rPr>
                <w:rFonts w:hint="eastAsia" w:ascii="宋体" w:hAnsi="宋体" w:cs="宋体"/>
                <w:kern w:val="2"/>
                <w:sz w:val="24"/>
                <w:szCs w:val="24"/>
              </w:rPr>
            </w:pPr>
            <w:r>
              <w:rPr>
                <w:rFonts w:hint="eastAsia" w:ascii="宋体" w:hAnsi="宋体" w:cs="宋体"/>
                <w:sz w:val="24"/>
                <w:szCs w:val="24"/>
                <w:lang w:eastAsia="en-US"/>
              </w:rPr>
              <w:t>通知书领取</w:t>
            </w:r>
          </w:p>
        </w:tc>
        <w:tc>
          <w:tcPr>
            <w:tcW w:w="6642" w:type="dxa"/>
            <w:tcBorders>
              <w:top w:val="single" w:color="000000" w:sz="6" w:space="0"/>
              <w:left w:val="single" w:color="000000" w:sz="6" w:space="0"/>
              <w:bottom w:val="single" w:color="000000" w:sz="6" w:space="0"/>
              <w:right w:val="double" w:color="000000" w:sz="4" w:space="0"/>
            </w:tcBorders>
            <w:vAlign w:val="center"/>
          </w:tcPr>
          <w:p w14:paraId="2D86CD64">
            <w:pPr>
              <w:spacing w:line="360" w:lineRule="auto"/>
              <w:rPr>
                <w:rFonts w:hint="eastAsia" w:ascii="宋体" w:hAnsi="宋体" w:cs="宋体"/>
                <w:sz w:val="24"/>
                <w:szCs w:val="24"/>
              </w:rPr>
            </w:pPr>
            <w:r>
              <w:rPr>
                <w:rFonts w:hint="eastAsia" w:ascii="宋体" w:hAnsi="宋体" w:cs="宋体"/>
                <w:sz w:val="24"/>
                <w:szCs w:val="24"/>
              </w:rPr>
              <w:t>在海南省政府采购网上公告后，请中标人凭有效身份证件到海南天行招投标有限公司领取中标通知书。</w:t>
            </w:r>
          </w:p>
          <w:p w14:paraId="51BB95A5">
            <w:pPr>
              <w:spacing w:line="360" w:lineRule="auto"/>
              <w:rPr>
                <w:rFonts w:hint="eastAsia" w:ascii="宋体" w:hAnsi="宋体" w:cs="宋体"/>
                <w:sz w:val="24"/>
                <w:szCs w:val="24"/>
              </w:rPr>
            </w:pPr>
            <w:r>
              <w:rPr>
                <w:rFonts w:hint="eastAsia" w:ascii="宋体" w:hAnsi="宋体" w:cs="宋体"/>
                <w:sz w:val="24"/>
                <w:szCs w:val="24"/>
              </w:rPr>
              <w:t>联系人：胡工</w:t>
            </w:r>
          </w:p>
          <w:p w14:paraId="5E0801F1">
            <w:pPr>
              <w:spacing w:line="360" w:lineRule="auto"/>
              <w:rPr>
                <w:rFonts w:hint="eastAsia" w:ascii="宋体" w:hAnsi="宋体" w:cs="宋体"/>
                <w:sz w:val="24"/>
                <w:szCs w:val="24"/>
              </w:rPr>
            </w:pPr>
            <w:r>
              <w:rPr>
                <w:rFonts w:hint="eastAsia" w:ascii="宋体" w:hAnsi="宋体" w:cs="宋体"/>
                <w:sz w:val="24"/>
                <w:szCs w:val="24"/>
              </w:rPr>
              <w:t>联系电话：0898-68597362</w:t>
            </w:r>
          </w:p>
          <w:p w14:paraId="56C82046">
            <w:pPr>
              <w:spacing w:line="360" w:lineRule="auto"/>
              <w:rPr>
                <w:rFonts w:hint="eastAsia" w:ascii="宋体" w:hAnsi="宋体" w:cs="宋体"/>
                <w:kern w:val="2"/>
                <w:sz w:val="24"/>
                <w:szCs w:val="24"/>
              </w:rPr>
            </w:pPr>
            <w:r>
              <w:rPr>
                <w:rFonts w:hint="eastAsia" w:ascii="宋体" w:hAnsi="宋体" w:cs="宋体"/>
                <w:sz w:val="24"/>
                <w:szCs w:val="24"/>
              </w:rPr>
              <w:t xml:space="preserve">地址：海口市龙华区渡海路1-31号（宝岛花园C栋铺面二层）  </w:t>
            </w:r>
          </w:p>
        </w:tc>
      </w:tr>
      <w:tr w14:paraId="2B76D70E">
        <w:tblPrEx>
          <w:tblCellMar>
            <w:top w:w="0" w:type="dxa"/>
            <w:left w:w="108" w:type="dxa"/>
            <w:bottom w:w="0" w:type="dxa"/>
            <w:right w:w="108" w:type="dxa"/>
          </w:tblCellMar>
        </w:tblPrEx>
        <w:trPr>
          <w:trHeight w:val="433" w:hRule="atLeast"/>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335FB890">
            <w:pPr>
              <w:spacing w:line="360" w:lineRule="auto"/>
              <w:rPr>
                <w:rFonts w:hint="eastAsia" w:ascii="宋体" w:hAnsi="宋体" w:cs="宋体"/>
                <w:sz w:val="24"/>
                <w:szCs w:val="24"/>
              </w:rPr>
            </w:pPr>
            <w:r>
              <w:rPr>
                <w:rFonts w:hint="eastAsia" w:ascii="宋体" w:hAnsi="宋体" w:cs="宋体"/>
                <w:sz w:val="24"/>
                <w:szCs w:val="24"/>
              </w:rPr>
              <w:t>十、授予合同</w:t>
            </w:r>
          </w:p>
        </w:tc>
      </w:tr>
      <w:tr w14:paraId="2700CA5A">
        <w:tblPrEx>
          <w:tblCellMar>
            <w:top w:w="0" w:type="dxa"/>
            <w:left w:w="108" w:type="dxa"/>
            <w:bottom w:w="0" w:type="dxa"/>
            <w:right w:w="108" w:type="dxa"/>
          </w:tblCellMar>
        </w:tblPrEx>
        <w:trPr>
          <w:jc w:val="center"/>
        </w:trPr>
        <w:tc>
          <w:tcPr>
            <w:tcW w:w="874" w:type="dxa"/>
            <w:vMerge w:val="restart"/>
            <w:tcBorders>
              <w:top w:val="single" w:color="000000" w:sz="6" w:space="0"/>
              <w:left w:val="double" w:color="000000" w:sz="4" w:space="0"/>
              <w:right w:val="single" w:color="000000" w:sz="6" w:space="0"/>
            </w:tcBorders>
            <w:vAlign w:val="center"/>
          </w:tcPr>
          <w:p w14:paraId="179340C0">
            <w:pPr>
              <w:spacing w:line="360" w:lineRule="auto"/>
              <w:rPr>
                <w:rFonts w:hint="eastAsia" w:ascii="宋体" w:hAnsi="宋体" w:cs="宋体"/>
                <w:sz w:val="24"/>
                <w:szCs w:val="24"/>
              </w:rPr>
            </w:pPr>
            <w:r>
              <w:rPr>
                <w:rFonts w:hint="eastAsia" w:ascii="宋体" w:hAnsi="宋体" w:cs="宋体"/>
                <w:sz w:val="24"/>
                <w:szCs w:val="24"/>
              </w:rPr>
              <w:t>19</w:t>
            </w:r>
          </w:p>
        </w:tc>
        <w:tc>
          <w:tcPr>
            <w:tcW w:w="2689" w:type="dxa"/>
            <w:tcBorders>
              <w:top w:val="single" w:color="000000" w:sz="6" w:space="0"/>
              <w:left w:val="single" w:color="000000" w:sz="6" w:space="0"/>
              <w:bottom w:val="single" w:color="000000" w:sz="6" w:space="0"/>
              <w:right w:val="single" w:color="000000" w:sz="6" w:space="0"/>
            </w:tcBorders>
            <w:vAlign w:val="center"/>
          </w:tcPr>
          <w:p w14:paraId="7D079790">
            <w:pPr>
              <w:spacing w:line="360" w:lineRule="auto"/>
              <w:jc w:val="center"/>
              <w:rPr>
                <w:rFonts w:hint="eastAsia" w:ascii="宋体" w:hAnsi="宋体" w:cs="宋体"/>
                <w:sz w:val="24"/>
                <w:szCs w:val="24"/>
              </w:rPr>
            </w:pPr>
            <w:r>
              <w:rPr>
                <w:rFonts w:hint="eastAsia" w:ascii="宋体" w:hAnsi="宋体" w:cs="宋体"/>
                <w:sz w:val="24"/>
                <w:szCs w:val="24"/>
              </w:rPr>
              <w:t>签订合同</w:t>
            </w:r>
          </w:p>
        </w:tc>
        <w:tc>
          <w:tcPr>
            <w:tcW w:w="6642" w:type="dxa"/>
            <w:tcBorders>
              <w:top w:val="single" w:color="000000" w:sz="6" w:space="0"/>
              <w:left w:val="single" w:color="000000" w:sz="6" w:space="0"/>
              <w:bottom w:val="single" w:color="000000" w:sz="6" w:space="0"/>
              <w:right w:val="double" w:color="000000" w:sz="4" w:space="0"/>
            </w:tcBorders>
            <w:vAlign w:val="center"/>
          </w:tcPr>
          <w:p w14:paraId="0D892A45">
            <w:pPr>
              <w:spacing w:line="360" w:lineRule="auto"/>
              <w:rPr>
                <w:rFonts w:hint="eastAsia" w:ascii="宋体" w:hAnsi="宋体" w:cs="宋体"/>
                <w:sz w:val="24"/>
                <w:szCs w:val="24"/>
              </w:rPr>
            </w:pPr>
            <w:r>
              <w:rPr>
                <w:rFonts w:hint="eastAsia" w:ascii="宋体" w:hAnsi="宋体" w:cs="宋体"/>
                <w:sz w:val="24"/>
                <w:szCs w:val="24"/>
              </w:rPr>
              <w:t>签订合同后，成交供应商应当按照合同约定履行义务，完成项目，不得相关服务进行分包、转包。否则采购人有权终止合同，成交供应商的履约保证金（如有）将不予退还。转包或分包造成采购人损失的，成交供应商还应承担相应赔偿责任。</w:t>
            </w:r>
          </w:p>
        </w:tc>
      </w:tr>
      <w:tr w14:paraId="0CBBDAF6">
        <w:tblPrEx>
          <w:tblCellMar>
            <w:top w:w="0" w:type="dxa"/>
            <w:left w:w="108" w:type="dxa"/>
            <w:bottom w:w="0" w:type="dxa"/>
            <w:right w:w="108" w:type="dxa"/>
          </w:tblCellMar>
        </w:tblPrEx>
        <w:trPr>
          <w:jc w:val="center"/>
        </w:trPr>
        <w:tc>
          <w:tcPr>
            <w:tcW w:w="874" w:type="dxa"/>
            <w:vMerge w:val="continue"/>
            <w:tcBorders>
              <w:left w:val="double" w:color="000000" w:sz="4" w:space="0"/>
              <w:right w:val="single" w:color="000000" w:sz="6" w:space="0"/>
            </w:tcBorders>
            <w:vAlign w:val="center"/>
          </w:tcPr>
          <w:p w14:paraId="27B21B47">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06DCCD49">
            <w:pPr>
              <w:spacing w:line="360" w:lineRule="auto"/>
              <w:jc w:val="center"/>
              <w:rPr>
                <w:rFonts w:hint="eastAsia" w:ascii="宋体" w:hAnsi="宋体" w:cs="宋体"/>
                <w:b/>
                <w:bCs/>
                <w:kern w:val="2"/>
                <w:sz w:val="24"/>
                <w:szCs w:val="24"/>
                <w:lang w:eastAsia="en-US"/>
              </w:rPr>
            </w:pPr>
            <w:r>
              <w:rPr>
                <w:rFonts w:hint="eastAsia" w:ascii="宋体" w:hAnsi="宋体" w:cs="宋体"/>
                <w:b/>
                <w:bCs/>
                <w:sz w:val="24"/>
                <w:szCs w:val="24"/>
                <w:lang w:eastAsia="en-US"/>
              </w:rPr>
              <w:t>采购合同公告</w:t>
            </w:r>
          </w:p>
        </w:tc>
        <w:tc>
          <w:tcPr>
            <w:tcW w:w="6642" w:type="dxa"/>
            <w:tcBorders>
              <w:top w:val="single" w:color="000000" w:sz="6" w:space="0"/>
              <w:left w:val="single" w:color="000000" w:sz="6" w:space="0"/>
              <w:bottom w:val="single" w:color="000000" w:sz="6" w:space="0"/>
              <w:right w:val="double" w:color="000000" w:sz="4" w:space="0"/>
            </w:tcBorders>
            <w:vAlign w:val="center"/>
          </w:tcPr>
          <w:p w14:paraId="1738982B">
            <w:pPr>
              <w:spacing w:line="360" w:lineRule="auto"/>
              <w:rPr>
                <w:rFonts w:hint="eastAsia" w:ascii="宋体" w:hAnsi="宋体" w:cs="宋体"/>
                <w:b/>
                <w:bCs/>
                <w:kern w:val="2"/>
                <w:sz w:val="24"/>
                <w:szCs w:val="24"/>
              </w:rPr>
            </w:pPr>
            <w:r>
              <w:rPr>
                <w:rFonts w:hint="eastAsia" w:ascii="宋体" w:hAnsi="宋体" w:cs="宋体"/>
                <w:b/>
                <w:bCs/>
                <w:sz w:val="24"/>
                <w:szCs w:val="24"/>
              </w:rPr>
              <w:t>政府采购合同签订之日起2个工作日内，请中标人将合同送往代理机构进行项目鉴证章并进行合同公告。</w:t>
            </w:r>
          </w:p>
        </w:tc>
      </w:tr>
      <w:tr w14:paraId="26437C08">
        <w:tblPrEx>
          <w:tblCellMar>
            <w:top w:w="0" w:type="dxa"/>
            <w:left w:w="108" w:type="dxa"/>
            <w:bottom w:w="0" w:type="dxa"/>
            <w:right w:w="108" w:type="dxa"/>
          </w:tblCellMar>
        </w:tblPrEx>
        <w:trPr>
          <w:jc w:val="center"/>
        </w:trPr>
        <w:tc>
          <w:tcPr>
            <w:tcW w:w="874" w:type="dxa"/>
            <w:vMerge w:val="continue"/>
            <w:tcBorders>
              <w:left w:val="double" w:color="000000" w:sz="4" w:space="0"/>
              <w:bottom w:val="single" w:color="000000" w:sz="6" w:space="0"/>
              <w:right w:val="single" w:color="000000" w:sz="6" w:space="0"/>
            </w:tcBorders>
            <w:vAlign w:val="center"/>
          </w:tcPr>
          <w:p w14:paraId="6A66C21B">
            <w:pPr>
              <w:spacing w:line="360" w:lineRule="auto"/>
              <w:rPr>
                <w:rFonts w:hint="eastAsia" w:ascii="宋体" w:hAnsi="宋体" w:cs="宋体"/>
                <w:sz w:val="24"/>
                <w:szCs w:val="24"/>
              </w:rPr>
            </w:pPr>
          </w:p>
        </w:tc>
        <w:tc>
          <w:tcPr>
            <w:tcW w:w="2689" w:type="dxa"/>
            <w:tcBorders>
              <w:top w:val="single" w:color="000000" w:sz="6" w:space="0"/>
              <w:left w:val="single" w:color="000000" w:sz="6" w:space="0"/>
              <w:bottom w:val="single" w:color="000000" w:sz="6" w:space="0"/>
              <w:right w:val="single" w:color="000000" w:sz="6" w:space="0"/>
            </w:tcBorders>
            <w:vAlign w:val="center"/>
          </w:tcPr>
          <w:p w14:paraId="34A53A40">
            <w:pPr>
              <w:spacing w:line="360" w:lineRule="auto"/>
              <w:jc w:val="center"/>
              <w:rPr>
                <w:rFonts w:hint="eastAsia" w:ascii="宋体" w:hAnsi="宋体" w:cs="宋体"/>
                <w:sz w:val="24"/>
                <w:szCs w:val="24"/>
              </w:rPr>
            </w:pPr>
            <w:r>
              <w:rPr>
                <w:rFonts w:hint="eastAsia" w:ascii="宋体" w:hAnsi="宋体" w:cs="宋体"/>
                <w:sz w:val="24"/>
                <w:szCs w:val="24"/>
              </w:rPr>
              <w:t>履约保证金</w:t>
            </w:r>
          </w:p>
        </w:tc>
        <w:tc>
          <w:tcPr>
            <w:tcW w:w="6642" w:type="dxa"/>
            <w:tcBorders>
              <w:top w:val="single" w:color="000000" w:sz="6" w:space="0"/>
              <w:left w:val="single" w:color="000000" w:sz="6" w:space="0"/>
              <w:bottom w:val="single" w:color="000000" w:sz="6" w:space="0"/>
              <w:right w:val="double" w:color="000000" w:sz="4" w:space="0"/>
            </w:tcBorders>
            <w:vAlign w:val="center"/>
          </w:tcPr>
          <w:p w14:paraId="6E2F3237">
            <w:pPr>
              <w:spacing w:line="360" w:lineRule="auto"/>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不要求提供</w:t>
            </w:r>
          </w:p>
        </w:tc>
      </w:tr>
      <w:tr w14:paraId="32416F64">
        <w:tblPrEx>
          <w:tblCellMar>
            <w:top w:w="0" w:type="dxa"/>
            <w:left w:w="108" w:type="dxa"/>
            <w:bottom w:w="0" w:type="dxa"/>
            <w:right w:w="108" w:type="dxa"/>
          </w:tblCellMar>
        </w:tblPrEx>
        <w:trPr>
          <w:jc w:val="center"/>
        </w:trPr>
        <w:tc>
          <w:tcPr>
            <w:tcW w:w="10205" w:type="dxa"/>
            <w:gridSpan w:val="3"/>
            <w:tcBorders>
              <w:top w:val="single" w:color="000000" w:sz="6" w:space="0"/>
              <w:left w:val="double" w:color="000000" w:sz="4" w:space="0"/>
              <w:bottom w:val="single" w:color="auto" w:sz="4" w:space="0"/>
              <w:right w:val="double" w:color="000000" w:sz="4" w:space="0"/>
            </w:tcBorders>
            <w:vAlign w:val="center"/>
          </w:tcPr>
          <w:p w14:paraId="5E7C7E95">
            <w:pPr>
              <w:spacing w:line="360" w:lineRule="auto"/>
              <w:rPr>
                <w:rFonts w:hint="eastAsia" w:ascii="宋体" w:hAnsi="宋体" w:cs="宋体"/>
                <w:sz w:val="24"/>
                <w:szCs w:val="24"/>
              </w:rPr>
            </w:pPr>
            <w:r>
              <w:rPr>
                <w:rFonts w:hint="eastAsia" w:ascii="宋体" w:hAnsi="宋体" w:cs="宋体"/>
                <w:sz w:val="24"/>
                <w:szCs w:val="24"/>
              </w:rPr>
              <w:t>十一、其他</w:t>
            </w:r>
          </w:p>
        </w:tc>
      </w:tr>
      <w:tr w14:paraId="5A91C509">
        <w:tblPrEx>
          <w:tblCellMar>
            <w:top w:w="0" w:type="dxa"/>
            <w:left w:w="108" w:type="dxa"/>
            <w:bottom w:w="0" w:type="dxa"/>
            <w:right w:w="108" w:type="dxa"/>
          </w:tblCellMar>
        </w:tblPrEx>
        <w:trPr>
          <w:trHeight w:val="90" w:hRule="atLeast"/>
          <w:jc w:val="center"/>
        </w:trPr>
        <w:tc>
          <w:tcPr>
            <w:tcW w:w="874" w:type="dxa"/>
            <w:vMerge w:val="restart"/>
            <w:tcBorders>
              <w:top w:val="single" w:color="auto" w:sz="4" w:space="0"/>
              <w:left w:val="single" w:color="auto" w:sz="4" w:space="0"/>
              <w:bottom w:val="single" w:color="auto" w:sz="4" w:space="0"/>
              <w:right w:val="single" w:color="000000" w:sz="6" w:space="0"/>
            </w:tcBorders>
            <w:vAlign w:val="center"/>
          </w:tcPr>
          <w:p w14:paraId="360B60DB">
            <w:pPr>
              <w:spacing w:line="360" w:lineRule="auto"/>
              <w:rPr>
                <w:rFonts w:hint="eastAsia" w:ascii="宋体" w:hAnsi="宋体" w:cs="宋体"/>
                <w:sz w:val="24"/>
                <w:szCs w:val="24"/>
              </w:rPr>
            </w:pPr>
            <w:r>
              <w:rPr>
                <w:rFonts w:hint="eastAsia" w:ascii="宋体" w:hAnsi="宋体" w:cs="宋体"/>
                <w:sz w:val="24"/>
                <w:szCs w:val="24"/>
              </w:rPr>
              <w:t>20</w:t>
            </w:r>
          </w:p>
        </w:tc>
        <w:tc>
          <w:tcPr>
            <w:tcW w:w="2689" w:type="dxa"/>
            <w:vMerge w:val="restart"/>
            <w:tcBorders>
              <w:top w:val="single" w:color="auto" w:sz="4" w:space="0"/>
              <w:left w:val="single" w:color="000000" w:sz="6" w:space="0"/>
              <w:bottom w:val="single" w:color="auto" w:sz="4" w:space="0"/>
              <w:right w:val="single" w:color="000000" w:sz="6" w:space="0"/>
            </w:tcBorders>
            <w:vAlign w:val="center"/>
          </w:tcPr>
          <w:p w14:paraId="5D76B16F">
            <w:pPr>
              <w:spacing w:line="360" w:lineRule="auto"/>
              <w:jc w:val="center"/>
              <w:rPr>
                <w:rFonts w:hint="eastAsia" w:ascii="宋体" w:hAnsi="宋体" w:cs="宋体"/>
                <w:sz w:val="24"/>
                <w:szCs w:val="24"/>
              </w:rPr>
            </w:pPr>
          </w:p>
          <w:p w14:paraId="4E16F59A">
            <w:pPr>
              <w:spacing w:line="360" w:lineRule="auto"/>
              <w:jc w:val="center"/>
              <w:rPr>
                <w:rFonts w:hint="eastAsia" w:ascii="宋体" w:hAnsi="宋体" w:cs="宋体"/>
                <w:sz w:val="24"/>
                <w:szCs w:val="24"/>
              </w:rPr>
            </w:pPr>
          </w:p>
          <w:p w14:paraId="7BD15C29">
            <w:pPr>
              <w:spacing w:line="360" w:lineRule="auto"/>
              <w:jc w:val="center"/>
              <w:rPr>
                <w:rFonts w:hint="eastAsia" w:ascii="宋体" w:hAnsi="宋体" w:cs="宋体"/>
                <w:sz w:val="24"/>
                <w:szCs w:val="24"/>
              </w:rPr>
            </w:pPr>
          </w:p>
          <w:p w14:paraId="1049C907">
            <w:pPr>
              <w:spacing w:line="360" w:lineRule="auto"/>
              <w:jc w:val="center"/>
              <w:rPr>
                <w:rFonts w:hint="eastAsia" w:ascii="宋体" w:hAnsi="宋体" w:cs="宋体"/>
                <w:sz w:val="24"/>
                <w:szCs w:val="24"/>
              </w:rPr>
            </w:pPr>
          </w:p>
          <w:p w14:paraId="54563982">
            <w:pPr>
              <w:spacing w:line="360" w:lineRule="auto"/>
              <w:jc w:val="center"/>
              <w:rPr>
                <w:rFonts w:hint="eastAsia" w:ascii="宋体" w:hAnsi="宋体" w:cs="宋体"/>
                <w:sz w:val="24"/>
                <w:szCs w:val="24"/>
              </w:rPr>
            </w:pPr>
          </w:p>
          <w:p w14:paraId="11C974E5">
            <w:pPr>
              <w:spacing w:line="360" w:lineRule="auto"/>
              <w:jc w:val="center"/>
              <w:rPr>
                <w:rFonts w:hint="eastAsia" w:ascii="宋体" w:hAnsi="宋体" w:cs="宋体"/>
                <w:sz w:val="24"/>
                <w:szCs w:val="24"/>
              </w:rPr>
            </w:pPr>
          </w:p>
          <w:p w14:paraId="5E469DAC">
            <w:pPr>
              <w:spacing w:line="360" w:lineRule="auto"/>
              <w:jc w:val="center"/>
              <w:rPr>
                <w:rFonts w:hint="eastAsia" w:ascii="宋体" w:hAnsi="宋体" w:cs="宋体"/>
                <w:sz w:val="24"/>
                <w:szCs w:val="24"/>
              </w:rPr>
            </w:pPr>
            <w:r>
              <w:rPr>
                <w:rFonts w:hint="eastAsia" w:ascii="宋体" w:hAnsi="宋体" w:cs="宋体"/>
                <w:sz w:val="24"/>
                <w:szCs w:val="24"/>
              </w:rPr>
              <w:t>政府采购政策</w:t>
            </w:r>
          </w:p>
          <w:p w14:paraId="3DB63CA8">
            <w:pPr>
              <w:spacing w:line="360" w:lineRule="auto"/>
              <w:jc w:val="center"/>
              <w:rPr>
                <w:rFonts w:hint="eastAsia" w:ascii="宋体" w:hAnsi="宋体" w:cs="宋体"/>
                <w:sz w:val="24"/>
                <w:szCs w:val="24"/>
              </w:rPr>
            </w:pPr>
            <w:r>
              <w:rPr>
                <w:rFonts w:hint="eastAsia" w:ascii="宋体" w:hAnsi="宋体" w:cs="宋体"/>
                <w:sz w:val="24"/>
                <w:szCs w:val="24"/>
              </w:rPr>
              <w:t>（中小企业、监狱企业及残疾人福利性单位）</w:t>
            </w:r>
          </w:p>
          <w:p w14:paraId="144AFF68">
            <w:pPr>
              <w:spacing w:line="360" w:lineRule="auto"/>
              <w:ind w:firstLine="480" w:firstLineChars="200"/>
              <w:rPr>
                <w:rFonts w:hint="eastAsia" w:ascii="宋体" w:hAnsi="宋体" w:cs="宋体"/>
                <w:sz w:val="24"/>
                <w:szCs w:val="24"/>
              </w:rPr>
            </w:pPr>
          </w:p>
          <w:p w14:paraId="62371419">
            <w:pPr>
              <w:spacing w:line="360" w:lineRule="auto"/>
              <w:rPr>
                <w:rFonts w:hint="eastAsia" w:ascii="宋体" w:hAnsi="宋体" w:cs="宋体"/>
                <w:sz w:val="24"/>
                <w:szCs w:val="24"/>
              </w:rPr>
            </w:pPr>
            <w:r>
              <w:rPr>
                <w:rFonts w:hint="eastAsia" w:ascii="宋体" w:hAnsi="宋体" w:cs="宋体"/>
                <w:sz w:val="24"/>
                <w:szCs w:val="24"/>
              </w:rPr>
              <w:t xml:space="preserve"> </w:t>
            </w:r>
          </w:p>
        </w:tc>
        <w:tc>
          <w:tcPr>
            <w:tcW w:w="6642" w:type="dxa"/>
            <w:tcBorders>
              <w:top w:val="single" w:color="auto" w:sz="4" w:space="0"/>
              <w:left w:val="single" w:color="000000" w:sz="6" w:space="0"/>
              <w:bottom w:val="single" w:color="auto" w:sz="4" w:space="0"/>
              <w:right w:val="single" w:color="auto" w:sz="4" w:space="0"/>
            </w:tcBorders>
            <w:vAlign w:val="center"/>
          </w:tcPr>
          <w:p w14:paraId="6FCD89EE">
            <w:pPr>
              <w:numPr>
                <w:ilvl w:val="12"/>
                <w:numId w:val="0"/>
              </w:numPr>
              <w:spacing w:line="360" w:lineRule="auto"/>
              <w:rPr>
                <w:rFonts w:hint="eastAsia" w:ascii="宋体" w:hAnsi="宋体" w:cs="宋体"/>
                <w:sz w:val="24"/>
                <w:szCs w:val="24"/>
              </w:rPr>
            </w:pPr>
            <w:r>
              <w:rPr>
                <w:rFonts w:hint="eastAsia" w:ascii="宋体" w:hAnsi="宋体" w:cs="宋体"/>
                <w:sz w:val="24"/>
                <w:szCs w:val="24"/>
              </w:rPr>
              <w:t xml:space="preserve">1.专门面向中小企业采购的项目，供应商须出具《中小企业声明函》， 大型企业不得参与投标。非专门面向中小企业采购的项目，中小企业须出具《中小企业声明函》，对符合规定的小型、微型企业报价给予 10% 的扣除，用扣除后的价格参加评审，未出具《中小企业声明函》的供应商不得享受中小企业相关扶持政策。 </w:t>
            </w:r>
          </w:p>
          <w:p w14:paraId="58299F8A">
            <w:pPr>
              <w:spacing w:line="360" w:lineRule="auto"/>
              <w:rPr>
                <w:rFonts w:hint="eastAsia" w:ascii="宋体" w:hAnsi="宋体" w:cs="宋体"/>
                <w:kern w:val="2"/>
                <w:sz w:val="24"/>
                <w:szCs w:val="24"/>
              </w:rPr>
            </w:pPr>
            <w:r>
              <w:rPr>
                <w:rFonts w:hint="eastAsia" w:ascii="宋体" w:hAnsi="宋体" w:cs="宋体"/>
                <w:b/>
                <w:bCs/>
                <w:sz w:val="24"/>
                <w:szCs w:val="24"/>
              </w:rPr>
              <w:t>说明：根据《海南省政府采购领域优化营商环境提升措施》的通知（琼财采〔2023〕981号）》规定，供应商提供《中小企业声明函》内容不实的，属于“隐瞒真实情况，提供虚假资料的”情形，依照有关规定追究相应责任。</w:t>
            </w:r>
          </w:p>
        </w:tc>
      </w:tr>
      <w:tr w14:paraId="2C363448">
        <w:tblPrEx>
          <w:tblCellMar>
            <w:top w:w="0" w:type="dxa"/>
            <w:left w:w="108" w:type="dxa"/>
            <w:bottom w:w="0" w:type="dxa"/>
            <w:right w:w="108" w:type="dxa"/>
          </w:tblCellMar>
        </w:tblPrEx>
        <w:trPr>
          <w:trHeight w:val="335" w:hRule="atLeast"/>
          <w:jc w:val="center"/>
        </w:trPr>
        <w:tc>
          <w:tcPr>
            <w:tcW w:w="874" w:type="dxa"/>
            <w:vMerge w:val="continue"/>
            <w:tcBorders>
              <w:top w:val="single" w:color="auto" w:sz="4" w:space="0"/>
              <w:left w:val="single" w:color="auto" w:sz="4" w:space="0"/>
              <w:bottom w:val="single" w:color="000000" w:sz="6" w:space="0"/>
              <w:right w:val="single" w:color="000000" w:sz="6" w:space="0"/>
            </w:tcBorders>
            <w:vAlign w:val="center"/>
          </w:tcPr>
          <w:p w14:paraId="31B8BA8F">
            <w:pPr>
              <w:spacing w:line="360" w:lineRule="auto"/>
              <w:rPr>
                <w:rFonts w:hint="eastAsia" w:ascii="宋体" w:hAnsi="宋体" w:cs="宋体"/>
                <w:sz w:val="24"/>
                <w:szCs w:val="24"/>
              </w:rPr>
            </w:pPr>
          </w:p>
        </w:tc>
        <w:tc>
          <w:tcPr>
            <w:tcW w:w="2689" w:type="dxa"/>
            <w:vMerge w:val="continue"/>
            <w:tcBorders>
              <w:top w:val="single" w:color="auto" w:sz="4" w:space="0"/>
              <w:left w:val="single" w:color="000000" w:sz="6" w:space="0"/>
              <w:bottom w:val="single" w:color="000000" w:sz="6" w:space="0"/>
              <w:right w:val="single" w:color="000000" w:sz="6" w:space="0"/>
            </w:tcBorders>
            <w:vAlign w:val="center"/>
          </w:tcPr>
          <w:p w14:paraId="60652FBF">
            <w:pPr>
              <w:spacing w:line="360" w:lineRule="auto"/>
              <w:rPr>
                <w:rFonts w:hint="eastAsia" w:ascii="宋体" w:hAnsi="宋体" w:cs="宋体"/>
                <w:sz w:val="24"/>
                <w:szCs w:val="24"/>
              </w:rPr>
            </w:pPr>
          </w:p>
        </w:tc>
        <w:tc>
          <w:tcPr>
            <w:tcW w:w="6642" w:type="dxa"/>
            <w:tcBorders>
              <w:top w:val="single" w:color="auto" w:sz="4" w:space="0"/>
              <w:left w:val="single" w:color="000000" w:sz="6" w:space="0"/>
              <w:bottom w:val="single" w:color="000000" w:sz="6" w:space="0"/>
              <w:right w:val="double" w:color="000000" w:sz="4" w:space="0"/>
            </w:tcBorders>
            <w:vAlign w:val="center"/>
          </w:tcPr>
          <w:p w14:paraId="024CEEAE">
            <w:pPr>
              <w:spacing w:line="360" w:lineRule="auto"/>
              <w:rPr>
                <w:rFonts w:hint="eastAsia" w:ascii="宋体" w:hAnsi="宋体" w:cs="宋体"/>
                <w:sz w:val="24"/>
                <w:szCs w:val="24"/>
              </w:rPr>
            </w:pPr>
            <w:r>
              <w:rPr>
                <w:rFonts w:hint="eastAsia" w:ascii="宋体" w:hAnsi="宋体" w:cs="宋体"/>
                <w:sz w:val="24"/>
                <w:szCs w:val="24"/>
              </w:rPr>
              <w:t>2.监狱企业：根据《财政部司法部关于政府采购支持监狱企业发展有关问题的通知》（财库[2014]68号）文件规定，监狱企业参加政府采购活动时，应当提供由省级以上监狱管理局、戒毒管理局（含新疆生产建设兵团）出具的属于监狱企业的证明文件。监狱企业视同小型、微型企业，享受预留份额、评审中价格扣除等政府采购促进中小企业发展的政府采购政策。</w:t>
            </w:r>
          </w:p>
          <w:p w14:paraId="29EE553A">
            <w:pPr>
              <w:spacing w:line="360" w:lineRule="auto"/>
              <w:rPr>
                <w:rFonts w:hint="eastAsia" w:ascii="宋体" w:hAnsi="宋体" w:cs="宋体"/>
                <w:sz w:val="24"/>
                <w:szCs w:val="24"/>
              </w:rPr>
            </w:pPr>
            <w:r>
              <w:rPr>
                <w:rFonts w:hint="eastAsia" w:ascii="宋体" w:hAnsi="宋体" w:cs="宋体"/>
                <w:sz w:val="24"/>
                <w:szCs w:val="24"/>
              </w:rPr>
              <w:t>残疾人福利性单位：根据《财政部民政部中国残疾人联合会关于促进残疾人就业政府采购政策的通知》（财库〔2017〕141号）的规定，符合条件的残疾人福利性单位在参加政府采购活动时，须提供《残疾人福利性单位声明函》。残疾人福利性单位视同小型、微型企业，享受预</w:t>
            </w:r>
          </w:p>
          <w:p w14:paraId="14C2B1BB">
            <w:pPr>
              <w:spacing w:line="360" w:lineRule="auto"/>
              <w:rPr>
                <w:rFonts w:hint="eastAsia" w:ascii="宋体" w:hAnsi="宋体" w:cs="宋体"/>
                <w:sz w:val="24"/>
                <w:szCs w:val="24"/>
              </w:rPr>
            </w:pPr>
            <w:r>
              <w:rPr>
                <w:rFonts w:hint="eastAsia" w:ascii="宋体" w:hAnsi="宋体" w:cs="宋体"/>
                <w:sz w:val="24"/>
                <w:szCs w:val="24"/>
              </w:rPr>
              <w:t>留份额、评审中价格扣除等促进中小企业发展的政府采购政策。残疾人福利性单位属于小型、微型企业的，不重复享受政策。</w:t>
            </w:r>
          </w:p>
          <w:p w14:paraId="3F70503F">
            <w:pPr>
              <w:spacing w:line="360" w:lineRule="auto"/>
              <w:rPr>
                <w:rFonts w:hint="eastAsia" w:ascii="宋体" w:hAnsi="宋体" w:cs="宋体"/>
                <w:sz w:val="24"/>
                <w:szCs w:val="24"/>
              </w:rPr>
            </w:pPr>
            <w:r>
              <w:rPr>
                <w:rFonts w:hint="eastAsia" w:ascii="宋体" w:hAnsi="宋体" w:cs="宋体"/>
                <w:sz w:val="24"/>
                <w:szCs w:val="24"/>
              </w:rPr>
              <w:t>3.价格扣除比例：投标报价给予10%的扣除。供应商同时为小微企业、监狱企业或残疾人福利性单位的，评审中只享受一次价格扣除，不重复享受价格扣除。</w:t>
            </w:r>
          </w:p>
        </w:tc>
      </w:tr>
      <w:tr w14:paraId="748B6694">
        <w:tblPrEx>
          <w:tblCellMar>
            <w:top w:w="0" w:type="dxa"/>
            <w:left w:w="108" w:type="dxa"/>
            <w:bottom w:w="0" w:type="dxa"/>
            <w:right w:w="108" w:type="dxa"/>
          </w:tblCellMar>
        </w:tblPrEx>
        <w:trPr>
          <w:trHeight w:val="90" w:hRule="atLeast"/>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2CFA8409">
            <w:pPr>
              <w:spacing w:line="360" w:lineRule="auto"/>
              <w:rPr>
                <w:rFonts w:hint="eastAsia" w:ascii="宋体" w:hAnsi="宋体" w:cs="宋体"/>
                <w:sz w:val="24"/>
                <w:szCs w:val="24"/>
              </w:rPr>
            </w:pPr>
            <w:r>
              <w:rPr>
                <w:rFonts w:hint="eastAsia" w:ascii="宋体" w:hAnsi="宋体" w:cs="宋体"/>
                <w:sz w:val="24"/>
                <w:szCs w:val="24"/>
              </w:rPr>
              <w:t>21</w:t>
            </w:r>
          </w:p>
        </w:tc>
        <w:tc>
          <w:tcPr>
            <w:tcW w:w="2689" w:type="dxa"/>
            <w:tcBorders>
              <w:top w:val="single" w:color="000000" w:sz="6" w:space="0"/>
              <w:left w:val="single" w:color="000000" w:sz="6" w:space="0"/>
              <w:bottom w:val="single" w:color="000000" w:sz="6" w:space="0"/>
              <w:right w:val="single" w:color="000000" w:sz="6" w:space="0"/>
            </w:tcBorders>
            <w:vAlign w:val="center"/>
          </w:tcPr>
          <w:p w14:paraId="5F4036D7">
            <w:pPr>
              <w:spacing w:line="360" w:lineRule="auto"/>
              <w:rPr>
                <w:rFonts w:hint="eastAsia" w:ascii="宋体" w:hAnsi="宋体" w:cs="宋体"/>
                <w:sz w:val="24"/>
                <w:szCs w:val="24"/>
              </w:rPr>
            </w:pPr>
            <w:r>
              <w:rPr>
                <w:rFonts w:hint="eastAsia" w:ascii="宋体" w:hAnsi="宋体" w:cs="宋体"/>
                <w:sz w:val="24"/>
                <w:szCs w:val="24"/>
              </w:rPr>
              <w:t>采购标的对应的中小企业划分标准所属行业</w:t>
            </w:r>
          </w:p>
        </w:tc>
        <w:tc>
          <w:tcPr>
            <w:tcW w:w="6642" w:type="dxa"/>
            <w:tcBorders>
              <w:top w:val="single" w:color="000000" w:sz="6" w:space="0"/>
              <w:left w:val="single" w:color="000000" w:sz="6" w:space="0"/>
              <w:bottom w:val="single" w:color="000000" w:sz="6" w:space="0"/>
              <w:right w:val="double" w:color="000000" w:sz="4" w:space="0"/>
            </w:tcBorders>
            <w:vAlign w:val="center"/>
          </w:tcPr>
          <w:p w14:paraId="10DCC070">
            <w:pPr>
              <w:spacing w:line="360" w:lineRule="auto"/>
              <w:rPr>
                <w:rFonts w:hint="eastAsia" w:ascii="宋体" w:hAnsi="宋体" w:cs="宋体"/>
                <w:b/>
                <w:bCs/>
                <w:sz w:val="24"/>
                <w:szCs w:val="24"/>
              </w:rPr>
            </w:pPr>
            <w:r>
              <w:rPr>
                <w:rFonts w:hint="eastAsia" w:ascii="宋体" w:hAnsi="宋体" w:cs="宋体"/>
                <w:sz w:val="24"/>
                <w:szCs w:val="24"/>
              </w:rPr>
              <w:t>根据国家统计局关于印发《统计上大中小微型企业划分办法（2017）》的通知，本项目所属行业</w:t>
            </w:r>
          </w:p>
          <w:p w14:paraId="7EC01618">
            <w:pPr>
              <w:spacing w:line="360" w:lineRule="auto"/>
              <w:rPr>
                <w:rFonts w:hint="eastAsia" w:ascii="宋体" w:hAnsi="宋体" w:cs="宋体"/>
                <w:sz w:val="24"/>
                <w:szCs w:val="24"/>
              </w:rPr>
            </w:pPr>
            <w:r>
              <w:rPr>
                <w:rFonts w:hint="eastAsia" w:ascii="宋体" w:hAnsi="宋体" w:cs="宋体"/>
                <w:sz w:val="24"/>
                <w:szCs w:val="24"/>
              </w:rPr>
              <w:sym w:font="Wingdings 2" w:char="F0A3"/>
            </w:r>
            <w:r>
              <w:rPr>
                <w:rFonts w:hint="eastAsia" w:ascii="宋体" w:hAnsi="宋体" w:cs="宋体"/>
                <w:sz w:val="24"/>
                <w:szCs w:val="24"/>
              </w:rPr>
              <w:t>农、林、牧、渔业，</w:t>
            </w:r>
            <w:r>
              <w:rPr>
                <w:rFonts w:hint="eastAsia" w:ascii="宋体" w:hAnsi="宋体" w:cs="宋体"/>
                <w:b/>
                <w:bCs/>
                <w:sz w:val="24"/>
                <w:szCs w:val="24"/>
              </w:rPr>
              <w:sym w:font="Wingdings 2" w:char="0052"/>
            </w:r>
            <w:r>
              <w:rPr>
                <w:rFonts w:hint="eastAsia" w:ascii="宋体" w:hAnsi="宋体" w:cs="宋体"/>
                <w:b/>
                <w:bCs/>
                <w:sz w:val="24"/>
                <w:szCs w:val="24"/>
              </w:rPr>
              <w:t>工业</w:t>
            </w:r>
            <w:r>
              <w:rPr>
                <w:rFonts w:hint="eastAsia" w:ascii="宋体" w:hAnsi="宋体" w:cs="宋体"/>
                <w:b/>
                <w:bCs/>
                <w:sz w:val="24"/>
                <w:szCs w:val="24"/>
                <w:lang w:val="en-US" w:eastAsia="zh-CN"/>
              </w:rPr>
              <w:t>/制造业</w:t>
            </w:r>
            <w:r>
              <w:rPr>
                <w:rFonts w:hint="eastAsia" w:ascii="宋体" w:hAnsi="宋体" w:cs="宋体"/>
                <w:sz w:val="24"/>
                <w:szCs w:val="24"/>
              </w:rPr>
              <w:t>，</w:t>
            </w:r>
            <w:r>
              <w:rPr>
                <w:rFonts w:hint="eastAsia" w:ascii="宋体" w:hAnsi="宋体" w:cs="宋体"/>
                <w:sz w:val="24"/>
                <w:szCs w:val="24"/>
              </w:rPr>
              <w:sym w:font="Wingdings 2" w:char="F0A3"/>
            </w:r>
            <w:r>
              <w:rPr>
                <w:rFonts w:hint="eastAsia" w:ascii="宋体" w:hAnsi="宋体" w:cs="宋体"/>
                <w:sz w:val="24"/>
                <w:szCs w:val="24"/>
              </w:rPr>
              <w:t>建筑业，</w:t>
            </w:r>
            <w:r>
              <w:rPr>
                <w:rFonts w:hint="eastAsia" w:ascii="宋体" w:hAnsi="宋体" w:cs="宋体"/>
                <w:sz w:val="24"/>
                <w:szCs w:val="24"/>
              </w:rPr>
              <w:sym w:font="Wingdings 2" w:char="F0A3"/>
            </w:r>
            <w:r>
              <w:rPr>
                <w:rFonts w:hint="eastAsia" w:ascii="宋体" w:hAnsi="宋体" w:cs="宋体"/>
                <w:sz w:val="24"/>
                <w:szCs w:val="24"/>
              </w:rPr>
              <w:t>批发业，</w:t>
            </w:r>
            <w:r>
              <w:rPr>
                <w:rFonts w:hint="eastAsia" w:ascii="宋体" w:hAnsi="宋体" w:cs="宋体"/>
                <w:sz w:val="24"/>
                <w:szCs w:val="24"/>
              </w:rPr>
              <w:sym w:font="Wingdings 2" w:char="F0A3"/>
            </w:r>
            <w:r>
              <w:rPr>
                <w:rFonts w:hint="eastAsia" w:ascii="宋体" w:hAnsi="宋体" w:cs="宋体"/>
                <w:sz w:val="24"/>
                <w:szCs w:val="24"/>
              </w:rPr>
              <w:t>零售业，</w:t>
            </w:r>
            <w:r>
              <w:rPr>
                <w:rFonts w:hint="eastAsia" w:ascii="宋体" w:hAnsi="宋体" w:cs="宋体"/>
                <w:sz w:val="24"/>
                <w:szCs w:val="24"/>
              </w:rPr>
              <w:sym w:font="Wingdings 2" w:char="F0A3"/>
            </w:r>
            <w:r>
              <w:rPr>
                <w:rFonts w:hint="eastAsia" w:ascii="宋体" w:hAnsi="宋体" w:cs="宋体"/>
                <w:sz w:val="24"/>
                <w:szCs w:val="24"/>
              </w:rPr>
              <w:t>交通运输业，</w:t>
            </w:r>
            <w:r>
              <w:rPr>
                <w:rFonts w:hint="eastAsia" w:ascii="宋体" w:hAnsi="宋体" w:cs="宋体"/>
                <w:sz w:val="24"/>
                <w:szCs w:val="24"/>
              </w:rPr>
              <w:sym w:font="Wingdings 2" w:char="F0A3"/>
            </w:r>
            <w:r>
              <w:rPr>
                <w:rFonts w:hint="eastAsia" w:ascii="宋体" w:hAnsi="宋体" w:cs="宋体"/>
                <w:sz w:val="24"/>
                <w:szCs w:val="24"/>
              </w:rPr>
              <w:t>仓储业，</w:t>
            </w:r>
            <w:r>
              <w:rPr>
                <w:rFonts w:hint="eastAsia" w:ascii="宋体" w:hAnsi="宋体" w:cs="宋体"/>
                <w:sz w:val="24"/>
                <w:szCs w:val="24"/>
              </w:rPr>
              <w:sym w:font="Wingdings 2" w:char="F0A3"/>
            </w:r>
            <w:r>
              <w:rPr>
                <w:rFonts w:hint="eastAsia" w:ascii="宋体" w:hAnsi="宋体" w:cs="宋体"/>
                <w:sz w:val="24"/>
                <w:szCs w:val="24"/>
              </w:rPr>
              <w:t>邮政业，</w:t>
            </w:r>
            <w:r>
              <w:rPr>
                <w:rFonts w:hint="eastAsia" w:ascii="宋体" w:hAnsi="宋体" w:cs="宋体"/>
                <w:sz w:val="24"/>
                <w:szCs w:val="24"/>
              </w:rPr>
              <w:sym w:font="Wingdings 2" w:char="F0A3"/>
            </w:r>
            <w:r>
              <w:rPr>
                <w:rFonts w:hint="eastAsia" w:ascii="宋体" w:hAnsi="宋体" w:cs="宋体"/>
                <w:sz w:val="24"/>
                <w:szCs w:val="24"/>
              </w:rPr>
              <w:t>住宿业，</w:t>
            </w:r>
            <w:r>
              <w:rPr>
                <w:rFonts w:hint="eastAsia" w:ascii="宋体" w:hAnsi="宋体" w:cs="宋体"/>
                <w:sz w:val="24"/>
                <w:szCs w:val="24"/>
              </w:rPr>
              <w:sym w:font="Wingdings 2" w:char="F0A3"/>
            </w:r>
            <w:r>
              <w:rPr>
                <w:rFonts w:hint="eastAsia" w:ascii="宋体" w:hAnsi="宋体" w:cs="宋体"/>
                <w:sz w:val="24"/>
                <w:szCs w:val="24"/>
              </w:rPr>
              <w:t>餐饮业，</w:t>
            </w:r>
            <w:r>
              <w:rPr>
                <w:rFonts w:hint="eastAsia" w:ascii="宋体" w:hAnsi="宋体" w:cs="宋体"/>
                <w:sz w:val="24"/>
                <w:szCs w:val="24"/>
              </w:rPr>
              <w:sym w:font="Wingdings 2" w:char="F0A3"/>
            </w:r>
            <w:r>
              <w:rPr>
                <w:rFonts w:hint="eastAsia" w:ascii="宋体" w:hAnsi="宋体" w:cs="宋体"/>
                <w:sz w:val="24"/>
                <w:szCs w:val="24"/>
              </w:rPr>
              <w:t>信息传输业，</w:t>
            </w:r>
            <w:r>
              <w:rPr>
                <w:rFonts w:hint="eastAsia" w:ascii="宋体" w:hAnsi="宋体" w:cs="宋体"/>
                <w:sz w:val="24"/>
                <w:szCs w:val="24"/>
              </w:rPr>
              <w:sym w:font="Wingdings 2" w:char="F0A3"/>
            </w:r>
            <w:r>
              <w:rPr>
                <w:rFonts w:hint="eastAsia" w:ascii="宋体" w:hAnsi="宋体" w:cs="宋体"/>
                <w:sz w:val="24"/>
                <w:szCs w:val="24"/>
              </w:rPr>
              <w:t>软件和信息技术服务业，</w:t>
            </w:r>
            <w:r>
              <w:rPr>
                <w:rFonts w:hint="eastAsia" w:ascii="宋体" w:hAnsi="宋体" w:cs="宋体"/>
                <w:sz w:val="24"/>
                <w:szCs w:val="24"/>
              </w:rPr>
              <w:sym w:font="Wingdings 2" w:char="F0A3"/>
            </w:r>
            <w:r>
              <w:rPr>
                <w:rFonts w:hint="eastAsia" w:ascii="宋体" w:hAnsi="宋体" w:cs="宋体"/>
                <w:sz w:val="24"/>
                <w:szCs w:val="24"/>
              </w:rPr>
              <w:t>房地产开发经营，</w:t>
            </w:r>
            <w:r>
              <w:rPr>
                <w:rFonts w:hint="eastAsia" w:ascii="宋体" w:hAnsi="宋体" w:cs="宋体"/>
                <w:sz w:val="24"/>
                <w:szCs w:val="24"/>
              </w:rPr>
              <w:sym w:font="Wingdings 2" w:char="F0A3"/>
            </w:r>
            <w:r>
              <w:rPr>
                <w:rFonts w:hint="eastAsia" w:ascii="宋体" w:hAnsi="宋体" w:cs="宋体"/>
                <w:sz w:val="24"/>
                <w:szCs w:val="24"/>
              </w:rPr>
              <w:t>物业管理，</w:t>
            </w:r>
            <w:r>
              <w:rPr>
                <w:rFonts w:hint="eastAsia" w:ascii="宋体" w:hAnsi="宋体" w:cs="宋体"/>
                <w:sz w:val="24"/>
                <w:szCs w:val="24"/>
              </w:rPr>
              <w:sym w:font="Wingdings 2" w:char="F0A3"/>
            </w:r>
            <w:r>
              <w:rPr>
                <w:rFonts w:hint="eastAsia" w:ascii="宋体" w:hAnsi="宋体" w:cs="宋体"/>
                <w:sz w:val="24"/>
                <w:szCs w:val="24"/>
              </w:rPr>
              <w:t>租赁和商务服务业，</w:t>
            </w:r>
            <w:r>
              <w:rPr>
                <w:rFonts w:hint="eastAsia" w:ascii="宋体" w:hAnsi="宋体" w:cs="宋体"/>
                <w:sz w:val="24"/>
                <w:szCs w:val="24"/>
              </w:rPr>
              <w:sym w:font="Wingdings 2" w:char="00A3"/>
            </w:r>
            <w:r>
              <w:rPr>
                <w:rFonts w:hint="eastAsia" w:ascii="宋体" w:hAnsi="宋体" w:cs="宋体"/>
                <w:sz w:val="24"/>
                <w:szCs w:val="24"/>
              </w:rPr>
              <w:t>其他未列明行业。</w:t>
            </w:r>
          </w:p>
        </w:tc>
      </w:tr>
      <w:tr w14:paraId="3AED2144">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17F5548C">
            <w:pPr>
              <w:spacing w:line="360" w:lineRule="auto"/>
              <w:rPr>
                <w:rFonts w:hint="eastAsia" w:ascii="宋体" w:hAnsi="宋体" w:cs="宋体"/>
                <w:sz w:val="24"/>
                <w:szCs w:val="24"/>
              </w:rPr>
            </w:pPr>
            <w:r>
              <w:rPr>
                <w:rFonts w:hint="eastAsia" w:ascii="宋体" w:hAnsi="宋体" w:cs="宋体"/>
                <w:sz w:val="24"/>
                <w:szCs w:val="24"/>
              </w:rPr>
              <w:t>22</w:t>
            </w:r>
          </w:p>
        </w:tc>
        <w:tc>
          <w:tcPr>
            <w:tcW w:w="2689" w:type="dxa"/>
            <w:tcBorders>
              <w:top w:val="single" w:color="000000" w:sz="6" w:space="0"/>
              <w:left w:val="single" w:color="000000" w:sz="6" w:space="0"/>
              <w:bottom w:val="single" w:color="000000" w:sz="6" w:space="0"/>
              <w:right w:val="single" w:color="000000" w:sz="6" w:space="0"/>
            </w:tcBorders>
            <w:vAlign w:val="center"/>
          </w:tcPr>
          <w:p w14:paraId="7A5FC816">
            <w:pPr>
              <w:spacing w:line="360" w:lineRule="auto"/>
              <w:rPr>
                <w:rFonts w:hint="eastAsia" w:ascii="宋体" w:hAnsi="宋体" w:cs="宋体"/>
                <w:sz w:val="24"/>
                <w:szCs w:val="24"/>
              </w:rPr>
            </w:pPr>
            <w:r>
              <w:rPr>
                <w:rFonts w:hint="eastAsia" w:ascii="宋体" w:hAnsi="宋体" w:cs="宋体"/>
                <w:sz w:val="24"/>
                <w:szCs w:val="24"/>
              </w:rPr>
              <w:t>优先采购环境标志产品以及强制购、优先采购节能产品的要求</w:t>
            </w:r>
          </w:p>
        </w:tc>
        <w:tc>
          <w:tcPr>
            <w:tcW w:w="6642" w:type="dxa"/>
            <w:tcBorders>
              <w:top w:val="single" w:color="000000" w:sz="6" w:space="0"/>
              <w:left w:val="single" w:color="000000" w:sz="6" w:space="0"/>
              <w:bottom w:val="single" w:color="000000" w:sz="6" w:space="0"/>
              <w:right w:val="double" w:color="000000" w:sz="4" w:space="0"/>
            </w:tcBorders>
            <w:vAlign w:val="center"/>
          </w:tcPr>
          <w:p w14:paraId="0F76422A">
            <w:pPr>
              <w:spacing w:line="360" w:lineRule="auto"/>
              <w:rPr>
                <w:rFonts w:hint="eastAsia" w:ascii="宋体" w:hAnsi="宋体" w:cs="宋体"/>
                <w:sz w:val="24"/>
                <w:szCs w:val="24"/>
              </w:rPr>
            </w:pPr>
            <w:r>
              <w:rPr>
                <w:rFonts w:hint="eastAsia" w:ascii="宋体" w:hAnsi="宋体" w:cs="宋体"/>
                <w:sz w:val="24"/>
                <w:szCs w:val="24"/>
              </w:rPr>
              <w:t>根据《中华人民共和国政府采购法》、《国务院办公厅关于建立政府强 制采购节能产品的通知》（国办发［2007］51 号）、财政部、发展改 革委发布的《节能产品政府采购实施意见》（财库［2004］185 号）和财政部、国家环保总局《环境标志产品政府采购实施意见》（财库［2006］ 90 号）的规定，提供节能产品、环境标志产品在评审中享受加分。 节 能 产 品 、 环 境 标 志 产 品 认 定 以 中 国 政 府 采 购 网 (http://www.ccgp.gov.cn) 、 中 华 人 民 共 和 国 财 政 部 网 站 (http://www.mof.gov.cn)、国家发展改革委网站(http://www.ndrc.gov.cn)、 中华人民共和国环境保护部网站(http://www.zhb.gov.cn)公布的最新《节能产品政府采购品目清单》、《环境标志产品政府采购品目清单》为准。 证明材料：节能产品需提供《中国节能产品认证证书》复印件和政府部门公布的最新《节能产品政府采购品目清单》网站截图；环境标志产品需提供《中国环境标志产品认证证书》和政府部门公布的最新《环境标志产品政府采购品目清单》。</w:t>
            </w:r>
          </w:p>
        </w:tc>
      </w:tr>
      <w:tr w14:paraId="1FDD6530">
        <w:tblPrEx>
          <w:tblCellMar>
            <w:top w:w="0" w:type="dxa"/>
            <w:left w:w="108" w:type="dxa"/>
            <w:bottom w:w="0" w:type="dxa"/>
            <w:right w:w="108" w:type="dxa"/>
          </w:tblCellMar>
        </w:tblPrEx>
        <w:trPr>
          <w:trHeight w:val="90" w:hRule="atLeast"/>
          <w:jc w:val="center"/>
        </w:trPr>
        <w:tc>
          <w:tcPr>
            <w:tcW w:w="874" w:type="dxa"/>
            <w:tcBorders>
              <w:top w:val="single" w:color="000000" w:sz="6" w:space="0"/>
              <w:left w:val="double" w:color="000000" w:sz="4" w:space="0"/>
              <w:bottom w:val="single" w:color="000000" w:sz="6" w:space="0"/>
              <w:right w:val="single" w:color="000000" w:sz="6" w:space="0"/>
            </w:tcBorders>
            <w:vAlign w:val="center"/>
          </w:tcPr>
          <w:p w14:paraId="39B368AF">
            <w:pPr>
              <w:spacing w:line="360" w:lineRule="auto"/>
              <w:rPr>
                <w:rFonts w:hint="eastAsia" w:ascii="宋体" w:hAnsi="宋体" w:cs="宋体"/>
                <w:sz w:val="24"/>
                <w:szCs w:val="24"/>
              </w:rPr>
            </w:pPr>
            <w:r>
              <w:rPr>
                <w:rFonts w:hint="eastAsia" w:ascii="宋体" w:hAnsi="宋体" w:cs="宋体"/>
                <w:sz w:val="24"/>
                <w:szCs w:val="24"/>
              </w:rPr>
              <w:t>23</w:t>
            </w:r>
          </w:p>
        </w:tc>
        <w:tc>
          <w:tcPr>
            <w:tcW w:w="2689" w:type="dxa"/>
            <w:tcBorders>
              <w:top w:val="single" w:color="000000" w:sz="6" w:space="0"/>
              <w:left w:val="single" w:color="000000" w:sz="6" w:space="0"/>
              <w:bottom w:val="single" w:color="000000" w:sz="6" w:space="0"/>
              <w:right w:val="single" w:color="000000" w:sz="6" w:space="0"/>
            </w:tcBorders>
            <w:vAlign w:val="center"/>
          </w:tcPr>
          <w:p w14:paraId="20EE3B22">
            <w:pPr>
              <w:spacing w:line="360" w:lineRule="auto"/>
              <w:rPr>
                <w:rFonts w:hint="eastAsia" w:ascii="宋体" w:hAnsi="宋体" w:cs="宋体"/>
                <w:b/>
                <w:bCs/>
                <w:sz w:val="24"/>
                <w:szCs w:val="24"/>
              </w:rPr>
            </w:pPr>
            <w:r>
              <w:rPr>
                <w:rFonts w:hint="eastAsia" w:ascii="宋体" w:hAnsi="宋体" w:cs="宋体"/>
                <w:b/>
                <w:bCs/>
                <w:sz w:val="24"/>
                <w:szCs w:val="24"/>
              </w:rPr>
              <w:t>招标代理服务费</w:t>
            </w:r>
          </w:p>
        </w:tc>
        <w:tc>
          <w:tcPr>
            <w:tcW w:w="6642" w:type="dxa"/>
            <w:tcBorders>
              <w:top w:val="single" w:color="000000" w:sz="6" w:space="0"/>
              <w:left w:val="single" w:color="000000" w:sz="6" w:space="0"/>
              <w:bottom w:val="single" w:color="000000" w:sz="6" w:space="0"/>
              <w:right w:val="double" w:color="000000" w:sz="4" w:space="0"/>
            </w:tcBorders>
            <w:vAlign w:val="center"/>
          </w:tcPr>
          <w:p w14:paraId="64D8B216">
            <w:pPr>
              <w:spacing w:line="360" w:lineRule="auto"/>
              <w:rPr>
                <w:rFonts w:hint="eastAsia" w:ascii="宋体" w:hAnsi="宋体" w:cs="宋体"/>
                <w:b/>
                <w:bCs/>
                <w:sz w:val="24"/>
                <w:szCs w:val="24"/>
              </w:rPr>
            </w:pPr>
            <w:r>
              <w:rPr>
                <w:rFonts w:hint="eastAsia" w:ascii="宋体" w:hAnsi="宋体" w:cs="宋体"/>
                <w:b/>
                <w:bCs/>
                <w:sz w:val="24"/>
                <w:szCs w:val="24"/>
              </w:rPr>
              <w:t>本项目招标代理服务费由</w:t>
            </w:r>
            <w:r>
              <w:rPr>
                <w:rFonts w:hint="eastAsia" w:ascii="宋体" w:hAnsi="宋体" w:cs="宋体"/>
                <w:b/>
                <w:bCs/>
                <w:sz w:val="24"/>
                <w:szCs w:val="24"/>
                <w:u w:val="single"/>
              </w:rPr>
              <w:t>中标人</w:t>
            </w:r>
            <w:r>
              <w:rPr>
                <w:rFonts w:hint="eastAsia" w:ascii="宋体" w:hAnsi="宋体" w:cs="宋体"/>
                <w:b/>
                <w:bCs/>
                <w:sz w:val="24"/>
                <w:szCs w:val="24"/>
              </w:rPr>
              <w:t>支付。</w:t>
            </w:r>
          </w:p>
        </w:tc>
      </w:tr>
      <w:tr w14:paraId="4682B2A9">
        <w:tblPrEx>
          <w:tblCellMar>
            <w:top w:w="0" w:type="dxa"/>
            <w:left w:w="108" w:type="dxa"/>
            <w:bottom w:w="0" w:type="dxa"/>
            <w:right w:w="108" w:type="dxa"/>
          </w:tblCellMar>
        </w:tblPrEx>
        <w:trPr>
          <w:jc w:val="center"/>
        </w:trPr>
        <w:tc>
          <w:tcPr>
            <w:tcW w:w="10205" w:type="dxa"/>
            <w:gridSpan w:val="3"/>
            <w:tcBorders>
              <w:top w:val="single" w:color="000000" w:sz="6" w:space="0"/>
              <w:left w:val="double" w:color="000000" w:sz="4" w:space="0"/>
              <w:bottom w:val="single" w:color="000000" w:sz="6" w:space="0"/>
              <w:right w:val="double" w:color="000000" w:sz="4" w:space="0"/>
            </w:tcBorders>
            <w:vAlign w:val="center"/>
          </w:tcPr>
          <w:p w14:paraId="1D314BF5">
            <w:pPr>
              <w:spacing w:line="360" w:lineRule="auto"/>
              <w:rPr>
                <w:rFonts w:hint="eastAsia" w:ascii="宋体" w:hAnsi="宋体" w:cs="宋体"/>
                <w:sz w:val="24"/>
                <w:szCs w:val="24"/>
              </w:rPr>
            </w:pPr>
            <w:r>
              <w:rPr>
                <w:rFonts w:hint="eastAsia" w:ascii="宋体" w:hAnsi="宋体" w:cs="宋体"/>
                <w:sz w:val="24"/>
                <w:szCs w:val="24"/>
              </w:rPr>
              <w:t>十二、其他需要补充的内容</w:t>
            </w:r>
          </w:p>
        </w:tc>
      </w:tr>
      <w:tr w14:paraId="5D32FA78">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auto" w:sz="4" w:space="0"/>
            </w:tcBorders>
            <w:vAlign w:val="center"/>
          </w:tcPr>
          <w:p w14:paraId="3FFDA09B">
            <w:pPr>
              <w:spacing w:line="360" w:lineRule="auto"/>
              <w:rPr>
                <w:rFonts w:hint="eastAsia" w:ascii="宋体" w:hAnsi="宋体" w:cs="宋体"/>
                <w:sz w:val="24"/>
                <w:szCs w:val="24"/>
              </w:rPr>
            </w:pPr>
            <w:r>
              <w:rPr>
                <w:rFonts w:hint="eastAsia" w:ascii="宋体" w:hAnsi="宋体" w:cs="宋体"/>
                <w:sz w:val="24"/>
                <w:szCs w:val="24"/>
              </w:rPr>
              <w:t>24</w:t>
            </w:r>
          </w:p>
        </w:tc>
        <w:tc>
          <w:tcPr>
            <w:tcW w:w="9331" w:type="dxa"/>
            <w:gridSpan w:val="2"/>
            <w:tcBorders>
              <w:top w:val="single" w:color="000000" w:sz="6" w:space="0"/>
              <w:left w:val="single" w:color="auto" w:sz="4" w:space="0"/>
              <w:bottom w:val="single" w:color="000000" w:sz="6" w:space="0"/>
              <w:right w:val="double" w:color="000000" w:sz="4" w:space="0"/>
            </w:tcBorders>
            <w:vAlign w:val="center"/>
          </w:tcPr>
          <w:p w14:paraId="14E23D8C">
            <w:pPr>
              <w:numPr>
                <w:ilvl w:val="0"/>
                <w:numId w:val="3"/>
              </w:numPr>
              <w:spacing w:line="360" w:lineRule="auto"/>
              <w:rPr>
                <w:rFonts w:hint="eastAsia" w:ascii="宋体" w:hAnsi="宋体" w:cs="宋体"/>
                <w:sz w:val="24"/>
                <w:szCs w:val="24"/>
              </w:rPr>
            </w:pPr>
            <w:r>
              <w:rPr>
                <w:rFonts w:hint="eastAsia" w:ascii="宋体" w:hAnsi="宋体" w:cs="宋体"/>
                <w:sz w:val="24"/>
                <w:szCs w:val="24"/>
              </w:rPr>
              <w:t>若供应商提供虚假证明材料和业绩的，一经查处，取消投标或成交资格，并将上报相关行业主管部门。</w:t>
            </w:r>
          </w:p>
          <w:p w14:paraId="531BA63B">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应承担其编制投标文件与递交投标文件等投标过程中所涉及的一切费用，不论投标结果如何，采购人及采购代理机构将不予承担。供应商的报价须充分考虑采购过程中产生的费用，不论成交与否，采购人均不予以补偿。</w:t>
            </w:r>
          </w:p>
          <w:p w14:paraId="6FE81730">
            <w:pPr>
              <w:numPr>
                <w:ilvl w:val="0"/>
                <w:numId w:val="3"/>
              </w:numPr>
              <w:spacing w:line="360" w:lineRule="auto"/>
              <w:rPr>
                <w:rFonts w:hint="eastAsia" w:ascii="宋体" w:hAnsi="宋体" w:cs="宋体"/>
                <w:sz w:val="24"/>
                <w:szCs w:val="24"/>
              </w:rPr>
            </w:pPr>
            <w:r>
              <w:rPr>
                <w:rFonts w:hint="eastAsia" w:ascii="宋体" w:hAnsi="宋体" w:cs="宋体"/>
                <w:sz w:val="24"/>
                <w:szCs w:val="24"/>
              </w:rPr>
              <w:t>包装材料及运输环节：包装材料的具体要求：(1)采购产品的塑料包装材料应符合海南禁塑制品名录要求，优先使用低（无）挥发性有机物（VOCs）含量油墨印刷标识和全生物降解塑料。(2)运输环节的具体要求:中标人须严格按照《商品包装政府采购需求标准(试行)》、《快递包装政府采购需求84标准(试行)》(财办库〔2020〕123号)的要求进行产品及相关快递服务的包装。</w:t>
            </w:r>
          </w:p>
          <w:p w14:paraId="0A0669F6">
            <w:pPr>
              <w:spacing w:line="360" w:lineRule="auto"/>
              <w:rPr>
                <w:rFonts w:hint="eastAsia" w:ascii="宋体" w:hAnsi="宋体" w:cs="宋体"/>
                <w:sz w:val="24"/>
                <w:szCs w:val="24"/>
              </w:rPr>
            </w:pPr>
            <w:r>
              <w:rPr>
                <w:rFonts w:hint="eastAsia" w:ascii="宋体" w:hAnsi="宋体" w:cs="宋体"/>
                <w:sz w:val="24"/>
                <w:szCs w:val="24"/>
              </w:rPr>
              <w:t>4.政府采购政策：《政府采购促进中小企业发展管理办法》、《财政部发展改革委生态环境部市场监管总局关于调整优化节能产品、环境标志产品政府采购执行机制的通知》、《关于信息安全产品实施政府采购的通知》、《关于促进残疾人就业政府采购政策的通知》、《财政部司法部关于政府采购支持监狱企业发展有关问题的通知》、《关于政府采购支持绿色建材促进建筑品质提升试点工作的通知》、《财政部国务院扶贫办关于运用政府采购政策支持脱贫攻坚的通知》、《海南省财政厅关于印发《海南省绿色产品政府采购实施意见（试行）》的通知》、《海南省财政厅海南省工业和信息化厅关于落实超常规举措加大对中小企业政府采购支持的通知》。</w:t>
            </w:r>
          </w:p>
        </w:tc>
      </w:tr>
      <w:tr w14:paraId="5D272B2D">
        <w:tblPrEx>
          <w:tblCellMar>
            <w:top w:w="0" w:type="dxa"/>
            <w:left w:w="108" w:type="dxa"/>
            <w:bottom w:w="0" w:type="dxa"/>
            <w:right w:w="108" w:type="dxa"/>
          </w:tblCellMar>
        </w:tblPrEx>
        <w:trPr>
          <w:jc w:val="center"/>
        </w:trPr>
        <w:tc>
          <w:tcPr>
            <w:tcW w:w="874" w:type="dxa"/>
            <w:tcBorders>
              <w:top w:val="single" w:color="000000" w:sz="6" w:space="0"/>
              <w:left w:val="double" w:color="000000" w:sz="4" w:space="0"/>
              <w:bottom w:val="single" w:color="000000" w:sz="6" w:space="0"/>
              <w:right w:val="single" w:color="auto" w:sz="4" w:space="0"/>
            </w:tcBorders>
            <w:vAlign w:val="center"/>
          </w:tcPr>
          <w:p w14:paraId="1156E292">
            <w:pPr>
              <w:spacing w:line="360" w:lineRule="auto"/>
              <w:rPr>
                <w:rFonts w:hint="eastAsia" w:ascii="宋体" w:hAnsi="宋体" w:cs="宋体"/>
                <w:sz w:val="24"/>
                <w:szCs w:val="24"/>
              </w:rPr>
            </w:pPr>
            <w:r>
              <w:rPr>
                <w:rFonts w:hint="eastAsia" w:ascii="宋体" w:hAnsi="宋体" w:cs="宋体"/>
                <w:sz w:val="24"/>
                <w:szCs w:val="24"/>
              </w:rPr>
              <w:t>25</w:t>
            </w:r>
          </w:p>
        </w:tc>
        <w:tc>
          <w:tcPr>
            <w:tcW w:w="9331" w:type="dxa"/>
            <w:gridSpan w:val="2"/>
            <w:tcBorders>
              <w:top w:val="single" w:color="000000" w:sz="6" w:space="0"/>
              <w:left w:val="single" w:color="auto" w:sz="4" w:space="0"/>
              <w:bottom w:val="single" w:color="000000" w:sz="6" w:space="0"/>
              <w:right w:val="double" w:color="000000" w:sz="4" w:space="0"/>
            </w:tcBorders>
            <w:vAlign w:val="center"/>
          </w:tcPr>
          <w:p w14:paraId="5F046B0F">
            <w:pPr>
              <w:spacing w:line="360" w:lineRule="auto"/>
              <w:rPr>
                <w:rFonts w:hint="eastAsia" w:ascii="宋体" w:hAnsi="宋体" w:cs="宋体"/>
                <w:b/>
                <w:bCs/>
                <w:sz w:val="24"/>
                <w:szCs w:val="24"/>
              </w:rPr>
            </w:pPr>
            <w:r>
              <w:rPr>
                <w:rFonts w:hint="eastAsia" w:ascii="宋体" w:hAnsi="宋体" w:cs="宋体"/>
                <w:b/>
                <w:bCs/>
                <w:sz w:val="24"/>
                <w:szCs w:val="24"/>
              </w:rPr>
              <w:t>在评审过程中，评标委员会发现供应商有下列表现形式之一的，视为供应商串通投标，其投标无效，具体表现形式如下：</w:t>
            </w:r>
          </w:p>
          <w:p w14:paraId="52504A3A">
            <w:pPr>
              <w:spacing w:line="360" w:lineRule="auto"/>
              <w:rPr>
                <w:rFonts w:hint="eastAsia" w:ascii="宋体" w:hAnsi="宋体" w:cs="宋体"/>
                <w:sz w:val="24"/>
                <w:szCs w:val="24"/>
              </w:rPr>
            </w:pPr>
            <w:r>
              <w:rPr>
                <w:rFonts w:hint="eastAsia" w:ascii="宋体" w:hAnsi="宋体" w:cs="宋体"/>
                <w:sz w:val="24"/>
                <w:szCs w:val="24"/>
              </w:rPr>
              <w:t>1.不同供应商的投标文件由同一单位或者个人编制；</w:t>
            </w:r>
          </w:p>
          <w:p w14:paraId="127F3204">
            <w:pPr>
              <w:spacing w:line="360" w:lineRule="auto"/>
              <w:rPr>
                <w:rFonts w:hint="eastAsia" w:ascii="宋体" w:hAnsi="宋体" w:cs="宋体"/>
                <w:sz w:val="24"/>
                <w:szCs w:val="24"/>
              </w:rPr>
            </w:pPr>
            <w:r>
              <w:rPr>
                <w:rFonts w:hint="eastAsia" w:ascii="宋体" w:hAnsi="宋体" w:cs="宋体"/>
                <w:sz w:val="24"/>
                <w:szCs w:val="24"/>
              </w:rPr>
              <w:t>2.不同供应商委托同一单位或者个人办理投标事宜；</w:t>
            </w:r>
          </w:p>
          <w:p w14:paraId="523CC925">
            <w:pPr>
              <w:spacing w:line="360" w:lineRule="auto"/>
              <w:rPr>
                <w:rFonts w:hint="eastAsia" w:ascii="宋体" w:hAnsi="宋体" w:cs="宋体"/>
                <w:sz w:val="24"/>
                <w:szCs w:val="24"/>
              </w:rPr>
            </w:pPr>
            <w:r>
              <w:rPr>
                <w:rFonts w:hint="eastAsia" w:ascii="宋体" w:hAnsi="宋体" w:cs="宋体"/>
                <w:sz w:val="24"/>
                <w:szCs w:val="24"/>
              </w:rPr>
              <w:t>3.不同供应商的投标文件载明的项目管理成员或者联系人员为同一人；</w:t>
            </w:r>
          </w:p>
          <w:p w14:paraId="32603309">
            <w:pPr>
              <w:spacing w:line="360" w:lineRule="auto"/>
              <w:rPr>
                <w:rFonts w:hint="eastAsia" w:ascii="宋体" w:hAnsi="宋体" w:cs="宋体"/>
                <w:sz w:val="24"/>
                <w:szCs w:val="24"/>
              </w:rPr>
            </w:pPr>
            <w:r>
              <w:rPr>
                <w:rFonts w:hint="eastAsia" w:ascii="宋体" w:hAnsi="宋体" w:cs="宋体"/>
                <w:sz w:val="24"/>
                <w:szCs w:val="24"/>
              </w:rPr>
              <w:t>4.不同供应商的投标文件异常一致或者投标报价呈规律性差异；</w:t>
            </w:r>
          </w:p>
          <w:p w14:paraId="6DD123DE">
            <w:pPr>
              <w:spacing w:line="360" w:lineRule="auto"/>
              <w:rPr>
                <w:rFonts w:hint="eastAsia" w:ascii="宋体" w:hAnsi="宋体" w:cs="宋体"/>
                <w:sz w:val="24"/>
                <w:szCs w:val="24"/>
              </w:rPr>
            </w:pPr>
            <w:r>
              <w:rPr>
                <w:rFonts w:hint="eastAsia" w:ascii="宋体" w:hAnsi="宋体" w:cs="宋体"/>
                <w:sz w:val="24"/>
                <w:szCs w:val="24"/>
              </w:rPr>
              <w:t>5.不同供应商的投标文件相互混装；</w:t>
            </w:r>
          </w:p>
          <w:p w14:paraId="229D6A14">
            <w:pPr>
              <w:spacing w:line="360" w:lineRule="auto"/>
              <w:rPr>
                <w:rFonts w:hint="eastAsia" w:ascii="宋体" w:hAnsi="宋体" w:cs="宋体"/>
                <w:sz w:val="24"/>
                <w:szCs w:val="24"/>
              </w:rPr>
            </w:pPr>
            <w:r>
              <w:rPr>
                <w:rFonts w:hint="eastAsia" w:ascii="宋体" w:hAnsi="宋体" w:cs="宋体"/>
                <w:sz w:val="24"/>
                <w:szCs w:val="24"/>
              </w:rPr>
              <w:t>6.不同供应商的投标保证金从同一单位或者个人的账户转出；</w:t>
            </w:r>
          </w:p>
          <w:p w14:paraId="311C7A56">
            <w:pPr>
              <w:spacing w:line="360" w:lineRule="auto"/>
              <w:rPr>
                <w:rFonts w:hint="eastAsia" w:ascii="宋体" w:hAnsi="宋体" w:cs="宋体"/>
                <w:sz w:val="24"/>
                <w:szCs w:val="24"/>
              </w:rPr>
            </w:pPr>
            <w:r>
              <w:rPr>
                <w:rFonts w:hint="eastAsia" w:ascii="宋体" w:hAnsi="宋体" w:cs="宋体"/>
                <w:sz w:val="24"/>
                <w:szCs w:val="24"/>
              </w:rPr>
              <w:t>7.不同供应商的标书硬件等特征码一致。</w:t>
            </w:r>
          </w:p>
        </w:tc>
      </w:tr>
    </w:tbl>
    <w:p w14:paraId="231DA9A7">
      <w:pPr>
        <w:spacing w:line="360" w:lineRule="auto"/>
        <w:jc w:val="center"/>
        <w:rPr>
          <w:rFonts w:hint="eastAsia" w:ascii="宋体" w:hAnsi="宋体" w:cs="宋体"/>
          <w:sz w:val="28"/>
          <w:szCs w:val="28"/>
        </w:rPr>
      </w:pPr>
    </w:p>
    <w:p w14:paraId="50BE20C8">
      <w:pPr>
        <w:spacing w:line="560" w:lineRule="exact"/>
        <w:rPr>
          <w:rFonts w:hint="eastAsia" w:ascii="宋体" w:hAnsi="宋体" w:cs="宋体"/>
          <w:sz w:val="24"/>
          <w:szCs w:val="24"/>
        </w:rPr>
      </w:pPr>
      <w:bookmarkStart w:id="15" w:name="_Toc238907001"/>
      <w:r>
        <w:rPr>
          <w:rFonts w:hint="eastAsia" w:ascii="宋体" w:hAnsi="宋体" w:cs="宋体"/>
          <w:b/>
          <w:bCs/>
          <w:sz w:val="24"/>
          <w:szCs w:val="24"/>
        </w:rPr>
        <w:t>一、总则</w:t>
      </w:r>
      <w:bookmarkEnd w:id="15"/>
    </w:p>
    <w:p w14:paraId="43C6CFC1">
      <w:pPr>
        <w:widowControl w:val="0"/>
        <w:spacing w:line="560" w:lineRule="exact"/>
        <w:rPr>
          <w:rFonts w:hint="eastAsia" w:ascii="宋体" w:hAnsi="宋体" w:cs="宋体"/>
          <w:b/>
          <w:sz w:val="24"/>
          <w:szCs w:val="24"/>
        </w:rPr>
      </w:pPr>
      <w:bookmarkStart w:id="16" w:name="_Toc238907002"/>
      <w:r>
        <w:rPr>
          <w:rFonts w:hint="eastAsia" w:ascii="宋体" w:hAnsi="宋体" w:cs="宋体"/>
          <w:b/>
          <w:sz w:val="24"/>
          <w:szCs w:val="24"/>
        </w:rPr>
        <w:t>1．</w:t>
      </w:r>
      <w:bookmarkEnd w:id="16"/>
      <w:r>
        <w:rPr>
          <w:rFonts w:hint="eastAsia" w:ascii="宋体" w:hAnsi="宋体" w:cs="宋体"/>
          <w:b/>
          <w:sz w:val="24"/>
          <w:szCs w:val="24"/>
        </w:rPr>
        <w:t>综合说明</w:t>
      </w:r>
    </w:p>
    <w:p w14:paraId="45C58C2E">
      <w:pPr>
        <w:widowControl w:val="0"/>
        <w:adjustRightInd w:val="0"/>
        <w:snapToGrid w:val="0"/>
        <w:spacing w:line="560" w:lineRule="exact"/>
        <w:ind w:firstLine="480" w:firstLineChars="200"/>
        <w:rPr>
          <w:rFonts w:hint="eastAsia" w:ascii="宋体" w:hAnsi="宋体" w:cs="宋体"/>
          <w:sz w:val="24"/>
          <w:szCs w:val="24"/>
        </w:rPr>
      </w:pPr>
      <w:bookmarkStart w:id="17" w:name="_Toc238907003"/>
      <w:r>
        <w:rPr>
          <w:rFonts w:hint="eastAsia" w:ascii="宋体" w:hAnsi="宋体" w:cs="宋体"/>
          <w:sz w:val="24"/>
          <w:szCs w:val="24"/>
        </w:rPr>
        <w:t xml:space="preserve">1.1采购人：海口市人民医院 </w:t>
      </w:r>
    </w:p>
    <w:p w14:paraId="5E3B22A9">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1.2采购代理机构：海南天行招投标有限公司</w:t>
      </w:r>
    </w:p>
    <w:p w14:paraId="198A6DE2">
      <w:pPr>
        <w:widowControl w:val="0"/>
        <w:spacing w:line="560" w:lineRule="exact"/>
        <w:ind w:firstLine="540"/>
        <w:rPr>
          <w:rFonts w:hint="eastAsia" w:ascii="宋体" w:hAnsi="宋体" w:cs="宋体"/>
          <w:sz w:val="24"/>
          <w:szCs w:val="24"/>
        </w:rPr>
      </w:pPr>
      <w:r>
        <w:rPr>
          <w:rFonts w:hint="eastAsia" w:ascii="宋体" w:hAnsi="宋体" w:cs="宋体"/>
          <w:sz w:val="24"/>
          <w:szCs w:val="24"/>
        </w:rPr>
        <w:t>1.3投标人：系指向采购人提供货物、工程或者服务的法人、其他组织或者自然人。法人的分支机构由于其不能独立承担民事责任，不能以分支机构的身份参加政府采购活动，只能以法人身份参加。但银行、保险、石油石化、电力、电信等特殊行业除外。在投标阶段称为供应商、投标人，在签订和履行合同阶段称为乙方、卖方或中标人（中标供应商）。</w:t>
      </w:r>
    </w:p>
    <w:p w14:paraId="085E1A8E">
      <w:pPr>
        <w:widowControl w:val="0"/>
        <w:spacing w:line="560" w:lineRule="exact"/>
        <w:ind w:firstLine="540"/>
        <w:rPr>
          <w:rFonts w:hint="eastAsia" w:ascii="宋体" w:hAnsi="宋体" w:cs="宋体"/>
          <w:sz w:val="24"/>
          <w:szCs w:val="24"/>
        </w:rPr>
      </w:pPr>
      <w:r>
        <w:rPr>
          <w:rFonts w:hint="eastAsia" w:ascii="宋体" w:hAnsi="宋体" w:cs="宋体"/>
          <w:sz w:val="24"/>
          <w:szCs w:val="24"/>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2DACFE49">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1.4中标人：经过采购确定的提供合同货物或服务的投标人。</w:t>
      </w:r>
    </w:p>
    <w:p w14:paraId="537DCFD8">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1.5本招标文件仅适用于采购人组织的本次公开招标活动。</w:t>
      </w:r>
    </w:p>
    <w:p w14:paraId="6F609AF1">
      <w:pPr>
        <w:widowControl w:val="0"/>
        <w:spacing w:line="560" w:lineRule="exact"/>
        <w:ind w:firstLine="480" w:firstLineChars="200"/>
        <w:textAlignment w:val="baseline"/>
        <w:rPr>
          <w:rFonts w:hint="eastAsia" w:ascii="宋体" w:hAnsi="宋体" w:cs="宋体"/>
          <w:sz w:val="24"/>
          <w:szCs w:val="24"/>
        </w:rPr>
      </w:pPr>
      <w:r>
        <w:rPr>
          <w:rFonts w:hint="eastAsia" w:ascii="宋体" w:hAnsi="宋体" w:cs="宋体"/>
          <w:sz w:val="24"/>
          <w:szCs w:val="24"/>
        </w:rPr>
        <w:t>1.6本项目依据《中华人民共和国政府采购法》及相关法规，已办理招标申请，并得到招标管理机构批准，现通过公开招标来择优选定货物和服务的供货商。</w:t>
      </w:r>
      <w:bookmarkStart w:id="18" w:name="_Toc128372055"/>
      <w:bookmarkStart w:id="19" w:name="_Toc139965329"/>
      <w:bookmarkStart w:id="20" w:name="_Toc128372733"/>
      <w:r>
        <w:rPr>
          <w:rFonts w:hint="eastAsia" w:ascii="宋体" w:hAnsi="宋体" w:cs="宋体"/>
          <w:sz w:val="24"/>
          <w:szCs w:val="24"/>
        </w:rPr>
        <w:t>本招标文件包括本文所列内容及按本须知发出的全部和补充资料。投标人应认真阅读本招标文件中所有的事项、格式、条款、技术规范等实质性的条件和要求。投标人被视为充分熟悉本招标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无效。</w:t>
      </w:r>
    </w:p>
    <w:p w14:paraId="0B941729">
      <w:pPr>
        <w:widowControl w:val="0"/>
        <w:spacing w:line="560" w:lineRule="exact"/>
        <w:ind w:firstLine="480" w:firstLineChars="200"/>
        <w:textAlignment w:val="baseline"/>
        <w:rPr>
          <w:rFonts w:hint="eastAsia" w:ascii="宋体" w:hAnsi="宋体" w:cs="宋体"/>
          <w:sz w:val="24"/>
          <w:szCs w:val="24"/>
        </w:rPr>
      </w:pPr>
      <w:r>
        <w:rPr>
          <w:rFonts w:hint="eastAsia" w:ascii="宋体" w:hAnsi="宋体" w:cs="宋体"/>
          <w:sz w:val="24"/>
          <w:szCs w:val="24"/>
        </w:rPr>
        <w:t>1.7采购文件第三章《采购需求》中列明标的物的技术要求是采购人基于实际工作需要而提出的基本需求，如果有专利、商标、品牌、规格型号等信息的，仅起技术说明、参考作用，不具有任何限制性指标或强制性，投标人可以根据所投品牌的质量、性能、配置等各方面相当于或优于的设备产品进行响应。</w:t>
      </w:r>
    </w:p>
    <w:p w14:paraId="41465590">
      <w:pPr>
        <w:widowControl w:val="0"/>
        <w:spacing w:line="560" w:lineRule="exact"/>
        <w:ind w:firstLine="480" w:firstLineChars="200"/>
        <w:textAlignment w:val="baseline"/>
        <w:rPr>
          <w:rFonts w:hint="eastAsia" w:ascii="宋体" w:hAnsi="宋体" w:cs="宋体"/>
          <w:sz w:val="24"/>
          <w:szCs w:val="24"/>
        </w:rPr>
      </w:pPr>
      <w:r>
        <w:rPr>
          <w:rFonts w:hint="eastAsia" w:ascii="宋体" w:hAnsi="宋体" w:cs="宋体"/>
          <w:sz w:val="24"/>
          <w:szCs w:val="24"/>
        </w:rPr>
        <w:t xml:space="preserve">1.8如果没有特别声明或要求，投标人被视为充分熟悉本招标项目所在地与履行合同有关的各种情况，包括自然环境、气候条件、劳动力及公用设施等，本采购文件不再对上述情况进行描述。 </w:t>
      </w:r>
    </w:p>
    <w:bookmarkEnd w:id="18"/>
    <w:bookmarkEnd w:id="19"/>
    <w:bookmarkEnd w:id="20"/>
    <w:p w14:paraId="4EBCA14F">
      <w:pPr>
        <w:widowControl w:val="0"/>
        <w:spacing w:line="560" w:lineRule="exact"/>
        <w:rPr>
          <w:rFonts w:hint="eastAsia" w:ascii="宋体" w:hAnsi="宋体" w:cs="宋体"/>
          <w:b/>
          <w:sz w:val="24"/>
          <w:szCs w:val="24"/>
        </w:rPr>
      </w:pPr>
      <w:r>
        <w:rPr>
          <w:rFonts w:hint="eastAsia" w:ascii="宋体" w:hAnsi="宋体" w:cs="宋体"/>
          <w:b/>
          <w:sz w:val="24"/>
          <w:szCs w:val="24"/>
        </w:rPr>
        <w:t>2．合格的投标人</w:t>
      </w:r>
      <w:bookmarkEnd w:id="17"/>
      <w:r>
        <w:rPr>
          <w:rFonts w:hint="eastAsia" w:ascii="宋体" w:hAnsi="宋体" w:cs="宋体"/>
          <w:b/>
          <w:sz w:val="24"/>
          <w:szCs w:val="24"/>
        </w:rPr>
        <w:t>（实质性条款）</w:t>
      </w:r>
    </w:p>
    <w:p w14:paraId="2C0F48A4">
      <w:pPr>
        <w:widowControl w:val="0"/>
        <w:spacing w:line="560" w:lineRule="exact"/>
        <w:ind w:firstLine="480" w:firstLineChars="200"/>
        <w:rPr>
          <w:rFonts w:hint="eastAsia" w:ascii="宋体" w:hAnsi="宋体" w:cs="宋体"/>
          <w:sz w:val="24"/>
          <w:szCs w:val="24"/>
        </w:rPr>
      </w:pPr>
      <w:bookmarkStart w:id="21" w:name="_Toc238907004"/>
      <w:r>
        <w:rPr>
          <w:rFonts w:hint="eastAsia" w:ascii="宋体" w:hAnsi="宋体" w:cs="宋体"/>
          <w:sz w:val="24"/>
          <w:szCs w:val="24"/>
        </w:rPr>
        <w:t>2.1投标人参加本次政府采购活动应当符合《中华人民共和国政府采购法》第二十二条的规定并具备招标文件“申请人的资格要求”规定的条件。</w:t>
      </w:r>
    </w:p>
    <w:p w14:paraId="59B22300">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 投标人其他资格条件详见本项目第二章须知表申请人的资格要求。</w:t>
      </w:r>
    </w:p>
    <w:p w14:paraId="2A7A4B4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2.3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3C2ED7B6">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2.4如为信息系统采购项目，投标人不得为该整体项目或其中分项目前期工作提供过设计、编制、管理等服务的法人及附属单位。</w:t>
      </w:r>
    </w:p>
    <w:p w14:paraId="6B20867A">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2.5招标文件中未明确规定允许进口产品参加的，均视为拒绝进口产品参加。（进口产品是指通过中国海关报关验放进入中国境内且产自关境外的产品，不包括香港、澳门和台湾金马等单独关境地区）。</w:t>
      </w:r>
    </w:p>
    <w:p w14:paraId="32DF8D33">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2.6因违法经营受到刑事处罚或者责令停产停业、吊销许可证或者执照、较大数额罚款等行政处罚、或者存在财政部门认定的其他重大违法记录，以及在财政部门禁止参加政府采购活动期限以内的投标人不得参与投标。</w:t>
      </w:r>
    </w:p>
    <w:p w14:paraId="086871F8">
      <w:pPr>
        <w:widowControl w:val="0"/>
        <w:spacing w:line="560" w:lineRule="exact"/>
        <w:rPr>
          <w:rFonts w:hint="eastAsia" w:ascii="宋体" w:hAnsi="宋体" w:cs="宋体"/>
          <w:b/>
          <w:sz w:val="24"/>
          <w:szCs w:val="24"/>
        </w:rPr>
      </w:pPr>
      <w:r>
        <w:rPr>
          <w:rFonts w:hint="eastAsia" w:ascii="宋体" w:hAnsi="宋体" w:cs="宋体"/>
          <w:b/>
          <w:sz w:val="24"/>
          <w:szCs w:val="24"/>
        </w:rPr>
        <w:t>3．投标费用</w:t>
      </w:r>
      <w:bookmarkEnd w:id="21"/>
    </w:p>
    <w:p w14:paraId="14F8D02D">
      <w:pPr>
        <w:widowControl w:val="0"/>
        <w:adjustRightInd w:val="0"/>
        <w:snapToGrid w:val="0"/>
        <w:spacing w:line="560" w:lineRule="exact"/>
        <w:ind w:firstLine="480" w:firstLineChars="200"/>
        <w:rPr>
          <w:rFonts w:hint="eastAsia" w:ascii="宋体" w:hAnsi="宋体" w:cs="宋体"/>
          <w:sz w:val="24"/>
          <w:szCs w:val="24"/>
        </w:rPr>
      </w:pPr>
      <w:bookmarkStart w:id="22" w:name="_Toc238907005"/>
      <w:r>
        <w:rPr>
          <w:rFonts w:hint="eastAsia" w:ascii="宋体" w:hAnsi="宋体" w:cs="宋体"/>
          <w:sz w:val="24"/>
          <w:szCs w:val="24"/>
        </w:rPr>
        <w:t>3.1投标人应承担其编制投标文件与递交投标文件等投标过程中所涉及的一切费用，不论投标结果如何，招标人及采购代理机构将不予承担。</w:t>
      </w:r>
    </w:p>
    <w:p w14:paraId="6AE95F57">
      <w:pPr>
        <w:pStyle w:val="12"/>
        <w:widowControl w:val="0"/>
        <w:spacing w:line="560" w:lineRule="exact"/>
        <w:ind w:firstLine="480"/>
        <w:rPr>
          <w:rFonts w:hint="eastAsia" w:ascii="宋体" w:hAnsi="宋体" w:cs="宋体"/>
          <w:kern w:val="2"/>
          <w:sz w:val="24"/>
        </w:rPr>
      </w:pPr>
      <w:r>
        <w:rPr>
          <w:rFonts w:hint="eastAsia" w:ascii="宋体" w:hAnsi="宋体" w:cs="宋体"/>
          <w:kern w:val="2"/>
          <w:sz w:val="24"/>
        </w:rPr>
        <w:t>3.2采购代理机构向</w:t>
      </w:r>
      <w:r>
        <w:rPr>
          <w:rFonts w:hint="eastAsia" w:ascii="宋体" w:hAnsi="宋体" w:cs="宋体"/>
          <w:b/>
          <w:bCs/>
          <w:kern w:val="2"/>
          <w:sz w:val="24"/>
          <w:u w:val="single"/>
        </w:rPr>
        <w:t>中标人</w:t>
      </w:r>
      <w:r>
        <w:rPr>
          <w:rFonts w:hint="eastAsia" w:ascii="宋体" w:hAnsi="宋体" w:cs="宋体"/>
          <w:kern w:val="2"/>
          <w:sz w:val="24"/>
        </w:rPr>
        <w:t>收取采购代理服务费，收费标准按照合同约定收取。支付方式：</w:t>
      </w:r>
      <w:r>
        <w:rPr>
          <w:rFonts w:hint="eastAsia" w:ascii="宋体" w:hAnsi="宋体" w:cs="宋体"/>
          <w:b/>
          <w:bCs/>
          <w:kern w:val="2"/>
          <w:sz w:val="24"/>
          <w:u w:val="single"/>
        </w:rPr>
        <w:t>中标人</w:t>
      </w:r>
      <w:r>
        <w:rPr>
          <w:rFonts w:hint="eastAsia" w:ascii="宋体" w:hAnsi="宋体" w:cs="宋体"/>
          <w:kern w:val="2"/>
          <w:sz w:val="24"/>
        </w:rPr>
        <w:t>将采购代理费提交至代理公司账上。</w:t>
      </w:r>
    </w:p>
    <w:p w14:paraId="447EFA76">
      <w:pPr>
        <w:widowControl w:val="0"/>
        <w:spacing w:line="560" w:lineRule="exact"/>
        <w:rPr>
          <w:rFonts w:hint="eastAsia" w:ascii="宋体" w:hAnsi="宋体" w:cs="宋体"/>
          <w:b/>
          <w:sz w:val="24"/>
          <w:szCs w:val="24"/>
        </w:rPr>
      </w:pPr>
      <w:r>
        <w:rPr>
          <w:rFonts w:hint="eastAsia" w:ascii="宋体" w:hAnsi="宋体" w:cs="宋体"/>
          <w:b/>
          <w:sz w:val="24"/>
          <w:szCs w:val="24"/>
        </w:rPr>
        <w:t>4．法律适用</w:t>
      </w:r>
      <w:bookmarkEnd w:id="22"/>
    </w:p>
    <w:p w14:paraId="1F66514F">
      <w:pPr>
        <w:widowControl w:val="0"/>
        <w:spacing w:line="560" w:lineRule="exact"/>
        <w:ind w:firstLine="480" w:firstLineChars="200"/>
        <w:rPr>
          <w:rFonts w:hint="eastAsia" w:ascii="宋体" w:hAnsi="宋体" w:cs="宋体"/>
          <w:sz w:val="24"/>
          <w:szCs w:val="24"/>
        </w:rPr>
      </w:pPr>
      <w:bookmarkStart w:id="23" w:name="_Toc238907006"/>
      <w:r>
        <w:rPr>
          <w:rFonts w:hint="eastAsia" w:ascii="宋体" w:hAnsi="宋体" w:cs="宋体"/>
          <w:sz w:val="24"/>
          <w:szCs w:val="24"/>
        </w:rPr>
        <w:t xml:space="preserve"> 本次招标活动及由本次招标产生的合同受中华人民共和国的法律制约和保护。</w:t>
      </w:r>
    </w:p>
    <w:p w14:paraId="69B8B57B">
      <w:pPr>
        <w:widowControl w:val="0"/>
        <w:spacing w:line="560" w:lineRule="exact"/>
        <w:rPr>
          <w:rFonts w:hint="eastAsia" w:ascii="宋体" w:hAnsi="宋体" w:cs="宋体"/>
          <w:b/>
          <w:sz w:val="24"/>
          <w:szCs w:val="24"/>
        </w:rPr>
      </w:pPr>
      <w:r>
        <w:rPr>
          <w:rFonts w:hint="eastAsia" w:ascii="宋体" w:hAnsi="宋体" w:cs="宋体"/>
          <w:b/>
          <w:sz w:val="24"/>
          <w:szCs w:val="24"/>
        </w:rPr>
        <w:t>5．招标文件的约束力</w:t>
      </w:r>
    </w:p>
    <w:p w14:paraId="7FE3BAE5">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5.1 投标人一旦购买了本招标文件（或确认投标）并在7个工作日内未对采购代理机构提出书面质疑，即被认为接受了本招标文件中的所有条款和规定。</w:t>
      </w:r>
    </w:p>
    <w:p w14:paraId="2D62F4E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5.2本招标文件由采购人或采购代理机构负责解释。</w:t>
      </w:r>
    </w:p>
    <w:bookmarkEnd w:id="23"/>
    <w:p w14:paraId="7229BFAC">
      <w:pPr>
        <w:pStyle w:val="3"/>
        <w:spacing w:line="560" w:lineRule="exact"/>
        <w:rPr>
          <w:rFonts w:hint="eastAsia" w:ascii="宋体" w:hAnsi="宋体" w:cs="宋体"/>
          <w:sz w:val="24"/>
          <w:szCs w:val="24"/>
        </w:rPr>
      </w:pPr>
      <w:bookmarkStart w:id="24" w:name="_Toc238907007"/>
      <w:bookmarkStart w:id="25" w:name="_Toc22764"/>
      <w:r>
        <w:rPr>
          <w:rFonts w:hint="eastAsia" w:ascii="宋体" w:hAnsi="宋体" w:cs="宋体"/>
          <w:sz w:val="24"/>
          <w:szCs w:val="24"/>
        </w:rPr>
        <w:t>二、招标文件</w:t>
      </w:r>
      <w:bookmarkEnd w:id="24"/>
      <w:bookmarkEnd w:id="25"/>
    </w:p>
    <w:p w14:paraId="71180278">
      <w:pPr>
        <w:widowControl w:val="0"/>
        <w:spacing w:line="560" w:lineRule="exact"/>
        <w:rPr>
          <w:rFonts w:hint="eastAsia" w:ascii="宋体" w:hAnsi="宋体" w:cs="宋体"/>
          <w:b/>
          <w:sz w:val="24"/>
          <w:szCs w:val="24"/>
        </w:rPr>
      </w:pPr>
      <w:bookmarkStart w:id="26" w:name="_Toc238907008"/>
      <w:r>
        <w:rPr>
          <w:rFonts w:hint="eastAsia" w:ascii="宋体" w:hAnsi="宋体" w:cs="宋体"/>
          <w:b/>
          <w:sz w:val="24"/>
          <w:szCs w:val="24"/>
        </w:rPr>
        <w:t>6．招标文件的组成</w:t>
      </w:r>
      <w:bookmarkEnd w:id="26"/>
    </w:p>
    <w:p w14:paraId="0AF5E0D6">
      <w:pPr>
        <w:widowControl w:val="0"/>
        <w:spacing w:line="560" w:lineRule="exact"/>
        <w:ind w:firstLine="480" w:firstLineChars="200"/>
        <w:rPr>
          <w:rFonts w:hint="eastAsia" w:ascii="宋体" w:hAnsi="宋体" w:cs="宋体"/>
          <w:sz w:val="24"/>
          <w:szCs w:val="24"/>
        </w:rPr>
      </w:pPr>
      <w:bookmarkStart w:id="27" w:name="_Toc238907009"/>
      <w:r>
        <w:rPr>
          <w:rFonts w:hint="eastAsia" w:ascii="宋体" w:hAnsi="宋体" w:cs="宋体"/>
          <w:sz w:val="24"/>
          <w:szCs w:val="24"/>
        </w:rPr>
        <w:t>6.l 招标文件由下列部分以及在采购过程中发出的修正和补充文件组成：</w:t>
      </w:r>
    </w:p>
    <w:p w14:paraId="2497EDB1">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第一章  招标公告</w:t>
      </w:r>
    </w:p>
    <w:p w14:paraId="59249D67">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第二章  投标人须知</w:t>
      </w:r>
    </w:p>
    <w:p w14:paraId="4A8758AE">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第三章  用户需求书</w:t>
      </w:r>
    </w:p>
    <w:p w14:paraId="5F0EDC1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第四章  合同条款</w:t>
      </w:r>
    </w:p>
    <w:p w14:paraId="6BF5F02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第五章  投标格式</w:t>
      </w:r>
    </w:p>
    <w:p w14:paraId="7C626CC7">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第六章  评标办法</w:t>
      </w:r>
    </w:p>
    <w:p w14:paraId="5B10AA9B">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请仔细检查招标文件是否齐全，如有缺漏，请立即与采购代理机构联系解决。</w:t>
      </w:r>
    </w:p>
    <w:p w14:paraId="15115DA3">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6.2 投标人必须详阅招标文件的所有事项、格式、条款等。投标人若未按招标文件的要求和规范编制、提交投标文件，将有可能导致投标文件被拒绝接受或无效投标，所造成的负面后果由投标人负责。</w:t>
      </w:r>
    </w:p>
    <w:bookmarkEnd w:id="27"/>
    <w:p w14:paraId="24E40021">
      <w:pPr>
        <w:widowControl w:val="0"/>
        <w:spacing w:line="560" w:lineRule="exact"/>
        <w:rPr>
          <w:rFonts w:hint="eastAsia" w:ascii="宋体" w:hAnsi="宋体" w:cs="宋体"/>
          <w:b/>
          <w:sz w:val="24"/>
          <w:szCs w:val="24"/>
        </w:rPr>
      </w:pPr>
      <w:bookmarkStart w:id="28" w:name="_Toc238907011"/>
      <w:r>
        <w:rPr>
          <w:rFonts w:hint="eastAsia" w:ascii="宋体" w:hAnsi="宋体" w:cs="宋体"/>
          <w:b/>
          <w:sz w:val="24"/>
          <w:szCs w:val="24"/>
        </w:rPr>
        <w:t>7．招标文件的询问或澄清</w:t>
      </w:r>
    </w:p>
    <w:p w14:paraId="647AB8B3">
      <w:pPr>
        <w:widowControl w:val="0"/>
        <w:spacing w:line="560" w:lineRule="exact"/>
        <w:ind w:firstLine="540" w:firstLineChars="225"/>
        <w:rPr>
          <w:rFonts w:hint="eastAsia" w:ascii="宋体" w:hAnsi="宋体" w:cs="宋体"/>
          <w:sz w:val="24"/>
          <w:szCs w:val="24"/>
        </w:rPr>
      </w:pPr>
      <w:r>
        <w:rPr>
          <w:rFonts w:hint="eastAsia" w:ascii="宋体" w:hAnsi="宋体" w:cs="宋体"/>
          <w:sz w:val="24"/>
          <w:szCs w:val="24"/>
        </w:rPr>
        <w:t>7.1投标人在收到招标文件后，若有疑问需要询问或要求澄清的，可以书面形式（包括信函、传真、电传，下同）在投标截止日15日前按招标文件中的联系方式，以书面形式通知采购代理机构。采购代理机构将以澄清或书面形式在收到询问或澄清要求后3个工作日内进行答复，同时采购代理机构有权将答复内容（包括所提问题，但不包括问题来源）分发给所有购买了本招标文件的投标人。未对采购代理机构提出书面意见，即视为接受了本招标文件中的所有条款和规定。投标人对采购代理机构提供的招标文件所做出的推论、解释和结论，采购代理机构概不负责。投标人由于对招标文件的任何推论误解以及采购代理机构对有关问题的口头解释所造成的后果，均由投标人自负。</w:t>
      </w:r>
      <w:bookmarkStart w:id="29" w:name="_Toc183682350"/>
      <w:bookmarkStart w:id="30" w:name="_Toc208848971"/>
      <w:bookmarkStart w:id="31" w:name="_Toc217446041"/>
      <w:bookmarkStart w:id="32" w:name="_Toc183582213"/>
    </w:p>
    <w:bookmarkEnd w:id="29"/>
    <w:bookmarkEnd w:id="30"/>
    <w:bookmarkEnd w:id="31"/>
    <w:bookmarkEnd w:id="32"/>
    <w:p w14:paraId="56E3C080">
      <w:pPr>
        <w:widowControl w:val="0"/>
        <w:spacing w:line="560" w:lineRule="exact"/>
        <w:rPr>
          <w:rFonts w:hint="eastAsia" w:ascii="宋体" w:hAnsi="宋体" w:cs="宋体"/>
          <w:b/>
          <w:sz w:val="24"/>
          <w:szCs w:val="24"/>
        </w:rPr>
      </w:pPr>
      <w:bookmarkStart w:id="33" w:name="_Toc238907010"/>
      <w:r>
        <w:rPr>
          <w:rFonts w:hint="eastAsia" w:ascii="宋体" w:hAnsi="宋体" w:cs="宋体"/>
          <w:b/>
          <w:sz w:val="24"/>
          <w:szCs w:val="24"/>
        </w:rPr>
        <w:t>8．招标文件的</w:t>
      </w:r>
      <w:bookmarkEnd w:id="33"/>
      <w:r>
        <w:rPr>
          <w:rFonts w:hint="eastAsia" w:ascii="宋体" w:hAnsi="宋体" w:cs="宋体"/>
          <w:b/>
          <w:sz w:val="24"/>
          <w:szCs w:val="24"/>
        </w:rPr>
        <w:t>补遗、澄清及变更信息</w:t>
      </w:r>
    </w:p>
    <w:p w14:paraId="7D1B5A77">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8.l采购人、采购代理机构均可对招标文件用更正公告的方式进行补遗、澄清及变更，补遗、澄清及变更的内容可能影响投标文件编制的，采购人、采购代理机构应当在投标截止时间15日前（不足15日的应当顺延），将有关的补遗、澄清及变更信息以公告的形式发布，有关本项目采购文件的补遗、澄清及变更信息以上述网站公告与下载为准，采购代理机构不再另行通知，采购文件与更正公告的内容相互矛盾时，以最后发出的更正公告内容为准。</w:t>
      </w:r>
    </w:p>
    <w:p w14:paraId="4F364BED">
      <w:pPr>
        <w:pStyle w:val="3"/>
        <w:spacing w:line="560" w:lineRule="exact"/>
        <w:rPr>
          <w:rFonts w:hint="eastAsia" w:ascii="宋体" w:hAnsi="宋体" w:cs="宋体"/>
          <w:sz w:val="24"/>
          <w:szCs w:val="24"/>
        </w:rPr>
      </w:pPr>
      <w:bookmarkStart w:id="34" w:name="_Toc30330"/>
      <w:r>
        <w:rPr>
          <w:rFonts w:hint="eastAsia" w:ascii="宋体" w:hAnsi="宋体" w:cs="宋体"/>
          <w:sz w:val="24"/>
          <w:szCs w:val="24"/>
        </w:rPr>
        <w:t>三、投标文件</w:t>
      </w:r>
      <w:bookmarkEnd w:id="28"/>
      <w:bookmarkEnd w:id="34"/>
    </w:p>
    <w:p w14:paraId="58DD6426">
      <w:pPr>
        <w:widowControl w:val="0"/>
        <w:spacing w:line="560" w:lineRule="exact"/>
        <w:rPr>
          <w:rFonts w:hint="eastAsia" w:ascii="宋体" w:hAnsi="宋体" w:cs="宋体"/>
          <w:b/>
          <w:sz w:val="24"/>
          <w:szCs w:val="24"/>
        </w:rPr>
      </w:pPr>
      <w:bookmarkStart w:id="35" w:name="_Toc238907012"/>
      <w:r>
        <w:rPr>
          <w:rFonts w:hint="eastAsia" w:ascii="宋体" w:hAnsi="宋体" w:cs="宋体"/>
          <w:b/>
          <w:sz w:val="24"/>
          <w:szCs w:val="24"/>
        </w:rPr>
        <w:t>9．投标文件的语言及度量衡</w:t>
      </w:r>
      <w:bookmarkEnd w:id="35"/>
    </w:p>
    <w:p w14:paraId="002B2A3F">
      <w:pPr>
        <w:widowControl w:val="0"/>
        <w:spacing w:line="560" w:lineRule="exact"/>
        <w:ind w:firstLine="480" w:firstLineChars="200"/>
        <w:rPr>
          <w:rFonts w:hint="eastAsia" w:ascii="宋体" w:hAnsi="宋体" w:cs="宋体"/>
          <w:sz w:val="24"/>
          <w:szCs w:val="24"/>
        </w:rPr>
      </w:pPr>
      <w:bookmarkStart w:id="36" w:name="_Toc238907013"/>
      <w:r>
        <w:rPr>
          <w:rFonts w:hint="eastAsia" w:ascii="宋体" w:hAnsi="宋体" w:cs="宋体"/>
          <w:sz w:val="24"/>
          <w:szCs w:val="24"/>
        </w:rPr>
        <w:t>9.1投标人提交的投标文件以及投标人与招标采购人就有关投标的所有来往书面文件均须使用</w:t>
      </w:r>
      <w:r>
        <w:rPr>
          <w:rFonts w:hint="eastAsia" w:ascii="宋体" w:hAnsi="宋体" w:cs="宋体"/>
          <w:b/>
          <w:sz w:val="24"/>
          <w:szCs w:val="24"/>
          <w:u w:val="single"/>
        </w:rPr>
        <w:t>中文</w:t>
      </w:r>
      <w:r>
        <w:rPr>
          <w:rFonts w:hint="eastAsia" w:ascii="宋体" w:hAnsi="宋体" w:cs="宋体"/>
          <w:sz w:val="24"/>
          <w:szCs w:val="24"/>
        </w:rPr>
        <w:t>（语言文字）。投标文件中如附有外文资料，必须逐一对应翻译成中文并加盖投标人公章后附在相关外文资料后面，否则，投标人的投标文件将作为无效投标处理。</w:t>
      </w:r>
    </w:p>
    <w:p w14:paraId="17F9B499">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9.2 投标人已印刷好的资料如产品样本、说明书等可以用其他语言，但其中要点应附有中文译文。在解释投标文件时，以译文为准。</w:t>
      </w:r>
    </w:p>
    <w:p w14:paraId="7A815932">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9.3除在招标文件第六章中另有规定外，度量衡单位应使用国际单位制。</w:t>
      </w:r>
    </w:p>
    <w:p w14:paraId="53A5CB6C">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9.4 本招标文件所表述的时间均为北京时间。</w:t>
      </w:r>
    </w:p>
    <w:p w14:paraId="7CB55584">
      <w:pPr>
        <w:widowControl w:val="0"/>
        <w:spacing w:line="560" w:lineRule="exact"/>
        <w:rPr>
          <w:rFonts w:hint="eastAsia" w:ascii="宋体" w:hAnsi="宋体" w:cs="宋体"/>
          <w:b/>
          <w:sz w:val="24"/>
          <w:szCs w:val="24"/>
        </w:rPr>
      </w:pPr>
      <w:r>
        <w:rPr>
          <w:rFonts w:hint="eastAsia" w:ascii="宋体" w:hAnsi="宋体" w:cs="宋体"/>
          <w:b/>
          <w:sz w:val="24"/>
          <w:szCs w:val="24"/>
        </w:rPr>
        <w:t>10．投标文件的组成</w:t>
      </w:r>
      <w:bookmarkEnd w:id="36"/>
    </w:p>
    <w:p w14:paraId="25633D4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10.1投标文件的组成见第六章“投标文件格式”，投标人应按招标文件第六章“投标文件格式”要求编制。</w:t>
      </w:r>
    </w:p>
    <w:p w14:paraId="62AFE995">
      <w:pPr>
        <w:widowControl w:val="0"/>
        <w:spacing w:line="560" w:lineRule="exact"/>
        <w:rPr>
          <w:rFonts w:hint="eastAsia" w:ascii="宋体" w:hAnsi="宋体" w:cs="宋体"/>
          <w:b/>
          <w:bCs/>
          <w:sz w:val="24"/>
          <w:szCs w:val="24"/>
        </w:rPr>
      </w:pPr>
      <w:bookmarkStart w:id="37" w:name="_Toc238907015"/>
      <w:r>
        <w:rPr>
          <w:rFonts w:hint="eastAsia" w:ascii="宋体" w:hAnsi="宋体" w:cs="宋体"/>
          <w:b/>
          <w:bCs/>
          <w:sz w:val="24"/>
          <w:szCs w:val="24"/>
        </w:rPr>
        <w:t>11、投标文件编制</w:t>
      </w:r>
    </w:p>
    <w:p w14:paraId="3FF52BEC">
      <w:pPr>
        <w:widowControl w:val="0"/>
        <w:spacing w:line="560" w:lineRule="exact"/>
        <w:ind w:firstLine="480" w:firstLineChars="200"/>
        <w:rPr>
          <w:rFonts w:hint="eastAsia" w:ascii="宋体" w:hAnsi="宋体" w:cs="宋体"/>
          <w:bCs/>
          <w:sz w:val="24"/>
          <w:szCs w:val="24"/>
          <w:lang w:val="en-GB"/>
        </w:rPr>
      </w:pPr>
      <w:r>
        <w:rPr>
          <w:rFonts w:hint="eastAsia" w:ascii="宋体" w:hAnsi="宋体" w:cs="宋体"/>
          <w:bCs/>
          <w:sz w:val="24"/>
          <w:szCs w:val="24"/>
          <w:lang w:val="en-GB"/>
        </w:rPr>
        <w:t>11.1投标人应完整地填写招标文件中提供的《投标函》、《开标一览表》等招标文件中规定的所有内容。</w:t>
      </w:r>
    </w:p>
    <w:p w14:paraId="11242747">
      <w:pPr>
        <w:pStyle w:val="22"/>
        <w:widowControl w:val="0"/>
        <w:adjustRightInd w:val="0"/>
        <w:snapToGrid w:val="0"/>
        <w:spacing w:line="560" w:lineRule="exact"/>
        <w:ind w:firstLine="480" w:firstLineChars="200"/>
        <w:rPr>
          <w:rFonts w:hint="eastAsia" w:hAnsi="宋体" w:cs="宋体"/>
          <w:bCs/>
          <w:sz w:val="24"/>
          <w:szCs w:val="24"/>
          <w:lang w:val="en-GB"/>
        </w:rPr>
      </w:pPr>
      <w:r>
        <w:rPr>
          <w:rFonts w:hint="eastAsia" w:hAnsi="宋体" w:cs="宋体"/>
          <w:bCs/>
          <w:sz w:val="24"/>
          <w:szCs w:val="24"/>
          <w:lang w:val="en-GB"/>
        </w:rPr>
        <w:t>11.2投标人必须保证投标文件所提供的全部资料真实可靠，并接受</w:t>
      </w:r>
      <w:r>
        <w:rPr>
          <w:rFonts w:hint="eastAsia" w:hAnsi="宋体" w:cs="宋体"/>
          <w:sz w:val="24"/>
          <w:szCs w:val="24"/>
        </w:rPr>
        <w:t>采购代理机构</w:t>
      </w:r>
      <w:r>
        <w:rPr>
          <w:rFonts w:hint="eastAsia" w:hAnsi="宋体" w:cs="宋体"/>
          <w:bCs/>
          <w:sz w:val="24"/>
          <w:szCs w:val="24"/>
          <w:lang w:val="en-GB"/>
        </w:rPr>
        <w:t>对其中任何资料进一步审查的要求。</w:t>
      </w:r>
    </w:p>
    <w:p w14:paraId="790DBD49">
      <w:pPr>
        <w:pStyle w:val="22"/>
        <w:widowControl w:val="0"/>
        <w:adjustRightInd w:val="0"/>
        <w:snapToGrid w:val="0"/>
        <w:spacing w:line="560" w:lineRule="exact"/>
        <w:ind w:firstLine="480" w:firstLineChars="200"/>
        <w:rPr>
          <w:rFonts w:hint="eastAsia" w:hAnsi="宋体" w:cs="宋体"/>
          <w:bCs/>
          <w:sz w:val="24"/>
          <w:szCs w:val="24"/>
          <w:lang w:val="en-GB"/>
        </w:rPr>
      </w:pPr>
      <w:r>
        <w:rPr>
          <w:rFonts w:hint="eastAsia" w:hAnsi="宋体" w:cs="宋体"/>
          <w:bCs/>
          <w:sz w:val="24"/>
          <w:szCs w:val="24"/>
          <w:lang w:val="en-GB"/>
        </w:rPr>
        <w:t>11.3如果投标文件填报的内容不详，或没有提供招标文件中所要求的全部资料及数据，使评标委员会无法正常评审的，由此产生的结果由投标人承担。</w:t>
      </w:r>
    </w:p>
    <w:p w14:paraId="6BB4434A">
      <w:pPr>
        <w:pStyle w:val="43"/>
        <w:spacing w:line="560" w:lineRule="exact"/>
        <w:ind w:firstLine="520" w:firstLineChars="200"/>
        <w:rPr>
          <w:rFonts w:hint="eastAsia" w:ascii="宋体" w:hAnsi="宋体" w:cs="宋体"/>
          <w:bCs/>
          <w:lang w:val="en-GB"/>
        </w:rPr>
      </w:pPr>
      <w:r>
        <w:rPr>
          <w:rFonts w:hint="eastAsia" w:ascii="宋体" w:hAnsi="宋体" w:cs="宋体"/>
          <w:kern w:val="2"/>
          <w:lang w:val="en-GB"/>
        </w:rPr>
        <w:t>11.4投标</w:t>
      </w:r>
      <w:r>
        <w:rPr>
          <w:rFonts w:hint="eastAsia" w:ascii="宋体" w:hAnsi="宋体" w:cs="宋体"/>
          <w:bCs/>
          <w:lang w:val="en-GB"/>
        </w:rPr>
        <w:t>文件所使用的印章必须为企业公章，且与投标人名称完全一致，不能以其他业务章或附属机构印章代替。需签字之处必须由当事人亲笔签署。</w:t>
      </w:r>
    </w:p>
    <w:p w14:paraId="7EB5954F">
      <w:pPr>
        <w:pStyle w:val="43"/>
        <w:spacing w:line="560" w:lineRule="exact"/>
        <w:ind w:firstLine="520" w:firstLineChars="200"/>
        <w:rPr>
          <w:rFonts w:hint="eastAsia" w:ascii="宋体" w:hAnsi="宋体" w:cs="宋体"/>
          <w:bCs/>
          <w:lang w:val="en-GB"/>
        </w:rPr>
      </w:pPr>
      <w:r>
        <w:rPr>
          <w:rFonts w:hint="eastAsia" w:ascii="宋体" w:hAnsi="宋体" w:cs="宋体"/>
          <w:bCs/>
        </w:rPr>
        <w:t>11</w:t>
      </w:r>
      <w:r>
        <w:rPr>
          <w:rFonts w:hint="eastAsia" w:ascii="宋体" w:hAnsi="宋体" w:cs="宋体"/>
          <w:bCs/>
          <w:lang w:val="en-GB"/>
        </w:rPr>
        <w:t>.</w:t>
      </w:r>
      <w:r>
        <w:rPr>
          <w:rFonts w:hint="eastAsia" w:ascii="宋体" w:hAnsi="宋体" w:cs="宋体"/>
          <w:bCs/>
        </w:rPr>
        <w:t>5</w:t>
      </w:r>
      <w:r>
        <w:rPr>
          <w:rFonts w:hint="eastAsia" w:ascii="宋体" w:hAnsi="宋体" w:cs="宋体"/>
          <w:bCs/>
          <w:lang w:val="en-GB"/>
        </w:rPr>
        <w:t>投标文件每页须按顺序加注页码。</w:t>
      </w:r>
    </w:p>
    <w:bookmarkEnd w:id="37"/>
    <w:p w14:paraId="7CEA6B00">
      <w:pPr>
        <w:widowControl w:val="0"/>
        <w:spacing w:line="560" w:lineRule="exact"/>
        <w:rPr>
          <w:rFonts w:hint="eastAsia" w:ascii="宋体" w:hAnsi="宋体" w:cs="宋体"/>
          <w:b/>
          <w:sz w:val="24"/>
          <w:szCs w:val="24"/>
        </w:rPr>
      </w:pPr>
      <w:bookmarkStart w:id="38" w:name="_Toc238907016"/>
      <w:r>
        <w:rPr>
          <w:rFonts w:hint="eastAsia" w:ascii="宋体" w:hAnsi="宋体" w:cs="宋体"/>
          <w:b/>
          <w:sz w:val="24"/>
          <w:szCs w:val="24"/>
        </w:rPr>
        <w:t>12．投标保证金（本项目不作要求）</w:t>
      </w:r>
    </w:p>
    <w:bookmarkEnd w:id="38"/>
    <w:p w14:paraId="2DB01302">
      <w:pPr>
        <w:widowControl w:val="0"/>
        <w:snapToGrid w:val="0"/>
        <w:spacing w:line="560" w:lineRule="exact"/>
        <w:rPr>
          <w:rFonts w:hint="eastAsia" w:ascii="宋体" w:hAnsi="宋体" w:cs="宋体"/>
          <w:b/>
          <w:sz w:val="24"/>
          <w:szCs w:val="24"/>
        </w:rPr>
      </w:pPr>
      <w:bookmarkStart w:id="39" w:name="_Toc238907014"/>
      <w:bookmarkStart w:id="40" w:name="_Toc238907017"/>
      <w:r>
        <w:rPr>
          <w:rFonts w:hint="eastAsia" w:ascii="宋体" w:hAnsi="宋体" w:cs="宋体"/>
          <w:b/>
          <w:sz w:val="24"/>
          <w:szCs w:val="24"/>
        </w:rPr>
        <w:t>13. 投标货币</w:t>
      </w:r>
    </w:p>
    <w:p w14:paraId="23866F4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13.1 投标报价均须以人民币为计算单位。招标文件另有规定的，从其规定。</w:t>
      </w:r>
    </w:p>
    <w:p w14:paraId="47A9A899">
      <w:pPr>
        <w:widowControl w:val="0"/>
        <w:spacing w:line="560" w:lineRule="exact"/>
        <w:rPr>
          <w:rFonts w:hint="eastAsia" w:ascii="宋体" w:hAnsi="宋体" w:cs="宋体"/>
          <w:b/>
          <w:sz w:val="24"/>
          <w:szCs w:val="24"/>
        </w:rPr>
      </w:pPr>
      <w:r>
        <w:rPr>
          <w:rFonts w:hint="eastAsia" w:ascii="宋体" w:hAnsi="宋体" w:cs="宋体"/>
          <w:b/>
          <w:sz w:val="24"/>
          <w:szCs w:val="24"/>
        </w:rPr>
        <w:t>14．投标报价</w:t>
      </w:r>
      <w:bookmarkEnd w:id="39"/>
    </w:p>
    <w:p w14:paraId="4398E735">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14.1本项目的采购预算金额见招标文件第一章。</w:t>
      </w:r>
    </w:p>
    <w:p w14:paraId="1D3D9862">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14.2投标人的报价应包括全部服务的价格及相关税费产生的其他有关的所有费用。</w:t>
      </w:r>
    </w:p>
    <w:p w14:paraId="34931DC1">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14.3采购代理机构不接受任何有选择的报价，必须是唯一报价。</w:t>
      </w:r>
    </w:p>
    <w:p w14:paraId="0EDACEBC">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 xml:space="preserve">14.4投标人不能恶意报价，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38155822">
      <w:pPr>
        <w:widowControl w:val="0"/>
        <w:spacing w:line="560" w:lineRule="exact"/>
        <w:rPr>
          <w:rFonts w:hint="eastAsia" w:ascii="宋体" w:hAnsi="宋体" w:cs="宋体"/>
          <w:b/>
          <w:sz w:val="24"/>
          <w:szCs w:val="24"/>
        </w:rPr>
      </w:pPr>
      <w:r>
        <w:rPr>
          <w:rFonts w:hint="eastAsia" w:ascii="宋体" w:hAnsi="宋体" w:cs="宋体"/>
          <w:b/>
          <w:sz w:val="24"/>
          <w:szCs w:val="24"/>
        </w:rPr>
        <w:t>15．投标有效期</w:t>
      </w:r>
      <w:bookmarkEnd w:id="40"/>
    </w:p>
    <w:p w14:paraId="66EB9449">
      <w:pPr>
        <w:widowControl w:val="0"/>
        <w:spacing w:line="560" w:lineRule="exact"/>
        <w:ind w:firstLine="482" w:firstLineChars="200"/>
        <w:rPr>
          <w:rFonts w:hint="eastAsia" w:ascii="宋体" w:hAnsi="宋体" w:cs="宋体"/>
          <w:b/>
          <w:sz w:val="24"/>
          <w:szCs w:val="24"/>
        </w:rPr>
      </w:pPr>
      <w:r>
        <w:rPr>
          <w:rFonts w:hint="eastAsia" w:ascii="宋体" w:hAnsi="宋体" w:cs="宋体"/>
          <w:b/>
          <w:sz w:val="24"/>
          <w:szCs w:val="24"/>
        </w:rPr>
        <w:t>15.l 投标有效期为从开标截止之日起计算的</w:t>
      </w:r>
      <w:r>
        <w:rPr>
          <w:rFonts w:hint="eastAsia" w:ascii="宋体" w:hAnsi="宋体" w:cs="宋体"/>
          <w:b/>
          <w:sz w:val="24"/>
          <w:szCs w:val="24"/>
          <w:u w:val="single"/>
        </w:rPr>
        <w:t>九十天</w:t>
      </w:r>
      <w:r>
        <w:rPr>
          <w:rFonts w:hint="eastAsia" w:ascii="宋体" w:hAnsi="宋体" w:cs="宋体"/>
          <w:b/>
          <w:sz w:val="24"/>
          <w:szCs w:val="24"/>
        </w:rPr>
        <w:t>，有效期短于此规定的投标文件将被视为无效。</w:t>
      </w:r>
    </w:p>
    <w:p w14:paraId="78C62462">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15.2 在特殊情况下，采购代理机构可在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6DF1725B">
      <w:pPr>
        <w:widowControl w:val="0"/>
        <w:spacing w:line="560" w:lineRule="exact"/>
        <w:rPr>
          <w:rFonts w:hint="eastAsia" w:ascii="宋体" w:hAnsi="宋体" w:cs="宋体"/>
          <w:b/>
          <w:sz w:val="24"/>
          <w:szCs w:val="24"/>
        </w:rPr>
      </w:pPr>
      <w:bookmarkStart w:id="41" w:name="_Toc238907018"/>
      <w:r>
        <w:rPr>
          <w:rFonts w:hint="eastAsia" w:ascii="宋体" w:hAnsi="宋体" w:cs="宋体"/>
          <w:b/>
          <w:sz w:val="24"/>
          <w:szCs w:val="24"/>
        </w:rPr>
        <w:t>16．投标文件的数量、签署及形式</w:t>
      </w:r>
      <w:bookmarkEnd w:id="41"/>
    </w:p>
    <w:p w14:paraId="0167C6DB">
      <w:pPr>
        <w:widowControl w:val="0"/>
        <w:spacing w:line="560" w:lineRule="exact"/>
        <w:ind w:firstLine="480" w:firstLineChars="200"/>
        <w:rPr>
          <w:rFonts w:hint="eastAsia" w:ascii="宋体" w:hAnsi="宋体" w:cs="宋体"/>
          <w:sz w:val="24"/>
          <w:szCs w:val="24"/>
        </w:rPr>
      </w:pPr>
      <w:bookmarkStart w:id="42" w:name="_Toc238907019"/>
      <w:r>
        <w:rPr>
          <w:rFonts w:hint="eastAsia" w:ascii="宋体" w:hAnsi="宋体" w:cs="宋体"/>
          <w:sz w:val="24"/>
          <w:szCs w:val="24"/>
        </w:rPr>
        <w:t>16.1投标人须递交wenc格式投标文件一份。</w:t>
      </w:r>
    </w:p>
    <w:p w14:paraId="1C042F78">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16.2投标文件须经投标人的法定代表人或其授权代理人在投标文件对应签字处签字或在对应的盖章加盖单位公章。</w:t>
      </w:r>
    </w:p>
    <w:p w14:paraId="37B7D87B">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16.3投标文件不得涂改和增删，如要修改错漏处，修改处必须由法人代表或授权代理人签名或盖公章。</w:t>
      </w:r>
    </w:p>
    <w:p w14:paraId="7CBE4751">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16.4 投标文件应根据招标文件的要求制作，签署、盖章且内容应完整，如未按要求或有遗漏，将被视为无效投标。</w:t>
      </w:r>
    </w:p>
    <w:p w14:paraId="2CC48BA6">
      <w:pPr>
        <w:pStyle w:val="3"/>
        <w:spacing w:line="560" w:lineRule="exact"/>
        <w:rPr>
          <w:rFonts w:hint="eastAsia" w:ascii="宋体" w:hAnsi="宋体" w:cs="宋体"/>
          <w:sz w:val="24"/>
          <w:szCs w:val="24"/>
        </w:rPr>
      </w:pPr>
      <w:bookmarkStart w:id="43" w:name="_Toc12158"/>
      <w:r>
        <w:rPr>
          <w:rFonts w:hint="eastAsia" w:ascii="宋体" w:hAnsi="宋体" w:cs="宋体"/>
          <w:sz w:val="24"/>
          <w:szCs w:val="24"/>
        </w:rPr>
        <w:t>四、投标文件的递交</w:t>
      </w:r>
      <w:bookmarkEnd w:id="42"/>
      <w:bookmarkEnd w:id="43"/>
    </w:p>
    <w:p w14:paraId="5885F899">
      <w:pPr>
        <w:widowControl w:val="0"/>
        <w:spacing w:line="560" w:lineRule="exact"/>
        <w:rPr>
          <w:rFonts w:hint="eastAsia" w:ascii="宋体" w:hAnsi="宋体" w:cs="宋体"/>
          <w:b/>
          <w:sz w:val="24"/>
          <w:szCs w:val="24"/>
        </w:rPr>
      </w:pPr>
      <w:bookmarkStart w:id="44" w:name="_Toc238907020"/>
      <w:r>
        <w:rPr>
          <w:rFonts w:hint="eastAsia" w:ascii="宋体" w:hAnsi="宋体" w:cs="宋体"/>
          <w:b/>
          <w:sz w:val="24"/>
          <w:szCs w:val="24"/>
        </w:rPr>
        <w:t>17．投标文件的密封及标记</w:t>
      </w:r>
      <w:bookmarkEnd w:id="44"/>
      <w:r>
        <w:rPr>
          <w:rFonts w:hint="eastAsia" w:ascii="宋体" w:hAnsi="宋体" w:cs="宋体"/>
          <w:b/>
          <w:sz w:val="24"/>
          <w:szCs w:val="24"/>
        </w:rPr>
        <w:t>（实质性条款）</w:t>
      </w:r>
    </w:p>
    <w:p w14:paraId="518A72B5">
      <w:pPr>
        <w:widowControl w:val="0"/>
        <w:spacing w:line="560" w:lineRule="exact"/>
        <w:ind w:firstLine="480" w:firstLineChars="200"/>
        <w:rPr>
          <w:rFonts w:hint="eastAsia" w:ascii="宋体" w:hAnsi="宋体" w:cs="宋体"/>
          <w:sz w:val="24"/>
          <w:szCs w:val="24"/>
        </w:rPr>
      </w:pPr>
      <w:bookmarkStart w:id="45" w:name="_Toc238907021"/>
      <w:r>
        <w:rPr>
          <w:rFonts w:hint="eastAsia" w:ascii="宋体" w:hAnsi="宋体" w:cs="宋体"/>
          <w:sz w:val="24"/>
          <w:szCs w:val="24"/>
        </w:rPr>
        <w:t>17.1投标人提交加密的电子投标文件（wenc 格式） 1 份，须在提交投标文件截止时间前成功上传至海南省政府采购电子化交易管理系统(新)（www.ccgp-hainan.gov.cn）。逾期上传或者错误方式上传的投标文件，</w:t>
      </w:r>
      <w:r>
        <w:rPr>
          <w:rFonts w:hint="eastAsia" w:ascii="宋体" w:hAnsi="宋体" w:cs="宋体"/>
          <w:b/>
          <w:sz w:val="24"/>
          <w:szCs w:val="24"/>
        </w:rPr>
        <w:t>视为无效投标文件</w:t>
      </w:r>
      <w:r>
        <w:rPr>
          <w:rFonts w:hint="eastAsia" w:ascii="宋体" w:hAnsi="宋体" w:cs="宋体"/>
          <w:sz w:val="24"/>
          <w:szCs w:val="24"/>
        </w:rPr>
        <w:t>。</w:t>
      </w:r>
    </w:p>
    <w:p w14:paraId="726E3BC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17.2投标人完成签到后，代理机构【发起解密】，设定解密时长（不少于30分钟），显示解密倒计时，投标人在规定时间内自行解密，规定时间内未解密成功的投标人，</w:t>
      </w:r>
      <w:r>
        <w:rPr>
          <w:rFonts w:hint="eastAsia" w:ascii="宋体" w:hAnsi="宋体" w:cs="宋体"/>
          <w:b/>
          <w:sz w:val="24"/>
          <w:szCs w:val="24"/>
        </w:rPr>
        <w:t>视为投标无效。</w:t>
      </w:r>
    </w:p>
    <w:p w14:paraId="73006BFF">
      <w:pPr>
        <w:widowControl w:val="0"/>
        <w:spacing w:line="560" w:lineRule="exact"/>
        <w:rPr>
          <w:rFonts w:hint="eastAsia" w:ascii="宋体" w:hAnsi="宋体" w:cs="宋体"/>
          <w:b/>
          <w:sz w:val="24"/>
          <w:szCs w:val="24"/>
        </w:rPr>
      </w:pPr>
      <w:r>
        <w:rPr>
          <w:rFonts w:hint="eastAsia" w:ascii="宋体" w:hAnsi="宋体" w:cs="宋体"/>
          <w:b/>
          <w:sz w:val="24"/>
          <w:szCs w:val="24"/>
        </w:rPr>
        <w:t>18．投标截止时间</w:t>
      </w:r>
      <w:bookmarkEnd w:id="45"/>
    </w:p>
    <w:p w14:paraId="2DC02C66">
      <w:pPr>
        <w:widowControl w:val="0"/>
        <w:spacing w:line="560" w:lineRule="exact"/>
        <w:ind w:firstLine="480" w:firstLineChars="200"/>
        <w:rPr>
          <w:rFonts w:hint="eastAsia" w:ascii="宋体" w:hAnsi="宋体" w:cs="宋体"/>
          <w:sz w:val="24"/>
          <w:szCs w:val="24"/>
        </w:rPr>
      </w:pPr>
      <w:bookmarkStart w:id="46" w:name="_Toc238907023"/>
      <w:r>
        <w:rPr>
          <w:rFonts w:hint="eastAsia" w:ascii="宋体" w:hAnsi="宋体" w:cs="宋体"/>
          <w:sz w:val="24"/>
          <w:szCs w:val="24"/>
        </w:rPr>
        <w:t>18.l 投标人须在投标截止时间前须将投标文件成功上传至海南省政府采购电子化交易管理系统(新)（www.ccgp-hainan.gov.cn）。逾期上传或者错误方式上传的投标文件，</w:t>
      </w:r>
      <w:r>
        <w:rPr>
          <w:rFonts w:hint="eastAsia" w:ascii="宋体" w:hAnsi="宋体" w:cs="宋体"/>
          <w:b/>
          <w:sz w:val="24"/>
          <w:szCs w:val="24"/>
        </w:rPr>
        <w:t>视为无效投标文件。</w:t>
      </w:r>
    </w:p>
    <w:p w14:paraId="6CDBA4BB">
      <w:pPr>
        <w:widowControl w:val="0"/>
        <w:spacing w:line="560" w:lineRule="exact"/>
        <w:ind w:firstLine="480" w:firstLineChars="200"/>
        <w:rPr>
          <w:rFonts w:hint="eastAsia" w:ascii="宋体" w:hAnsi="宋体" w:cs="宋体"/>
          <w:b/>
          <w:sz w:val="24"/>
          <w:szCs w:val="24"/>
        </w:rPr>
      </w:pPr>
      <w:r>
        <w:rPr>
          <w:rFonts w:hint="eastAsia" w:ascii="宋体" w:hAnsi="宋体" w:cs="宋体"/>
          <w:sz w:val="24"/>
          <w:szCs w:val="24"/>
        </w:rPr>
        <w:t>18.2 若采购代理机构推迟了投标截止时间，采购代理机构和投标人受投标截止时间制约的所有权利和义务均应以新的截止时间为准。</w:t>
      </w:r>
      <w:bookmarkStart w:id="47" w:name="_Toc238907022"/>
    </w:p>
    <w:bookmarkEnd w:id="47"/>
    <w:p w14:paraId="2DCA1A3D">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18.3在投标截止时间后递交的投标文件，采购代理机构将拒绝接受。</w:t>
      </w:r>
    </w:p>
    <w:p w14:paraId="5382CDF6">
      <w:pPr>
        <w:widowControl w:val="0"/>
        <w:spacing w:line="560" w:lineRule="exact"/>
        <w:rPr>
          <w:rFonts w:hint="eastAsia" w:ascii="宋体" w:hAnsi="宋体" w:cs="宋体"/>
          <w:b/>
          <w:sz w:val="24"/>
          <w:szCs w:val="24"/>
        </w:rPr>
      </w:pPr>
      <w:r>
        <w:rPr>
          <w:rFonts w:hint="eastAsia" w:ascii="宋体" w:hAnsi="宋体" w:cs="宋体"/>
          <w:b/>
          <w:sz w:val="24"/>
          <w:szCs w:val="24"/>
        </w:rPr>
        <w:t>19．投标文件的修改和撤回</w:t>
      </w:r>
      <w:bookmarkEnd w:id="46"/>
    </w:p>
    <w:p w14:paraId="6EF8438B">
      <w:pPr>
        <w:widowControl w:val="0"/>
        <w:spacing w:line="560" w:lineRule="exact"/>
        <w:ind w:firstLine="480" w:firstLineChars="200"/>
        <w:rPr>
          <w:rFonts w:hint="eastAsia" w:ascii="宋体" w:hAnsi="宋体" w:cs="宋体"/>
          <w:sz w:val="24"/>
          <w:szCs w:val="24"/>
        </w:rPr>
      </w:pPr>
      <w:bookmarkStart w:id="48" w:name="_Toc238907024"/>
      <w:r>
        <w:rPr>
          <w:rFonts w:hint="eastAsia" w:ascii="宋体" w:hAnsi="宋体" w:cs="宋体"/>
          <w:sz w:val="24"/>
          <w:szCs w:val="24"/>
        </w:rPr>
        <w:t>19.l 投标人在提交投标文件后可对其进行修改或撤回，但必须使采购代理机构在投标文件递交截止时间前收到该修改的书面内容或撤回的书面通知，该书面文件须由法人代表或其授权代理人签署。</w:t>
      </w:r>
    </w:p>
    <w:p w14:paraId="69664092">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19.2 投标文件的修改文件应按文件的规定签署、标记，还须注明“修改投标文件”和“开标前不得启封”字样。修改文件须在投标文件递交截止时间前送达采购代理机构规定的投标地点。上述补充或修改若涉及投标报价，必须注明“最终唯一报价”字样，否则将视为有选择的报价。</w:t>
      </w:r>
    </w:p>
    <w:p w14:paraId="669900A7">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19.3 投标人不得在投标文件递交截止时间以后修改投标文件。</w:t>
      </w:r>
    </w:p>
    <w:p w14:paraId="727E4ABE">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19.4 投标人不得在投标文件递交截止时间起至投标有效期满前撤回投标文件，否则投标保证金将被没收。该投标人的投标文件不予退还。</w:t>
      </w:r>
    </w:p>
    <w:p w14:paraId="00F0E1DA">
      <w:pPr>
        <w:pStyle w:val="3"/>
        <w:spacing w:line="560" w:lineRule="exact"/>
        <w:rPr>
          <w:rFonts w:hint="eastAsia" w:ascii="宋体" w:hAnsi="宋体" w:cs="宋体"/>
          <w:sz w:val="24"/>
          <w:szCs w:val="24"/>
        </w:rPr>
      </w:pPr>
      <w:bookmarkStart w:id="49" w:name="_Toc23317"/>
      <w:r>
        <w:rPr>
          <w:rFonts w:hint="eastAsia" w:ascii="宋体" w:hAnsi="宋体" w:cs="宋体"/>
          <w:sz w:val="24"/>
          <w:szCs w:val="24"/>
        </w:rPr>
        <w:t>五、开标及评标</w:t>
      </w:r>
      <w:bookmarkEnd w:id="48"/>
      <w:bookmarkEnd w:id="49"/>
    </w:p>
    <w:p w14:paraId="4894FF19">
      <w:pPr>
        <w:widowControl w:val="0"/>
        <w:spacing w:line="560" w:lineRule="exact"/>
        <w:rPr>
          <w:rFonts w:hint="eastAsia" w:ascii="宋体" w:hAnsi="宋体" w:cs="宋体"/>
          <w:b/>
          <w:sz w:val="24"/>
          <w:szCs w:val="24"/>
        </w:rPr>
      </w:pPr>
      <w:bookmarkStart w:id="50" w:name="_Toc238907025"/>
      <w:r>
        <w:rPr>
          <w:rFonts w:hint="eastAsia" w:ascii="宋体" w:hAnsi="宋体" w:cs="宋体"/>
          <w:b/>
          <w:sz w:val="24"/>
          <w:szCs w:val="24"/>
        </w:rPr>
        <w:t>20．开标</w:t>
      </w:r>
      <w:bookmarkEnd w:id="50"/>
    </w:p>
    <w:p w14:paraId="41F8B7B5">
      <w:pPr>
        <w:widowControl w:val="0"/>
        <w:spacing w:line="560" w:lineRule="exact"/>
        <w:ind w:firstLine="480" w:firstLineChars="200"/>
        <w:rPr>
          <w:rFonts w:hint="eastAsia" w:ascii="宋体" w:hAnsi="宋体" w:cs="宋体"/>
          <w:sz w:val="24"/>
          <w:szCs w:val="24"/>
        </w:rPr>
      </w:pPr>
      <w:bookmarkStart w:id="51" w:name="_Toc238907026"/>
      <w:r>
        <w:rPr>
          <w:rFonts w:hint="eastAsia" w:ascii="宋体" w:hAnsi="宋体" w:cs="宋体"/>
          <w:sz w:val="24"/>
          <w:szCs w:val="24"/>
        </w:rPr>
        <w:t>20.l 采购代理机构按招标文件第一章规定的时间和地点开标。采购人代表、采购代理机构有关工作人员参加。政府采购主管部门、监督部门、国家公证机关公证员由其视情况决定是否派代表到现场进行监督。</w:t>
      </w:r>
    </w:p>
    <w:p w14:paraId="1AEDD4BB">
      <w:pPr>
        <w:widowControl w:val="0"/>
        <w:spacing w:line="560" w:lineRule="exact"/>
        <w:rPr>
          <w:rFonts w:hint="eastAsia" w:ascii="宋体" w:hAnsi="宋体" w:cs="宋体"/>
          <w:b/>
          <w:sz w:val="24"/>
          <w:szCs w:val="24"/>
        </w:rPr>
      </w:pPr>
      <w:r>
        <w:rPr>
          <w:rFonts w:hint="eastAsia" w:ascii="宋体" w:hAnsi="宋体" w:cs="宋体"/>
          <w:b/>
          <w:sz w:val="24"/>
          <w:szCs w:val="24"/>
        </w:rPr>
        <w:t>21．评标委员会</w:t>
      </w:r>
      <w:bookmarkEnd w:id="51"/>
    </w:p>
    <w:p w14:paraId="08DDC102">
      <w:pPr>
        <w:widowControl w:val="0"/>
        <w:spacing w:line="560" w:lineRule="exact"/>
        <w:ind w:firstLine="480" w:firstLineChars="200"/>
        <w:rPr>
          <w:rFonts w:hint="eastAsia" w:ascii="宋体" w:hAnsi="宋体" w:cs="宋体"/>
          <w:sz w:val="24"/>
          <w:szCs w:val="24"/>
        </w:rPr>
      </w:pPr>
      <w:bookmarkStart w:id="52" w:name="_Toc238907027"/>
      <w:r>
        <w:rPr>
          <w:rFonts w:hint="eastAsia" w:ascii="宋体" w:hAnsi="宋体" w:cs="宋体"/>
          <w:sz w:val="24"/>
          <w:szCs w:val="24"/>
        </w:rPr>
        <w:t>21.1评标委员会由采购人代表和评审专家共5人以上单数组成，其中评审专家人数不少于成员总数的2/3（采购人有权根据项目和本单位实际情况决定是否委派采购人代表参与评审），该评标委员会独立工作，负责评审所有投标文件并推荐中标候选人。</w:t>
      </w:r>
    </w:p>
    <w:p w14:paraId="1E1071D8">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21.2评审专家与投标人存在利害关系的，应按照《政府采购评审专家管理办法》第十六条等要求予以回避。</w:t>
      </w:r>
    </w:p>
    <w:p w14:paraId="747FDEED">
      <w:pPr>
        <w:widowControl w:val="0"/>
        <w:spacing w:line="560" w:lineRule="exact"/>
        <w:rPr>
          <w:rFonts w:hint="eastAsia" w:ascii="宋体" w:hAnsi="宋体" w:cs="宋体"/>
          <w:b/>
          <w:sz w:val="24"/>
          <w:szCs w:val="24"/>
        </w:rPr>
      </w:pPr>
      <w:r>
        <w:rPr>
          <w:rFonts w:hint="eastAsia" w:ascii="宋体" w:hAnsi="宋体" w:cs="宋体"/>
          <w:b/>
          <w:sz w:val="24"/>
          <w:szCs w:val="24"/>
        </w:rPr>
        <w:t>22．对投标文件的符合性审查</w:t>
      </w:r>
      <w:bookmarkEnd w:id="52"/>
    </w:p>
    <w:p w14:paraId="2A82EE76">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22.l符合性审查的内容包括：详见符合性审查表</w:t>
      </w:r>
    </w:p>
    <w:p w14:paraId="06F8FF29">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 xml:space="preserve">符合性审查的内容只要有一条不满足，则投标文件无效。 </w:t>
      </w:r>
    </w:p>
    <w:p w14:paraId="44530693">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22.3 所谓偏离是指投标文件的内容高于或低于招标文件的相关要求。所谓重大负偏离是指投标人所投标的范围、质量、数量和交付时间等明显不能满足招标文件的要求。重大负偏离的认定须经评标委员会三分之二以上无记名投票同意。</w:t>
      </w:r>
    </w:p>
    <w:p w14:paraId="08A3F9EE">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22．3.1 判断投标文件的响应与否只根据投标文件本身，而不寻求外部证据。</w:t>
      </w:r>
    </w:p>
    <w:p w14:paraId="6310C058">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22.4 评标委员会在评标中，对算术错误的修正原则如下:</w:t>
      </w:r>
    </w:p>
    <w:p w14:paraId="030040C3">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22.4.l开标一览表（报价表）内容与投标文件中明细表内容不一致的，以开标一览表（报价表）为准</w:t>
      </w:r>
    </w:p>
    <w:p w14:paraId="661E0705">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22.4.2 投标文件的大写金额和小写金额不一致的，以大写金额为准；</w:t>
      </w:r>
    </w:p>
    <w:p w14:paraId="5DD059F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22.4.3 总价金额与按单价汇总金额不一致的，以单价金额计算结果为准；</w:t>
      </w:r>
    </w:p>
    <w:p w14:paraId="1FD57F5B">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22.4.4 单价金额小数点有明显错位的，以总价为准并修改单价。</w:t>
      </w:r>
    </w:p>
    <w:p w14:paraId="264D2980">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22.4.5 若投标人不同意以上修正，投标文件将视为无效。</w:t>
      </w:r>
    </w:p>
    <w:p w14:paraId="314A8D64">
      <w:pPr>
        <w:widowControl w:val="0"/>
        <w:spacing w:line="560" w:lineRule="exact"/>
        <w:rPr>
          <w:rFonts w:hint="eastAsia" w:ascii="宋体" w:hAnsi="宋体" w:cs="宋体"/>
          <w:b/>
          <w:sz w:val="24"/>
          <w:szCs w:val="24"/>
        </w:rPr>
      </w:pPr>
      <w:bookmarkStart w:id="53" w:name="_Toc238907028"/>
      <w:r>
        <w:rPr>
          <w:rFonts w:hint="eastAsia" w:ascii="宋体" w:hAnsi="宋体" w:cs="宋体"/>
          <w:b/>
          <w:sz w:val="24"/>
          <w:szCs w:val="24"/>
        </w:rPr>
        <w:t>23．投标文件的澄清</w:t>
      </w:r>
      <w:bookmarkEnd w:id="53"/>
    </w:p>
    <w:p w14:paraId="7C30EA2A">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23.1 在评标期间，评标委员会有权要求投标人对其投标文件中含义不明确、同类问题表述不一致或者有明显文字和计算错误的内容进行澄清。投标人应派授权代理人和技术人员按评标委员会通知的时间和地点接受询标。</w:t>
      </w:r>
    </w:p>
    <w:p w14:paraId="671518EB">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23.2 评标委员会认为有必要，可要求投标人对某些问题作出必要的澄清、说明和纠正。投标人的澄清、说明或者补正应当用书面形式，由其授权的代表签字，并不得超出投标文件的范围或者改变投标文件的实质性内容。投标人的书面澄清材料作为投标文件的补充，</w:t>
      </w:r>
    </w:p>
    <w:p w14:paraId="37B60277">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23.3投标人不按评标委员会规定的时间和地点作书面澄清，将视为放弃该权利。</w:t>
      </w:r>
    </w:p>
    <w:p w14:paraId="7CB97A5C">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23.4 并非每个投标人都将被询标。</w:t>
      </w:r>
    </w:p>
    <w:p w14:paraId="3DA3E808">
      <w:pPr>
        <w:widowControl w:val="0"/>
        <w:spacing w:line="560" w:lineRule="exact"/>
        <w:rPr>
          <w:rFonts w:hint="eastAsia" w:ascii="宋体" w:hAnsi="宋体" w:cs="宋体"/>
          <w:b/>
          <w:sz w:val="24"/>
          <w:szCs w:val="24"/>
        </w:rPr>
      </w:pPr>
      <w:bookmarkStart w:id="54" w:name="_Toc238907029"/>
      <w:r>
        <w:rPr>
          <w:rFonts w:hint="eastAsia" w:ascii="宋体" w:hAnsi="宋体" w:cs="宋体"/>
          <w:b/>
          <w:sz w:val="24"/>
          <w:szCs w:val="24"/>
        </w:rPr>
        <w:t>24．评标及定标</w:t>
      </w:r>
      <w:bookmarkEnd w:id="54"/>
    </w:p>
    <w:p w14:paraId="1495C569">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24.1评标委员会分别对通过资格性审查和符合性审查的投标文件进行评价。</w:t>
      </w:r>
    </w:p>
    <w:p w14:paraId="787AD3EA">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24.2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E35A551">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24.3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48B396C">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24.4非单一产品采购项目，根据招标文件采购需求中载明的核心产品的情况，多家投标人提供的核心产品品牌相同的，按24.2和24.3规定处理。</w:t>
      </w:r>
    </w:p>
    <w:p w14:paraId="7C3ED50A">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24.5评标委员会按公布的招标文件中“第四章”评标方法及标准对每份投标文件进行评审，确定中标候选人，最低投标价等任何单项因素的最优不能作为中标的保证。</w:t>
      </w:r>
      <w:bookmarkStart w:id="55" w:name="_Toc238907030"/>
    </w:p>
    <w:p w14:paraId="6C673811">
      <w:pPr>
        <w:widowControl w:val="0"/>
        <w:spacing w:line="560" w:lineRule="exact"/>
        <w:rPr>
          <w:rFonts w:hint="eastAsia" w:ascii="宋体" w:hAnsi="宋体" w:cs="宋体"/>
          <w:b/>
          <w:sz w:val="24"/>
          <w:szCs w:val="24"/>
        </w:rPr>
      </w:pPr>
      <w:r>
        <w:rPr>
          <w:rFonts w:hint="eastAsia" w:ascii="宋体" w:hAnsi="宋体" w:cs="宋体"/>
          <w:b/>
          <w:sz w:val="24"/>
          <w:szCs w:val="24"/>
        </w:rPr>
        <w:t>25．评标过程保密</w:t>
      </w:r>
      <w:bookmarkEnd w:id="55"/>
    </w:p>
    <w:p w14:paraId="32CCEF2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25.l 在宣布中标结果之前，凡属于审查、澄清、评价、比较投标文件和中标意向等有关信息，相关当事人均不得泄露给任何投标人或与评标工作无关的人员。</w:t>
      </w:r>
    </w:p>
    <w:p w14:paraId="21BB4876">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25.2 投标人不得探听上述信息，不得以任何行为影响评标过程，否则其投标文件将被作为无效投标文件。</w:t>
      </w:r>
    </w:p>
    <w:p w14:paraId="26B566C9">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25.3 在评标期间，采购代理机构将有专门人员与投标人进行联络。</w:t>
      </w:r>
    </w:p>
    <w:p w14:paraId="5C8E243C">
      <w:pPr>
        <w:pStyle w:val="3"/>
        <w:spacing w:line="560" w:lineRule="exact"/>
        <w:rPr>
          <w:rFonts w:hint="eastAsia" w:ascii="宋体" w:hAnsi="宋体" w:cs="宋体"/>
          <w:sz w:val="24"/>
          <w:szCs w:val="24"/>
        </w:rPr>
      </w:pPr>
      <w:bookmarkStart w:id="56" w:name="_Toc29017"/>
      <w:r>
        <w:rPr>
          <w:rFonts w:hint="eastAsia" w:ascii="宋体" w:hAnsi="宋体" w:cs="宋体"/>
          <w:sz w:val="24"/>
          <w:szCs w:val="24"/>
        </w:rPr>
        <w:t>六、授标、签约和质疑投诉</w:t>
      </w:r>
      <w:bookmarkEnd w:id="56"/>
    </w:p>
    <w:p w14:paraId="3A7EB62F">
      <w:pPr>
        <w:widowControl w:val="0"/>
        <w:spacing w:line="560" w:lineRule="exact"/>
        <w:rPr>
          <w:rFonts w:hint="eastAsia" w:ascii="宋体" w:hAnsi="宋体" w:cs="宋体"/>
          <w:b/>
          <w:sz w:val="24"/>
          <w:szCs w:val="24"/>
        </w:rPr>
      </w:pPr>
      <w:bookmarkStart w:id="57" w:name="_Toc238907032"/>
      <w:r>
        <w:rPr>
          <w:rFonts w:hint="eastAsia" w:ascii="宋体" w:hAnsi="宋体" w:cs="宋体"/>
          <w:b/>
          <w:sz w:val="24"/>
          <w:szCs w:val="24"/>
        </w:rPr>
        <w:t>26．定标原则</w:t>
      </w:r>
      <w:bookmarkEnd w:id="57"/>
    </w:p>
    <w:p w14:paraId="756E8592">
      <w:pPr>
        <w:pStyle w:val="159"/>
        <w:spacing w:line="560" w:lineRule="exact"/>
        <w:ind w:left="0" w:firstLine="480" w:firstLineChars="200"/>
        <w:rPr>
          <w:rFonts w:hint="eastAsia"/>
          <w:sz w:val="24"/>
          <w:szCs w:val="24"/>
        </w:rPr>
      </w:pPr>
      <w:r>
        <w:rPr>
          <w:rFonts w:hint="eastAsia"/>
          <w:sz w:val="24"/>
          <w:szCs w:val="24"/>
        </w:rPr>
        <w:t>评标委员会将严格按照招标文件的要求和条件进行评标,根据评标方法推荐出一至三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授予下一候选人为中标人，也可以重新开展政府采购活动。</w:t>
      </w:r>
    </w:p>
    <w:p w14:paraId="77DD6981">
      <w:pPr>
        <w:widowControl w:val="0"/>
        <w:spacing w:line="560" w:lineRule="exact"/>
        <w:rPr>
          <w:rFonts w:hint="eastAsia" w:ascii="宋体" w:hAnsi="宋体" w:cs="宋体"/>
          <w:b/>
          <w:sz w:val="24"/>
          <w:szCs w:val="24"/>
        </w:rPr>
      </w:pPr>
      <w:bookmarkStart w:id="58" w:name="_Toc238907033"/>
      <w:r>
        <w:rPr>
          <w:rFonts w:hint="eastAsia" w:ascii="宋体" w:hAnsi="宋体" w:cs="宋体"/>
          <w:b/>
          <w:sz w:val="24"/>
          <w:szCs w:val="24"/>
        </w:rPr>
        <w:t>27. 质疑</w:t>
      </w:r>
      <w:bookmarkEnd w:id="58"/>
      <w:r>
        <w:rPr>
          <w:rFonts w:hint="eastAsia" w:ascii="宋体" w:hAnsi="宋体" w:cs="宋体"/>
          <w:b/>
          <w:sz w:val="24"/>
          <w:szCs w:val="24"/>
        </w:rPr>
        <w:t>的接收和处理、投诉</w:t>
      </w:r>
    </w:p>
    <w:p w14:paraId="577A4329">
      <w:pPr>
        <w:widowControl w:val="0"/>
        <w:adjustRightInd w:val="0"/>
        <w:snapToGrid w:val="0"/>
        <w:spacing w:line="560" w:lineRule="exact"/>
        <w:ind w:firstLine="480" w:firstLineChars="200"/>
        <w:rPr>
          <w:rFonts w:hint="eastAsia" w:ascii="宋体" w:hAnsi="宋体" w:cs="宋体"/>
          <w:kern w:val="2"/>
          <w:sz w:val="24"/>
          <w:szCs w:val="24"/>
        </w:rPr>
      </w:pPr>
      <w:r>
        <w:rPr>
          <w:rFonts w:hint="eastAsia" w:ascii="宋体" w:hAnsi="宋体" w:cs="宋体"/>
          <w:kern w:val="2"/>
          <w:sz w:val="24"/>
          <w:szCs w:val="24"/>
        </w:rPr>
        <w:t>27.1接收质疑函的联系部门、联系电话和通讯地址：</w:t>
      </w:r>
    </w:p>
    <w:p w14:paraId="0AC072CC">
      <w:pPr>
        <w:widowControl w:val="0"/>
        <w:spacing w:line="560" w:lineRule="exact"/>
        <w:ind w:firstLine="480" w:firstLineChars="200"/>
        <w:rPr>
          <w:rFonts w:hint="eastAsia" w:ascii="宋体" w:hAnsi="宋体" w:cs="宋体"/>
          <w:kern w:val="2"/>
          <w:sz w:val="24"/>
          <w:szCs w:val="24"/>
        </w:rPr>
      </w:pPr>
      <w:r>
        <w:rPr>
          <w:rFonts w:hint="eastAsia" w:ascii="宋体" w:hAnsi="宋体" w:cs="宋体"/>
          <w:kern w:val="2"/>
          <w:sz w:val="24"/>
          <w:szCs w:val="24"/>
        </w:rPr>
        <w:t>部  门：海南天行招投标有限公司　　　　　　　　　　　　</w:t>
      </w:r>
    </w:p>
    <w:p w14:paraId="4943E601">
      <w:pPr>
        <w:widowControl w:val="0"/>
        <w:spacing w:line="560" w:lineRule="exact"/>
        <w:ind w:firstLine="480" w:firstLineChars="200"/>
        <w:rPr>
          <w:rFonts w:hint="eastAsia" w:ascii="宋体" w:hAnsi="宋体" w:cs="宋体"/>
          <w:kern w:val="2"/>
          <w:sz w:val="24"/>
          <w:szCs w:val="24"/>
        </w:rPr>
      </w:pPr>
      <w:r>
        <w:rPr>
          <w:rFonts w:hint="eastAsia" w:ascii="宋体" w:hAnsi="宋体" w:cs="宋体"/>
          <w:kern w:val="2"/>
          <w:sz w:val="24"/>
          <w:szCs w:val="24"/>
        </w:rPr>
        <w:t>地　址：海口市龙华区渡海路1-31号（宝岛花园C栋铺面二层）　　　　　　　　　　　　</w:t>
      </w:r>
    </w:p>
    <w:p w14:paraId="354AD7F2">
      <w:pPr>
        <w:widowControl w:val="0"/>
        <w:adjustRightInd w:val="0"/>
        <w:snapToGrid w:val="0"/>
        <w:spacing w:line="560" w:lineRule="exact"/>
        <w:ind w:firstLine="480" w:firstLineChars="200"/>
        <w:rPr>
          <w:rFonts w:hint="eastAsia" w:ascii="宋体" w:hAnsi="宋体" w:cs="宋体"/>
          <w:kern w:val="2"/>
          <w:sz w:val="24"/>
          <w:szCs w:val="24"/>
        </w:rPr>
      </w:pPr>
      <w:r>
        <w:rPr>
          <w:rFonts w:hint="eastAsia" w:ascii="宋体" w:hAnsi="宋体" w:cs="宋体"/>
          <w:kern w:val="2"/>
          <w:sz w:val="24"/>
          <w:szCs w:val="24"/>
        </w:rPr>
        <w:t xml:space="preserve">联系方式：0898-68597362　 </w:t>
      </w:r>
    </w:p>
    <w:p w14:paraId="3BFB1F5E">
      <w:pPr>
        <w:widowControl w:val="0"/>
        <w:adjustRightInd w:val="0"/>
        <w:snapToGrid w:val="0"/>
        <w:spacing w:line="560" w:lineRule="exact"/>
        <w:ind w:firstLine="480" w:firstLineChars="200"/>
        <w:rPr>
          <w:rFonts w:hint="eastAsia" w:ascii="宋体" w:hAnsi="宋体" w:cs="宋体"/>
          <w:kern w:val="2"/>
          <w:sz w:val="24"/>
          <w:szCs w:val="24"/>
        </w:rPr>
      </w:pPr>
      <w:r>
        <w:rPr>
          <w:rFonts w:hint="eastAsia" w:ascii="宋体" w:hAnsi="宋体" w:cs="宋体"/>
          <w:kern w:val="2"/>
          <w:sz w:val="24"/>
          <w:szCs w:val="24"/>
        </w:rPr>
        <w:t>2</w:t>
      </w:r>
      <w:r>
        <w:rPr>
          <w:rFonts w:hint="eastAsia" w:ascii="宋体" w:hAnsi="宋体" w:cs="宋体"/>
          <w:kern w:val="2"/>
          <w:sz w:val="24"/>
          <w:szCs w:val="24"/>
          <w:lang w:val="en-GB"/>
        </w:rPr>
        <w:t>7</w:t>
      </w:r>
      <w:r>
        <w:rPr>
          <w:rFonts w:hint="eastAsia" w:ascii="宋体" w:hAnsi="宋体" w:cs="宋体"/>
          <w:kern w:val="2"/>
          <w:sz w:val="24"/>
          <w:szCs w:val="24"/>
        </w:rPr>
        <w:t>.2投标人如认为采购文件、采购过程和中标结果使自己的权益受到损害的，应在知道或应知道其权益受到损害之日起七个工作日内以书面形式向采购人、采购代理机构提出质疑。</w:t>
      </w:r>
    </w:p>
    <w:p w14:paraId="50218F07">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GB"/>
        </w:rPr>
        <w:t>7</w:t>
      </w:r>
      <w:r>
        <w:rPr>
          <w:rFonts w:hint="eastAsia" w:ascii="宋体" w:hAnsi="宋体" w:cs="宋体"/>
          <w:sz w:val="24"/>
          <w:szCs w:val="24"/>
        </w:rPr>
        <w:t>.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0BE60377">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27.4投标人须在质疑期内一次性提出针对同一采购程序环节的质疑。</w:t>
      </w:r>
    </w:p>
    <w:p w14:paraId="110A3B53">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27.5投标人提出质疑应当提交质疑函和必要的证明材料。质疑函应当包括下列内容：</w:t>
      </w:r>
    </w:p>
    <w:p w14:paraId="321866B9">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（1）投标人的姓名或者名称、地址、邮编、联系人及联系电话；</w:t>
      </w:r>
    </w:p>
    <w:p w14:paraId="66289B61">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（2）质疑项目的名称、编号；</w:t>
      </w:r>
    </w:p>
    <w:p w14:paraId="0BD5607F">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（3）具体、明确的质疑事项和与质疑事项相关的请求；</w:t>
      </w:r>
    </w:p>
    <w:p w14:paraId="296394AC">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（4）事实依据；</w:t>
      </w:r>
    </w:p>
    <w:p w14:paraId="46F91DF1">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（5）必要的法律依据；</w:t>
      </w:r>
    </w:p>
    <w:p w14:paraId="0FFF880C">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（6）提出质疑的日期。</w:t>
      </w:r>
    </w:p>
    <w:p w14:paraId="5194D918">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投标人为自然人的，应当由本人签字；投标人为法人或者其他组织的，应当由法定代表人、主要负责人，或者其授权代理人签字或者盖章，并加盖公章。</w:t>
      </w:r>
    </w:p>
    <w:p w14:paraId="510B9A7A">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GB"/>
        </w:rPr>
        <w:t>7</w:t>
      </w:r>
      <w:r>
        <w:rPr>
          <w:rFonts w:hint="eastAsia" w:ascii="宋体" w:hAnsi="宋体" w:cs="宋体"/>
          <w:sz w:val="24"/>
          <w:szCs w:val="24"/>
        </w:rPr>
        <w:t>.6未按要求填写、匿名、非书面形式、七个工作日之外的质疑均不予受理。</w:t>
      </w:r>
    </w:p>
    <w:p w14:paraId="2B4E6A42">
      <w:pPr>
        <w:widowControl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GB"/>
        </w:rPr>
        <w:t>7</w:t>
      </w:r>
      <w:r>
        <w:rPr>
          <w:rFonts w:hint="eastAsia" w:ascii="宋体" w:hAnsi="宋体" w:cs="宋体"/>
          <w:sz w:val="24"/>
          <w:szCs w:val="24"/>
        </w:rPr>
        <w:t>.7采购人或采购代理机构应当在收到投标人的书面质疑后7个工作日内作出答复，并以书面形式通知质疑投标人和其他有关投标人。</w:t>
      </w:r>
    </w:p>
    <w:p w14:paraId="0F3F4D6A">
      <w:pPr>
        <w:widowControl w:val="0"/>
        <w:spacing w:line="560" w:lineRule="exact"/>
        <w:ind w:firstLine="480" w:firstLineChars="200"/>
        <w:rPr>
          <w:rFonts w:hint="eastAsia" w:ascii="宋体" w:hAnsi="宋体" w:cs="宋体"/>
          <w:sz w:val="24"/>
          <w:szCs w:val="24"/>
          <w:lang w:val="en-GB"/>
        </w:rPr>
      </w:pPr>
      <w:r>
        <w:rPr>
          <w:rFonts w:hint="eastAsia" w:ascii="宋体" w:hAnsi="宋体" w:cs="宋体"/>
          <w:sz w:val="24"/>
          <w:szCs w:val="24"/>
        </w:rPr>
        <w:t>2</w:t>
      </w:r>
      <w:r>
        <w:rPr>
          <w:rFonts w:hint="eastAsia" w:ascii="宋体" w:hAnsi="宋体" w:cs="宋体"/>
          <w:sz w:val="24"/>
          <w:szCs w:val="24"/>
          <w:lang w:val="en-GB"/>
        </w:rPr>
        <w:t>7</w:t>
      </w:r>
      <w:r>
        <w:rPr>
          <w:rFonts w:hint="eastAsia" w:ascii="宋体" w:hAnsi="宋体" w:cs="宋体"/>
          <w:sz w:val="24"/>
          <w:szCs w:val="24"/>
        </w:rPr>
        <w:t>.8采购代理机构</w:t>
      </w:r>
      <w:r>
        <w:rPr>
          <w:rFonts w:hint="eastAsia" w:ascii="宋体" w:hAnsi="宋体" w:cs="宋体"/>
          <w:sz w:val="24"/>
          <w:szCs w:val="24"/>
          <w:lang w:val="en-GB"/>
        </w:rPr>
        <w:t>在《中华人民共和国政府采购法》规定的时间内没有对投标人的质疑进行回复，或投标人对</w:t>
      </w:r>
      <w:r>
        <w:rPr>
          <w:rFonts w:hint="eastAsia" w:ascii="宋体" w:hAnsi="宋体" w:cs="宋体"/>
          <w:sz w:val="24"/>
          <w:szCs w:val="24"/>
        </w:rPr>
        <w:t>采购代理机构</w:t>
      </w:r>
      <w:r>
        <w:rPr>
          <w:rFonts w:hint="eastAsia" w:ascii="宋体" w:hAnsi="宋体" w:cs="宋体"/>
          <w:sz w:val="24"/>
          <w:szCs w:val="24"/>
          <w:lang w:val="en-GB"/>
        </w:rPr>
        <w:t>的回复不满意时，可以在答复期满后15个工作日内按规定向财政部门投诉。</w:t>
      </w:r>
    </w:p>
    <w:p w14:paraId="3A7752C3">
      <w:pPr>
        <w:widowControl w:val="0"/>
        <w:spacing w:line="560" w:lineRule="exact"/>
        <w:rPr>
          <w:rFonts w:hint="eastAsia" w:ascii="宋体" w:hAnsi="宋体" w:cs="宋体"/>
          <w:b/>
          <w:sz w:val="24"/>
          <w:szCs w:val="24"/>
        </w:rPr>
      </w:pPr>
      <w:r>
        <w:rPr>
          <w:rFonts w:hint="eastAsia" w:ascii="宋体" w:hAnsi="宋体" w:cs="宋体"/>
          <w:b/>
          <w:sz w:val="24"/>
          <w:szCs w:val="24"/>
        </w:rPr>
        <w:t>28．中标通知</w:t>
      </w:r>
    </w:p>
    <w:p w14:paraId="6299B873">
      <w:pPr>
        <w:widowControl w:val="0"/>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28.1 评标结束后确中标候选人，中标公告在法定媒体公告期限为1个工作日。</w:t>
      </w:r>
    </w:p>
    <w:p w14:paraId="5973721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28.2定标后,采购代理机构应将定标结果通知所有的投标人，并向中标人发出中标通知书。</w:t>
      </w:r>
    </w:p>
    <w:p w14:paraId="0C299690">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28.3中标人收到中标通知书后，须立即以书面形式回复采购代理机构，确认中标通知书已收到，并同意接受（若到采购代理机构领取则无需回复）。</w:t>
      </w:r>
    </w:p>
    <w:p w14:paraId="1A03940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28.4中标通知书将是合同的一个组成部分。</w:t>
      </w:r>
    </w:p>
    <w:p w14:paraId="731F818A">
      <w:pPr>
        <w:widowControl w:val="0"/>
        <w:spacing w:line="560" w:lineRule="exact"/>
        <w:rPr>
          <w:rFonts w:hint="eastAsia" w:ascii="宋体" w:hAnsi="宋体" w:cs="宋体"/>
          <w:b/>
          <w:sz w:val="24"/>
          <w:szCs w:val="24"/>
        </w:rPr>
      </w:pPr>
      <w:r>
        <w:rPr>
          <w:rFonts w:hint="eastAsia" w:ascii="宋体" w:hAnsi="宋体" w:cs="宋体"/>
          <w:b/>
          <w:sz w:val="24"/>
          <w:szCs w:val="24"/>
        </w:rPr>
        <w:t>29．签订合同</w:t>
      </w:r>
    </w:p>
    <w:p w14:paraId="0A2ECA3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29.l 中标人应按中标通知书规定的时间、地点与采购人签订中标合同，给采购人和采购代理机构造成损失的，投标人还应承担赔偿责任。</w:t>
      </w:r>
    </w:p>
    <w:p w14:paraId="2749B63A">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29.2 招标文件、中标人的投标文件及评标过程中有关澄清文件均应作为合同附件。</w:t>
      </w:r>
    </w:p>
    <w:p w14:paraId="4C0F1E15">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29.3 签订合同后，中标人应当按照合同约定履行义务，完成项目。不得将货物、工程及其他相关服务进行转包。未经采购人同意，中标人不得用分包的形式履行合同。</w:t>
      </w:r>
      <w:bookmarkStart w:id="59" w:name="_Toc468811121"/>
      <w:bookmarkStart w:id="60" w:name="_Toc483655694"/>
      <w:r>
        <w:rPr>
          <w:rFonts w:hint="eastAsia" w:ascii="宋体" w:hAnsi="宋体" w:cs="宋体"/>
          <w:sz w:val="24"/>
          <w:szCs w:val="24"/>
        </w:rPr>
        <w:t>否则采购人或采购代理机构有权终止合同，中标人的履约保证金（如有）将不予退还。转包或分包造成采购人损失的，中标人还应承担相应赔偿责任。</w:t>
      </w:r>
    </w:p>
    <w:p w14:paraId="270B911C">
      <w:pPr>
        <w:widowControl w:val="0"/>
        <w:spacing w:line="560" w:lineRule="exact"/>
        <w:rPr>
          <w:rFonts w:hint="eastAsia" w:ascii="宋体" w:hAnsi="宋体" w:cs="宋体"/>
          <w:b/>
          <w:sz w:val="24"/>
          <w:szCs w:val="24"/>
        </w:rPr>
      </w:pPr>
      <w:r>
        <w:rPr>
          <w:rFonts w:hint="eastAsia" w:ascii="宋体" w:hAnsi="宋体" w:cs="宋体"/>
          <w:b/>
          <w:sz w:val="24"/>
          <w:szCs w:val="24"/>
        </w:rPr>
        <w:t>30. 腐败和欺诈行为</w:t>
      </w:r>
    </w:p>
    <w:p w14:paraId="0DF6048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本采购形成的合同项下的买方和卖方（中标人）在合同生效和实施过程中应遵守最高的道德标准。为此目的，定义下述条件：</w:t>
      </w:r>
    </w:p>
    <w:p w14:paraId="540D23D1">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（1）“腐败行为”是指通过提供、给予、接受、索取任何有价值的东西来影响</w:t>
      </w:r>
    </w:p>
    <w:p w14:paraId="184969B3">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采购人员在采购过程中或合同实施过程中的行为；</w:t>
      </w:r>
    </w:p>
    <w:p w14:paraId="253D1EB6">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欺诈行为”是指为了影响采购过程或合同实施过程而谎报事实，损害买方和公共利益，包括投标人之间串通投标（递交投标文件之前和之后），人为地使投标丧失竞争性，剥夺了买方从竞争中所获得的利益。如果被推荐的中标人被认为在本采购合同的竞争中有腐败和欺诈行为，则其投标将被拒绝。</w:t>
      </w:r>
    </w:p>
    <w:bookmarkEnd w:id="59"/>
    <w:bookmarkEnd w:id="60"/>
    <w:p w14:paraId="0C30471F">
      <w:pPr>
        <w:widowControl w:val="0"/>
        <w:spacing w:line="560" w:lineRule="exact"/>
        <w:ind w:firstLine="482" w:firstLineChars="200"/>
        <w:rPr>
          <w:rFonts w:hint="eastAsia" w:ascii="宋体" w:hAnsi="宋体" w:cs="宋体"/>
          <w:b/>
          <w:sz w:val="24"/>
          <w:szCs w:val="24"/>
        </w:rPr>
      </w:pPr>
      <w:r>
        <w:rPr>
          <w:rFonts w:hint="eastAsia" w:ascii="宋体" w:hAnsi="宋体" w:cs="宋体"/>
          <w:b/>
          <w:sz w:val="24"/>
          <w:szCs w:val="24"/>
        </w:rPr>
        <w:t>31．政策功能</w:t>
      </w:r>
    </w:p>
    <w:p w14:paraId="467EAF58">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31.1政策优惠条件及要求:根据财政部、工业和信息化部关于《政府采购促进中小企业发展管理办法》（财库【2020】46号）、财政部文件《关于促进残疾人就业政府采购政策的通知》（财库【2017】141号）及财政部司法部《财政部司法部关于政府采购支持监狱企业发展有关问题的通知书》（财库【2014】68号）等有关规定的要求，以及政府关于强制采购节能产品、信息安全产品和优先采购环境标志产品的实施意见，政府采购项目的政策优惠条件及要求如下。</w:t>
      </w:r>
    </w:p>
    <w:p w14:paraId="193454CE">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31.2所投分包(如不分包则指本项目)的所有报价产品进入当期节能清单的，其评标价=报价*（1-2%）；报价人所投产品满足此规定的，必须提供声明函并提供相关证明文件。</w:t>
      </w:r>
    </w:p>
    <w:p w14:paraId="5C889249">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31.3所投分包(如不分包则指本项目)的所有报价产品进入当期环保清单的，其评标价=报价*（1-1%）；报价人所投产品满足此规定的，必须提供声明函并提供相关证明文件。</w:t>
      </w:r>
    </w:p>
    <w:p w14:paraId="57690BC0">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31.4所投分包(如不分包则指本项目)的所有投标产品均为绿色产品的，均为绿色产品的，其评审价=报价*（1-4%）；超过一半产品为绿色产品的，其评审价=报价*（1-3%）；个别产品为绿色产品的，其评审价=报价*（1-2%）。投标人所投产品满足此规定的，必须提供声明函并提供相关证明文件。</w:t>
      </w:r>
    </w:p>
    <w:p w14:paraId="13A16BE9">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31.5纳入财政部公布的《政府采购自主创新产品目录》的货物和服务：</w:t>
      </w:r>
    </w:p>
    <w:p w14:paraId="127CEE1C">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31.5.1用最低评标价法评标的项目，对自主创新产品在评审时对其投标价格给予5％的价格扣除。</w:t>
      </w:r>
    </w:p>
    <w:p w14:paraId="7460C6A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31.5.2用综合评分法评标的项目，对自主创新产品在价格评标项中，对自主创新产品给予价格评标总分值的5％的加分。</w:t>
      </w:r>
    </w:p>
    <w:p w14:paraId="1335D9C2">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31.6报价人为小型和微型企业（含联合体）的情况：</w:t>
      </w:r>
    </w:p>
    <w:p w14:paraId="488EB4EC">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31.6.1中小企业的认定标准：</w:t>
      </w:r>
    </w:p>
    <w:p w14:paraId="510173FB">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1）提供本企业制造的货物、承担的工程或者服务，或者提供其他中小企业制造的货物，不包括提供或使用大型企业注册商标的货物；</w:t>
      </w:r>
    </w:p>
    <w:p w14:paraId="57F1A30B">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2）本规定所称中小企业划分标准，是指国务院有关部门根据企业从业人员、营业收入、资产总额等指标制定的中小企业划型标准（工信部联企业〔2011〕300号）；</w:t>
      </w:r>
    </w:p>
    <w:p w14:paraId="768C503D">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3）小型、微型企业提供有中型企业制造的货物的，视同为中型企业；小型、微型、中型企业提供有大型企业制造的货物的，视同为大型企业。</w:t>
      </w:r>
    </w:p>
    <w:p w14:paraId="68A91763">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4）监狱企业视同为小型、微型企业。</w:t>
      </w:r>
    </w:p>
    <w:p w14:paraId="7DA393ED">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5)残疾人福利性单位视同为小型、微型企业，必须如实填写“残疾人福利性单位声明函”（内容、格式见财库〔2017〕141号）。</w:t>
      </w:r>
    </w:p>
    <w:p w14:paraId="0A4F1FE2">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31.6.2具体评审价说明：（本项目为专门面向中小企业采购项目，故不重复加分）</w:t>
      </w:r>
    </w:p>
    <w:p w14:paraId="0A2BA60A">
      <w:pPr>
        <w:widowControl w:val="0"/>
        <w:spacing w:line="560" w:lineRule="exact"/>
        <w:ind w:firstLine="482" w:firstLineChars="200"/>
        <w:rPr>
          <w:rFonts w:hint="eastAsia" w:ascii="宋体" w:hAnsi="宋体" w:cs="宋体"/>
          <w:sz w:val="24"/>
          <w:szCs w:val="24"/>
        </w:rPr>
      </w:pPr>
      <w:r>
        <w:rPr>
          <w:rFonts w:hint="eastAsia" w:ascii="宋体" w:hAnsi="宋体" w:cs="宋体"/>
          <w:b/>
          <w:bCs/>
          <w:sz w:val="24"/>
          <w:szCs w:val="24"/>
        </w:rPr>
        <w:t>1）货物和服务项目评审报价给予10%（工程项目为3%）的扣除</w:t>
      </w:r>
      <w:r>
        <w:rPr>
          <w:rFonts w:hint="eastAsia" w:ascii="宋体" w:hAnsi="宋体" w:cs="宋体"/>
          <w:sz w:val="24"/>
          <w:szCs w:val="24"/>
        </w:rPr>
        <w:t>，用扣除后的价格参加评审。适用招标投标法的政府采购工程建设项目，用综合评估法但未用低价优先法计算价格分的，评标时应当在用原报价进行评分的基础上增加其价格得分的3%作为其价格分。</w:t>
      </w:r>
    </w:p>
    <w:p w14:paraId="7ED53DE5">
      <w:pPr>
        <w:widowControl w:val="0"/>
        <w:spacing w:line="560" w:lineRule="exact"/>
        <w:ind w:left="-210" w:leftChars="-100" w:firstLine="240" w:firstLineChars="100"/>
        <w:rPr>
          <w:rFonts w:hint="eastAsia" w:ascii="宋体" w:hAnsi="宋体" w:cs="宋体"/>
          <w:sz w:val="24"/>
          <w:szCs w:val="24"/>
        </w:rPr>
      </w:pPr>
      <w:r>
        <w:rPr>
          <w:rFonts w:hint="eastAsia" w:ascii="宋体" w:hAnsi="宋体" w:cs="宋体"/>
          <w:sz w:val="24"/>
          <w:szCs w:val="24"/>
        </w:rPr>
        <w:t>2) 接受大中型企业与小微企业组成联合体或者允许大中型企业向一家或者多家小微企业分包的采购项目，对于联合协议或者分包意向协议约定小微企业的合同份额占到合同总金额30%以上的，采购人、招标代理机构应当对联合体或者大中型企业的报价给予4%（工程项目为1%）的扣除，用扣除后的价格参加评审。适用招标投标法的政府采购工程建设项目，用综合评估法但未用低价优先法计算价格分的，评标时应当在用原报价进行评分的基础上增加其价格得分的1%作为其价格分。组成联合体或者接受分包的小微企业与联合体内其他企业、分包企业之间存在直接控股、管理关系的，不享受价格扣除优惠政策。</w:t>
      </w:r>
    </w:p>
    <w:p w14:paraId="633A24C4">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31.6.3报价人为工信部联企业〔2011〕300号文规定的小型和微型企业（含联合体）的，必须如实填写“中小企业声明函”（内容、格式见《政府采购促进中小企业发展管理办法》）。</w:t>
      </w:r>
      <w:r>
        <w:rPr>
          <w:rFonts w:hint="eastAsia" w:ascii="宋体" w:hAnsi="宋体" w:cs="宋体"/>
          <w:b/>
          <w:bCs/>
          <w:sz w:val="24"/>
          <w:szCs w:val="24"/>
        </w:rPr>
        <w:t>如有虚假骗取政策性加分，将依法承担相应责任。</w:t>
      </w:r>
    </w:p>
    <w:p w14:paraId="137D6FF0">
      <w:pPr>
        <w:keepNext/>
        <w:keepLines/>
        <w:widowControl w:val="0"/>
        <w:spacing w:line="560" w:lineRule="exact"/>
        <w:outlineLvl w:val="1"/>
        <w:rPr>
          <w:rFonts w:hint="eastAsia" w:ascii="宋体" w:hAnsi="宋体" w:cs="宋体"/>
          <w:b/>
          <w:bCs/>
          <w:sz w:val="24"/>
          <w:szCs w:val="24"/>
        </w:rPr>
      </w:pPr>
      <w:bookmarkStart w:id="61" w:name="_Toc19618"/>
      <w:r>
        <w:rPr>
          <w:rFonts w:hint="eastAsia" w:ascii="宋体" w:hAnsi="宋体" w:cs="宋体"/>
          <w:b/>
          <w:bCs/>
          <w:sz w:val="24"/>
          <w:szCs w:val="24"/>
        </w:rPr>
        <w:t>七、其他</w:t>
      </w:r>
      <w:bookmarkEnd w:id="61"/>
    </w:p>
    <w:p w14:paraId="240B3BA6">
      <w:pPr>
        <w:widowControl w:val="0"/>
        <w:spacing w:line="560" w:lineRule="exact"/>
        <w:rPr>
          <w:rFonts w:hint="eastAsia" w:ascii="宋体" w:hAnsi="宋体" w:cs="宋体"/>
          <w:b/>
          <w:sz w:val="24"/>
          <w:szCs w:val="24"/>
        </w:rPr>
      </w:pPr>
      <w:r>
        <w:rPr>
          <w:rFonts w:hint="eastAsia" w:ascii="宋体" w:hAnsi="宋体" w:cs="宋体"/>
          <w:b/>
          <w:sz w:val="24"/>
          <w:szCs w:val="24"/>
        </w:rPr>
        <w:t>32.其他规定</w:t>
      </w:r>
    </w:p>
    <w:p w14:paraId="47619D7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32．1本项目不召开答疑会。</w:t>
      </w:r>
    </w:p>
    <w:p w14:paraId="2A15E653">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32．2信用信息查询的查询渠道：“信用中国”网站（www.creditchina.gov.cn）、中国政府采购网（</w:t>
      </w:r>
      <w:r>
        <w:fldChar w:fldCharType="begin"/>
      </w:r>
      <w:r>
        <w:instrText xml:space="preserve"> HYPERLINK "http://www.ccgp.gov.cn" </w:instrText>
      </w:r>
      <w:r>
        <w:fldChar w:fldCharType="separate"/>
      </w:r>
      <w:r>
        <w:rPr>
          <w:rFonts w:hint="eastAsia" w:ascii="宋体" w:hAnsi="宋体" w:cs="宋体"/>
          <w:sz w:val="24"/>
          <w:szCs w:val="24"/>
          <w:u w:val="single"/>
        </w:rPr>
        <w:t>www.ccgp.gov.cn</w:t>
      </w:r>
      <w:r>
        <w:rPr>
          <w:rFonts w:hint="eastAsia" w:ascii="宋体" w:hAnsi="宋体" w:cs="宋体"/>
          <w:sz w:val="24"/>
          <w:szCs w:val="24"/>
          <w:u w:val="single"/>
        </w:rPr>
        <w:fldChar w:fldCharType="end"/>
      </w:r>
      <w:r>
        <w:rPr>
          <w:rFonts w:hint="eastAsia" w:ascii="宋体" w:hAnsi="宋体" w:cs="宋体"/>
          <w:sz w:val="24"/>
          <w:szCs w:val="24"/>
        </w:rPr>
        <w:t>）。</w:t>
      </w:r>
    </w:p>
    <w:p w14:paraId="564C3BB1">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32．3信用信息查询的截止时点：开标时间。</w:t>
      </w:r>
    </w:p>
    <w:p w14:paraId="1DCC9AA0">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32．4信用信息查询记录证据留存的具体方式：代理机构查询并现场打印，作为</w:t>
      </w:r>
      <w:r>
        <w:rPr>
          <w:rFonts w:hint="eastAsia" w:ascii="宋体" w:hAnsi="宋体" w:cs="宋体"/>
          <w:bCs/>
          <w:sz w:val="24"/>
          <w:szCs w:val="24"/>
        </w:rPr>
        <w:t>投标文件的一部分一并留存。</w:t>
      </w:r>
    </w:p>
    <w:p w14:paraId="5BADB890">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32．5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14:paraId="2E5E81CF">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 xml:space="preserve"> 32．6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39EED055">
      <w:pPr>
        <w:widowControl w:val="0"/>
        <w:spacing w:line="560" w:lineRule="exact"/>
        <w:ind w:firstLine="480" w:firstLineChars="200"/>
        <w:rPr>
          <w:rFonts w:hint="eastAsia" w:ascii="宋体" w:hAnsi="宋体" w:cs="宋体"/>
          <w:sz w:val="24"/>
          <w:szCs w:val="24"/>
        </w:rPr>
      </w:pPr>
      <w:r>
        <w:rPr>
          <w:rFonts w:hint="eastAsia" w:ascii="宋体" w:hAnsi="宋体" w:cs="宋体"/>
          <w:sz w:val="24"/>
          <w:szCs w:val="24"/>
        </w:rPr>
        <w:t>32．7根据《政府采购法实施条例》及有关释义，银行、保险、石油石化、电力、电信运营商等有行业特殊情况的，其分支机构可参与投标，即其分支机构可视为“具有独立承担民事责任能力的其他组织”。</w:t>
      </w:r>
    </w:p>
    <w:p w14:paraId="368A7547">
      <w:pPr>
        <w:widowControl w:val="0"/>
        <w:spacing w:line="560" w:lineRule="exact"/>
        <w:rPr>
          <w:sz w:val="24"/>
          <w:szCs w:val="24"/>
        </w:rPr>
      </w:pPr>
      <w:r>
        <w:rPr>
          <w:rFonts w:hint="eastAsia" w:ascii="宋体" w:hAnsi="宋体" w:cs="宋体"/>
          <w:sz w:val="24"/>
          <w:szCs w:val="24"/>
        </w:rPr>
        <w:t>32．8若投标人为其他组织或个体工商户等非法人投标人，其他组织的负责人、个体工商户的经营者等同于采购文件中规定的法定代表人，其他组织的负责人、个体工商户经营者的签名同于采购文件中规定的法定代表人签名。</w:t>
      </w:r>
    </w:p>
    <w:p w14:paraId="506218CB">
      <w:pPr>
        <w:spacing w:line="560" w:lineRule="exact"/>
        <w:ind w:firstLine="482" w:firstLineChars="200"/>
        <w:rPr>
          <w:rFonts w:hint="eastAsia" w:ascii="宋体" w:hAnsi="宋体" w:cs="宋体"/>
          <w:b/>
          <w:bCs/>
          <w:sz w:val="24"/>
          <w:szCs w:val="24"/>
        </w:rPr>
      </w:pPr>
    </w:p>
    <w:bookmarkEnd w:id="11"/>
    <w:p w14:paraId="7AD0B24C">
      <w:pPr>
        <w:spacing w:line="460" w:lineRule="exact"/>
        <w:ind w:firstLine="482" w:firstLineChars="200"/>
        <w:jc w:val="both"/>
        <w:rPr>
          <w:rFonts w:ascii="宋体"/>
          <w:b/>
          <w:sz w:val="24"/>
          <w:szCs w:val="24"/>
        </w:rPr>
      </w:pPr>
    </w:p>
    <w:bookmarkEnd w:id="12"/>
    <w:bookmarkEnd w:id="13"/>
    <w:bookmarkEnd w:id="14"/>
    <w:p w14:paraId="64218209">
      <w:pPr>
        <w:tabs>
          <w:tab w:val="left" w:pos="4680"/>
        </w:tabs>
        <w:snapToGrid w:val="0"/>
        <w:spacing w:line="360" w:lineRule="auto"/>
        <w:jc w:val="center"/>
        <w:outlineLvl w:val="0"/>
        <w:rPr>
          <w:rStyle w:val="45"/>
        </w:rPr>
      </w:pPr>
      <w:bookmarkStart w:id="62" w:name="_Toc238907047"/>
      <w:bookmarkStart w:id="63" w:name="_Toc483396325"/>
      <w:bookmarkStart w:id="64" w:name="_Toc483396413"/>
      <w:r>
        <w:rPr>
          <w:rFonts w:hint="eastAsia" w:ascii="宋体" w:hAnsi="宋体" w:cs="宋体"/>
          <w:b/>
          <w:bCs/>
          <w:sz w:val="36"/>
          <w:szCs w:val="36"/>
        </w:rPr>
        <w:br w:type="page"/>
      </w:r>
      <w:bookmarkStart w:id="65" w:name="_Toc25844"/>
      <w:r>
        <w:rPr>
          <w:rStyle w:val="45"/>
          <w:rFonts w:hint="eastAsia"/>
        </w:rPr>
        <w:t>第三章  用户需求书</w:t>
      </w:r>
      <w:bookmarkEnd w:id="65"/>
    </w:p>
    <w:p w14:paraId="01771682">
      <w:pPr>
        <w:widowControl w:val="0"/>
        <w:autoSpaceDE w:val="0"/>
        <w:autoSpaceDN w:val="0"/>
        <w:spacing w:line="360" w:lineRule="auto"/>
        <w:jc w:val="both"/>
        <w:outlineLvl w:val="1"/>
        <w:rPr>
          <w:rFonts w:hint="eastAsia" w:ascii="宋体" w:hAnsi="宋体" w:cs="宋体"/>
          <w:sz w:val="24"/>
          <w:szCs w:val="24"/>
        </w:rPr>
      </w:pPr>
      <w:bookmarkStart w:id="66" w:name="_Toc20519"/>
      <w:r>
        <w:rPr>
          <w:rFonts w:ascii="宋体" w:hAnsi="宋体" w:cs="宋体"/>
          <w:b/>
          <w:bCs/>
          <w:sz w:val="28"/>
          <w:szCs w:val="28"/>
        </w:rPr>
        <w:t>一、商务要求</w:t>
      </w:r>
      <w:bookmarkEnd w:id="66"/>
      <w:r>
        <w:rPr>
          <w:rFonts w:hint="eastAsia" w:ascii="宋体" w:hAnsi="宋体" w:cs="宋体"/>
          <w:b/>
          <w:bCs/>
          <w:sz w:val="28"/>
          <w:szCs w:val="28"/>
        </w:rPr>
        <w:t>(</w:t>
      </w:r>
      <w:r>
        <w:rPr>
          <w:rFonts w:ascii="宋体" w:hAnsi="宋体" w:cs="宋体"/>
          <w:b/>
          <w:bCs/>
          <w:sz w:val="28"/>
          <w:szCs w:val="28"/>
        </w:rPr>
        <w:t>A</w:t>
      </w:r>
      <w:r>
        <w:rPr>
          <w:rFonts w:hint="eastAsia" w:ascii="宋体" w:hAnsi="宋体" w:cs="宋体"/>
          <w:b/>
          <w:bCs/>
          <w:sz w:val="28"/>
          <w:szCs w:val="28"/>
        </w:rPr>
        <w:t>、</w:t>
      </w:r>
      <w:r>
        <w:rPr>
          <w:rFonts w:ascii="宋体" w:hAnsi="宋体" w:cs="宋体"/>
          <w:b/>
          <w:bCs/>
          <w:sz w:val="28"/>
          <w:szCs w:val="28"/>
        </w:rPr>
        <w:t>B</w:t>
      </w:r>
      <w:r>
        <w:rPr>
          <w:rFonts w:hint="eastAsia" w:ascii="宋体" w:hAnsi="宋体" w:cs="宋体"/>
          <w:b/>
          <w:bCs/>
          <w:sz w:val="28"/>
          <w:szCs w:val="28"/>
        </w:rPr>
        <w:t>、</w:t>
      </w:r>
      <w:r>
        <w:rPr>
          <w:rFonts w:ascii="宋体" w:hAnsi="宋体" w:cs="宋体"/>
          <w:b/>
          <w:bCs/>
          <w:sz w:val="28"/>
          <w:szCs w:val="28"/>
        </w:rPr>
        <w:t>C</w:t>
      </w:r>
      <w:r>
        <w:rPr>
          <w:rFonts w:hint="eastAsia" w:ascii="宋体" w:hAnsi="宋体" w:cs="宋体"/>
          <w:b/>
          <w:bCs/>
          <w:sz w:val="28"/>
          <w:szCs w:val="28"/>
        </w:rPr>
        <w:t>、</w:t>
      </w:r>
      <w:r>
        <w:rPr>
          <w:rFonts w:ascii="宋体" w:hAnsi="宋体" w:cs="宋体"/>
          <w:b/>
          <w:bCs/>
          <w:sz w:val="28"/>
          <w:szCs w:val="28"/>
        </w:rPr>
        <w:t>D</w:t>
      </w:r>
      <w:r>
        <w:rPr>
          <w:rFonts w:hint="eastAsia" w:ascii="宋体" w:hAnsi="宋体" w:cs="宋体"/>
          <w:b/>
          <w:bCs/>
          <w:sz w:val="28"/>
          <w:szCs w:val="28"/>
        </w:rPr>
        <w:t>包通用)</w:t>
      </w:r>
    </w:p>
    <w:p w14:paraId="3C77FCF6">
      <w:pPr>
        <w:outlineLvl w:val="1"/>
        <w:rPr>
          <w:rFonts w:hint="eastAsia" w:ascii="宋体" w:hAnsi="宋体" w:cs="宋体"/>
          <w:sz w:val="24"/>
          <w:szCs w:val="24"/>
        </w:rPr>
      </w:pPr>
      <w:bookmarkStart w:id="67" w:name="_Toc6659"/>
      <w:r>
        <w:rPr>
          <w:rFonts w:hint="eastAsia" w:ascii="宋体" w:hAnsi="宋体" w:cs="宋体"/>
          <w:sz w:val="24"/>
          <w:szCs w:val="24"/>
        </w:rPr>
        <w:t>（一）产品质量</w:t>
      </w:r>
      <w:bookmarkEnd w:id="67"/>
    </w:p>
    <w:p w14:paraId="7C511990">
      <w:pPr>
        <w:spacing w:line="560" w:lineRule="exact"/>
        <w:ind w:firstLine="480" w:firstLineChars="200"/>
        <w:rPr>
          <w:rFonts w:hint="eastAsia" w:ascii="宋体" w:hAnsi="宋体" w:cs="宋体"/>
          <w:sz w:val="24"/>
          <w:szCs w:val="24"/>
        </w:rPr>
      </w:pPr>
      <w:r>
        <w:rPr>
          <w:rFonts w:hint="eastAsia" w:ascii="宋体" w:hAnsi="宋体" w:cs="宋体"/>
          <w:sz w:val="24"/>
          <w:szCs w:val="24"/>
        </w:rPr>
        <w:t>1.所投产品符合国家有关质量技术标准及相关产品质量标准的要求。</w:t>
      </w:r>
    </w:p>
    <w:p w14:paraId="214EDD87">
      <w:pPr>
        <w:spacing w:line="560" w:lineRule="exact"/>
        <w:ind w:firstLine="480" w:firstLineChars="200"/>
        <w:rPr>
          <w:rFonts w:hint="eastAsia" w:ascii="宋体" w:hAnsi="宋体" w:cs="宋体"/>
          <w:sz w:val="24"/>
          <w:szCs w:val="24"/>
        </w:rPr>
      </w:pPr>
      <w:r>
        <w:rPr>
          <w:rFonts w:hint="eastAsia" w:ascii="宋体" w:hAnsi="宋体" w:cs="宋体"/>
          <w:sz w:val="24"/>
          <w:szCs w:val="24"/>
        </w:rPr>
        <w:t>2.产品包装、标签、国产产品合格证（进口产品报关手续）、说明书等必须符合国家有关规定。</w:t>
      </w:r>
    </w:p>
    <w:p w14:paraId="218D8600">
      <w:pPr>
        <w:spacing w:line="560" w:lineRule="exact"/>
        <w:ind w:firstLine="480" w:firstLineChars="200"/>
        <w:rPr>
          <w:rFonts w:hint="eastAsia" w:ascii="宋体" w:hAnsi="宋体" w:cs="宋体"/>
          <w:sz w:val="24"/>
          <w:szCs w:val="24"/>
        </w:rPr>
      </w:pPr>
      <w:r>
        <w:rPr>
          <w:rFonts w:hint="eastAsia" w:ascii="宋体" w:hAnsi="宋体" w:cs="宋体"/>
          <w:sz w:val="24"/>
          <w:szCs w:val="24"/>
        </w:rPr>
        <w:t>3.产品来源渠道必须合法合规，且是原厂全新未使用过的。</w:t>
      </w:r>
    </w:p>
    <w:p w14:paraId="3C80114A">
      <w:pPr>
        <w:spacing w:line="560" w:lineRule="exact"/>
        <w:ind w:firstLine="480" w:firstLineChars="200"/>
        <w:rPr>
          <w:rFonts w:hint="eastAsia" w:ascii="宋体" w:hAnsi="宋体" w:cs="宋体"/>
          <w:sz w:val="24"/>
          <w:szCs w:val="24"/>
        </w:rPr>
      </w:pPr>
      <w:r>
        <w:rPr>
          <w:rFonts w:hint="eastAsia" w:ascii="宋体" w:hAnsi="宋体" w:cs="宋体"/>
          <w:sz w:val="24"/>
          <w:szCs w:val="24"/>
        </w:rPr>
        <w:t>4.保证所投产品在正确安装、正常运转和保养的情况下具有稳定的性能；保修期内保证设备开机率≥95%。</w:t>
      </w:r>
    </w:p>
    <w:p w14:paraId="01FD287F">
      <w:pPr>
        <w:spacing w:line="560" w:lineRule="exact"/>
        <w:ind w:firstLine="480" w:firstLineChars="200"/>
        <w:rPr>
          <w:rFonts w:hint="eastAsia" w:ascii="宋体" w:hAnsi="宋体" w:cs="宋体"/>
          <w:sz w:val="24"/>
          <w:szCs w:val="24"/>
        </w:rPr>
      </w:pPr>
      <w:r>
        <w:rPr>
          <w:rFonts w:hint="eastAsia" w:ascii="宋体" w:hAnsi="宋体" w:cs="宋体"/>
          <w:sz w:val="24"/>
          <w:szCs w:val="24"/>
        </w:rPr>
        <w:t>5.所提供的产品不侵犯他人知识产权。</w:t>
      </w:r>
    </w:p>
    <w:p w14:paraId="52B79021">
      <w:pPr>
        <w:outlineLvl w:val="1"/>
        <w:rPr>
          <w:rFonts w:hint="eastAsia" w:ascii="宋体" w:hAnsi="宋体" w:cs="宋体"/>
          <w:sz w:val="24"/>
          <w:szCs w:val="24"/>
        </w:rPr>
      </w:pPr>
      <w:bookmarkStart w:id="68" w:name="_Toc25155"/>
      <w:r>
        <w:rPr>
          <w:rFonts w:hint="eastAsia" w:ascii="宋体" w:hAnsi="宋体" w:cs="宋体"/>
          <w:sz w:val="24"/>
          <w:szCs w:val="24"/>
        </w:rPr>
        <w:t>（二）安装验收</w:t>
      </w:r>
      <w:bookmarkEnd w:id="68"/>
    </w:p>
    <w:p w14:paraId="2D96D715">
      <w:pPr>
        <w:spacing w:line="560" w:lineRule="exact"/>
        <w:ind w:firstLine="480" w:firstLineChars="200"/>
        <w:rPr>
          <w:rFonts w:hint="eastAsia" w:ascii="宋体" w:hAnsi="宋体" w:cs="宋体"/>
          <w:sz w:val="24"/>
          <w:szCs w:val="24"/>
        </w:rPr>
      </w:pPr>
      <w:r>
        <w:rPr>
          <w:rFonts w:hint="eastAsia" w:ascii="宋体" w:hAnsi="宋体" w:cs="宋体"/>
          <w:sz w:val="24"/>
          <w:szCs w:val="24"/>
        </w:rPr>
        <w:t>1.成交供应商负责发货到采购人指定地点后，双方协助开箱清点货物，如果发现数量不足或有质量、技术问题，成交供应商应在15天内，按照采购人的要求，采取补足、更换或退货等处理措施，并承担由此产生的一切损失费用。</w:t>
      </w:r>
    </w:p>
    <w:p w14:paraId="5B3F13A8">
      <w:pPr>
        <w:spacing w:line="560" w:lineRule="exact"/>
        <w:ind w:firstLine="480" w:firstLineChars="200"/>
        <w:rPr>
          <w:rFonts w:hint="eastAsia" w:ascii="宋体" w:hAnsi="宋体" w:cs="宋体"/>
          <w:sz w:val="24"/>
          <w:szCs w:val="24"/>
        </w:rPr>
      </w:pPr>
      <w:r>
        <w:rPr>
          <w:rFonts w:hint="eastAsia" w:ascii="宋体" w:hAnsi="宋体" w:cs="宋体"/>
          <w:sz w:val="24"/>
          <w:szCs w:val="24"/>
        </w:rPr>
        <w:t>2.设备安装后，成交供应商、生产厂家（或厂家授权的单位）、采购人使用科室、医疗设备处监管工程师及管理人员约定时间对设备进行正式验收，根据合同、产品注册证或产品相关备案凭证及相关规定进行验收，并由成交供应商组织人员培训。</w:t>
      </w:r>
    </w:p>
    <w:p w14:paraId="2913D1E3">
      <w:pPr>
        <w:spacing w:line="560" w:lineRule="exact"/>
        <w:ind w:firstLine="480" w:firstLineChars="200"/>
        <w:rPr>
          <w:rFonts w:hint="eastAsia" w:ascii="宋体" w:hAnsi="宋体" w:cs="宋体"/>
          <w:sz w:val="24"/>
          <w:szCs w:val="24"/>
        </w:rPr>
      </w:pPr>
      <w:r>
        <w:rPr>
          <w:rFonts w:hint="eastAsia" w:ascii="宋体" w:hAnsi="宋体" w:cs="宋体"/>
          <w:sz w:val="24"/>
          <w:szCs w:val="24"/>
        </w:rPr>
        <w:t>3.设备验收合格后，成交供应商应向采购人提供全部与设备或者产品相关的配套材料，包括相应的操作手册、维护手册、产品说明书、质量保证文件、服务指南、产品合格证，设备验收单及培训相关记录表等。</w:t>
      </w:r>
    </w:p>
    <w:p w14:paraId="26C33A01">
      <w:pPr>
        <w:outlineLvl w:val="1"/>
        <w:rPr>
          <w:rFonts w:hint="eastAsia" w:ascii="宋体" w:hAnsi="宋体" w:cs="宋体"/>
          <w:sz w:val="24"/>
          <w:szCs w:val="24"/>
        </w:rPr>
      </w:pPr>
      <w:bookmarkStart w:id="69" w:name="_Toc32634"/>
      <w:r>
        <w:rPr>
          <w:rFonts w:hint="eastAsia" w:ascii="宋体" w:hAnsi="宋体" w:cs="宋体"/>
          <w:sz w:val="24"/>
          <w:szCs w:val="24"/>
        </w:rPr>
        <w:t>（三）培训计划</w:t>
      </w:r>
      <w:bookmarkEnd w:id="69"/>
    </w:p>
    <w:p w14:paraId="6164D157">
      <w:pPr>
        <w:spacing w:line="560" w:lineRule="exact"/>
        <w:ind w:firstLine="480" w:firstLineChars="200"/>
        <w:rPr>
          <w:rFonts w:hint="eastAsia" w:ascii="宋体" w:hAnsi="宋体" w:cs="宋体"/>
          <w:sz w:val="24"/>
          <w:szCs w:val="24"/>
        </w:rPr>
      </w:pPr>
      <w:r>
        <w:rPr>
          <w:rFonts w:hint="eastAsia" w:ascii="宋体" w:hAnsi="宋体" w:cs="宋体"/>
          <w:sz w:val="24"/>
          <w:szCs w:val="24"/>
        </w:rPr>
        <w:t>1.提供免费培训服务，生产厂家工程师或厂家授权供货商技术服务人员到现场培训用户使用、操作、维护、保养等相关技术服务，并提供培训方案。</w:t>
      </w:r>
    </w:p>
    <w:p w14:paraId="21D750F4">
      <w:pPr>
        <w:spacing w:line="560" w:lineRule="exact"/>
        <w:ind w:firstLine="480" w:firstLineChars="200"/>
        <w:rPr>
          <w:rFonts w:hint="eastAsia" w:ascii="宋体" w:hAnsi="宋体" w:cs="宋体"/>
          <w:sz w:val="24"/>
          <w:szCs w:val="24"/>
        </w:rPr>
      </w:pPr>
      <w:r>
        <w:rPr>
          <w:rFonts w:hint="eastAsia" w:ascii="宋体" w:hAnsi="宋体" w:cs="宋体"/>
          <w:sz w:val="24"/>
          <w:szCs w:val="24"/>
        </w:rPr>
        <w:t>2.对于开展新技术或重要技术，如用户需要外出学习培训的，中标方应免费支持用户至少2人外出学习。</w:t>
      </w:r>
    </w:p>
    <w:p w14:paraId="3D3F5195">
      <w:pPr>
        <w:outlineLvl w:val="1"/>
        <w:rPr>
          <w:rFonts w:hint="eastAsia" w:ascii="宋体" w:hAnsi="宋体" w:cs="宋体"/>
          <w:sz w:val="24"/>
          <w:szCs w:val="24"/>
        </w:rPr>
      </w:pPr>
      <w:bookmarkStart w:id="70" w:name="_Toc20385"/>
      <w:r>
        <w:rPr>
          <w:rFonts w:hint="eastAsia" w:ascii="宋体" w:hAnsi="宋体" w:cs="宋体"/>
          <w:sz w:val="24"/>
          <w:szCs w:val="24"/>
        </w:rPr>
        <w:t>（四）保修服务</w:t>
      </w:r>
      <w:bookmarkEnd w:id="70"/>
    </w:p>
    <w:p w14:paraId="1F418488">
      <w:pPr>
        <w:spacing w:line="560" w:lineRule="exact"/>
        <w:ind w:firstLine="480" w:firstLineChars="200"/>
        <w:rPr>
          <w:rFonts w:hint="eastAsia" w:ascii="宋体" w:hAnsi="宋体" w:cs="宋体"/>
          <w:sz w:val="24"/>
          <w:szCs w:val="24"/>
        </w:rPr>
      </w:pPr>
      <w:r>
        <w:rPr>
          <w:rFonts w:hint="eastAsia" w:ascii="宋体" w:hAnsi="宋体" w:cs="宋体"/>
          <w:sz w:val="24"/>
          <w:szCs w:val="24"/>
        </w:rPr>
        <w:t>1.按国家和海南省相关技术标准，乙方确保产品质量合格，以设备安装、调试、验收合格之日起，承诺质保期</w:t>
      </w:r>
      <w:r>
        <w:rPr>
          <w:rFonts w:hint="eastAsia" w:ascii="宋体"/>
          <w:sz w:val="28"/>
          <w:szCs w:val="28"/>
        </w:rPr>
        <w:t>60</w:t>
      </w:r>
      <w:r>
        <w:rPr>
          <w:rFonts w:hint="eastAsia" w:ascii="宋体" w:hAnsi="宋体" w:cs="宋体"/>
          <w:sz w:val="24"/>
          <w:szCs w:val="24"/>
        </w:rPr>
        <w:t>个月，保修期内若出现质量问题乙方提供免费维修（人为、自然灾害造成设备损坏除外）。</w:t>
      </w:r>
    </w:p>
    <w:p w14:paraId="1A3DB3CF">
      <w:pPr>
        <w:spacing w:line="560" w:lineRule="exact"/>
        <w:ind w:firstLine="480" w:firstLineChars="200"/>
        <w:rPr>
          <w:rFonts w:hint="eastAsia" w:ascii="宋体" w:hAnsi="宋体" w:cs="宋体"/>
          <w:sz w:val="24"/>
          <w:szCs w:val="24"/>
        </w:rPr>
      </w:pPr>
      <w:r>
        <w:rPr>
          <w:rFonts w:hint="eastAsia" w:ascii="宋体" w:hAnsi="宋体" w:cs="宋体"/>
          <w:sz w:val="24"/>
          <w:szCs w:val="24"/>
        </w:rPr>
        <w:t>2.质保期内，按季度定期上门对设备进行维护保养，并向用户反馈设备运行情况。</w:t>
      </w:r>
    </w:p>
    <w:p w14:paraId="365646A6">
      <w:pPr>
        <w:spacing w:line="560" w:lineRule="exact"/>
        <w:ind w:firstLine="480" w:firstLineChars="200"/>
        <w:rPr>
          <w:rFonts w:hint="eastAsia" w:ascii="宋体" w:hAnsi="宋体" w:cs="宋体"/>
          <w:sz w:val="24"/>
          <w:szCs w:val="24"/>
        </w:rPr>
      </w:pPr>
      <w:r>
        <w:rPr>
          <w:rFonts w:hint="eastAsia" w:ascii="宋体" w:hAnsi="宋体" w:cs="宋体"/>
          <w:sz w:val="24"/>
          <w:szCs w:val="24"/>
        </w:rPr>
        <w:t>3.质保期内，设备出现故障，免费维修及免费更换零配件。</w:t>
      </w:r>
    </w:p>
    <w:p w14:paraId="36586B37">
      <w:pPr>
        <w:spacing w:line="560" w:lineRule="exact"/>
        <w:ind w:firstLine="480" w:firstLineChars="200"/>
        <w:rPr>
          <w:rFonts w:hint="eastAsia" w:ascii="宋体" w:hAnsi="宋体" w:cs="宋体"/>
          <w:sz w:val="24"/>
          <w:szCs w:val="24"/>
        </w:rPr>
      </w:pPr>
      <w:r>
        <w:rPr>
          <w:rFonts w:hint="eastAsia" w:ascii="宋体" w:hAnsi="宋体" w:cs="宋体"/>
          <w:sz w:val="24"/>
          <w:szCs w:val="24"/>
        </w:rPr>
        <w:t>4.在质保期内，自甲方通知之时起，乙方应12小时内响应提供售后服务；如远程不能解决问题，应自甲方通知之时起在48小时内到现场处理；自甲方通知之日起，乙方对2日内不能解决的问题，须提供备用的产品供甲方使用，若设备或配件需要送回生产厂家维修的，中标方承担往返产生的费用。</w:t>
      </w:r>
    </w:p>
    <w:p w14:paraId="4BA91887">
      <w:pPr>
        <w:spacing w:line="560" w:lineRule="exact"/>
        <w:ind w:firstLine="480" w:firstLineChars="200"/>
        <w:rPr>
          <w:rFonts w:hint="eastAsia" w:ascii="宋体" w:hAnsi="宋体" w:cs="宋体"/>
          <w:sz w:val="24"/>
          <w:szCs w:val="24"/>
        </w:rPr>
      </w:pPr>
      <w:r>
        <w:rPr>
          <w:rFonts w:hint="eastAsia" w:ascii="宋体" w:hAnsi="宋体" w:cs="宋体"/>
          <w:sz w:val="24"/>
          <w:szCs w:val="24"/>
        </w:rPr>
        <w:t>5.在质保期内，若乙方不按本合同约定提供售后服务的，甲方可以自行聘请第三方提供服务，所产生的费用由乙方承担，包括但不限于差旅费、材料费、维修费、零件费等，甲方有权从任何一笔应支付给乙方的费用中予以扣除并不承担任何违约责任。</w:t>
      </w:r>
    </w:p>
    <w:p w14:paraId="42CF5EF4">
      <w:pPr>
        <w:spacing w:line="560" w:lineRule="exact"/>
        <w:ind w:firstLine="480" w:firstLineChars="200"/>
        <w:rPr>
          <w:rFonts w:hint="eastAsia" w:ascii="宋体" w:hAnsi="宋体" w:cs="宋体"/>
          <w:sz w:val="24"/>
          <w:szCs w:val="24"/>
        </w:rPr>
      </w:pPr>
      <w:r>
        <w:rPr>
          <w:rFonts w:hint="eastAsia" w:ascii="宋体" w:hAnsi="宋体" w:cs="宋体"/>
          <w:sz w:val="24"/>
          <w:szCs w:val="24"/>
        </w:rPr>
        <w:t>6.保修期限结束，提供设备的终身维修服务及技术咨询，只收取更换配件的成本费用，确保原厂配件常年供应。</w:t>
      </w:r>
    </w:p>
    <w:p w14:paraId="18F79462">
      <w:pPr>
        <w:spacing w:line="560" w:lineRule="exact"/>
        <w:ind w:firstLine="480" w:firstLineChars="200"/>
        <w:outlineLvl w:val="1"/>
        <w:rPr>
          <w:rFonts w:hint="eastAsia" w:ascii="宋体" w:hAnsi="宋体" w:cs="宋体"/>
          <w:color w:val="000000" w:themeColor="text1"/>
          <w:sz w:val="24"/>
          <w:szCs w:val="24"/>
          <w14:textFill>
            <w14:solidFill>
              <w14:schemeClr w14:val="tx1"/>
            </w14:solidFill>
          </w14:textFill>
        </w:rPr>
      </w:pPr>
      <w:bookmarkStart w:id="71" w:name="_Toc2745"/>
      <w:r>
        <w:rPr>
          <w:rFonts w:hint="eastAsia" w:ascii="宋体" w:hAnsi="宋体" w:cs="宋体"/>
          <w:sz w:val="24"/>
          <w:szCs w:val="24"/>
        </w:rPr>
        <w:t>（</w:t>
      </w:r>
      <w:bookmarkStart w:id="192" w:name="_GoBack"/>
      <w:r>
        <w:rPr>
          <w:rFonts w:hint="eastAsia" w:ascii="宋体" w:hAnsi="宋体" w:cs="宋体"/>
          <w:color w:val="000000" w:themeColor="text1"/>
          <w:sz w:val="24"/>
          <w:szCs w:val="24"/>
          <w14:textFill>
            <w14:solidFill>
              <w14:schemeClr w14:val="tx1"/>
            </w14:solidFill>
          </w14:textFill>
        </w:rPr>
        <w:t>五）其他要求</w:t>
      </w:r>
      <w:bookmarkEnd w:id="71"/>
    </w:p>
    <w:p w14:paraId="7D976DFE">
      <w:pPr>
        <w:spacing w:line="560" w:lineRule="exact"/>
        <w:ind w:firstLine="480" w:firstLineChars="200"/>
        <w:outlineLvl w:val="1"/>
        <w:rPr>
          <w:rFonts w:hint="eastAsia" w:ascii="宋体" w:hAnsi="宋体" w:cs="宋体"/>
          <w:color w:val="000000" w:themeColor="text1"/>
          <w:sz w:val="24"/>
          <w:szCs w:val="24"/>
          <w:lang w:val="en-US" w:eastAsia="zh-CN"/>
          <w14:textFill>
            <w14:solidFill>
              <w14:schemeClr w14:val="tx1"/>
            </w14:solidFill>
          </w14:textFill>
        </w:rPr>
      </w:pPr>
      <w:bookmarkStart w:id="72" w:name="_Toc11771"/>
      <w:r>
        <w:rPr>
          <w:rFonts w:hint="eastAsia" w:ascii="宋体" w:hAnsi="宋体" w:cs="宋体"/>
          <w:color w:val="000000" w:themeColor="text1"/>
          <w:sz w:val="24"/>
          <w:szCs w:val="24"/>
          <w:lang w:val="en-US" w:eastAsia="zh-CN"/>
          <w14:textFill>
            <w14:solidFill>
              <w14:schemeClr w14:val="tx1"/>
            </w14:solidFill>
          </w14:textFill>
        </w:rPr>
        <w:t>(1)合同签订10个工作日内, 甲方向乙方支付合同总价款30%的预付款；在乙方向甲方出具合同总价款5%的质量保函和合同总价款95%的无条件银行独立履约保函后，且在甲方收到政府拨付的专项资金和甲方的内部付款审批流程完成的前提条件下，在5个工作日内向乙方付清合同总价款70%的款项，计人民币  (￥         ）。开具履约保函所产生的所有费用由乙方自行承担。若甲方根据实际情况判断实际到货时间将超出履约保函有效期的，乙方应当按甲方的要求延长履约保函有效期。乙方提供的银行履约保函应为无条件的、载明“见索即付”的独立保函，即不得额外附加甲方在向银行发《索赔通知》时的证据义务。</w:t>
      </w:r>
    </w:p>
    <w:p w14:paraId="5D482C90">
      <w:pPr>
        <w:spacing w:line="560" w:lineRule="exact"/>
        <w:ind w:firstLine="480" w:firstLineChars="200"/>
        <w:outlineLvl w:val="1"/>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(2)履约保函解除条件：</w:t>
      </w:r>
    </w:p>
    <w:p w14:paraId="0EEB12C2">
      <w:pPr>
        <w:spacing w:line="560" w:lineRule="exact"/>
        <w:ind w:firstLine="480" w:firstLineChars="200"/>
        <w:outlineLvl w:val="1"/>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乙方负责发货到甲方指定地点，组织安装调试运转正常，并通过培训、验收合格，提交全部报告材料后，乙方可向银行申请解除合同总价款95%的履约保函。</w:t>
      </w:r>
    </w:p>
    <w:p w14:paraId="0B2690CA">
      <w:pPr>
        <w:spacing w:line="560" w:lineRule="exact"/>
        <w:ind w:firstLine="480" w:firstLineChars="200"/>
        <w:outlineLvl w:val="1"/>
        <w:rPr>
          <w:rFonts w:hint="eastAsia" w:ascii="宋体" w:hAnsi="宋体" w:cs="宋体"/>
          <w:b/>
          <w:color w:val="000000" w:themeColor="text1"/>
          <w:sz w:val="30"/>
          <w:szCs w:val="30"/>
          <w:lang w:bidi="ar"/>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（3）自验收合格满五年设备无质量问题，乙方向甲方取回质量保函，如设备出现质量问题，将由乙方维护或更换设备直到甲方认可后才能取回质量保函。</w:t>
      </w:r>
      <w:r>
        <w:rPr>
          <w:rFonts w:hint="eastAsia" w:ascii="宋体" w:hAnsi="宋体" w:cs="宋体"/>
          <w:b/>
          <w:color w:val="000000" w:themeColor="text1"/>
          <w:sz w:val="30"/>
          <w:szCs w:val="30"/>
          <w:lang w:bidi="ar"/>
          <w14:textFill>
            <w14:solidFill>
              <w14:schemeClr w14:val="tx1"/>
            </w14:solidFill>
          </w14:textFill>
        </w:rPr>
        <w:t>二、技术要求</w:t>
      </w:r>
      <w:bookmarkEnd w:id="72"/>
    </w:p>
    <w:p w14:paraId="3CD5C654">
      <w:pPr>
        <w:jc w:val="center"/>
        <w:rPr>
          <w:rFonts w:hint="eastAsia" w:ascii="宋体" w:hAnsi="宋体" w:cs="宋体"/>
          <w:b/>
          <w:color w:val="000000" w:themeColor="text1"/>
          <w:sz w:val="30"/>
          <w:szCs w:val="30"/>
          <w:lang w:bidi="ar"/>
          <w14:textFill>
            <w14:solidFill>
              <w14:schemeClr w14:val="tx1"/>
            </w14:solidFill>
          </w14:textFill>
        </w:rPr>
      </w:pPr>
      <w:r>
        <w:rPr>
          <w:rFonts w:hint="eastAsia" w:ascii="宋体" w:hAnsi="宋体" w:cs="宋体"/>
          <w:b/>
          <w:color w:val="000000" w:themeColor="text1"/>
          <w:sz w:val="30"/>
          <w:szCs w:val="30"/>
          <w:lang w:bidi="ar"/>
          <w14:textFill>
            <w14:solidFill>
              <w14:schemeClr w14:val="tx1"/>
            </w14:solidFill>
          </w14:textFill>
        </w:rPr>
        <w:t>设备清单</w:t>
      </w:r>
    </w:p>
    <w:tbl>
      <w:tblPr>
        <w:tblStyle w:val="35"/>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711"/>
        <w:gridCol w:w="825"/>
        <w:gridCol w:w="787"/>
        <w:gridCol w:w="1500"/>
        <w:gridCol w:w="1088"/>
        <w:gridCol w:w="726"/>
      </w:tblGrid>
      <w:tr w14:paraId="4530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0" w:type="dxa"/>
            <w:vAlign w:val="center"/>
          </w:tcPr>
          <w:p w14:paraId="1299410E">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包段</w:t>
            </w:r>
          </w:p>
        </w:tc>
        <w:tc>
          <w:tcPr>
            <w:tcW w:w="3711" w:type="dxa"/>
            <w:vAlign w:val="center"/>
          </w:tcPr>
          <w:p w14:paraId="4FA90103">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货物名称</w:t>
            </w:r>
          </w:p>
        </w:tc>
        <w:tc>
          <w:tcPr>
            <w:tcW w:w="825" w:type="dxa"/>
            <w:vAlign w:val="center"/>
          </w:tcPr>
          <w:p w14:paraId="75194FE6">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787" w:type="dxa"/>
            <w:vAlign w:val="center"/>
          </w:tcPr>
          <w:p w14:paraId="07BBBC9A">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w:t>
            </w:r>
          </w:p>
        </w:tc>
        <w:tc>
          <w:tcPr>
            <w:tcW w:w="1500" w:type="dxa"/>
            <w:vAlign w:val="center"/>
          </w:tcPr>
          <w:p w14:paraId="3FC0AB15">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是否接受进口产品投标</w:t>
            </w:r>
          </w:p>
        </w:tc>
        <w:tc>
          <w:tcPr>
            <w:tcW w:w="1088" w:type="dxa"/>
            <w:vAlign w:val="center"/>
          </w:tcPr>
          <w:p w14:paraId="0CACDF62">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是否需要授权</w:t>
            </w:r>
          </w:p>
        </w:tc>
        <w:tc>
          <w:tcPr>
            <w:tcW w:w="726" w:type="dxa"/>
            <w:vAlign w:val="center"/>
          </w:tcPr>
          <w:p w14:paraId="3AE11544">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r>
      <w:tr w14:paraId="7253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0" w:type="dxa"/>
            <w:vAlign w:val="center"/>
          </w:tcPr>
          <w:p w14:paraId="5CC05F22">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A</w:t>
            </w:r>
            <w:r>
              <w:rPr>
                <w:rFonts w:hint="eastAsia" w:ascii="宋体" w:hAnsi="宋体" w:eastAsia="宋体" w:cs="宋体"/>
                <w:color w:val="000000" w:themeColor="text1"/>
                <w:kern w:val="0"/>
                <w:sz w:val="24"/>
                <w:szCs w:val="24"/>
                <w14:textFill>
                  <w14:solidFill>
                    <w14:schemeClr w14:val="tx1"/>
                  </w14:solidFill>
                </w14:textFill>
              </w:rPr>
              <w:t>包</w:t>
            </w:r>
          </w:p>
        </w:tc>
        <w:tc>
          <w:tcPr>
            <w:tcW w:w="3711" w:type="dxa"/>
            <w:vAlign w:val="center"/>
          </w:tcPr>
          <w:p w14:paraId="03DF379A">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电子鼻咽镜</w:t>
            </w:r>
          </w:p>
        </w:tc>
        <w:tc>
          <w:tcPr>
            <w:tcW w:w="825" w:type="dxa"/>
            <w:vAlign w:val="center"/>
          </w:tcPr>
          <w:p w14:paraId="659C0357">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787" w:type="dxa"/>
            <w:vAlign w:val="center"/>
          </w:tcPr>
          <w:p w14:paraId="083DC0EB">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台</w:t>
            </w:r>
          </w:p>
        </w:tc>
        <w:tc>
          <w:tcPr>
            <w:tcW w:w="1500" w:type="dxa"/>
            <w:vAlign w:val="center"/>
          </w:tcPr>
          <w:p w14:paraId="7DD686E4">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c>
          <w:tcPr>
            <w:tcW w:w="1088" w:type="dxa"/>
            <w:vAlign w:val="center"/>
          </w:tcPr>
          <w:p w14:paraId="04FD38C5">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不需要</w:t>
            </w:r>
          </w:p>
        </w:tc>
        <w:tc>
          <w:tcPr>
            <w:tcW w:w="726" w:type="dxa"/>
            <w:vAlign w:val="center"/>
          </w:tcPr>
          <w:p w14:paraId="39171B06">
            <w:pPr>
              <w:pStyle w:val="13"/>
              <w:jc w:val="center"/>
              <w:rPr>
                <w:rFonts w:hint="eastAsia" w:ascii="宋体" w:hAnsi="宋体" w:eastAsia="宋体" w:cs="宋体"/>
                <w:color w:val="000000" w:themeColor="text1"/>
                <w:kern w:val="0"/>
                <w:sz w:val="24"/>
                <w:szCs w:val="24"/>
                <w14:textFill>
                  <w14:solidFill>
                    <w14:schemeClr w14:val="tx1"/>
                  </w14:solidFill>
                </w14:textFill>
              </w:rPr>
            </w:pPr>
          </w:p>
        </w:tc>
      </w:tr>
      <w:tr w14:paraId="37EF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0" w:type="dxa"/>
            <w:vAlign w:val="center"/>
          </w:tcPr>
          <w:p w14:paraId="5BB3C79C">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B</w:t>
            </w:r>
            <w:r>
              <w:rPr>
                <w:rFonts w:hint="eastAsia" w:ascii="宋体" w:hAnsi="宋体" w:eastAsia="宋体" w:cs="宋体"/>
                <w:color w:val="000000" w:themeColor="text1"/>
                <w:kern w:val="0"/>
                <w:sz w:val="24"/>
                <w:szCs w:val="24"/>
                <w14:textFill>
                  <w14:solidFill>
                    <w14:schemeClr w14:val="tx1"/>
                  </w14:solidFill>
                </w14:textFill>
              </w:rPr>
              <w:t>包</w:t>
            </w:r>
          </w:p>
        </w:tc>
        <w:tc>
          <w:tcPr>
            <w:tcW w:w="3711" w:type="dxa"/>
            <w:vAlign w:val="center"/>
          </w:tcPr>
          <w:p w14:paraId="3FDADE64">
            <w:pPr>
              <w:jc w:val="center"/>
              <w:textAlignment w:val="center"/>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眩晕诊疗系统</w:t>
            </w:r>
          </w:p>
        </w:tc>
        <w:tc>
          <w:tcPr>
            <w:tcW w:w="825" w:type="dxa"/>
            <w:vAlign w:val="center"/>
          </w:tcPr>
          <w:p w14:paraId="053CCEB6">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787" w:type="dxa"/>
            <w:vAlign w:val="center"/>
          </w:tcPr>
          <w:p w14:paraId="7F916507">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台</w:t>
            </w:r>
          </w:p>
        </w:tc>
        <w:tc>
          <w:tcPr>
            <w:tcW w:w="1500" w:type="dxa"/>
            <w:vAlign w:val="center"/>
          </w:tcPr>
          <w:p w14:paraId="7E9FBA87">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c>
          <w:tcPr>
            <w:tcW w:w="1088" w:type="dxa"/>
            <w:vAlign w:val="center"/>
          </w:tcPr>
          <w:p w14:paraId="546A2C21">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不需要</w:t>
            </w:r>
          </w:p>
        </w:tc>
        <w:tc>
          <w:tcPr>
            <w:tcW w:w="726" w:type="dxa"/>
            <w:vAlign w:val="center"/>
          </w:tcPr>
          <w:p w14:paraId="287933A1">
            <w:pPr>
              <w:pStyle w:val="13"/>
              <w:jc w:val="center"/>
              <w:rPr>
                <w:rFonts w:hint="eastAsia" w:ascii="宋体" w:hAnsi="宋体" w:eastAsia="宋体" w:cs="宋体"/>
                <w:color w:val="000000" w:themeColor="text1"/>
                <w:kern w:val="0"/>
                <w:sz w:val="24"/>
                <w:szCs w:val="24"/>
                <w14:textFill>
                  <w14:solidFill>
                    <w14:schemeClr w14:val="tx1"/>
                  </w14:solidFill>
                </w14:textFill>
              </w:rPr>
            </w:pPr>
          </w:p>
        </w:tc>
      </w:tr>
      <w:tr w14:paraId="1918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0" w:type="dxa"/>
            <w:vAlign w:val="center"/>
          </w:tcPr>
          <w:p w14:paraId="550E09D5">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C</w:t>
            </w:r>
            <w:r>
              <w:rPr>
                <w:rFonts w:hint="eastAsia" w:ascii="宋体" w:hAnsi="宋体" w:eastAsia="宋体" w:cs="宋体"/>
                <w:color w:val="000000" w:themeColor="text1"/>
                <w:kern w:val="0"/>
                <w:sz w:val="24"/>
                <w:szCs w:val="24"/>
                <w14:textFill>
                  <w14:solidFill>
                    <w14:schemeClr w14:val="tx1"/>
                  </w14:solidFill>
                </w14:textFill>
              </w:rPr>
              <w:t>包</w:t>
            </w:r>
          </w:p>
        </w:tc>
        <w:tc>
          <w:tcPr>
            <w:tcW w:w="3711" w:type="dxa"/>
            <w:vAlign w:val="center"/>
          </w:tcPr>
          <w:p w14:paraId="1D419846">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双工位诊疗台</w:t>
            </w:r>
          </w:p>
        </w:tc>
        <w:tc>
          <w:tcPr>
            <w:tcW w:w="825" w:type="dxa"/>
            <w:vAlign w:val="center"/>
          </w:tcPr>
          <w:p w14:paraId="060B7CD9">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w:t>
            </w:r>
          </w:p>
        </w:tc>
        <w:tc>
          <w:tcPr>
            <w:tcW w:w="787" w:type="dxa"/>
            <w:vAlign w:val="center"/>
          </w:tcPr>
          <w:p w14:paraId="218E9663">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台</w:t>
            </w:r>
          </w:p>
        </w:tc>
        <w:tc>
          <w:tcPr>
            <w:tcW w:w="1500" w:type="dxa"/>
            <w:vAlign w:val="center"/>
          </w:tcPr>
          <w:p w14:paraId="603CBAE3">
            <w:pPr>
              <w:widowControl w:val="0"/>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接受</w:t>
            </w:r>
          </w:p>
        </w:tc>
        <w:tc>
          <w:tcPr>
            <w:tcW w:w="1088" w:type="dxa"/>
            <w:vAlign w:val="center"/>
          </w:tcPr>
          <w:p w14:paraId="524BC479">
            <w:pPr>
              <w:widowControl w:val="0"/>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需要</w:t>
            </w:r>
          </w:p>
        </w:tc>
        <w:tc>
          <w:tcPr>
            <w:tcW w:w="726" w:type="dxa"/>
            <w:vAlign w:val="center"/>
          </w:tcPr>
          <w:p w14:paraId="6FBF1B34">
            <w:pPr>
              <w:widowControl w:val="0"/>
              <w:jc w:val="center"/>
              <w:rPr>
                <w:rFonts w:hint="eastAsia" w:ascii="宋体" w:hAnsi="宋体" w:cs="宋体"/>
                <w:color w:val="000000" w:themeColor="text1"/>
                <w:sz w:val="24"/>
                <w:szCs w:val="24"/>
                <w14:textFill>
                  <w14:solidFill>
                    <w14:schemeClr w14:val="tx1"/>
                  </w14:solidFill>
                </w14:textFill>
              </w:rPr>
            </w:pPr>
          </w:p>
        </w:tc>
      </w:tr>
      <w:tr w14:paraId="2512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770" w:type="dxa"/>
            <w:vAlign w:val="center"/>
          </w:tcPr>
          <w:p w14:paraId="59BD7D55">
            <w:pPr>
              <w:pStyle w:val="13"/>
              <w:jc w:val="center"/>
              <w:rPr>
                <w:rFonts w:hint="eastAsia"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D</w:t>
            </w:r>
            <w:r>
              <w:rPr>
                <w:rFonts w:hint="eastAsia" w:ascii="宋体" w:hAnsi="宋体" w:eastAsia="宋体" w:cs="宋体"/>
                <w:color w:val="000000" w:themeColor="text1"/>
                <w:kern w:val="0"/>
                <w:sz w:val="24"/>
                <w:szCs w:val="24"/>
                <w14:textFill>
                  <w14:solidFill>
                    <w14:schemeClr w14:val="tx1"/>
                  </w14:solidFill>
                </w14:textFill>
              </w:rPr>
              <w:t>包</w:t>
            </w:r>
          </w:p>
        </w:tc>
        <w:tc>
          <w:tcPr>
            <w:tcW w:w="3711" w:type="dxa"/>
            <w:vAlign w:val="center"/>
          </w:tcPr>
          <w:p w14:paraId="61C15AE4">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鼻功能诊断系统</w:t>
            </w:r>
          </w:p>
        </w:tc>
        <w:tc>
          <w:tcPr>
            <w:tcW w:w="825" w:type="dxa"/>
            <w:vAlign w:val="center"/>
          </w:tcPr>
          <w:p w14:paraId="15CDEA9C">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1</w:t>
            </w:r>
          </w:p>
        </w:tc>
        <w:tc>
          <w:tcPr>
            <w:tcW w:w="787" w:type="dxa"/>
            <w:vAlign w:val="center"/>
          </w:tcPr>
          <w:p w14:paraId="6972B389">
            <w:pPr>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套</w:t>
            </w:r>
          </w:p>
        </w:tc>
        <w:tc>
          <w:tcPr>
            <w:tcW w:w="1500" w:type="dxa"/>
            <w:vAlign w:val="center"/>
          </w:tcPr>
          <w:p w14:paraId="2B63DF39">
            <w:pPr>
              <w:widowControl w:val="0"/>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接受</w:t>
            </w:r>
          </w:p>
        </w:tc>
        <w:tc>
          <w:tcPr>
            <w:tcW w:w="1088" w:type="dxa"/>
            <w:vAlign w:val="center"/>
          </w:tcPr>
          <w:p w14:paraId="11161BA2">
            <w:pPr>
              <w:widowControl w:val="0"/>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需要</w:t>
            </w:r>
          </w:p>
        </w:tc>
        <w:tc>
          <w:tcPr>
            <w:tcW w:w="726" w:type="dxa"/>
            <w:vAlign w:val="center"/>
          </w:tcPr>
          <w:p w14:paraId="63084742">
            <w:pPr>
              <w:widowControl w:val="0"/>
              <w:jc w:val="center"/>
              <w:rPr>
                <w:rFonts w:hint="eastAsia" w:ascii="宋体" w:hAnsi="宋体" w:cs="宋体"/>
                <w:color w:val="000000" w:themeColor="text1"/>
                <w:sz w:val="24"/>
                <w:szCs w:val="24"/>
                <w14:textFill>
                  <w14:solidFill>
                    <w14:schemeClr w14:val="tx1"/>
                  </w14:solidFill>
                </w14:textFill>
              </w:rPr>
            </w:pPr>
          </w:p>
        </w:tc>
      </w:tr>
    </w:tbl>
    <w:p w14:paraId="7C78DC23">
      <w:pPr>
        <w:rPr>
          <w:color w:val="000000" w:themeColor="text1"/>
          <w14:textFill>
            <w14:solidFill>
              <w14:schemeClr w14:val="tx1"/>
            </w14:solidFill>
          </w14:textFill>
        </w:rPr>
      </w:pPr>
    </w:p>
    <w:p w14:paraId="6B3D1160">
      <w:pPr>
        <w:widowControl w:val="0"/>
        <w:spacing w:line="360" w:lineRule="auto"/>
        <w:rPr>
          <w:rFonts w:hint="default" w:ascii="宋体" w:hAnsi="宋体" w:eastAsia="宋体" w:cs="宋体"/>
          <w:b/>
          <w:bCs w:val="0"/>
          <w:color w:val="000000" w:themeColor="text1"/>
          <w:sz w:val="24"/>
          <w:lang w:val="en-US"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注：供应商所投的产品名称应与其注册证或备案凭证名称一致，没有该证的，就统一用厂家提供的名称，务必与产品上贴的标签名称一致。配置清单所列的产品与本设备不同厂家的，都要写明厂家及规格型号</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
          <w:bCs w:val="0"/>
          <w:color w:val="000000" w:themeColor="text1"/>
          <w:sz w:val="24"/>
          <w:lang w:val="en-US" w:eastAsia="zh-CN"/>
          <w14:textFill>
            <w14:solidFill>
              <w14:schemeClr w14:val="tx1"/>
            </w14:solidFill>
          </w14:textFill>
        </w:rPr>
        <w:t>响应公司务必严谨对待的响应文件，一旦响应文件承诺的与实际验收的货物不符，响应公司承担一切后果。</w:t>
      </w:r>
    </w:p>
    <w:p w14:paraId="2C5159D5">
      <w:pPr>
        <w:pStyle w:val="3"/>
      </w:pPr>
      <w:r>
        <w:rPr>
          <w:rFonts w:hint="eastAsia"/>
          <w:color w:val="000000" w:themeColor="text1"/>
          <w14:textFill>
            <w14:solidFill>
              <w14:schemeClr w14:val="tx1"/>
            </w14:solidFill>
          </w14:textFill>
        </w:rPr>
        <w:br w:type="page"/>
      </w:r>
      <w:bookmarkEnd w:id="192"/>
      <w:bookmarkStart w:id="73" w:name="_Toc257"/>
      <w:r>
        <w:rPr>
          <w:rFonts w:hint="eastAsia"/>
        </w:rPr>
        <w:t>1.</w:t>
      </w:r>
      <w:bookmarkEnd w:id="73"/>
      <w:r>
        <w:rPr>
          <w:rFonts w:hint="eastAsia" w:ascii="宋体" w:hAnsi="宋体" w:cs="宋体"/>
          <w:b w:val="0"/>
          <w:bCs w:val="0"/>
          <w:color w:val="7030A0"/>
          <w:szCs w:val="30"/>
        </w:rPr>
        <w:t xml:space="preserve"> </w:t>
      </w:r>
      <w:r>
        <w:rPr>
          <w:rFonts w:hint="eastAsia"/>
        </w:rPr>
        <w:t>电子鼻咽镜</w:t>
      </w:r>
    </w:p>
    <w:p w14:paraId="1A4A4C8C">
      <w:pPr>
        <w:spacing w:line="320" w:lineRule="exact"/>
        <w:jc w:val="center"/>
        <w:textAlignment w:val="baseline"/>
        <w:rPr>
          <w:rFonts w:hint="eastAsia" w:ascii="宋体" w:hAnsi="宋体" w:cs="宋体"/>
          <w:b/>
          <w:bCs/>
          <w:sz w:val="24"/>
          <w:szCs w:val="24"/>
        </w:rPr>
      </w:pPr>
      <w:r>
        <w:rPr>
          <w:rFonts w:hint="eastAsia" w:ascii="宋体" w:hAnsi="宋体" w:cs="宋体"/>
          <w:b/>
          <w:bCs/>
          <w:sz w:val="24"/>
          <w:szCs w:val="24"/>
        </w:rPr>
        <w:t>电子鼻咽镜技术参数及配置清单</w:t>
      </w:r>
    </w:p>
    <w:p w14:paraId="4AE8A37B">
      <w:pPr>
        <w:pStyle w:val="22"/>
        <w:widowControl w:val="0"/>
        <w:ind w:left="420"/>
        <w:textAlignment w:val="baseline"/>
        <w:rPr>
          <w:rFonts w:hint="eastAsia" w:hAnsi="宋体" w:cs="宋体"/>
          <w:b/>
          <w:bCs/>
          <w:sz w:val="24"/>
          <w:szCs w:val="24"/>
        </w:rPr>
      </w:pPr>
    </w:p>
    <w:p w14:paraId="296F3C1C">
      <w:pPr>
        <w:widowControl w:val="0"/>
        <w:spacing w:line="56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一、电子内窥镜图像处理器</w:t>
      </w:r>
    </w:p>
    <w:p w14:paraId="5BEDFA1B">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1.全视角高清液晶屏,5.1英寸, 分辨率1920*1080 ；</w:t>
      </w:r>
    </w:p>
    <w:p w14:paraId="422916F1">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2.触摸屏，支持多点缩放；</w:t>
      </w:r>
    </w:p>
    <w:p w14:paraId="7E961BD1">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3.数据存储功能：内置≥8GB储存,并且支持USB、SD存储接口，外接U盘可存储图像和视频；</w:t>
      </w:r>
    </w:p>
    <w:p w14:paraId="1454997E">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4.具有白平衡功能、图像冻结功能、拍照功能、录像功能、调光功能、自动增益调节功能、色度调节功能；</w:t>
      </w:r>
    </w:p>
    <w:p w14:paraId="68717FFC">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5.可升级无线视频传输功能；</w:t>
      </w:r>
    </w:p>
    <w:p w14:paraId="0E27A9C6">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6.具有无线及有线连接指示功能；</w:t>
      </w:r>
    </w:p>
    <w:p w14:paraId="78878802">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7.画面缩放功能：支持图像显示放大模式,支持无级缩放；</w:t>
      </w:r>
    </w:p>
    <w:p w14:paraId="20BCB47D">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8.DVI、SDI高清视频输出接口,输出视频最大分辨率应不小于1920*1080；</w:t>
      </w:r>
    </w:p>
    <w:p w14:paraId="7EF5C9D6">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9.色彩还原能力；</w:t>
      </w:r>
    </w:p>
    <w:p w14:paraId="0063A7A6">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10.脚踏开关接口：连接符合标准要求的脚踏开关可执行图像冻结和拍照操作；</w:t>
      </w:r>
    </w:p>
    <w:p w14:paraId="2218196C">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11.文件管理功能：可删除、重命名图片和视频文件；可新增、删除、重命名文件夹；</w:t>
      </w:r>
    </w:p>
    <w:p w14:paraId="5EBD0050">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12.可实现声音外放功能、麦克风,可实现声音采集功能(具有录音功能）；</w:t>
      </w:r>
    </w:p>
    <w:p w14:paraId="34D04514">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13.信号输入接口：产品具有CVBS信号输入接口、DVR数字视频录制及回放功能；</w:t>
      </w:r>
    </w:p>
    <w:p w14:paraId="76D66CC3">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14.可选择SSDI智谱染色成像技术（电子染色成像技术）；</w:t>
      </w:r>
    </w:p>
    <w:p w14:paraId="63CBD3BD">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15.可升级HBE血管增强、轮廓增强；</w:t>
      </w:r>
    </w:p>
    <w:p w14:paraId="6298240D">
      <w:pPr>
        <w:pStyle w:val="22"/>
        <w:widowControl w:val="0"/>
        <w:spacing w:line="56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二、电子鼻咽喉</w:t>
      </w:r>
      <w:r>
        <w:rPr>
          <w:rFonts w:hint="eastAsia" w:asciiTheme="minorEastAsia" w:hAnsiTheme="minorEastAsia" w:eastAsiaTheme="minorEastAsia" w:cstheme="minorEastAsia"/>
          <w:b/>
          <w:bCs/>
          <w:sz w:val="24"/>
          <w:szCs w:val="24"/>
        </w:rPr>
        <w:t>镜</w:t>
      </w:r>
    </w:p>
    <w:p w14:paraId="6C25A620">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1.景深：3-200mm；</w:t>
      </w:r>
    </w:p>
    <w:p w14:paraId="46A3A505">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2.视场角：≥120°；</w:t>
      </w:r>
    </w:p>
    <w:p w14:paraId="0FF287C7">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3.软镜工作软管有效长度≥360mm；</w:t>
      </w:r>
    </w:p>
    <w:p w14:paraId="184D4FBB">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4.成像原理：电子成像技术，工作软管不含光纤；</w:t>
      </w:r>
    </w:p>
    <w:p w14:paraId="0C572A5A">
      <w:pPr>
        <w:pStyle w:val="22"/>
        <w:widowControl w:val="0"/>
        <w:spacing w:line="560" w:lineRule="exact"/>
        <w:ind w:left="240" w:hanging="240" w:hanging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5.软镜插入部外径≤2.8mm；</w:t>
      </w:r>
    </w:p>
    <w:p w14:paraId="2D54B856">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6.插入管软管前端弯曲角度：向上弯曲≥130°，向下弯曲≥130°；</w:t>
      </w:r>
    </w:p>
    <w:p w14:paraId="0FC63B5E">
      <w:pPr>
        <w:widowControl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7.操作手柄具备两个功能按键：可控制图像显示器的图像冻结或调光，</w:t>
      </w:r>
    </w:p>
    <w:p w14:paraId="253CB411">
      <w:pPr>
        <w:pStyle w:val="22"/>
        <w:widowControl w:val="0"/>
        <w:spacing w:line="560" w:lineRule="exact"/>
        <w:ind w:left="240" w:hanging="240" w:hanging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图像拍照、录像，以及录中拍功能；</w:t>
      </w:r>
    </w:p>
    <w:p w14:paraId="3FBDA277">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8.自带LED光源，耐用性强，具备防雾功能；</w:t>
      </w:r>
    </w:p>
    <w:p w14:paraId="07B0A939">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9.采用无顶针双向通气阀</w:t>
      </w:r>
      <w:r>
        <w:rPr>
          <w:rFonts w:hint="eastAsia" w:asciiTheme="minorEastAsia" w:hAnsiTheme="minorEastAsia" w:eastAsiaTheme="minorEastAsia" w:cstheme="minorEastAsia"/>
          <w:kern w:val="2"/>
          <w:sz w:val="24"/>
          <w:szCs w:val="24"/>
        </w:rPr>
        <w:t>（NT阀），气体分子自由进出，液体无法进入，降低误操作风险</w:t>
      </w:r>
      <w:r>
        <w:rPr>
          <w:rFonts w:hint="eastAsia" w:asciiTheme="minorEastAsia" w:hAnsiTheme="minorEastAsia" w:eastAsiaTheme="minorEastAsia" w:cstheme="minorEastAsia"/>
          <w:sz w:val="24"/>
          <w:szCs w:val="24"/>
        </w:rPr>
        <w:t>；</w:t>
      </w:r>
    </w:p>
    <w:p w14:paraId="32FE0ACE">
      <w:pPr>
        <w:pStyle w:val="22"/>
        <w:widowControl w:val="0"/>
        <w:spacing w:line="560" w:lineRule="exact"/>
        <w:ind w:left="240" w:hanging="240" w:hanging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10.操作手柄与显示器自动识别，把视频信号传输到后台处理器，提高产品连接的稳定性和耐用性；</w:t>
      </w:r>
    </w:p>
    <w:p w14:paraId="3F673EE8">
      <w:pPr>
        <w:pStyle w:val="22"/>
        <w:widowControl w:val="0"/>
        <w:spacing w:line="56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三、台车</w:t>
      </w:r>
    </w:p>
    <w:p w14:paraId="45D9157D">
      <w:pPr>
        <w:pStyle w:val="22"/>
        <w:widowControl w:val="0"/>
        <w:spacing w:line="5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1.内镜专用台车；</w:t>
      </w:r>
    </w:p>
    <w:p w14:paraId="1FC27622">
      <w:pPr>
        <w:pStyle w:val="22"/>
        <w:widowControl w:val="0"/>
        <w:spacing w:line="560" w:lineRule="exac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2.整体</w:t>
      </w:r>
      <w:r>
        <w:rPr>
          <w:rFonts w:hint="eastAsia" w:asciiTheme="minorEastAsia" w:hAnsiTheme="minorEastAsia" w:eastAsiaTheme="minorEastAsia" w:cstheme="minorEastAsia"/>
          <w:color w:val="000000" w:themeColor="text1"/>
          <w:sz w:val="24"/>
          <w:szCs w:val="24"/>
          <w14:textFill>
            <w14:solidFill>
              <w14:schemeClr w14:val="tx1"/>
            </w14:solidFill>
          </w14:textFill>
        </w:rPr>
        <w:t>台车具有更好的绝缘性、防水性和耐腐蚀性，安全方便可靠；</w:t>
      </w:r>
    </w:p>
    <w:p w14:paraId="5BC55528">
      <w:pPr>
        <w:pStyle w:val="22"/>
        <w:widowControl w:val="0"/>
        <w:spacing w:line="560" w:lineRule="exac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3.层板高度可调。</w:t>
      </w:r>
    </w:p>
    <w:p w14:paraId="3685AF72">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医学影像工作站</w:t>
      </w:r>
    </w:p>
    <w:p w14:paraId="3E2CCAD0">
      <w:pPr>
        <w:spacing w:line="560" w:lineRule="exact"/>
        <w:ind w:left="425" w:hanging="42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全高清数字化图像采集，</w:t>
      </w:r>
      <w:r>
        <w:rPr>
          <w:rFonts w:hint="eastAsia" w:asciiTheme="minorEastAsia" w:hAnsiTheme="minorEastAsia" w:eastAsiaTheme="minorEastAsia" w:cstheme="minorEastAsia"/>
          <w:color w:val="000000" w:themeColor="text1"/>
          <w:sz w:val="24"/>
          <w:szCs w:val="24"/>
          <w14:textFill>
            <w14:solidFill>
              <w14:schemeClr w14:val="tx1"/>
            </w14:solidFill>
          </w14:textFill>
        </w:rPr>
        <w:t>支持录像和回放；</w:t>
      </w:r>
    </w:p>
    <w:p w14:paraId="04E32DC3">
      <w:pPr>
        <w:spacing w:line="560" w:lineRule="exact"/>
        <w:ind w:left="425" w:hanging="42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.生成报告所见即所得，便于医生填写报告。</w:t>
      </w:r>
    </w:p>
    <w:p w14:paraId="6F8B8A73">
      <w:pPr>
        <w:rPr>
          <w:color w:val="000000" w:themeColor="text1"/>
          <w14:textFill>
            <w14:solidFill>
              <w14:schemeClr w14:val="tx1"/>
            </w14:solidFill>
          </w14:textFill>
        </w:rPr>
      </w:pPr>
    </w:p>
    <w:tbl>
      <w:tblPr>
        <w:tblStyle w:val="35"/>
        <w:tblW w:w="8134" w:type="dxa"/>
        <w:jc w:val="center"/>
        <w:tblLayout w:type="fixed"/>
        <w:tblCellMar>
          <w:top w:w="0" w:type="dxa"/>
          <w:left w:w="0" w:type="dxa"/>
          <w:bottom w:w="0" w:type="dxa"/>
          <w:right w:w="0" w:type="dxa"/>
        </w:tblCellMar>
      </w:tblPr>
      <w:tblGrid>
        <w:gridCol w:w="815"/>
        <w:gridCol w:w="5268"/>
        <w:gridCol w:w="1124"/>
        <w:gridCol w:w="927"/>
      </w:tblGrid>
      <w:tr w14:paraId="593A1038">
        <w:tblPrEx>
          <w:tblCellMar>
            <w:top w:w="0" w:type="dxa"/>
            <w:left w:w="0" w:type="dxa"/>
            <w:bottom w:w="0" w:type="dxa"/>
            <w:right w:w="0" w:type="dxa"/>
          </w:tblCellMar>
        </w:tblPrEx>
        <w:trPr>
          <w:trHeight w:val="389" w:hRule="atLeast"/>
          <w:jc w:val="center"/>
        </w:trPr>
        <w:tc>
          <w:tcPr>
            <w:tcW w:w="813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1416B">
            <w:pPr>
              <w:spacing w:line="360" w:lineRule="auto"/>
              <w:jc w:val="center"/>
              <w:textAlignment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lang w:bidi="ar"/>
                <w14:textFill>
                  <w14:solidFill>
                    <w14:schemeClr w14:val="tx1"/>
                  </w14:solidFill>
                </w14:textFill>
              </w:rPr>
              <w:t>配置清单</w:t>
            </w:r>
          </w:p>
        </w:tc>
      </w:tr>
      <w:tr w14:paraId="430C56E8">
        <w:tblPrEx>
          <w:tblCellMar>
            <w:top w:w="0" w:type="dxa"/>
            <w:left w:w="0" w:type="dxa"/>
            <w:bottom w:w="0" w:type="dxa"/>
            <w:right w:w="0" w:type="dxa"/>
          </w:tblCellMar>
        </w:tblPrEx>
        <w:trPr>
          <w:trHeight w:val="359"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AD681">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序号</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8B198">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名    称</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73240">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单位</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B0858">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数量</w:t>
            </w:r>
          </w:p>
        </w:tc>
      </w:tr>
      <w:tr w14:paraId="01A589A9">
        <w:tblPrEx>
          <w:tblCellMar>
            <w:top w:w="0" w:type="dxa"/>
            <w:left w:w="0" w:type="dxa"/>
            <w:bottom w:w="0" w:type="dxa"/>
            <w:right w:w="0" w:type="dxa"/>
          </w:tblCellMar>
        </w:tblPrEx>
        <w:trPr>
          <w:trHeight w:val="389"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9E5EC">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70D9A">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操作部手提箱</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08DD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个</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CB8C2">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735574D3">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F1965">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2</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4EA44">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内镜处理器</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7F50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台</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7F345">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5B740BC1">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82D05">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3</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BD769">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操作部</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FA0B0">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条</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A33A1">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11F4D2CD">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9DEFE">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4</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54620">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高清医用显示器</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FBDB6">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台</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FE5CC">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5649A9DB">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0964F">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5</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3D08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延长线</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4D05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条</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C2231">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7F787E45">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8EA95">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6</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F88FE">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U盘</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45E6C">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个</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C52BA">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3B8911B6">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1089D">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7</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E6B37">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USB公对公连接线</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B797B">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条</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07D1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092DED27">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EBECB">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8</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99C51">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HDMI转接线</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6E562">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条</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615CA">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2D332D1D">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A4CE8">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237EE">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手柄密封防水盖</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9FB08">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个</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884AA">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6DE3A7C5">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13870">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0C112">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测漏器</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0EE09">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个</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418C5">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77E0C179">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9752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C66E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电源适配器</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8445F">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个</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48DF3">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77629B88">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8ED60">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DD217">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软镜清洗消毒指南</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40C86">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张</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7F1E1">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1B3391A3">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118AA">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65BFB">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电子镜操作指南</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7B272">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张</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E6109">
            <w:pPr>
              <w:spacing w:line="360" w:lineRule="auto"/>
              <w:jc w:val="center"/>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797F8F22">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0F164">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14</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5A358">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台车</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9D17F">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台</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523BE">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r w14:paraId="22357E5A">
        <w:tblPrEx>
          <w:tblCellMar>
            <w:top w:w="0" w:type="dxa"/>
            <w:left w:w="0" w:type="dxa"/>
            <w:bottom w:w="0" w:type="dxa"/>
            <w:right w:w="0" w:type="dxa"/>
          </w:tblCellMar>
        </w:tblPrEx>
        <w:trPr>
          <w:trHeight w:val="91"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AB3C9">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15</w:t>
            </w:r>
          </w:p>
        </w:tc>
        <w:tc>
          <w:tcPr>
            <w:tcW w:w="5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BC5CC">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图文工作站（主机+显示器+打印机）</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7EA91">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套</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BCDA7">
            <w:pPr>
              <w:spacing w:line="360" w:lineRule="auto"/>
              <w:jc w:val="center"/>
              <w:textAlignment w:val="center"/>
              <w:rPr>
                <w:rFonts w:hint="eastAsia"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p>
        </w:tc>
      </w:tr>
    </w:tbl>
    <w:p w14:paraId="1A9C443A">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74" w:name="_Toc25145"/>
      <w:r>
        <w:rPr>
          <w:rFonts w:hint="eastAsia"/>
          <w:color w:val="000000" w:themeColor="text1"/>
          <w14:textFill>
            <w14:solidFill>
              <w14:schemeClr w14:val="tx1"/>
            </w14:solidFill>
          </w14:textFill>
        </w:rPr>
        <w:t>2.</w:t>
      </w:r>
      <w:bookmarkEnd w:id="74"/>
      <w:r>
        <w:rPr>
          <w:color w:val="000000" w:themeColor="text1"/>
          <w14:textFill>
            <w14:solidFill>
              <w14:schemeClr w14:val="tx1"/>
            </w14:solidFill>
          </w14:textFill>
        </w:rPr>
        <w:t xml:space="preserve"> 眩晕诊疗系统</w:t>
      </w:r>
    </w:p>
    <w:p w14:paraId="617784D2">
      <w:pPr>
        <w:tabs>
          <w:tab w:val="left" w:pos="5280"/>
        </w:tabs>
        <w:spacing w:before="156" w:beforeLines="50" w:line="560" w:lineRule="exact"/>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眩晕诊疗系统</w:t>
      </w:r>
      <w:r>
        <w:rPr>
          <w:rFonts w:hint="eastAsia" w:asciiTheme="minorEastAsia" w:hAnsiTheme="minorEastAsia" w:eastAsiaTheme="minorEastAsia" w:cstheme="minorEastAsia"/>
          <w:b/>
          <w:color w:val="000000" w:themeColor="text1"/>
          <w:sz w:val="24"/>
          <w:szCs w:val="24"/>
          <w14:textFill>
            <w14:solidFill>
              <w14:schemeClr w14:val="tx1"/>
            </w14:solidFill>
          </w14:textFill>
        </w:rPr>
        <w:t>技术参数及配置清单</w:t>
      </w:r>
    </w:p>
    <w:p w14:paraId="17240E6A">
      <w:pPr>
        <w:spacing w:line="56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一、视频眼罩：</w:t>
      </w:r>
    </w:p>
    <w:p w14:paraId="27B05276">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1.图像通道数：6（左侧水平+垂直+旋转眼震描记、右侧水平+垂直+旋转眼震描记）</w:t>
      </w:r>
    </w:p>
    <w:p w14:paraId="793FCA25">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2.图像分辨率:1920*1080</w:t>
      </w:r>
    </w:p>
    <w:p w14:paraId="02644C8D">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3.眼罩可以观察左、右眼的眼震视频</w:t>
      </w:r>
    </w:p>
    <w:p w14:paraId="48BF31F3">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4.3D眼震，描记并分析水平、垂直、旋转眼震曲线</w:t>
      </w:r>
    </w:p>
    <w:p w14:paraId="2BF46F0B">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5.瞳孔定标：自动追踪瞳孔位置</w:t>
      </w:r>
    </w:p>
    <w:p w14:paraId="30EE7AF6">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6.眼球追踪：实时追踪眼球动态，高清传输每一帧画面</w:t>
      </w:r>
    </w:p>
    <w:p w14:paraId="63E63867">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二、性能要求</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268AB20B">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1、主轴：</w:t>
      </w:r>
    </w:p>
    <w:p w14:paraId="2D457DD6">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转动角度：任意角度，误差≤±2°；</w:t>
      </w:r>
    </w:p>
    <w:p w14:paraId="70A3BCE5">
      <w:pPr>
        <w:pStyle w:val="12"/>
        <w:spacing w:line="560" w:lineRule="exact"/>
        <w:ind w:firstLine="0" w:firstLineChars="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 最大转速：≥30r/min（即180°/</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s</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0A01727B">
      <w:pPr>
        <w:pStyle w:val="12"/>
        <w:spacing w:line="560" w:lineRule="exact"/>
        <w:ind w:firstLine="0" w:firstLineChars="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 加速度：0-360°/</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s2</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673C820B">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2、辅轴：</w:t>
      </w:r>
    </w:p>
    <w:p w14:paraId="0163C9BB">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转动角度：任意角度，误差≤±2°；</w:t>
      </w:r>
    </w:p>
    <w:p w14:paraId="5FC1F6EF">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3、偏移轴</w:t>
      </w:r>
    </w:p>
    <w:p w14:paraId="6DAEC984">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位移距离范围：-80mm～+80mm，误差≤±3mm；</w:t>
      </w:r>
    </w:p>
    <w:p w14:paraId="6633A893">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4、运行噪音：≤68dB</w:t>
      </w:r>
    </w:p>
    <w:p w14:paraId="5BDD6E2A">
      <w:pPr>
        <w:pStyle w:val="12"/>
        <w:spacing w:line="560" w:lineRule="exact"/>
        <w:ind w:firstLine="0" w:firstLineChars="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5、负载：最大负荷≥135Kg</w:t>
      </w:r>
    </w:p>
    <w:p w14:paraId="29FB1C21">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6、座椅：</w:t>
      </w:r>
    </w:p>
    <w:p w14:paraId="1533D063">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安全座椅配有四点式安全带、膝部安全带、腿部安全带</w:t>
      </w:r>
    </w:p>
    <w:p w14:paraId="0DAABA57">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安全带可以固定人体颈、肩、腹、大腿、小腿</w:t>
      </w:r>
    </w:p>
    <w:p w14:paraId="30EC9E93">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 头部固定装置可升降，调整角度</w:t>
      </w:r>
    </w:p>
    <w:p w14:paraId="0720CEB1">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7、急停装置：</w:t>
      </w:r>
    </w:p>
    <w:p w14:paraId="1578D361">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急停装置</w:t>
      </w:r>
      <w:r>
        <w:rPr>
          <w:rFonts w:ascii="Arial" w:hAnsi="Arial" w:eastAsia="宋体" w:cs="Arial"/>
          <w:i w:val="0"/>
          <w:iCs w:val="0"/>
          <w:caps w:val="0"/>
          <w:color w:val="000000" w:themeColor="text1"/>
          <w:spacing w:val="0"/>
          <w:sz w:val="21"/>
          <w:szCs w:val="21"/>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3个</w:t>
      </w:r>
    </w:p>
    <w:p w14:paraId="6D6A9A5D">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2)按下急停，仪器转椅可以随时停止在当前运动的位置</w:t>
      </w:r>
    </w:p>
    <w:p w14:paraId="645BAA51">
      <w:pPr>
        <w:spacing w:line="560" w:lineRule="exac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三、电脑工作站：</w:t>
      </w:r>
    </w:p>
    <w:p w14:paraId="4A5A2120">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性能：≥i5</w:t>
      </w:r>
    </w:p>
    <w:p w14:paraId="4BA24A34">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内存：≥8G</w:t>
      </w:r>
    </w:p>
    <w:p w14:paraId="178B1C4A">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 固态硬盘：≥512G</w:t>
      </w:r>
    </w:p>
    <w:p w14:paraId="707D7D87">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 显示器：≥32英寸</w:t>
      </w:r>
    </w:p>
    <w:p w14:paraId="0D70A988">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 系统：中文版</w:t>
      </w:r>
    </w:p>
    <w:p w14:paraId="02A28B1F">
      <w:pPr>
        <w:spacing w:line="56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w:t>
      </w:r>
      <w:r>
        <w:rPr>
          <w:rFonts w:hint="eastAsia" w:asciiTheme="minorEastAsia" w:hAnsiTheme="minorEastAsia" w:eastAsiaTheme="minorEastAsia" w:cstheme="minorEastAsia"/>
          <w:b/>
          <w:color w:val="000000" w:themeColor="text1"/>
          <w:sz w:val="24"/>
          <w:szCs w:val="24"/>
          <w14:textFill>
            <w14:solidFill>
              <w14:schemeClr w14:val="tx1"/>
            </w14:solidFill>
          </w14:textFill>
        </w:rPr>
        <w:t>软件系统参数</w:t>
      </w:r>
    </w:p>
    <w:p w14:paraId="2138F6C3">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基本要求：</w:t>
      </w:r>
    </w:p>
    <w:p w14:paraId="075EAA48">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1）诊疗软件，视频图像清晰，包含视频储存回放功能，并有眼震图、SPV值显示用于辅助诊断。</w:t>
      </w:r>
    </w:p>
    <w:p w14:paraId="058B950D">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2）自定义试验：可手动编程调节速度、角度和加速度。</w:t>
      </w:r>
    </w:p>
    <w:p w14:paraId="7932A80D">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3）实时显示，或病例查询时显示，与运动轨迹（速度）、体位、耳蜗位置同步显示；可显示打印对比图及各项数据、结论。</w:t>
      </w:r>
    </w:p>
    <w:p w14:paraId="399544A7">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4）未来可进行升级智能诊断，或根据客户要求增加预设动作，升级眼震算法，提高检测精准度；优化界面设置，提升人机交互体验。</w:t>
      </w:r>
    </w:p>
    <w:p w14:paraId="72415549">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5）基本软件功能模块：</w:t>
      </w:r>
    </w:p>
    <w:p w14:paraId="5BB14C70">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自动诊断与复位治疗；</w:t>
      </w:r>
    </w:p>
    <w:p w14:paraId="2572A8B8">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校准、自发性眼震、静态位置、动态位置试验；</w:t>
      </w:r>
    </w:p>
    <w:p w14:paraId="220246E5">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正弦谐波模式：正弦、正弦谐波试验：脉冲加速（急停）、恒定加速；单侧离心测试（偏轴旋转）</w:t>
      </w:r>
    </w:p>
    <w:p w14:paraId="7CA2E885">
      <w:pPr>
        <w:spacing w:line="560" w:lineRule="exact"/>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配置清单</w:t>
      </w:r>
    </w:p>
    <w:tbl>
      <w:tblPr>
        <w:tblStyle w:val="35"/>
        <w:tblW w:w="8554"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461"/>
        <w:gridCol w:w="5000"/>
        <w:gridCol w:w="2093"/>
      </w:tblGrid>
      <w:tr w14:paraId="03C4543A">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461" w:type="dxa"/>
            <w:tcBorders>
              <w:top w:val="single" w:color="auto" w:sz="4" w:space="0"/>
              <w:left w:val="single" w:color="auto" w:sz="4" w:space="0"/>
              <w:bottom w:val="single" w:color="auto" w:sz="4" w:space="0"/>
              <w:right w:val="single" w:color="auto" w:sz="4" w:space="0"/>
            </w:tcBorders>
            <w:shd w:val="clear" w:color="auto" w:fill="FFFFFF"/>
            <w:vAlign w:val="center"/>
          </w:tcPr>
          <w:p w14:paraId="47483A08">
            <w:pPr>
              <w:adjustRightInd w:val="0"/>
              <w:snapToGrid w:val="0"/>
              <w:spacing w:line="0" w:lineRule="atLeast"/>
              <w:jc w:val="center"/>
              <w:rPr>
                <w:rFonts w:hint="eastAsia" w:ascii="宋体" w:hAnsi="宋体"/>
                <w:b/>
                <w:color w:val="000000" w:themeColor="text1"/>
                <w:spacing w:val="20"/>
                <w:sz w:val="24"/>
                <w:szCs w:val="24"/>
                <w14:textFill>
                  <w14:solidFill>
                    <w14:schemeClr w14:val="tx1"/>
                  </w14:solidFill>
                </w14:textFill>
              </w:rPr>
            </w:pPr>
            <w:r>
              <w:rPr>
                <w:rFonts w:hint="eastAsia" w:ascii="宋体" w:hAnsi="宋体"/>
                <w:b/>
                <w:color w:val="000000" w:themeColor="text1"/>
                <w:spacing w:val="20"/>
                <w:sz w:val="24"/>
                <w:szCs w:val="24"/>
                <w14:textFill>
                  <w14:solidFill>
                    <w14:schemeClr w14:val="tx1"/>
                  </w14:solidFill>
                </w14:textFill>
              </w:rPr>
              <w:t>主件</w:t>
            </w: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1D297A53">
            <w:pPr>
              <w:adjustRightInd w:val="0"/>
              <w:snapToGrid w:val="0"/>
              <w:spacing w:line="0" w:lineRule="atLeast"/>
              <w:jc w:val="center"/>
              <w:rPr>
                <w:rFonts w:hint="eastAsia" w:ascii="宋体" w:hAnsi="宋体" w:eastAsiaTheme="minorEastAsia"/>
                <w:b/>
                <w:color w:val="000000" w:themeColor="text1"/>
                <w:spacing w:val="20"/>
                <w:sz w:val="24"/>
                <w:szCs w:val="24"/>
                <w14:textFill>
                  <w14:solidFill>
                    <w14:schemeClr w14:val="tx1"/>
                  </w14:solidFill>
                </w14:textFill>
              </w:rPr>
            </w:pPr>
            <w:r>
              <w:rPr>
                <w:rFonts w:hint="eastAsia" w:ascii="宋体" w:hAnsi="宋体"/>
                <w:b/>
                <w:color w:val="000000" w:themeColor="text1"/>
                <w:spacing w:val="20"/>
                <w:sz w:val="24"/>
                <w:szCs w:val="24"/>
                <w14:textFill>
                  <w14:solidFill>
                    <w14:schemeClr w14:val="tx1"/>
                  </w14:solidFill>
                </w14:textFill>
              </w:rPr>
              <w:t>副件</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0CF7D256">
            <w:pPr>
              <w:adjustRightInd w:val="0"/>
              <w:snapToGrid w:val="0"/>
              <w:spacing w:line="0" w:lineRule="atLeast"/>
              <w:jc w:val="center"/>
              <w:rPr>
                <w:rFonts w:hint="eastAsia" w:ascii="宋体" w:hAnsi="宋体"/>
                <w:b/>
                <w:color w:val="000000" w:themeColor="text1"/>
                <w:spacing w:val="20"/>
                <w:sz w:val="24"/>
                <w:szCs w:val="24"/>
                <w14:textFill>
                  <w14:solidFill>
                    <w14:schemeClr w14:val="tx1"/>
                  </w14:solidFill>
                </w14:textFill>
              </w:rPr>
            </w:pPr>
            <w:r>
              <w:rPr>
                <w:rFonts w:hint="eastAsia" w:ascii="宋体" w:hAnsi="宋体"/>
                <w:b/>
                <w:color w:val="000000" w:themeColor="text1"/>
                <w:spacing w:val="20"/>
                <w:sz w:val="24"/>
                <w:szCs w:val="24"/>
                <w14:textFill>
                  <w14:solidFill>
                    <w14:schemeClr w14:val="tx1"/>
                  </w14:solidFill>
                </w14:textFill>
              </w:rPr>
              <w:t>数量</w:t>
            </w:r>
          </w:p>
        </w:tc>
      </w:tr>
      <w:tr w14:paraId="1ECF6EBA">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31EAA40">
            <w:pPr>
              <w:adjustRightInd w:val="0"/>
              <w:snapToGrid w:val="0"/>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主机一套</w:t>
            </w: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2481A94F">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眼罩</w:t>
            </w:r>
          </w:p>
        </w:tc>
        <w:tc>
          <w:tcPr>
            <w:tcW w:w="2093" w:type="dxa"/>
            <w:tcBorders>
              <w:top w:val="single" w:color="auto" w:sz="4" w:space="0"/>
              <w:left w:val="single" w:color="auto" w:sz="4" w:space="0"/>
              <w:bottom w:val="single" w:color="auto" w:sz="4" w:space="0"/>
              <w:right w:val="single" w:color="auto" w:sz="4" w:space="0"/>
            </w:tcBorders>
            <w:shd w:val="clear" w:color="auto" w:fill="FFFFFF"/>
          </w:tcPr>
          <w:p w14:paraId="49ECBA6B">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1个</w:t>
            </w:r>
          </w:p>
        </w:tc>
      </w:tr>
      <w:tr w14:paraId="1653629E">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EA1F6C">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585731FA">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眼罩数据、电源线</w:t>
            </w:r>
          </w:p>
        </w:tc>
        <w:tc>
          <w:tcPr>
            <w:tcW w:w="2093" w:type="dxa"/>
            <w:tcBorders>
              <w:top w:val="single" w:color="auto" w:sz="4" w:space="0"/>
              <w:left w:val="single" w:color="auto" w:sz="4" w:space="0"/>
              <w:bottom w:val="single" w:color="auto" w:sz="4" w:space="0"/>
              <w:right w:val="single" w:color="auto" w:sz="4" w:space="0"/>
            </w:tcBorders>
            <w:shd w:val="clear" w:color="auto" w:fill="FFFFFF"/>
          </w:tcPr>
          <w:p w14:paraId="62574EE0">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1根</w:t>
            </w:r>
          </w:p>
        </w:tc>
      </w:tr>
      <w:tr w14:paraId="2E591DA6">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FB241C">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tcPr>
          <w:p w14:paraId="24CC4439">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脚踏控制开关</w:t>
            </w:r>
          </w:p>
        </w:tc>
        <w:tc>
          <w:tcPr>
            <w:tcW w:w="2093" w:type="dxa"/>
            <w:tcBorders>
              <w:top w:val="single" w:color="auto" w:sz="4" w:space="0"/>
              <w:left w:val="single" w:color="auto" w:sz="4" w:space="0"/>
              <w:bottom w:val="single" w:color="auto" w:sz="4" w:space="0"/>
              <w:right w:val="single" w:color="auto" w:sz="4" w:space="0"/>
            </w:tcBorders>
            <w:shd w:val="clear" w:color="auto" w:fill="FFFFFF"/>
          </w:tcPr>
          <w:p w14:paraId="39DE7946">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1个</w:t>
            </w:r>
          </w:p>
        </w:tc>
      </w:tr>
      <w:tr w14:paraId="74AC90C6">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936EF2">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5D7C6B12">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外壳</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05D57F3B">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1套</w:t>
            </w:r>
          </w:p>
        </w:tc>
      </w:tr>
      <w:tr w14:paraId="7EDC797E">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CE90B1">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2E0CC537">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机械支架</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2B39680A">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1套</w:t>
            </w:r>
          </w:p>
        </w:tc>
      </w:tr>
      <w:tr w14:paraId="617F1BDD">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E9441F">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4E82A9A7">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安全座椅及安全带</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1D8DF9E0">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1套</w:t>
            </w:r>
          </w:p>
        </w:tc>
      </w:tr>
      <w:tr w14:paraId="512C8CB5">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B85C35">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2F786D3F">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伺服器系统</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7597D158">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1套</w:t>
            </w:r>
          </w:p>
        </w:tc>
      </w:tr>
      <w:tr w14:paraId="4C7D23C6">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16C646">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02DCC2C8">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电控系统</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21A84BF1">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1套</w:t>
            </w:r>
          </w:p>
        </w:tc>
      </w:tr>
      <w:tr w14:paraId="6402068F">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446DB6">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580EA525">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地毯</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5E54B473">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1张</w:t>
            </w:r>
          </w:p>
        </w:tc>
      </w:tr>
      <w:tr w14:paraId="67E370A9">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6E8419">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1FEC62F5">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电脑工作站</w:t>
            </w:r>
            <w:r>
              <w:rPr>
                <w:rFonts w:cs="Arial"/>
                <w:color w:val="000000" w:themeColor="text1"/>
                <w:sz w:val="24"/>
                <w:szCs w:val="24"/>
                <w14:textFill>
                  <w14:solidFill>
                    <w14:schemeClr w14:val="tx1"/>
                  </w14:solidFill>
                </w14:textFill>
              </w:rPr>
              <w:t>(</w:t>
            </w:r>
            <w:r>
              <w:rPr>
                <w:rFonts w:hint="eastAsia" w:cs="Arial"/>
                <w:color w:val="000000" w:themeColor="text1"/>
                <w:sz w:val="24"/>
                <w:szCs w:val="24"/>
                <w14:textFill>
                  <w14:solidFill>
                    <w14:schemeClr w14:val="tx1"/>
                  </w14:solidFill>
                </w14:textFill>
              </w:rPr>
              <w:t>台式</w:t>
            </w:r>
            <w:r>
              <w:rPr>
                <w:rFonts w:cs="Arial"/>
                <w:color w:val="000000" w:themeColor="text1"/>
                <w:sz w:val="24"/>
                <w:szCs w:val="24"/>
                <w14:textFill>
                  <w14:solidFill>
                    <w14:schemeClr w14:val="tx1"/>
                  </w14:solidFill>
                </w14:textFill>
              </w:rPr>
              <w:t>)</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7534CE6C">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1台</w:t>
            </w:r>
          </w:p>
        </w:tc>
      </w:tr>
      <w:tr w14:paraId="126BD1E9">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A9D7E4">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56B1506E">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32寸显示器</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40C606D6">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1台</w:t>
            </w:r>
          </w:p>
        </w:tc>
      </w:tr>
      <w:tr w14:paraId="2B99BEBB">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11776E">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53ECD00C">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品牌打印机</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53B9530A">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1台</w:t>
            </w:r>
          </w:p>
        </w:tc>
      </w:tr>
      <w:tr w14:paraId="5BE4282B">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B62683">
            <w:pPr>
              <w:adjustRightInd w:val="0"/>
              <w:snapToGrid w:val="0"/>
              <w:jc w:val="center"/>
              <w:rPr>
                <w:rFonts w:hint="eastAsia" w:ascii="宋体" w:hAnsi="宋体"/>
                <w:color w:val="000000" w:themeColor="text1"/>
                <w:spacing w:val="20"/>
                <w:sz w:val="24"/>
                <w:szCs w:val="24"/>
                <w14:textFill>
                  <w14:solidFill>
                    <w14:schemeClr w14:val="tx1"/>
                  </w14:solidFill>
                </w14:textFill>
              </w:rPr>
            </w:pPr>
          </w:p>
        </w:tc>
        <w:tc>
          <w:tcPr>
            <w:tcW w:w="5000" w:type="dxa"/>
            <w:tcBorders>
              <w:top w:val="single" w:color="auto" w:sz="4" w:space="0"/>
              <w:left w:val="single" w:color="auto" w:sz="4" w:space="0"/>
              <w:bottom w:val="single" w:color="auto" w:sz="4" w:space="0"/>
              <w:right w:val="single" w:color="auto" w:sz="4" w:space="0"/>
            </w:tcBorders>
            <w:shd w:val="clear" w:color="auto" w:fill="FFFFFF"/>
            <w:vAlign w:val="center"/>
          </w:tcPr>
          <w:p w14:paraId="31CE1949">
            <w:pPr>
              <w:jc w:val="center"/>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控制盒</w:t>
            </w:r>
          </w:p>
        </w:tc>
        <w:tc>
          <w:tcPr>
            <w:tcW w:w="2093" w:type="dxa"/>
            <w:tcBorders>
              <w:top w:val="single" w:color="auto" w:sz="4" w:space="0"/>
              <w:left w:val="single" w:color="auto" w:sz="4" w:space="0"/>
              <w:bottom w:val="single" w:color="auto" w:sz="4" w:space="0"/>
              <w:right w:val="single" w:color="auto" w:sz="4" w:space="0"/>
            </w:tcBorders>
            <w:shd w:val="clear" w:color="auto" w:fill="FFFFFF"/>
            <w:vAlign w:val="center"/>
          </w:tcPr>
          <w:p w14:paraId="3FF50835">
            <w:pPr>
              <w:adjustRightInd w:val="0"/>
              <w:snapToGrid w:val="0"/>
              <w:ind w:right="-18"/>
              <w:jc w:val="center"/>
              <w:rPr>
                <w:rFonts w:hint="eastAsia" w:ascii="宋体" w:hAnsi="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1个</w:t>
            </w:r>
          </w:p>
        </w:tc>
      </w:tr>
    </w:tbl>
    <w:p w14:paraId="2037BE83">
      <w:pPr>
        <w:spacing w:line="360" w:lineRule="auto"/>
        <w:rPr>
          <w:rFonts w:hint="eastAsia" w:ascii="仿宋" w:hAnsi="仿宋" w:eastAsia="仿宋" w:cs="仿宋"/>
          <w:color w:val="000000" w:themeColor="text1"/>
          <w14:textFill>
            <w14:solidFill>
              <w14:schemeClr w14:val="tx1"/>
            </w14:solidFill>
          </w14:textFill>
        </w:rPr>
        <w:sectPr>
          <w:footerReference r:id="rId6" w:type="default"/>
          <w:pgSz w:w="11906" w:h="16838"/>
          <w:pgMar w:top="1440" w:right="1800" w:bottom="1440" w:left="1800" w:header="851" w:footer="992" w:gutter="0"/>
          <w:pgNumType w:start="1"/>
          <w:cols w:space="425" w:num="1"/>
          <w:docGrid w:type="lines" w:linePitch="312" w:charSpace="0"/>
        </w:sectPr>
      </w:pPr>
    </w:p>
    <w:p w14:paraId="1A128DB4">
      <w:pPr>
        <w:pStyle w:val="3"/>
        <w:rPr>
          <w:rFonts w:hint="eastAsia" w:ascii="宋体" w:hAnsi="宋体" w:cs="宋体"/>
          <w:color w:val="000000" w:themeColor="text1"/>
          <w14:textFill>
            <w14:solidFill>
              <w14:schemeClr w14:val="tx1"/>
            </w14:solidFill>
          </w14:textFill>
        </w:rPr>
      </w:pPr>
      <w:bookmarkStart w:id="75" w:name="_Toc15777"/>
      <w:r>
        <w:rPr>
          <w:rFonts w:hint="eastAsia" w:ascii="宋体" w:hAnsi="宋体" w:cs="宋体"/>
          <w:color w:val="000000" w:themeColor="text1"/>
          <w:kern w:val="44"/>
          <w:sz w:val="28"/>
          <w:szCs w:val="21"/>
          <w14:textFill>
            <w14:solidFill>
              <w14:schemeClr w14:val="tx1"/>
            </w14:solidFill>
          </w14:textFill>
        </w:rPr>
        <w:t>3.</w:t>
      </w:r>
      <w:bookmarkEnd w:id="75"/>
      <w:r>
        <w:rPr>
          <w:rFonts w:hint="eastAsia"/>
          <w:color w:val="000000" w:themeColor="text1"/>
          <w:szCs w:val="30"/>
          <w14:textFill>
            <w14:solidFill>
              <w14:schemeClr w14:val="tx1"/>
            </w14:solidFill>
          </w14:textFill>
        </w:rPr>
        <w:t xml:space="preserve"> </w:t>
      </w:r>
      <w:r>
        <w:rPr>
          <w:rFonts w:hint="eastAsia" w:ascii="宋体" w:hAnsi="宋体" w:cs="宋体"/>
          <w:color w:val="000000" w:themeColor="text1"/>
          <w:kern w:val="44"/>
          <w:sz w:val="28"/>
          <w:szCs w:val="21"/>
          <w14:textFill>
            <w14:solidFill>
              <w14:schemeClr w14:val="tx1"/>
            </w14:solidFill>
          </w14:textFill>
        </w:rPr>
        <w:t>双工位诊疗台</w:t>
      </w:r>
    </w:p>
    <w:p w14:paraId="6878EF5B">
      <w:pPr>
        <w:spacing w:line="56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双工位诊疗台技术参数及配置清单</w:t>
      </w:r>
    </w:p>
    <w:p w14:paraId="1DA297C0">
      <w:pPr>
        <w:pStyle w:val="152"/>
        <w:spacing w:line="560" w:lineRule="exact"/>
        <w:ind w:right="-840" w:rightChars="-4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一、工作站模块</w:t>
      </w:r>
    </w:p>
    <w:p w14:paraId="635648CF">
      <w:pPr>
        <w:snapToGrid w:val="0"/>
        <w:spacing w:line="56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1.诊疗台</w:t>
      </w:r>
    </w:p>
    <w:p w14:paraId="173C80FD">
      <w:pPr>
        <w:snapToGrid w:val="0"/>
        <w:spacing w:line="56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1.1总体要求：</w:t>
      </w:r>
    </w:p>
    <w:p w14:paraId="7E2B3DAA">
      <w:pPr>
        <w:snapToGrid w:val="0"/>
        <w:spacing w:line="56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1.1.1采用工作站及器械管理柜分体模块化设计。</w:t>
      </w:r>
    </w:p>
    <w:p w14:paraId="7DE3FDA6">
      <w:pPr>
        <w:snapToGrid w:val="0"/>
        <w:spacing w:line="56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1.1.2</w:t>
      </w:r>
      <w:r>
        <w:rPr>
          <w:rFonts w:hint="eastAsia" w:asciiTheme="minorEastAsia" w:hAnsiTheme="minorEastAsia" w:eastAsiaTheme="minorEastAsia" w:cstheme="minorEastAsia"/>
          <w:color w:val="000000" w:themeColor="text1"/>
          <w:sz w:val="24"/>
          <w:szCs w:val="24"/>
          <w14:textFill>
            <w14:solidFill>
              <w14:schemeClr w14:val="tx1"/>
            </w14:solidFill>
          </w14:textFill>
        </w:rPr>
        <w:t>设备</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提供CFDA</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或</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FDA证件。</w:t>
      </w:r>
    </w:p>
    <w:p w14:paraId="74E583F8">
      <w:pPr>
        <w:snapToGrid w:val="0"/>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1.1.3设备外壳采用专业的医用抗菌、阻燃、防腐材质。</w:t>
      </w:r>
    </w:p>
    <w:p w14:paraId="100F19D5">
      <w:pPr>
        <w:snapToGrid w:val="0"/>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 负压吸引：</w:t>
      </w:r>
      <w:r>
        <w:rPr>
          <w:rFonts w:hint="eastAsia" w:asciiTheme="minorEastAsia" w:hAnsiTheme="minorEastAsia" w:eastAsiaTheme="minorEastAsia" w:cstheme="minorEastAsia"/>
          <w:bCs/>
          <w:sz w:val="24"/>
          <w:szCs w:val="24"/>
        </w:rPr>
        <w:tab/>
      </w:r>
    </w:p>
    <w:p w14:paraId="6F60EBBA">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1.2.1 负压泵为免维护吸引泵，负压压力可调。</w:t>
      </w:r>
    </w:p>
    <w:p w14:paraId="66A5BD32">
      <w:pPr>
        <w:snapToGrid w:val="0"/>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1.2.2 光控开关，提起吸引头自动工作。</w:t>
      </w:r>
    </w:p>
    <w:p w14:paraId="6CF84D48">
      <w:pPr>
        <w:snapToGrid w:val="0"/>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1.2.3 分泌物容器具有双重防溢流(此时负压吸引管路断路)和细菌过滤功能，杜绝交叉感染的可能，分泌物收集罐中的过滤片可有效过滤0.1μm细菌。</w:t>
      </w:r>
    </w:p>
    <w:p w14:paraId="25AF526A">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1.2.4 整条负压吸引管及接口可高温高压消毒。</w:t>
      </w:r>
    </w:p>
    <w:p w14:paraId="4E5E6CEB">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1.2.5污染物收集罐可高温高压消毒。</w:t>
      </w:r>
    </w:p>
    <w:p w14:paraId="2C46F832">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1.2.6负压吸引管路自动冲洗系统。</w:t>
      </w:r>
    </w:p>
    <w:p w14:paraId="1D15C18D">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 压缩空气喷枪：</w:t>
      </w:r>
    </w:p>
    <w:p w14:paraId="477457B1">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1.3.1正压泵为免维护吸引泵，正压压力可调</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w:t>
      </w:r>
    </w:p>
    <w:p w14:paraId="40271914">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1.3.2光控开关，提起喷枪自动工作。</w:t>
      </w:r>
    </w:p>
    <w:p w14:paraId="3308DF72">
      <w:pPr>
        <w:snapToGrid w:val="0"/>
        <w:spacing w:line="560" w:lineRule="exact"/>
        <w:ind w:left="720" w:hanging="720" w:hanging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 .3喷头采用双管路液气分流技术，避免堵管。</w:t>
      </w:r>
    </w:p>
    <w:p w14:paraId="004B093A">
      <w:pPr>
        <w:snapToGrid w:val="0"/>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1.4间接喉镜快速加热：电阻丝加热，防止细菌吹出污染镜面。一键加热，</w:t>
      </w:r>
      <w:r>
        <w:rPr>
          <w:rFonts w:hint="eastAsia" w:asciiTheme="minorEastAsia" w:hAnsiTheme="minorEastAsia" w:eastAsiaTheme="minorEastAsia" w:cstheme="minorEastAsia"/>
          <w:sz w:val="24"/>
          <w:szCs w:val="24"/>
        </w:rPr>
        <w:t>无需一直按着开关加热，</w:t>
      </w:r>
      <w:r>
        <w:rPr>
          <w:rFonts w:hint="eastAsia" w:asciiTheme="minorEastAsia" w:hAnsiTheme="minorEastAsia" w:eastAsiaTheme="minorEastAsia" w:cstheme="minorEastAsia"/>
          <w:bCs/>
          <w:sz w:val="24"/>
          <w:szCs w:val="24"/>
        </w:rPr>
        <w:t>自动保护装置</w:t>
      </w:r>
      <w:r>
        <w:rPr>
          <w:rFonts w:hint="eastAsia" w:asciiTheme="minorEastAsia" w:hAnsiTheme="minorEastAsia" w:eastAsiaTheme="minorEastAsia" w:cstheme="minorEastAsia"/>
          <w:sz w:val="24"/>
          <w:szCs w:val="24"/>
        </w:rPr>
        <w:t>，加热超过10秒，自动停止加热</w:t>
      </w:r>
      <w:r>
        <w:rPr>
          <w:rFonts w:hint="eastAsia" w:asciiTheme="minorEastAsia" w:hAnsiTheme="minorEastAsia" w:eastAsiaTheme="minorEastAsia" w:cstheme="minorEastAsia"/>
          <w:bCs/>
          <w:sz w:val="24"/>
          <w:szCs w:val="24"/>
        </w:rPr>
        <w:t>。</w:t>
      </w:r>
    </w:p>
    <w:p w14:paraId="43137796">
      <w:pPr>
        <w:snapToGrid w:val="0"/>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 内镜光源手柄：</w:t>
      </w:r>
    </w:p>
    <w:p w14:paraId="33509E4A">
      <w:pPr>
        <w:snapToGrid w:val="0"/>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1.5.1内置</w:t>
      </w:r>
      <w:r>
        <w:rPr>
          <w:rFonts w:hint="eastAsia" w:asciiTheme="minorEastAsia" w:hAnsiTheme="minorEastAsia" w:eastAsiaTheme="minorEastAsia" w:cstheme="minorEastAsia"/>
          <w:sz w:val="24"/>
          <w:szCs w:val="24"/>
        </w:rPr>
        <w:t>原装进口</w:t>
      </w:r>
      <w:r>
        <w:rPr>
          <w:rFonts w:hint="eastAsia" w:asciiTheme="minorEastAsia" w:hAnsiTheme="minorEastAsia" w:eastAsiaTheme="minorEastAsia" w:cstheme="minorEastAsia"/>
          <w:bCs/>
          <w:sz w:val="24"/>
          <w:szCs w:val="24"/>
        </w:rPr>
        <w:t>LED内镜手柄光源，避免传统光导线及光源易损坏。</w:t>
      </w:r>
    </w:p>
    <w:p w14:paraId="3C03BA82">
      <w:pPr>
        <w:snapToGrid w:val="0"/>
        <w:spacing w:line="5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1.5.2具备两种供电模式，可用电池供电，可连接诊疗台供能模块供电。</w:t>
      </w:r>
    </w:p>
    <w:p w14:paraId="695F5173">
      <w:pPr>
        <w:pStyle w:val="195"/>
        <w:spacing w:line="560" w:lineRule="exact"/>
        <w:ind w:right="105" w:rightChars="5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2.高清摄像系统</w:t>
      </w:r>
    </w:p>
    <w:p w14:paraId="13DDC872">
      <w:pPr>
        <w:pStyle w:val="195"/>
        <w:spacing w:line="560" w:lineRule="exact"/>
        <w:ind w:right="105" w:rightChars="50" w:firstLine="0" w:firstLineChars="0"/>
        <w:rPr>
          <w:rFonts w:hint="eastAsia" w:ascii="宋体" w:hAnsi="宋体" w:cs="宋体"/>
          <w:b/>
          <w:bCs/>
          <w:sz w:val="24"/>
          <w:szCs w:val="24"/>
        </w:rPr>
      </w:pPr>
      <w:r>
        <w:rPr>
          <w:rFonts w:hint="eastAsia" w:asciiTheme="minorEastAsia" w:hAnsiTheme="minorEastAsia" w:eastAsiaTheme="minorEastAsia" w:cstheme="minorEastAsia"/>
          <w:bCs/>
          <w:sz w:val="24"/>
          <w:szCs w:val="24"/>
        </w:rPr>
        <w:t>2.1分辨率≥1920*1080P</w:t>
      </w:r>
    </w:p>
    <w:p w14:paraId="613E4E39">
      <w:pPr>
        <w:spacing w:line="288" w:lineRule="auto"/>
        <w:rPr>
          <w:rFonts w:hint="eastAsia" w:ascii="宋体" w:hAnsi="宋体" w:cs="宋体"/>
          <w:b/>
          <w:bCs/>
          <w:sz w:val="24"/>
          <w:szCs w:val="24"/>
        </w:rPr>
      </w:pPr>
      <w:r>
        <w:rPr>
          <w:rFonts w:hint="eastAsia" w:ascii="宋体" w:hAnsi="宋体" w:cs="宋体"/>
          <w:b/>
          <w:bCs/>
          <w:sz w:val="24"/>
          <w:szCs w:val="24"/>
        </w:rPr>
        <w:t>配置清单：</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5"/>
        <w:gridCol w:w="2967"/>
      </w:tblGrid>
      <w:tr w14:paraId="1C1D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149AFC2F">
            <w:pPr>
              <w:widowControl w:val="0"/>
              <w:jc w:val="left"/>
              <w:rPr>
                <w:rFonts w:hint="eastAsia" w:ascii="宋体" w:hAnsi="宋体" w:cs="宋体"/>
                <w:bCs/>
                <w:sz w:val="24"/>
                <w:szCs w:val="24"/>
              </w:rPr>
            </w:pPr>
            <w:r>
              <w:rPr>
                <w:rFonts w:ascii="宋体" w:hAnsi="宋体" w:cs="宋体"/>
                <w:sz w:val="24"/>
                <w:szCs w:val="24"/>
              </w:rPr>
              <w:t>1.</w:t>
            </w:r>
            <w:r>
              <w:rPr>
                <w:rFonts w:hint="eastAsia" w:ascii="宋体" w:hAnsi="宋体" w:cs="宋体"/>
                <w:sz w:val="24"/>
                <w:szCs w:val="24"/>
              </w:rPr>
              <w:t>正压吸引系统</w:t>
            </w:r>
          </w:p>
        </w:tc>
        <w:tc>
          <w:tcPr>
            <w:tcW w:w="2967" w:type="dxa"/>
            <w:vAlign w:val="center"/>
          </w:tcPr>
          <w:p w14:paraId="0BE6BE5D">
            <w:pPr>
              <w:widowControl w:val="0"/>
              <w:jc w:val="center"/>
              <w:rPr>
                <w:rFonts w:hint="eastAsia" w:ascii="宋体" w:hAnsi="宋体" w:cs="宋体"/>
                <w:bCs/>
                <w:sz w:val="24"/>
                <w:szCs w:val="24"/>
              </w:rPr>
            </w:pPr>
            <w:r>
              <w:rPr>
                <w:rFonts w:hint="eastAsia" w:ascii="宋体" w:hAnsi="宋体" w:cs="宋体"/>
                <w:sz w:val="24"/>
                <w:szCs w:val="24"/>
              </w:rPr>
              <w:t>1套</w:t>
            </w:r>
          </w:p>
        </w:tc>
      </w:tr>
      <w:tr w14:paraId="42A7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521C89BB">
            <w:pPr>
              <w:widowControl w:val="0"/>
              <w:jc w:val="left"/>
              <w:rPr>
                <w:rFonts w:hint="eastAsia" w:ascii="宋体" w:hAnsi="宋体" w:cs="宋体"/>
                <w:bCs/>
                <w:sz w:val="24"/>
                <w:szCs w:val="24"/>
              </w:rPr>
            </w:pPr>
            <w:r>
              <w:rPr>
                <w:rFonts w:ascii="宋体" w:hAnsi="宋体" w:cs="宋体"/>
                <w:sz w:val="24"/>
                <w:szCs w:val="24"/>
              </w:rPr>
              <w:t>2.</w:t>
            </w:r>
            <w:r>
              <w:rPr>
                <w:rFonts w:hint="eastAsia" w:ascii="宋体" w:hAnsi="宋体" w:cs="宋体"/>
                <w:sz w:val="24"/>
                <w:szCs w:val="24"/>
              </w:rPr>
              <w:t>负压吸引系统</w:t>
            </w:r>
          </w:p>
        </w:tc>
        <w:tc>
          <w:tcPr>
            <w:tcW w:w="2967" w:type="dxa"/>
            <w:vAlign w:val="center"/>
          </w:tcPr>
          <w:p w14:paraId="57935AE6">
            <w:pPr>
              <w:widowControl w:val="0"/>
              <w:jc w:val="center"/>
              <w:rPr>
                <w:rFonts w:hint="eastAsia" w:ascii="宋体" w:hAnsi="宋体" w:cs="宋体"/>
                <w:bCs/>
                <w:sz w:val="24"/>
                <w:szCs w:val="24"/>
              </w:rPr>
            </w:pPr>
            <w:r>
              <w:rPr>
                <w:rFonts w:hint="eastAsia" w:ascii="宋体" w:hAnsi="宋体" w:cs="宋体"/>
                <w:sz w:val="24"/>
                <w:szCs w:val="24"/>
              </w:rPr>
              <w:t>1套</w:t>
            </w:r>
          </w:p>
        </w:tc>
      </w:tr>
      <w:tr w14:paraId="08C8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2BD45700">
            <w:pPr>
              <w:widowControl w:val="0"/>
              <w:jc w:val="left"/>
              <w:rPr>
                <w:rFonts w:hint="eastAsia" w:ascii="宋体" w:hAnsi="宋体" w:cs="宋体"/>
                <w:bCs/>
                <w:sz w:val="24"/>
                <w:szCs w:val="24"/>
              </w:rPr>
            </w:pPr>
            <w:r>
              <w:rPr>
                <w:rFonts w:ascii="宋体" w:hAnsi="宋体" w:cs="宋体"/>
                <w:sz w:val="24"/>
                <w:szCs w:val="24"/>
              </w:rPr>
              <w:t>3.</w:t>
            </w:r>
            <w:r>
              <w:rPr>
                <w:rFonts w:hint="eastAsia"/>
                <w:sz w:val="24"/>
                <w:szCs w:val="24"/>
              </w:rPr>
              <w:t>间接喉镜加热</w:t>
            </w:r>
          </w:p>
        </w:tc>
        <w:tc>
          <w:tcPr>
            <w:tcW w:w="2967" w:type="dxa"/>
            <w:vAlign w:val="center"/>
          </w:tcPr>
          <w:p w14:paraId="24A78618">
            <w:pPr>
              <w:widowControl w:val="0"/>
              <w:jc w:val="center"/>
              <w:rPr>
                <w:rFonts w:hint="eastAsia" w:ascii="宋体" w:hAnsi="宋体" w:cs="宋体"/>
                <w:bCs/>
                <w:sz w:val="24"/>
                <w:szCs w:val="24"/>
              </w:rPr>
            </w:pPr>
            <w:r>
              <w:rPr>
                <w:rFonts w:hint="eastAsia" w:ascii="宋体" w:hAnsi="宋体" w:cs="宋体"/>
                <w:sz w:val="24"/>
                <w:szCs w:val="24"/>
              </w:rPr>
              <w:t>1套</w:t>
            </w:r>
          </w:p>
        </w:tc>
      </w:tr>
      <w:tr w14:paraId="488F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76BECFB5">
            <w:pPr>
              <w:widowControl w:val="0"/>
              <w:jc w:val="left"/>
              <w:rPr>
                <w:rFonts w:hint="eastAsia" w:ascii="宋体" w:hAnsi="宋体" w:cs="宋体"/>
                <w:bCs/>
                <w:sz w:val="24"/>
                <w:szCs w:val="24"/>
              </w:rPr>
            </w:pPr>
            <w:r>
              <w:rPr>
                <w:rFonts w:ascii="宋体" w:hAnsi="宋体" w:cs="宋体"/>
                <w:sz w:val="24"/>
                <w:szCs w:val="24"/>
              </w:rPr>
              <w:t>4.</w:t>
            </w:r>
            <w:r>
              <w:rPr>
                <w:rFonts w:hint="eastAsia"/>
                <w:sz w:val="24"/>
                <w:szCs w:val="24"/>
              </w:rPr>
              <w:t>主机内置手持式摄像光源系统</w:t>
            </w:r>
          </w:p>
        </w:tc>
        <w:tc>
          <w:tcPr>
            <w:tcW w:w="2967" w:type="dxa"/>
            <w:vAlign w:val="center"/>
          </w:tcPr>
          <w:p w14:paraId="2001C9F2">
            <w:pPr>
              <w:widowControl w:val="0"/>
              <w:jc w:val="center"/>
              <w:rPr>
                <w:rFonts w:hint="eastAsia" w:ascii="宋体" w:hAnsi="宋体" w:cs="宋体"/>
                <w:bCs/>
                <w:sz w:val="24"/>
                <w:szCs w:val="24"/>
              </w:rPr>
            </w:pPr>
            <w:r>
              <w:rPr>
                <w:rFonts w:hint="eastAsia" w:ascii="宋体" w:hAnsi="宋体" w:cs="宋体"/>
                <w:sz w:val="24"/>
                <w:szCs w:val="24"/>
              </w:rPr>
              <w:t>1套</w:t>
            </w:r>
          </w:p>
        </w:tc>
      </w:tr>
      <w:tr w14:paraId="4AF7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36F30EC7">
            <w:pPr>
              <w:widowControl w:val="0"/>
              <w:jc w:val="left"/>
              <w:rPr>
                <w:rFonts w:hint="eastAsia" w:ascii="宋体" w:hAnsi="宋体" w:cs="宋体"/>
                <w:bCs/>
                <w:sz w:val="24"/>
                <w:szCs w:val="24"/>
              </w:rPr>
            </w:pPr>
            <w:r>
              <w:rPr>
                <w:rFonts w:ascii="宋体" w:hAnsi="宋体" w:cs="宋体"/>
                <w:sz w:val="24"/>
                <w:szCs w:val="24"/>
              </w:rPr>
              <w:t>5.</w:t>
            </w:r>
            <w:r>
              <w:rPr>
                <w:rFonts w:hint="eastAsia" w:ascii="宋体" w:hAnsi="宋体" w:cs="宋体"/>
                <w:sz w:val="24"/>
                <w:szCs w:val="24"/>
              </w:rPr>
              <w:t>器械管理柜</w:t>
            </w:r>
          </w:p>
        </w:tc>
        <w:tc>
          <w:tcPr>
            <w:tcW w:w="2967" w:type="dxa"/>
            <w:vAlign w:val="center"/>
          </w:tcPr>
          <w:p w14:paraId="229E916C">
            <w:pPr>
              <w:widowControl w:val="0"/>
              <w:jc w:val="center"/>
              <w:rPr>
                <w:rFonts w:hint="eastAsia" w:ascii="宋体" w:hAnsi="宋体" w:cs="宋体"/>
                <w:bCs/>
                <w:sz w:val="24"/>
                <w:szCs w:val="24"/>
              </w:rPr>
            </w:pPr>
            <w:r>
              <w:rPr>
                <w:rFonts w:hint="eastAsia" w:ascii="宋体" w:hAnsi="宋体" w:cs="宋体"/>
                <w:sz w:val="24"/>
                <w:szCs w:val="24"/>
              </w:rPr>
              <w:t>2套</w:t>
            </w:r>
          </w:p>
        </w:tc>
      </w:tr>
      <w:tr w14:paraId="71F1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114C14D4">
            <w:pPr>
              <w:widowControl w:val="0"/>
              <w:jc w:val="left"/>
              <w:rPr>
                <w:rFonts w:hint="eastAsia" w:ascii="宋体" w:hAnsi="宋体" w:cs="宋体"/>
                <w:bCs/>
                <w:sz w:val="24"/>
                <w:szCs w:val="24"/>
              </w:rPr>
            </w:pPr>
            <w:r>
              <w:rPr>
                <w:rFonts w:ascii="宋体" w:hAnsi="宋体" w:cs="宋体"/>
                <w:sz w:val="24"/>
                <w:szCs w:val="24"/>
              </w:rPr>
              <w:t>6.</w:t>
            </w:r>
            <w:r>
              <w:rPr>
                <w:rFonts w:hint="eastAsia" w:ascii="宋体" w:hAnsi="宋体" w:cs="宋体"/>
                <w:sz w:val="24"/>
                <w:szCs w:val="24"/>
              </w:rPr>
              <w:t>医生椅</w:t>
            </w:r>
          </w:p>
        </w:tc>
        <w:tc>
          <w:tcPr>
            <w:tcW w:w="2967" w:type="dxa"/>
            <w:vAlign w:val="center"/>
          </w:tcPr>
          <w:p w14:paraId="2E7E7738">
            <w:pPr>
              <w:widowControl w:val="0"/>
              <w:jc w:val="center"/>
              <w:rPr>
                <w:rFonts w:hint="eastAsia" w:ascii="宋体" w:hAnsi="宋体" w:cs="宋体"/>
                <w:bCs/>
                <w:sz w:val="24"/>
                <w:szCs w:val="24"/>
              </w:rPr>
            </w:pPr>
            <w:r>
              <w:rPr>
                <w:rFonts w:hint="eastAsia" w:ascii="宋体" w:hAnsi="宋体" w:cs="宋体"/>
                <w:sz w:val="24"/>
                <w:szCs w:val="24"/>
              </w:rPr>
              <w:t>2套</w:t>
            </w:r>
          </w:p>
        </w:tc>
      </w:tr>
      <w:tr w14:paraId="7C01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78E7048C">
            <w:pPr>
              <w:widowControl w:val="0"/>
              <w:jc w:val="left"/>
              <w:rPr>
                <w:rFonts w:hint="eastAsia" w:ascii="宋体" w:hAnsi="宋体" w:cs="宋体"/>
                <w:bCs/>
                <w:sz w:val="24"/>
                <w:szCs w:val="24"/>
              </w:rPr>
            </w:pPr>
            <w:r>
              <w:rPr>
                <w:rFonts w:ascii="宋体" w:hAnsi="宋体" w:cs="宋体"/>
                <w:sz w:val="24"/>
                <w:szCs w:val="24"/>
              </w:rPr>
              <w:t>7.</w:t>
            </w:r>
            <w:r>
              <w:rPr>
                <w:rFonts w:hint="eastAsia" w:ascii="宋体" w:hAnsi="宋体" w:cs="宋体"/>
                <w:sz w:val="24"/>
                <w:szCs w:val="24"/>
              </w:rPr>
              <w:t>患者诊疗椅</w:t>
            </w:r>
          </w:p>
        </w:tc>
        <w:tc>
          <w:tcPr>
            <w:tcW w:w="2967" w:type="dxa"/>
            <w:vAlign w:val="center"/>
          </w:tcPr>
          <w:p w14:paraId="7478E286">
            <w:pPr>
              <w:widowControl w:val="0"/>
              <w:jc w:val="center"/>
              <w:rPr>
                <w:rFonts w:hint="eastAsia" w:ascii="宋体" w:hAnsi="宋体" w:cs="宋体"/>
                <w:bCs/>
                <w:sz w:val="24"/>
                <w:szCs w:val="24"/>
              </w:rPr>
            </w:pPr>
            <w:r>
              <w:rPr>
                <w:rFonts w:hint="eastAsia" w:ascii="宋体" w:hAnsi="宋体" w:cs="宋体"/>
                <w:sz w:val="24"/>
                <w:szCs w:val="24"/>
              </w:rPr>
              <w:t>2套</w:t>
            </w:r>
          </w:p>
        </w:tc>
      </w:tr>
      <w:tr w14:paraId="262A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6DA9DBB6">
            <w:pPr>
              <w:widowControl w:val="0"/>
              <w:jc w:val="left"/>
              <w:rPr>
                <w:rFonts w:hint="eastAsia" w:ascii="宋体" w:hAnsi="宋体" w:cs="宋体"/>
                <w:bCs/>
                <w:sz w:val="24"/>
                <w:szCs w:val="24"/>
              </w:rPr>
            </w:pPr>
            <w:r>
              <w:rPr>
                <w:sz w:val="24"/>
                <w:szCs w:val="24"/>
              </w:rPr>
              <w:t>8.</w:t>
            </w:r>
            <w:r>
              <w:rPr>
                <w:rFonts w:hint="eastAsia" w:ascii="宋体" w:hAnsi="宋体" w:cs="宋体"/>
                <w:bCs/>
                <w:sz w:val="24"/>
                <w:szCs w:val="24"/>
              </w:rPr>
              <w:t>反射灯</w:t>
            </w:r>
          </w:p>
        </w:tc>
        <w:tc>
          <w:tcPr>
            <w:tcW w:w="2967" w:type="dxa"/>
            <w:vAlign w:val="center"/>
          </w:tcPr>
          <w:p w14:paraId="31C16A29">
            <w:pPr>
              <w:widowControl w:val="0"/>
              <w:jc w:val="center"/>
              <w:rPr>
                <w:rFonts w:hint="eastAsia" w:ascii="宋体" w:hAnsi="宋体" w:cs="宋体"/>
                <w:bCs/>
                <w:sz w:val="24"/>
                <w:szCs w:val="24"/>
              </w:rPr>
            </w:pPr>
            <w:r>
              <w:rPr>
                <w:rFonts w:hint="eastAsia" w:ascii="宋体" w:hAnsi="宋体" w:cs="宋体"/>
                <w:sz w:val="24"/>
                <w:szCs w:val="24"/>
              </w:rPr>
              <w:t>2套</w:t>
            </w:r>
          </w:p>
        </w:tc>
      </w:tr>
      <w:tr w14:paraId="5515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7DB246EB">
            <w:pPr>
              <w:widowControl w:val="0"/>
              <w:jc w:val="left"/>
              <w:rPr>
                <w:rFonts w:hint="eastAsia" w:ascii="宋体" w:hAnsi="宋体" w:cs="宋体"/>
                <w:bCs/>
                <w:sz w:val="24"/>
                <w:szCs w:val="24"/>
              </w:rPr>
            </w:pPr>
            <w:r>
              <w:rPr>
                <w:sz w:val="24"/>
                <w:szCs w:val="24"/>
              </w:rPr>
              <w:t>9.</w:t>
            </w:r>
            <w:r>
              <w:rPr>
                <w:rFonts w:hint="eastAsia"/>
                <w:sz w:val="24"/>
                <w:szCs w:val="24"/>
              </w:rPr>
              <w:t>高清摄像系统</w:t>
            </w:r>
          </w:p>
        </w:tc>
        <w:tc>
          <w:tcPr>
            <w:tcW w:w="2967" w:type="dxa"/>
            <w:vAlign w:val="center"/>
          </w:tcPr>
          <w:p w14:paraId="623B8380">
            <w:pPr>
              <w:widowControl w:val="0"/>
              <w:jc w:val="center"/>
              <w:rPr>
                <w:rFonts w:hint="eastAsia" w:ascii="宋体" w:hAnsi="宋体" w:cs="宋体"/>
                <w:sz w:val="24"/>
                <w:szCs w:val="24"/>
              </w:rPr>
            </w:pPr>
            <w:r>
              <w:rPr>
                <w:rFonts w:hint="eastAsia" w:ascii="宋体" w:hAnsi="宋体" w:cs="宋体"/>
                <w:sz w:val="24"/>
                <w:szCs w:val="24"/>
              </w:rPr>
              <w:t>1套</w:t>
            </w:r>
          </w:p>
        </w:tc>
      </w:tr>
      <w:tr w14:paraId="2426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7DE8B692">
            <w:pPr>
              <w:widowControl w:val="0"/>
              <w:jc w:val="left"/>
              <w:rPr>
                <w:rFonts w:hint="eastAsia" w:ascii="宋体" w:hAnsi="宋体" w:cs="宋体"/>
                <w:bCs/>
                <w:sz w:val="24"/>
                <w:szCs w:val="24"/>
              </w:rPr>
            </w:pPr>
            <w:r>
              <w:rPr>
                <w:sz w:val="24"/>
                <w:szCs w:val="24"/>
              </w:rPr>
              <w:t>10.</w:t>
            </w:r>
            <w:r>
              <w:rPr>
                <w:rFonts w:hint="eastAsia"/>
                <w:sz w:val="24"/>
                <w:szCs w:val="24"/>
              </w:rPr>
              <w:t>监视器</w:t>
            </w:r>
          </w:p>
        </w:tc>
        <w:tc>
          <w:tcPr>
            <w:tcW w:w="2967" w:type="dxa"/>
            <w:vAlign w:val="center"/>
          </w:tcPr>
          <w:p w14:paraId="396D531E">
            <w:pPr>
              <w:widowControl w:val="0"/>
              <w:jc w:val="center"/>
              <w:rPr>
                <w:rFonts w:hint="eastAsia" w:ascii="宋体" w:hAnsi="宋体" w:cs="宋体"/>
                <w:sz w:val="24"/>
                <w:szCs w:val="24"/>
              </w:rPr>
            </w:pPr>
            <w:r>
              <w:rPr>
                <w:rFonts w:hint="eastAsia" w:ascii="宋体" w:hAnsi="宋体" w:cs="宋体"/>
                <w:sz w:val="24"/>
                <w:szCs w:val="24"/>
              </w:rPr>
              <w:t>1套</w:t>
            </w:r>
          </w:p>
        </w:tc>
      </w:tr>
      <w:tr w14:paraId="088B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28DE29CA">
            <w:pPr>
              <w:widowControl w:val="0"/>
              <w:jc w:val="left"/>
              <w:rPr>
                <w:rFonts w:hint="eastAsia" w:ascii="宋体" w:hAnsi="宋体" w:cs="宋体"/>
                <w:bCs/>
                <w:sz w:val="24"/>
                <w:szCs w:val="24"/>
              </w:rPr>
            </w:pPr>
            <w:r>
              <w:rPr>
                <w:sz w:val="24"/>
                <w:szCs w:val="24"/>
              </w:rPr>
              <w:t>11.</w:t>
            </w:r>
            <w:r>
              <w:rPr>
                <w:rFonts w:hint="eastAsia"/>
                <w:sz w:val="24"/>
                <w:szCs w:val="24"/>
              </w:rPr>
              <w:t>整合框架</w:t>
            </w:r>
          </w:p>
        </w:tc>
        <w:tc>
          <w:tcPr>
            <w:tcW w:w="2967" w:type="dxa"/>
            <w:vAlign w:val="center"/>
          </w:tcPr>
          <w:p w14:paraId="64E5FE3B">
            <w:pPr>
              <w:widowControl w:val="0"/>
              <w:jc w:val="center"/>
              <w:rPr>
                <w:rFonts w:hint="eastAsia" w:ascii="宋体" w:hAnsi="宋体" w:cs="宋体"/>
                <w:sz w:val="24"/>
                <w:szCs w:val="24"/>
              </w:rPr>
            </w:pPr>
            <w:r>
              <w:rPr>
                <w:rFonts w:hint="eastAsia" w:ascii="宋体" w:hAnsi="宋体" w:cs="宋体"/>
                <w:sz w:val="24"/>
                <w:szCs w:val="24"/>
              </w:rPr>
              <w:t>1套</w:t>
            </w:r>
          </w:p>
        </w:tc>
      </w:tr>
      <w:tr w14:paraId="6770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55" w:type="dxa"/>
            <w:vAlign w:val="center"/>
          </w:tcPr>
          <w:p w14:paraId="2BA65565">
            <w:pPr>
              <w:widowControl w:val="0"/>
              <w:jc w:val="left"/>
              <w:rPr>
                <w:rFonts w:hint="eastAsia" w:ascii="宋体" w:hAnsi="宋体" w:cs="宋体"/>
                <w:bCs/>
                <w:sz w:val="24"/>
                <w:szCs w:val="24"/>
              </w:rPr>
            </w:pPr>
            <w:r>
              <w:rPr>
                <w:sz w:val="24"/>
                <w:szCs w:val="24"/>
              </w:rPr>
              <w:t>12.</w:t>
            </w:r>
            <w:r>
              <w:rPr>
                <w:rFonts w:hint="eastAsia" w:ascii="宋体" w:hAnsi="宋体" w:cs="宋体"/>
                <w:bCs/>
                <w:sz w:val="24"/>
                <w:szCs w:val="24"/>
              </w:rPr>
              <w:t>阅片灯</w:t>
            </w:r>
          </w:p>
        </w:tc>
        <w:tc>
          <w:tcPr>
            <w:tcW w:w="2967" w:type="dxa"/>
            <w:vAlign w:val="center"/>
          </w:tcPr>
          <w:p w14:paraId="4D6979F2">
            <w:pPr>
              <w:widowControl w:val="0"/>
              <w:jc w:val="center"/>
              <w:rPr>
                <w:rFonts w:hint="eastAsia" w:ascii="宋体" w:hAnsi="宋体" w:cs="宋体"/>
                <w:sz w:val="24"/>
                <w:szCs w:val="24"/>
              </w:rPr>
            </w:pPr>
            <w:r>
              <w:rPr>
                <w:rFonts w:hint="eastAsia" w:ascii="宋体" w:hAnsi="宋体" w:cs="宋体"/>
                <w:sz w:val="24"/>
                <w:szCs w:val="24"/>
              </w:rPr>
              <w:t>1套</w:t>
            </w:r>
          </w:p>
        </w:tc>
      </w:tr>
    </w:tbl>
    <w:p w14:paraId="6C7CE29C"/>
    <w:p w14:paraId="71B46491">
      <w:pPr>
        <w:pStyle w:val="3"/>
        <w:rPr>
          <w:rFonts w:hint="eastAsia" w:ascii="宋体" w:hAnsi="宋体" w:cs="宋体"/>
        </w:rPr>
      </w:pPr>
      <w:r>
        <w:rPr>
          <w:rFonts w:hint="eastAsia"/>
        </w:rPr>
        <w:br w:type="page"/>
      </w:r>
      <w:bookmarkStart w:id="76" w:name="_Toc17515"/>
      <w:r>
        <w:rPr>
          <w:rFonts w:hint="eastAsia"/>
        </w:rPr>
        <w:t>4.</w:t>
      </w:r>
      <w:bookmarkEnd w:id="76"/>
      <w:r>
        <w:rPr>
          <w:rFonts w:hint="eastAsia" w:cs="Arial"/>
          <w:bCs w:val="0"/>
          <w:color w:val="7030A0"/>
          <w:sz w:val="28"/>
          <w:szCs w:val="28"/>
        </w:rPr>
        <w:t xml:space="preserve"> </w:t>
      </w:r>
      <w:r>
        <w:rPr>
          <w:rFonts w:hint="eastAsia"/>
        </w:rPr>
        <w:t>鼻功能诊断系统</w:t>
      </w:r>
    </w:p>
    <w:p w14:paraId="6247ED15">
      <w:pPr>
        <w:pStyle w:val="22"/>
        <w:spacing w:line="56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鼻功能诊断系统参数及配置</w:t>
      </w:r>
    </w:p>
    <w:p w14:paraId="239EF4FA">
      <w:pPr>
        <w:spacing w:line="5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一、基本概况</w:t>
      </w:r>
    </w:p>
    <w:p w14:paraId="6BE9AFBF">
      <w:pPr>
        <w:spacing w:line="5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1.项目及数量：</w:t>
      </w:r>
      <w:r>
        <w:rPr>
          <w:rFonts w:hint="eastAsia" w:asciiTheme="minorEastAsia" w:hAnsiTheme="minorEastAsia" w:eastAsiaTheme="minorEastAsia" w:cstheme="minorEastAsia"/>
          <w:bCs/>
          <w:sz w:val="24"/>
          <w:szCs w:val="24"/>
          <w:lang w:eastAsia="zh-CN"/>
        </w:rPr>
        <w:t>鼻功能诊断系统</w:t>
      </w:r>
    </w:p>
    <w:p w14:paraId="6B4A727F">
      <w:pPr>
        <w:spacing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用途：鼻功能诊断系统包括：鼻阻力仪是客观测量鼻呼吸阻力，鼻阻力测量是一种动态观测过程，测量在平静呼吸状态下单侧或两侧鼻阻力，通过测量鼻腔气流量和气流压力的值计算出鼻腔内气流阻力。鼻声反射测量是一种静态观测过程，短暂屏气状态下鼻腔容积和鼻腔最小横截面积，提供鼻腔解剖学信息。鼻呼吸量仪是用于OSAS/OSAHS的诊断，测量结果客观得出是否需要手术或者其他医学介入，嗅觉功能测试等。</w:t>
      </w:r>
    </w:p>
    <w:p w14:paraId="7CEEA073">
      <w:pPr>
        <w:spacing w:line="5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二、功能及技术要求</w:t>
      </w:r>
    </w:p>
    <w:p w14:paraId="56C427F9">
      <w:pPr>
        <w:spacing w:line="560" w:lineRule="exact"/>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1、鼻声反射仪检测指标</w:t>
      </w:r>
    </w:p>
    <w:p w14:paraId="046F7400">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1.1发生器的发生频率至少包含20Hz～2000Hz</w:t>
      </w:r>
    </w:p>
    <w:p w14:paraId="5B2FE084">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1.2鼻声反射测量校准管面积精确度≤+3%</w:t>
      </w:r>
    </w:p>
    <w:p w14:paraId="76EE6052">
      <w:pPr>
        <w:adjustRightInd w:val="0"/>
        <w:snapToGrid w:val="0"/>
        <w:spacing w:before="26" w:after="26" w:line="560" w:lineRule="exact"/>
        <w:ind w:left="960" w:hanging="960" w:hangingChars="4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1.3鼻声反射测量校准管容积有效测量范围0-13cm段，显示应在15.99cm³+3%内。</w:t>
      </w:r>
    </w:p>
    <w:p w14:paraId="0CA5D699">
      <w:pPr>
        <w:adjustRightInd w:val="0"/>
        <w:snapToGrid w:val="0"/>
        <w:spacing w:before="26" w:after="26"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1.4可自动计算容积值、面积值及离鼻孔的距离值</w:t>
      </w:r>
    </w:p>
    <w:p w14:paraId="204ADF3B">
      <w:pPr>
        <w:adjustRightInd w:val="0"/>
        <w:snapToGrid w:val="0"/>
        <w:spacing w:before="26" w:after="26"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1.5仿真鼻精确度≤±2%</w:t>
      </w:r>
    </w:p>
    <w:p w14:paraId="756E028D">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1.6检测重复性自动计算值范围≤±3%</w:t>
      </w:r>
    </w:p>
    <w:p w14:paraId="35343A66">
      <w:pPr>
        <w:adjustRightInd w:val="0"/>
        <w:snapToGrid w:val="0"/>
        <w:spacing w:before="26" w:after="26" w:line="560" w:lineRule="exact"/>
        <w:ind w:right="-210" w:rightChars="-100"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1.7鼻声反射测量面积范围至少包含0—8.0cm²</w:t>
      </w:r>
    </w:p>
    <w:p w14:paraId="7E28F42A">
      <w:pPr>
        <w:spacing w:line="5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1.8自动计算减充血前后、手术前后、免疫治疗前后等鼻腔内横截面积</w:t>
      </w:r>
    </w:p>
    <w:p w14:paraId="33849508">
      <w:pPr>
        <w:spacing w:line="560" w:lineRule="exact"/>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2、鼻阻力仪检测指标</w:t>
      </w:r>
    </w:p>
    <w:p w14:paraId="3B280A42">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2.1 压力测量及流量测量误差≤±3%</w:t>
      </w:r>
    </w:p>
    <w:p w14:paraId="7E36E56B">
      <w:pPr>
        <w:adjustRightInd w:val="0"/>
        <w:snapToGrid w:val="0"/>
        <w:spacing w:before="26" w:after="26"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2.2  压力测量范围0-800Pa, 流量测量范围0-800ml/s</w:t>
      </w:r>
    </w:p>
    <w:p w14:paraId="58F133F8">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lang w:val="zh-TW"/>
        </w:rPr>
      </w:pPr>
      <w:r>
        <w:rPr>
          <w:rFonts w:hint="eastAsia" w:asciiTheme="minorEastAsia" w:hAnsiTheme="minorEastAsia" w:eastAsiaTheme="minorEastAsia" w:cstheme="minorEastAsia"/>
          <w:bCs/>
          <w:sz w:val="24"/>
          <w:szCs w:val="24"/>
        </w:rPr>
        <w:t xml:space="preserve">2.3  </w:t>
      </w:r>
      <w:r>
        <w:rPr>
          <w:rFonts w:hint="eastAsia" w:asciiTheme="minorEastAsia" w:hAnsiTheme="minorEastAsia" w:eastAsiaTheme="minorEastAsia" w:cstheme="minorEastAsia"/>
          <w:bCs/>
          <w:sz w:val="24"/>
          <w:szCs w:val="24"/>
          <w:lang w:val="zh-TW"/>
        </w:rPr>
        <w:t>嗅觉气味刺激结果差异百分比</w:t>
      </w:r>
    </w:p>
    <w:p w14:paraId="299BDB1E">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2.4  压力75Pa/100Pa/150Pa/300Pa下，鼻腔流量值及阻力值.</w:t>
      </w:r>
    </w:p>
    <w:p w14:paraId="356F5E49">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2.5  连续压力测试吸气阻力值和呼气阻力值.</w:t>
      </w:r>
    </w:p>
    <w:p w14:paraId="5A0274C1">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2.6 4相位鼻阻力 左右鼻顶点阻力值</w:t>
      </w:r>
    </w:p>
    <w:p w14:paraId="087F6264">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2.7  4相位鼻阻力 左右鼻有效阻力值</w:t>
      </w:r>
    </w:p>
    <w:p w14:paraId="1567078C">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2.8 4相位鼻阻力 有效总阻力值</w:t>
      </w:r>
    </w:p>
    <w:p w14:paraId="7D6223DC">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2.9  罗雷尔系数值（k1/k2值）</w:t>
      </w:r>
    </w:p>
    <w:p w14:paraId="53613122">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2.10 鼻阻力后端测试总阻力值</w:t>
      </w:r>
    </w:p>
    <w:p w14:paraId="2827AEE0">
      <w:pPr>
        <w:adjustRightInd w:val="0"/>
        <w:snapToGrid w:val="0"/>
        <w:spacing w:before="26" w:after="26" w:line="5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  鼻呼吸量仪检测指标</w:t>
      </w:r>
    </w:p>
    <w:p w14:paraId="2BDECE6F">
      <w:pPr>
        <w:adjustRightInd w:val="0"/>
        <w:snapToGrid w:val="0"/>
        <w:spacing w:before="26" w:after="26" w:line="5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3.1鼻呼吸量仪测试重复性＜2%</w:t>
      </w:r>
    </w:p>
    <w:p w14:paraId="7A898F20">
      <w:pPr>
        <w:numPr>
          <w:ilvl w:val="1"/>
          <w:numId w:val="0"/>
        </w:num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3.2左、右鼻腔呼吸总容量值（呼吸一次或者一定时间内均可）。</w:t>
      </w:r>
    </w:p>
    <w:p w14:paraId="08E8BC7D">
      <w:pPr>
        <w:numPr>
          <w:ilvl w:val="1"/>
          <w:numId w:val="0"/>
        </w:numPr>
        <w:adjustRightInd w:val="0"/>
        <w:snapToGrid w:val="0"/>
        <w:spacing w:before="26" w:after="26" w:line="560" w:lineRule="exact"/>
        <w:ind w:left="600" w:hanging="36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3.3鼻中隔偏率值。</w:t>
      </w:r>
    </w:p>
    <w:p w14:paraId="0D233083">
      <w:pPr>
        <w:adjustRightInd w:val="0"/>
        <w:snapToGrid w:val="0"/>
        <w:spacing w:before="26" w:after="26" w:line="560" w:lineRule="exact"/>
        <w:ind w:firstLine="240" w:firstLineChars="1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3.4鼻通气外科手术治疗建议结果。</w:t>
      </w:r>
    </w:p>
    <w:p w14:paraId="18F8C339">
      <w:pPr>
        <w:adjustRightInd w:val="0"/>
        <w:snapToGrid w:val="0"/>
        <w:spacing w:before="26" w:after="26"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3.5左右鼻腔鼻峰流速值</w:t>
      </w:r>
    </w:p>
    <w:p w14:paraId="2091F0EF">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 嗅觉测试：</w:t>
      </w:r>
      <w:r>
        <w:rPr>
          <w:rFonts w:hint="eastAsia" w:asciiTheme="minorEastAsia" w:hAnsiTheme="minorEastAsia" w:eastAsiaTheme="minorEastAsia" w:cstheme="minorEastAsia"/>
          <w:sz w:val="24"/>
          <w:szCs w:val="24"/>
        </w:rPr>
        <w:t>嗅棒识别测试，自动分析结果</w:t>
      </w:r>
    </w:p>
    <w:p w14:paraId="0F8BFDDD">
      <w:pPr>
        <w:adjustRightInd w:val="0"/>
        <w:snapToGrid w:val="0"/>
        <w:spacing w:before="26" w:after="26" w:line="560" w:lineRule="exact"/>
        <w:ind w:firstLine="240" w:firstLineChars="100"/>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rPr>
        <w:t>4.1</w:t>
      </w:r>
      <w:r>
        <w:rPr>
          <w:rFonts w:hint="eastAsia" w:asciiTheme="minorEastAsia" w:hAnsiTheme="minorEastAsia" w:eastAsiaTheme="minorEastAsia" w:cstheme="minorEastAsia"/>
          <w:sz w:val="24"/>
          <w:szCs w:val="24"/>
          <w:lang w:val="zh-TW"/>
        </w:rPr>
        <w:t>16种不同气味棒</w:t>
      </w:r>
    </w:p>
    <w:p w14:paraId="757D87C9">
      <w:pPr>
        <w:adjustRightInd w:val="0"/>
        <w:snapToGrid w:val="0"/>
        <w:spacing w:before="26" w:after="26" w:line="5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w:t>
      </w:r>
      <w:r>
        <w:rPr>
          <w:rFonts w:hint="eastAsia" w:asciiTheme="minorEastAsia" w:hAnsiTheme="minorEastAsia" w:eastAsiaTheme="minorEastAsia" w:cstheme="minorEastAsia"/>
          <w:sz w:val="24"/>
          <w:szCs w:val="24"/>
          <w:lang w:val="zh-TW"/>
        </w:rPr>
        <w:t>重测信度0.92</w:t>
      </w:r>
    </w:p>
    <w:p w14:paraId="01133484">
      <w:pPr>
        <w:adjustRightInd w:val="0"/>
        <w:snapToGrid w:val="0"/>
        <w:spacing w:before="26" w:after="26"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4.3</w:t>
      </w:r>
      <w:r>
        <w:rPr>
          <w:rFonts w:hint="eastAsia" w:asciiTheme="minorEastAsia" w:hAnsiTheme="minorEastAsia" w:eastAsiaTheme="minorEastAsia" w:cstheme="minorEastAsia"/>
          <w:sz w:val="24"/>
          <w:szCs w:val="24"/>
          <w:lang w:val="zh-TW"/>
        </w:rPr>
        <w:t>临床检测敏感度75%，特异度71%</w:t>
      </w:r>
    </w:p>
    <w:p w14:paraId="199A8A96">
      <w:pPr>
        <w:adjustRightInd w:val="0"/>
        <w:snapToGrid w:val="0"/>
        <w:spacing w:before="26" w:after="26" w:line="560" w:lineRule="exact"/>
        <w:ind w:firstLine="240" w:firstLineChars="100"/>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rPr>
        <w:t>4.4</w:t>
      </w:r>
      <w:r>
        <w:rPr>
          <w:rFonts w:hint="eastAsia" w:asciiTheme="minorEastAsia" w:hAnsiTheme="minorEastAsia" w:eastAsiaTheme="minorEastAsia" w:cstheme="minorEastAsia"/>
          <w:sz w:val="24"/>
          <w:szCs w:val="24"/>
          <w:lang w:val="zh-TW"/>
        </w:rPr>
        <w:t>完全中国本土化气味</w:t>
      </w:r>
    </w:p>
    <w:p w14:paraId="218DFA5F">
      <w:pPr>
        <w:adjustRightInd w:val="0"/>
        <w:snapToGrid w:val="0"/>
        <w:spacing w:before="26" w:after="26" w:line="560" w:lineRule="exact"/>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TW"/>
        </w:rPr>
        <w:t>.5中国人正常值数据库（常模）</w:t>
      </w:r>
    </w:p>
    <w:p w14:paraId="0F082547">
      <w:pPr>
        <w:adjustRightInd w:val="0"/>
        <w:snapToGrid w:val="0"/>
        <w:spacing w:before="26" w:after="26" w:line="560" w:lineRule="exact"/>
        <w:ind w:firstLine="240" w:firstLineChars="100"/>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TW"/>
        </w:rPr>
        <w:t>.6总测试1</w:t>
      </w:r>
      <w:r>
        <w:rPr>
          <w:rFonts w:hint="eastAsia" w:asciiTheme="minorEastAsia" w:hAnsiTheme="minorEastAsia" w:eastAsiaTheme="minorEastAsia" w:cstheme="minorEastAsia"/>
          <w:sz w:val="24"/>
          <w:szCs w:val="24"/>
          <w:lang w:val="zh-TW" w:eastAsia="zh-TW"/>
        </w:rPr>
        <w:t>0</w:t>
      </w:r>
      <w:r>
        <w:rPr>
          <w:rFonts w:hint="eastAsia" w:asciiTheme="minorEastAsia" w:hAnsiTheme="minorEastAsia" w:eastAsiaTheme="minorEastAsia" w:cstheme="minorEastAsia"/>
          <w:sz w:val="24"/>
          <w:szCs w:val="24"/>
          <w:lang w:val="zh-TW"/>
        </w:rPr>
        <w:t>00人次以上</w:t>
      </w:r>
    </w:p>
    <w:p w14:paraId="73C293E6">
      <w:pPr>
        <w:adjustRightInd w:val="0"/>
        <w:snapToGrid w:val="0"/>
        <w:spacing w:before="26" w:after="26" w:line="5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4.7测试软件支持智能操作平台，无需纸笔作答。 </w:t>
      </w:r>
    </w:p>
    <w:p w14:paraId="3C57D807">
      <w:pPr>
        <w:adjustRightInd w:val="0"/>
        <w:snapToGrid w:val="0"/>
        <w:spacing w:before="26" w:after="26" w:line="5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 具有中国人群本土化嗅觉检测数据库（大样本数据库-正常值）</w:t>
      </w:r>
    </w:p>
    <w:p w14:paraId="7DA4FAB2">
      <w:pPr>
        <w:adjustRightInd w:val="0"/>
        <w:snapToGrid w:val="0"/>
        <w:spacing w:before="26" w:after="26" w:line="560" w:lineRule="exact"/>
        <w:ind w:left="210"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4.9医院测试系统配有单独的数据库，确保数据安全，所有报告均可打印。 </w:t>
      </w:r>
    </w:p>
    <w:p w14:paraId="519DF5DE">
      <w:pPr>
        <w:adjustRightInd w:val="0"/>
        <w:snapToGrid w:val="0"/>
        <w:spacing w:before="26" w:after="26" w:line="560" w:lineRule="exact"/>
        <w:ind w:left="210"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4.10嗅棒可重复使用10年以上，可进行重复灌装服务。</w:t>
      </w:r>
    </w:p>
    <w:p w14:paraId="0F6B9AB7">
      <w:pPr>
        <w:widowControl w:val="0"/>
        <w:spacing w:line="56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5软件及其他功能</w:t>
      </w:r>
    </w:p>
    <w:p w14:paraId="36C02ED8">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5.1鼻声反射仪检查全中文操作</w:t>
      </w:r>
    </w:p>
    <w:p w14:paraId="27E1F988">
      <w:pPr>
        <w:spacing w:line="5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5.2鼻声/鼻阻力操作软件可集成在一起成为二合一功能软件.</w:t>
      </w:r>
    </w:p>
    <w:p w14:paraId="6ED47DB9">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▲5.3带有两种鼻阻力测试技术: 1)：“四象限鼻阻力”；  2)：“四相位鼻阻力’’</w:t>
      </w:r>
    </w:p>
    <w:p w14:paraId="076A5C4E">
      <w:pPr>
        <w:spacing w:line="5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5.4具有两种检测技术检测鼻阻力：1)压力75/100/150/300Pa检测法，2)连续压力检测法.</w:t>
      </w:r>
    </w:p>
    <w:p w14:paraId="1B9A03E4">
      <w:pPr>
        <w:spacing w:line="5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5.5鼻阻力具有两种方法测量：面罩压力测量和鼻咽腔压力差能同时测量。</w:t>
      </w:r>
    </w:p>
    <w:p w14:paraId="232DB6DA">
      <w:pPr>
        <w:spacing w:line="560" w:lineRule="exact"/>
        <w:ind w:left="240"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▲5.6鼻阻力具有两种方法测量鼻阻力：1)标准的前端测量，2)精确的后端测量</w:t>
      </w:r>
    </w:p>
    <w:p w14:paraId="1829D67D">
      <w:pPr>
        <w:spacing w:line="560" w:lineRule="exact"/>
        <w:ind w:left="240"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5.7鼻声反射带有符合人体鼻腔结构小儿鼻探头和符合亚洲人使用的鼻管。</w:t>
      </w:r>
    </w:p>
    <w:p w14:paraId="60DC83CF">
      <w:pPr>
        <w:spacing w:line="560" w:lineRule="exact"/>
        <w:ind w:left="240"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5.8具有批处理功能，提高检查结果的重复性和准确性。</w:t>
      </w:r>
    </w:p>
    <w:p w14:paraId="78AC5864">
      <w:pPr>
        <w:spacing w:line="560" w:lineRule="exact"/>
        <w:ind w:left="240"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5.9 数据/图形输出共享功能。</w:t>
      </w:r>
    </w:p>
    <w:p w14:paraId="642F85A4">
      <w:pPr>
        <w:spacing w:line="560" w:lineRule="exact"/>
        <w:ind w:left="240"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5.10 报告单中所有内容均（包括表格及图中内容）可全中文</w:t>
      </w:r>
    </w:p>
    <w:p w14:paraId="19086444">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 鼻呼吸量仪带有计算鼻中隔偏率正常值。</w:t>
      </w:r>
    </w:p>
    <w:p w14:paraId="79A291E4">
      <w:pPr>
        <w:spacing w:line="560" w:lineRule="exact"/>
        <w:rPr>
          <w:rFonts w:hint="eastAsia" w:asciiTheme="minorEastAsia" w:hAnsiTheme="minorEastAsia" w:eastAsiaTheme="minorEastAsia" w:cstheme="minorEastAsia"/>
          <w:sz w:val="24"/>
          <w:szCs w:val="24"/>
        </w:rPr>
      </w:pPr>
    </w:p>
    <w:p w14:paraId="041DFCC6">
      <w:pPr>
        <w:spacing w:line="5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三、配置要求：</w:t>
      </w:r>
    </w:p>
    <w:tbl>
      <w:tblPr>
        <w:tblStyle w:val="3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5318"/>
        <w:gridCol w:w="2024"/>
      </w:tblGrid>
      <w:tr w14:paraId="03C3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7F64145E">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5318" w:type="dxa"/>
            <w:tcBorders>
              <w:bottom w:val="single" w:color="auto" w:sz="4" w:space="0"/>
            </w:tcBorders>
            <w:vAlign w:val="center"/>
          </w:tcPr>
          <w:p w14:paraId="601D14FF">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配件名称</w:t>
            </w:r>
          </w:p>
        </w:tc>
        <w:tc>
          <w:tcPr>
            <w:tcW w:w="2024" w:type="dxa"/>
            <w:tcBorders>
              <w:bottom w:val="single" w:color="auto" w:sz="4" w:space="0"/>
            </w:tcBorders>
            <w:vAlign w:val="center"/>
          </w:tcPr>
          <w:p w14:paraId="119E9263">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r>
      <w:tr w14:paraId="6E8D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4ACD24E8">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318" w:type="dxa"/>
            <w:tcBorders>
              <w:bottom w:val="single" w:color="auto" w:sz="4" w:space="0"/>
            </w:tcBorders>
            <w:vAlign w:val="center"/>
          </w:tcPr>
          <w:p w14:paraId="614378BB">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鼻声反射仪主机</w:t>
            </w:r>
          </w:p>
        </w:tc>
        <w:tc>
          <w:tcPr>
            <w:tcW w:w="2024" w:type="dxa"/>
            <w:tcBorders>
              <w:bottom w:val="single" w:color="auto" w:sz="4" w:space="0"/>
            </w:tcBorders>
            <w:vAlign w:val="center"/>
          </w:tcPr>
          <w:p w14:paraId="2A0D7085">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1台</w:t>
            </w:r>
          </w:p>
        </w:tc>
      </w:tr>
      <w:tr w14:paraId="346B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2AFF868D">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318" w:type="dxa"/>
            <w:tcBorders>
              <w:bottom w:val="single" w:color="auto" w:sz="4" w:space="0"/>
            </w:tcBorders>
            <w:vAlign w:val="center"/>
          </w:tcPr>
          <w:p w14:paraId="682D6D73">
            <w:pPr>
              <w:ind w:right="-260" w:rightChars="-124" w:firstLine="120" w:firstLine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鼻声信号采集分析线</w:t>
            </w:r>
          </w:p>
        </w:tc>
        <w:tc>
          <w:tcPr>
            <w:tcW w:w="2024" w:type="dxa"/>
            <w:tcBorders>
              <w:bottom w:val="single" w:color="auto" w:sz="4" w:space="0"/>
            </w:tcBorders>
            <w:vAlign w:val="center"/>
          </w:tcPr>
          <w:p w14:paraId="04464A15">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1条</w:t>
            </w:r>
          </w:p>
        </w:tc>
      </w:tr>
      <w:tr w14:paraId="6445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2776906C">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318" w:type="dxa"/>
            <w:tcBorders>
              <w:bottom w:val="single" w:color="auto" w:sz="4" w:space="0"/>
            </w:tcBorders>
            <w:vAlign w:val="center"/>
          </w:tcPr>
          <w:p w14:paraId="7C80971F">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鼻声发声/接收装置</w:t>
            </w:r>
          </w:p>
        </w:tc>
        <w:tc>
          <w:tcPr>
            <w:tcW w:w="2024" w:type="dxa"/>
            <w:tcBorders>
              <w:bottom w:val="single" w:color="auto" w:sz="4" w:space="0"/>
            </w:tcBorders>
            <w:vAlign w:val="center"/>
          </w:tcPr>
          <w:p w14:paraId="32FA96B2">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r>
      <w:tr w14:paraId="6135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31BCE931">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318" w:type="dxa"/>
            <w:tcBorders>
              <w:bottom w:val="single" w:color="auto" w:sz="4" w:space="0"/>
            </w:tcBorders>
            <w:vAlign w:val="center"/>
          </w:tcPr>
          <w:p w14:paraId="06A82043">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鼻腔结构鼻探头</w:t>
            </w:r>
          </w:p>
        </w:tc>
        <w:tc>
          <w:tcPr>
            <w:tcW w:w="2024" w:type="dxa"/>
            <w:tcBorders>
              <w:bottom w:val="single" w:color="auto" w:sz="4" w:space="0"/>
            </w:tcBorders>
            <w:vAlign w:val="center"/>
          </w:tcPr>
          <w:p w14:paraId="7B01D2DD">
            <w:pPr>
              <w:tabs>
                <w:tab w:val="center" w:pos="522"/>
                <w:tab w:val="right" w:pos="1044"/>
              </w:tabs>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7649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0119307F">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5318" w:type="dxa"/>
            <w:tcBorders>
              <w:bottom w:val="single" w:color="auto" w:sz="4" w:space="0"/>
            </w:tcBorders>
            <w:vAlign w:val="center"/>
          </w:tcPr>
          <w:p w14:paraId="62AA1BAD">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鼻声反射仪测试软件</w:t>
            </w:r>
          </w:p>
        </w:tc>
        <w:tc>
          <w:tcPr>
            <w:tcW w:w="2024" w:type="dxa"/>
            <w:tcBorders>
              <w:bottom w:val="single" w:color="auto" w:sz="4" w:space="0"/>
            </w:tcBorders>
            <w:vAlign w:val="center"/>
          </w:tcPr>
          <w:p w14:paraId="39CCD6FA">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2687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264F7777">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5318" w:type="dxa"/>
            <w:tcBorders>
              <w:bottom w:val="single" w:color="auto" w:sz="4" w:space="0"/>
            </w:tcBorders>
            <w:vAlign w:val="center"/>
          </w:tcPr>
          <w:p w14:paraId="693370C4">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鼻阻力仪主机</w:t>
            </w:r>
          </w:p>
        </w:tc>
        <w:tc>
          <w:tcPr>
            <w:tcW w:w="2024" w:type="dxa"/>
            <w:tcBorders>
              <w:bottom w:val="single" w:color="auto" w:sz="4" w:space="0"/>
            </w:tcBorders>
            <w:vAlign w:val="center"/>
          </w:tcPr>
          <w:p w14:paraId="48C4407E">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1台</w:t>
            </w:r>
          </w:p>
        </w:tc>
      </w:tr>
      <w:tr w14:paraId="4585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3D2FC6E7">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5318" w:type="dxa"/>
            <w:tcBorders>
              <w:bottom w:val="single" w:color="auto" w:sz="4" w:space="0"/>
            </w:tcBorders>
            <w:vAlign w:val="center"/>
          </w:tcPr>
          <w:p w14:paraId="45E606DB">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鼻阻力信号采集分析线</w:t>
            </w:r>
          </w:p>
        </w:tc>
        <w:tc>
          <w:tcPr>
            <w:tcW w:w="2024" w:type="dxa"/>
            <w:tcBorders>
              <w:bottom w:val="single" w:color="auto" w:sz="4" w:space="0"/>
            </w:tcBorders>
            <w:vAlign w:val="center"/>
          </w:tcPr>
          <w:p w14:paraId="1F102F8F">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1条</w:t>
            </w:r>
          </w:p>
        </w:tc>
      </w:tr>
      <w:tr w14:paraId="3F60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vAlign w:val="center"/>
          </w:tcPr>
          <w:p w14:paraId="71369D47">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5318" w:type="dxa"/>
            <w:tcBorders>
              <w:bottom w:val="single" w:color="auto" w:sz="4" w:space="0"/>
            </w:tcBorders>
            <w:vAlign w:val="center"/>
          </w:tcPr>
          <w:p w14:paraId="79ECBE66">
            <w:pPr>
              <w:ind w:right="-260" w:rightChars="-124" w:firstLine="120" w:firstLine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三头流量连接器</w:t>
            </w:r>
          </w:p>
        </w:tc>
        <w:tc>
          <w:tcPr>
            <w:tcW w:w="2024" w:type="dxa"/>
            <w:tcBorders>
              <w:bottom w:val="single" w:color="auto" w:sz="4" w:space="0"/>
            </w:tcBorders>
            <w:vAlign w:val="center"/>
          </w:tcPr>
          <w:p w14:paraId="37E8093B">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1404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4C3DC517">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5318" w:type="dxa"/>
            <w:tcBorders>
              <w:bottom w:val="single" w:color="auto" w:sz="4" w:space="0"/>
            </w:tcBorders>
            <w:shd w:val="clear" w:color="auto" w:fill="FFFFFF"/>
            <w:vAlign w:val="center"/>
          </w:tcPr>
          <w:p w14:paraId="432728CA">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打孔器及连接器</w:t>
            </w:r>
          </w:p>
        </w:tc>
        <w:tc>
          <w:tcPr>
            <w:tcW w:w="2024" w:type="dxa"/>
            <w:tcBorders>
              <w:bottom w:val="single" w:color="auto" w:sz="4" w:space="0"/>
            </w:tcBorders>
            <w:shd w:val="clear" w:color="auto" w:fill="FFFFFF"/>
            <w:vAlign w:val="center"/>
          </w:tcPr>
          <w:p w14:paraId="3FF46E24">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1226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1C4B3C6E">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5318" w:type="dxa"/>
            <w:tcBorders>
              <w:bottom w:val="single" w:color="auto" w:sz="4" w:space="0"/>
            </w:tcBorders>
            <w:shd w:val="clear" w:color="auto" w:fill="FFFFFF"/>
            <w:vAlign w:val="center"/>
          </w:tcPr>
          <w:p w14:paraId="2EB828CB">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医用胶带</w:t>
            </w:r>
          </w:p>
        </w:tc>
        <w:tc>
          <w:tcPr>
            <w:tcW w:w="2024" w:type="dxa"/>
            <w:tcBorders>
              <w:bottom w:val="single" w:color="auto" w:sz="4" w:space="0"/>
            </w:tcBorders>
            <w:shd w:val="clear" w:color="auto" w:fill="FFFFFF"/>
            <w:vAlign w:val="center"/>
          </w:tcPr>
          <w:p w14:paraId="5B18570D">
            <w:pPr>
              <w:tabs>
                <w:tab w:val="center" w:pos="522"/>
                <w:tab w:val="right" w:pos="1044"/>
              </w:tabs>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09F4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33EC104F">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5318" w:type="dxa"/>
            <w:tcBorders>
              <w:bottom w:val="single" w:color="auto" w:sz="4" w:space="0"/>
            </w:tcBorders>
            <w:shd w:val="clear" w:color="auto" w:fill="FFFFFF"/>
            <w:vAlign w:val="center"/>
          </w:tcPr>
          <w:p w14:paraId="4D1288E8">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泡沫鼻塞</w:t>
            </w:r>
          </w:p>
        </w:tc>
        <w:tc>
          <w:tcPr>
            <w:tcW w:w="2024" w:type="dxa"/>
            <w:tcBorders>
              <w:bottom w:val="single" w:color="auto" w:sz="4" w:space="0"/>
            </w:tcBorders>
            <w:shd w:val="clear" w:color="auto" w:fill="FFFFFF"/>
            <w:vAlign w:val="center"/>
          </w:tcPr>
          <w:p w14:paraId="23670B95">
            <w:pPr>
              <w:tabs>
                <w:tab w:val="center" w:pos="522"/>
                <w:tab w:val="right" w:pos="1044"/>
              </w:tabs>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100个</w:t>
            </w:r>
          </w:p>
        </w:tc>
      </w:tr>
      <w:tr w14:paraId="323C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062ABC43">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5318" w:type="dxa"/>
            <w:tcBorders>
              <w:bottom w:val="single" w:color="auto" w:sz="4" w:space="0"/>
            </w:tcBorders>
            <w:shd w:val="clear" w:color="auto" w:fill="FFFFFF"/>
            <w:vAlign w:val="center"/>
          </w:tcPr>
          <w:p w14:paraId="5ECFEFDC">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小孩用前/后端测量面罩</w:t>
            </w:r>
          </w:p>
        </w:tc>
        <w:tc>
          <w:tcPr>
            <w:tcW w:w="2024" w:type="dxa"/>
            <w:tcBorders>
              <w:bottom w:val="single" w:color="auto" w:sz="4" w:space="0"/>
            </w:tcBorders>
            <w:shd w:val="clear" w:color="auto" w:fill="FFFFFF"/>
            <w:vAlign w:val="center"/>
          </w:tcPr>
          <w:p w14:paraId="1CF150B8">
            <w:pPr>
              <w:tabs>
                <w:tab w:val="center" w:pos="522"/>
                <w:tab w:val="right" w:pos="1044"/>
              </w:tabs>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0549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72EA9150">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5318" w:type="dxa"/>
            <w:tcBorders>
              <w:bottom w:val="single" w:color="auto" w:sz="4" w:space="0"/>
            </w:tcBorders>
            <w:shd w:val="clear" w:color="auto" w:fill="FFFFFF"/>
            <w:vAlign w:val="center"/>
          </w:tcPr>
          <w:p w14:paraId="0BE9088B">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成人用前/后端测量面罩</w:t>
            </w:r>
          </w:p>
        </w:tc>
        <w:tc>
          <w:tcPr>
            <w:tcW w:w="2024" w:type="dxa"/>
            <w:tcBorders>
              <w:bottom w:val="single" w:color="auto" w:sz="4" w:space="0"/>
            </w:tcBorders>
            <w:shd w:val="clear" w:color="auto" w:fill="FFFFFF"/>
            <w:vAlign w:val="center"/>
          </w:tcPr>
          <w:p w14:paraId="1EACE270">
            <w:pPr>
              <w:tabs>
                <w:tab w:val="center" w:pos="522"/>
                <w:tab w:val="right" w:pos="1044"/>
              </w:tabs>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2D16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1DFA02BA">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5318" w:type="dxa"/>
            <w:tcBorders>
              <w:bottom w:val="single" w:color="auto" w:sz="4" w:space="0"/>
            </w:tcBorders>
            <w:shd w:val="clear" w:color="auto" w:fill="FFFFFF"/>
            <w:vAlign w:val="center"/>
          </w:tcPr>
          <w:p w14:paraId="743A86B7">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前/后端测量管</w:t>
            </w:r>
          </w:p>
        </w:tc>
        <w:tc>
          <w:tcPr>
            <w:tcW w:w="2024" w:type="dxa"/>
            <w:tcBorders>
              <w:bottom w:val="single" w:color="auto" w:sz="4" w:space="0"/>
            </w:tcBorders>
            <w:shd w:val="clear" w:color="auto" w:fill="FFFFFF"/>
            <w:vAlign w:val="center"/>
          </w:tcPr>
          <w:p w14:paraId="1684ACBA">
            <w:pPr>
              <w:tabs>
                <w:tab w:val="center" w:pos="522"/>
                <w:tab w:val="right" w:pos="1044"/>
              </w:tabs>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1条</w:t>
            </w:r>
          </w:p>
        </w:tc>
      </w:tr>
      <w:tr w14:paraId="3C6E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1B74BDA2">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5318" w:type="dxa"/>
            <w:tcBorders>
              <w:bottom w:val="single" w:color="auto" w:sz="4" w:space="0"/>
            </w:tcBorders>
            <w:shd w:val="clear" w:color="auto" w:fill="FFFFFF"/>
            <w:vAlign w:val="center"/>
          </w:tcPr>
          <w:p w14:paraId="22E3B1AD">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鼻阻力测试软件</w:t>
            </w:r>
          </w:p>
        </w:tc>
        <w:tc>
          <w:tcPr>
            <w:tcW w:w="2024" w:type="dxa"/>
            <w:tcBorders>
              <w:bottom w:val="single" w:color="auto" w:sz="4" w:space="0"/>
            </w:tcBorders>
            <w:shd w:val="clear" w:color="auto" w:fill="FFFFFF"/>
            <w:vAlign w:val="center"/>
          </w:tcPr>
          <w:p w14:paraId="611A5EDF">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r>
      <w:tr w14:paraId="656E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6E845244">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5318" w:type="dxa"/>
            <w:tcBorders>
              <w:bottom w:val="single" w:color="auto" w:sz="4" w:space="0"/>
            </w:tcBorders>
            <w:shd w:val="clear" w:color="auto" w:fill="FFFFFF"/>
            <w:vAlign w:val="center"/>
          </w:tcPr>
          <w:p w14:paraId="2E8B8972">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鼻呼吸量仪主机</w:t>
            </w:r>
          </w:p>
        </w:tc>
        <w:tc>
          <w:tcPr>
            <w:tcW w:w="2024" w:type="dxa"/>
            <w:tcBorders>
              <w:bottom w:val="single" w:color="auto" w:sz="4" w:space="0"/>
            </w:tcBorders>
            <w:shd w:val="clear" w:color="auto" w:fill="FFFFFF"/>
            <w:vAlign w:val="center"/>
          </w:tcPr>
          <w:p w14:paraId="4541F526">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1台</w:t>
            </w:r>
          </w:p>
        </w:tc>
      </w:tr>
      <w:tr w14:paraId="7BD6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7BFA8CE0">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5318" w:type="dxa"/>
            <w:tcBorders>
              <w:bottom w:val="single" w:color="auto" w:sz="4" w:space="0"/>
            </w:tcBorders>
            <w:shd w:val="clear" w:color="auto" w:fill="FFFFFF"/>
            <w:vAlign w:val="center"/>
          </w:tcPr>
          <w:p w14:paraId="4DC62526">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适合亚洲人及按照人体鼻腔结构设计鼻管</w:t>
            </w:r>
          </w:p>
        </w:tc>
        <w:tc>
          <w:tcPr>
            <w:tcW w:w="2024" w:type="dxa"/>
            <w:tcBorders>
              <w:bottom w:val="single" w:color="auto" w:sz="4" w:space="0"/>
            </w:tcBorders>
            <w:shd w:val="clear" w:color="auto" w:fill="FFFFFF"/>
            <w:vAlign w:val="center"/>
          </w:tcPr>
          <w:p w14:paraId="643F99DA">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10个</w:t>
            </w:r>
          </w:p>
        </w:tc>
      </w:tr>
      <w:tr w14:paraId="599A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649FA096">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5318" w:type="dxa"/>
            <w:tcBorders>
              <w:bottom w:val="single" w:color="auto" w:sz="4" w:space="0"/>
            </w:tcBorders>
            <w:shd w:val="clear" w:color="auto" w:fill="FFFFFF"/>
            <w:vAlign w:val="center"/>
          </w:tcPr>
          <w:p w14:paraId="62F04133">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USB连接线</w:t>
            </w:r>
          </w:p>
        </w:tc>
        <w:tc>
          <w:tcPr>
            <w:tcW w:w="2024" w:type="dxa"/>
            <w:tcBorders>
              <w:bottom w:val="single" w:color="auto" w:sz="4" w:space="0"/>
            </w:tcBorders>
            <w:shd w:val="clear" w:color="auto" w:fill="FFFFFF"/>
            <w:vAlign w:val="center"/>
          </w:tcPr>
          <w:p w14:paraId="737E3E0C">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1条</w:t>
            </w:r>
          </w:p>
        </w:tc>
      </w:tr>
      <w:tr w14:paraId="1C92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1CA94C83">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5318" w:type="dxa"/>
            <w:tcBorders>
              <w:bottom w:val="single" w:color="auto" w:sz="4" w:space="0"/>
            </w:tcBorders>
            <w:shd w:val="clear" w:color="auto" w:fill="FFFFFF"/>
            <w:vAlign w:val="center"/>
          </w:tcPr>
          <w:p w14:paraId="68201C6E">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三头流量连接器</w:t>
            </w:r>
          </w:p>
        </w:tc>
        <w:tc>
          <w:tcPr>
            <w:tcW w:w="2024" w:type="dxa"/>
            <w:tcBorders>
              <w:bottom w:val="single" w:color="auto" w:sz="4" w:space="0"/>
            </w:tcBorders>
            <w:shd w:val="clear" w:color="auto" w:fill="FFFFFF"/>
            <w:vAlign w:val="center"/>
          </w:tcPr>
          <w:p w14:paraId="0AD7AD59">
            <w:pPr>
              <w:ind w:left="-178" w:leftChars="-85" w:right="-260" w:rightChars="-1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1套</w:t>
            </w:r>
          </w:p>
        </w:tc>
      </w:tr>
      <w:tr w14:paraId="4B2D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3C493AD3">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5318" w:type="dxa"/>
            <w:tcBorders>
              <w:bottom w:val="single" w:color="auto" w:sz="4" w:space="0"/>
            </w:tcBorders>
            <w:shd w:val="clear" w:color="auto" w:fill="FFFFFF"/>
            <w:vAlign w:val="center"/>
          </w:tcPr>
          <w:p w14:paraId="70C2847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鼻呼吸量仪软件</w:t>
            </w:r>
          </w:p>
        </w:tc>
        <w:tc>
          <w:tcPr>
            <w:tcW w:w="2024" w:type="dxa"/>
            <w:tcBorders>
              <w:bottom w:val="single" w:color="auto" w:sz="4" w:space="0"/>
            </w:tcBorders>
            <w:shd w:val="clear" w:color="auto" w:fill="FFFFFF"/>
            <w:vAlign w:val="center"/>
          </w:tcPr>
          <w:p w14:paraId="381D6743">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r>
      <w:tr w14:paraId="17A1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621DCC2D">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5318" w:type="dxa"/>
            <w:tcBorders>
              <w:bottom w:val="single" w:color="auto" w:sz="4" w:space="0"/>
            </w:tcBorders>
            <w:shd w:val="clear" w:color="auto" w:fill="FFFFFF"/>
            <w:vAlign w:val="center"/>
          </w:tcPr>
          <w:p w14:paraId="173A90D7">
            <w:pPr>
              <w:ind w:left="71" w:leftChars="34"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嗅棒嗅觉障碍测试</w:t>
            </w:r>
          </w:p>
        </w:tc>
        <w:tc>
          <w:tcPr>
            <w:tcW w:w="2024" w:type="dxa"/>
            <w:tcBorders>
              <w:bottom w:val="single" w:color="auto" w:sz="4" w:space="0"/>
            </w:tcBorders>
            <w:shd w:val="clear" w:color="auto" w:fill="FFFFFF"/>
            <w:vAlign w:val="center"/>
          </w:tcPr>
          <w:p w14:paraId="2C55A624">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r>
      <w:tr w14:paraId="5DC0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tcBorders>
              <w:bottom w:val="single" w:color="auto" w:sz="4" w:space="0"/>
            </w:tcBorders>
            <w:shd w:val="clear" w:color="auto" w:fill="FFFFFF"/>
            <w:vAlign w:val="center"/>
          </w:tcPr>
          <w:p w14:paraId="1E6993A9">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5318" w:type="dxa"/>
            <w:tcBorders>
              <w:bottom w:val="single" w:color="auto" w:sz="4" w:space="0"/>
            </w:tcBorders>
            <w:shd w:val="clear" w:color="auto" w:fill="FFFFFF"/>
            <w:vAlign w:val="center"/>
          </w:tcPr>
          <w:p w14:paraId="2162F64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工作站8G 内存</w:t>
            </w:r>
          </w:p>
          <w:p w14:paraId="45FE9FA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2T 硬盘</w:t>
            </w:r>
          </w:p>
          <w:p w14:paraId="75C9134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23寸液晶显示器</w:t>
            </w:r>
          </w:p>
          <w:p w14:paraId="2B541AD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DVD 光驱</w:t>
            </w:r>
          </w:p>
        </w:tc>
        <w:tc>
          <w:tcPr>
            <w:tcW w:w="2024" w:type="dxa"/>
            <w:tcBorders>
              <w:bottom w:val="single" w:color="auto" w:sz="4" w:space="0"/>
            </w:tcBorders>
            <w:shd w:val="clear" w:color="auto" w:fill="FFFFFF"/>
            <w:vAlign w:val="center"/>
          </w:tcPr>
          <w:p w14:paraId="6043920E">
            <w:pPr>
              <w:ind w:left="-178" w:leftChars="-85"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p w14:paraId="257E5760">
            <w:pPr>
              <w:ind w:left="-178" w:leftChars="-85" w:right="-260" w:rightChars="-124"/>
              <w:jc w:val="center"/>
              <w:rPr>
                <w:rFonts w:hint="eastAsia" w:asciiTheme="minorEastAsia" w:hAnsiTheme="minorEastAsia" w:eastAsiaTheme="minorEastAsia" w:cstheme="minorEastAsia"/>
                <w:sz w:val="24"/>
                <w:szCs w:val="24"/>
              </w:rPr>
            </w:pPr>
          </w:p>
        </w:tc>
      </w:tr>
      <w:tr w14:paraId="60F2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shd w:val="clear" w:color="auto" w:fill="FFFFFF"/>
            <w:vAlign w:val="center"/>
          </w:tcPr>
          <w:p w14:paraId="4A2954B3">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5318" w:type="dxa"/>
            <w:shd w:val="clear" w:color="auto" w:fill="FFFFFF"/>
            <w:vAlign w:val="center"/>
          </w:tcPr>
          <w:p w14:paraId="0E8B5CFB">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彩色喷墨打印机</w:t>
            </w:r>
          </w:p>
        </w:tc>
        <w:tc>
          <w:tcPr>
            <w:tcW w:w="2024" w:type="dxa"/>
            <w:shd w:val="clear" w:color="auto" w:fill="FFFFFF"/>
            <w:vAlign w:val="center"/>
          </w:tcPr>
          <w:p w14:paraId="4AFAC450">
            <w:pPr>
              <w:ind w:left="-178" w:leftChars="-85" w:right="-260" w:rightChars="-124" w:firstLine="120" w:firstLine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1台</w:t>
            </w:r>
          </w:p>
        </w:tc>
      </w:tr>
      <w:tr w14:paraId="4E94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shd w:val="clear" w:color="auto" w:fill="FFFFFF"/>
            <w:vAlign w:val="center"/>
          </w:tcPr>
          <w:p w14:paraId="1E2C9446">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5318" w:type="dxa"/>
            <w:shd w:val="clear" w:color="auto" w:fill="FFFFFF"/>
            <w:vAlign w:val="center"/>
          </w:tcPr>
          <w:p w14:paraId="0688725C">
            <w:pPr>
              <w:ind w:right="-260" w:rightChars="-12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一氧化氮检测器（含100人份试剂）</w:t>
            </w:r>
          </w:p>
        </w:tc>
        <w:tc>
          <w:tcPr>
            <w:tcW w:w="2024" w:type="dxa"/>
            <w:shd w:val="clear" w:color="auto" w:fill="FFFFFF"/>
            <w:vAlign w:val="center"/>
          </w:tcPr>
          <w:p w14:paraId="03587C6D">
            <w:pPr>
              <w:ind w:left="-178" w:leftChars="-85" w:right="-260" w:rightChars="-124" w:firstLine="120" w:firstLine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1份</w:t>
            </w:r>
          </w:p>
        </w:tc>
      </w:tr>
    </w:tbl>
    <w:p w14:paraId="1F5248BE">
      <w:pPr>
        <w:spacing w:line="360" w:lineRule="auto"/>
        <w:jc w:val="both"/>
        <w:rPr>
          <w:rFonts w:cs="宋体"/>
          <w:b/>
          <w:bCs/>
          <w:sz w:val="36"/>
          <w:szCs w:val="36"/>
        </w:rPr>
      </w:pPr>
    </w:p>
    <w:p w14:paraId="1AF882E6">
      <w:pPr>
        <w:jc w:val="center"/>
        <w:rPr>
          <w:rFonts w:hint="eastAsia" w:ascii="宋体" w:hAnsi="宋体" w:cs="Arial"/>
          <w:b/>
          <w:bCs/>
          <w:sz w:val="36"/>
          <w:szCs w:val="36"/>
        </w:rPr>
      </w:pPr>
      <w:r>
        <w:rPr>
          <w:rFonts w:hint="eastAsia"/>
        </w:rPr>
        <w:br w:type="page"/>
      </w:r>
      <w:bookmarkStart w:id="77" w:name="_Toc25212"/>
      <w:r>
        <w:rPr>
          <w:rStyle w:val="45"/>
          <w:rFonts w:hint="eastAsia"/>
        </w:rPr>
        <w:t xml:space="preserve">第四章 </w:t>
      </w:r>
      <w:r>
        <w:rPr>
          <w:rFonts w:hint="eastAsia"/>
        </w:rPr>
        <w:t xml:space="preserve"> </w:t>
      </w:r>
      <w:bookmarkEnd w:id="62"/>
      <w:bookmarkEnd w:id="63"/>
      <w:bookmarkEnd w:id="64"/>
      <w:bookmarkEnd w:id="77"/>
      <w:bookmarkStart w:id="78" w:name="_Toc483396326"/>
      <w:bookmarkStart w:id="79" w:name="_Toc483396414"/>
      <w:r>
        <w:rPr>
          <w:rFonts w:hint="eastAsia" w:ascii="宋体" w:hAnsi="宋体" w:cs="Arial"/>
          <w:b/>
          <w:bCs/>
          <w:sz w:val="36"/>
          <w:szCs w:val="36"/>
        </w:rPr>
        <w:t>医疗器械购销合同</w:t>
      </w:r>
    </w:p>
    <w:p w14:paraId="31DC2ED1">
      <w:pPr>
        <w:ind w:firstLine="1446" w:firstLineChars="600"/>
        <w:jc w:val="center"/>
        <w:rPr>
          <w:rFonts w:hint="default" w:ascii="宋体" w:hAnsi="宋体" w:eastAsia="宋体" w:cs="Arial"/>
          <w:b/>
          <w:bCs/>
          <w:sz w:val="24"/>
          <w:szCs w:val="24"/>
          <w:lang w:val="en-US" w:eastAsia="zh-CN"/>
        </w:rPr>
      </w:pPr>
      <w:r>
        <w:rPr>
          <w:rFonts w:hint="eastAsia" w:ascii="宋体" w:hAnsi="宋体" w:cs="Arial"/>
          <w:b/>
          <w:bCs/>
          <w:sz w:val="24"/>
          <w:szCs w:val="24"/>
          <w:lang w:eastAsia="zh-CN"/>
        </w:rPr>
        <w:t>（</w:t>
      </w:r>
      <w:r>
        <w:rPr>
          <w:rFonts w:hint="eastAsia" w:ascii="宋体" w:hAnsi="宋体" w:cs="Arial"/>
          <w:b/>
          <w:bCs/>
          <w:sz w:val="24"/>
          <w:szCs w:val="24"/>
          <w:lang w:val="en-US" w:eastAsia="zh-CN"/>
        </w:rPr>
        <w:t>本合同为参考合同模版，采购人与投标人另行订立合同条款的，从其约定，但不得与招标文件存在偏差）</w:t>
      </w:r>
    </w:p>
    <w:p w14:paraId="3DF4BBB1">
      <w:pPr>
        <w:autoSpaceDE w:val="0"/>
        <w:autoSpaceDN w:val="0"/>
        <w:spacing w:line="348" w:lineRule="auto"/>
        <w:rPr>
          <w:rFonts w:ascii="Arial" w:hAnsi="Arial" w:cs="Arial"/>
          <w:b/>
          <w:bCs/>
          <w:sz w:val="24"/>
        </w:rPr>
      </w:pPr>
      <w:r>
        <w:rPr>
          <w:rFonts w:hint="eastAsia" w:ascii="宋体" w:hAnsi="宋体" w:cs="Arial"/>
          <w:b/>
          <w:bCs/>
          <w:sz w:val="24"/>
        </w:rPr>
        <w:t xml:space="preserve">购买方(甲方): 海口市人民医院              销售方(乙方): </w:t>
      </w:r>
    </w:p>
    <w:p w14:paraId="4A452344">
      <w:pPr>
        <w:widowControl w:val="0"/>
        <w:kinsoku w:val="0"/>
        <w:overflowPunct w:val="0"/>
        <w:autoSpaceDE w:val="0"/>
        <w:autoSpaceDN w:val="0"/>
        <w:spacing w:line="348" w:lineRule="auto"/>
        <w:rPr>
          <w:rFonts w:hint="eastAsia" w:ascii="宋体" w:hAnsi="宋体" w:cs="Arial"/>
          <w:b/>
          <w:bCs/>
          <w:sz w:val="24"/>
        </w:rPr>
      </w:pPr>
      <w:r>
        <w:rPr>
          <w:rFonts w:hint="eastAsia" w:ascii="宋体" w:hAnsi="宋体" w:cs="Arial"/>
          <w:b/>
          <w:bCs/>
          <w:sz w:val="24"/>
        </w:rPr>
        <w:t>地   址:海南省海口市人民大道43号          地  址:</w:t>
      </w:r>
    </w:p>
    <w:p w14:paraId="7F06C772">
      <w:pPr>
        <w:autoSpaceDE w:val="0"/>
        <w:autoSpaceDN w:val="0"/>
        <w:spacing w:line="348" w:lineRule="auto"/>
        <w:rPr>
          <w:rFonts w:hint="eastAsia" w:ascii="宋体" w:hAnsi="宋体" w:cs="Arial"/>
          <w:b/>
          <w:bCs/>
          <w:sz w:val="24"/>
        </w:rPr>
      </w:pPr>
      <w:r>
        <w:rPr>
          <w:rFonts w:hint="eastAsia" w:ascii="宋体" w:hAnsi="宋体" w:cs="Arial"/>
          <w:b/>
          <w:bCs/>
          <w:sz w:val="24"/>
        </w:rPr>
        <w:t xml:space="preserve">电   话: 0898-66189527                    </w:t>
      </w:r>
      <w:r>
        <w:rPr>
          <w:rFonts w:hint="eastAsia" w:ascii="Arial" w:hAnsi="Arial" w:cs="Arial"/>
          <w:b/>
          <w:bCs/>
          <w:sz w:val="24"/>
        </w:rPr>
        <w:t>电</w:t>
      </w:r>
      <w:r>
        <w:rPr>
          <w:rFonts w:ascii="Arial" w:hAnsi="Arial" w:cs="Arial"/>
          <w:b/>
          <w:bCs/>
          <w:sz w:val="24"/>
        </w:rPr>
        <w:t xml:space="preserve"> </w:t>
      </w:r>
      <w:r>
        <w:rPr>
          <w:rFonts w:hint="eastAsia" w:ascii="Arial" w:hAnsi="Arial" w:cs="Arial"/>
          <w:b/>
          <w:bCs/>
          <w:sz w:val="24"/>
        </w:rPr>
        <w:t>话</w:t>
      </w:r>
      <w:r>
        <w:rPr>
          <w:rFonts w:ascii="Arial" w:hAnsi="Arial" w:cs="Arial"/>
          <w:b/>
          <w:bCs/>
          <w:sz w:val="24"/>
        </w:rPr>
        <w:t xml:space="preserve"> / </w:t>
      </w:r>
      <w:r>
        <w:rPr>
          <w:rFonts w:hint="eastAsia" w:ascii="Arial" w:hAnsi="Arial" w:cs="Arial"/>
          <w:b/>
          <w:bCs/>
          <w:sz w:val="24"/>
        </w:rPr>
        <w:t>传</w:t>
      </w:r>
      <w:r>
        <w:rPr>
          <w:rFonts w:ascii="Arial" w:hAnsi="Arial" w:cs="Arial"/>
          <w:b/>
          <w:bCs/>
          <w:sz w:val="24"/>
        </w:rPr>
        <w:t xml:space="preserve"> </w:t>
      </w:r>
      <w:r>
        <w:rPr>
          <w:rFonts w:hint="eastAsia" w:ascii="Arial" w:hAnsi="Arial" w:cs="Arial"/>
          <w:b/>
          <w:bCs/>
          <w:sz w:val="24"/>
        </w:rPr>
        <w:t>真</w:t>
      </w:r>
      <w:r>
        <w:rPr>
          <w:rFonts w:ascii="Arial" w:hAnsi="Arial" w:cs="Arial"/>
          <w:b/>
          <w:bCs/>
          <w:sz w:val="24"/>
        </w:rPr>
        <w:t xml:space="preserve">: </w:t>
      </w:r>
    </w:p>
    <w:p w14:paraId="7D672AA9">
      <w:pPr>
        <w:snapToGrid w:val="0"/>
        <w:spacing w:line="348" w:lineRule="auto"/>
        <w:ind w:firstLine="482" w:firstLineChars="200"/>
        <w:rPr>
          <w:rFonts w:hint="eastAsia" w:ascii="宋体" w:hAnsi="宋体" w:cs="宋体"/>
          <w:b/>
          <w:sz w:val="24"/>
        </w:rPr>
      </w:pPr>
      <w:r>
        <w:rPr>
          <w:rFonts w:hint="eastAsia"/>
          <w:b/>
          <w:sz w:val="24"/>
        </w:rPr>
        <w:t>甲乙双方根据《中华人民共和国民法典》及相关法律法规、</w:t>
      </w:r>
      <w:r>
        <w:rPr>
          <w:rFonts w:hint="eastAsia"/>
          <w:b/>
          <w:sz w:val="24"/>
          <w:u w:val="single"/>
        </w:rPr>
        <w:t xml:space="preserve">XXXX项目（项目编号：XXXX）院内议价采购结果 </w:t>
      </w:r>
      <w:r>
        <w:rPr>
          <w:rFonts w:hint="eastAsia"/>
          <w:b/>
          <w:sz w:val="24"/>
        </w:rPr>
        <w:t>，就甲方向乙方采购xxx的相关事宜，</w:t>
      </w:r>
      <w:r>
        <w:rPr>
          <w:rFonts w:hint="eastAsia" w:ascii="宋体" w:hAnsi="宋体" w:cs="宋体"/>
          <w:b/>
          <w:sz w:val="24"/>
        </w:rPr>
        <w:t>经双方友好协商一致，达成以下条款以共同遵守。</w:t>
      </w:r>
    </w:p>
    <w:p w14:paraId="6173B09D">
      <w:pPr>
        <w:spacing w:line="348" w:lineRule="auto"/>
        <w:rPr>
          <w:sz w:val="24"/>
        </w:rPr>
      </w:pPr>
      <w:r>
        <w:rPr>
          <w:rFonts w:hint="eastAsia" w:ascii="宋体" w:hAnsi="宋体" w:cs="宋体"/>
          <w:b/>
          <w:sz w:val="24"/>
        </w:rPr>
        <w:t>1.</w:t>
      </w:r>
      <w:r>
        <w:rPr>
          <w:rFonts w:hint="eastAsia"/>
          <w:b/>
          <w:sz w:val="24"/>
        </w:rPr>
        <w:t>产品名称、数量及价格</w:t>
      </w:r>
    </w:p>
    <w:tbl>
      <w:tblPr>
        <w:tblStyle w:val="35"/>
        <w:tblW w:w="9756" w:type="dxa"/>
        <w:tblInd w:w="93" w:type="dxa"/>
        <w:tblLayout w:type="autofit"/>
        <w:tblCellMar>
          <w:top w:w="0" w:type="dxa"/>
          <w:left w:w="108" w:type="dxa"/>
          <w:bottom w:w="0" w:type="dxa"/>
          <w:right w:w="108" w:type="dxa"/>
        </w:tblCellMar>
      </w:tblPr>
      <w:tblGrid>
        <w:gridCol w:w="1440"/>
        <w:gridCol w:w="1440"/>
        <w:gridCol w:w="1275"/>
        <w:gridCol w:w="1275"/>
        <w:gridCol w:w="1080"/>
        <w:gridCol w:w="1080"/>
        <w:gridCol w:w="2166"/>
      </w:tblGrid>
      <w:tr w14:paraId="0D829761">
        <w:tblPrEx>
          <w:tblCellMar>
            <w:top w:w="0" w:type="dxa"/>
            <w:left w:w="108" w:type="dxa"/>
            <w:bottom w:w="0" w:type="dxa"/>
            <w:right w:w="108" w:type="dxa"/>
          </w:tblCellMar>
        </w:tblPrEx>
        <w:trPr>
          <w:trHeight w:val="585" w:hRule="atLeast"/>
        </w:trPr>
        <w:tc>
          <w:tcPr>
            <w:tcW w:w="1440" w:type="dxa"/>
            <w:tcBorders>
              <w:top w:val="single" w:color="000000" w:sz="8" w:space="0"/>
              <w:left w:val="single" w:color="000000" w:sz="8" w:space="0"/>
              <w:bottom w:val="single" w:color="000000" w:sz="8" w:space="0"/>
              <w:right w:val="single" w:color="000000" w:sz="8" w:space="0"/>
            </w:tcBorders>
            <w:vAlign w:val="center"/>
          </w:tcPr>
          <w:p w14:paraId="520B0A7B">
            <w:pPr>
              <w:spacing w:line="348" w:lineRule="auto"/>
              <w:jc w:val="center"/>
              <w:textAlignment w:val="center"/>
              <w:rPr>
                <w:rFonts w:hint="eastAsia" w:ascii="宋体" w:hAnsi="宋体" w:cs="宋体"/>
                <w:b/>
                <w:bCs/>
                <w:sz w:val="24"/>
                <w:szCs w:val="24"/>
              </w:rPr>
            </w:pPr>
            <w:r>
              <w:rPr>
                <w:rStyle w:val="197"/>
                <w:rFonts w:hint="default"/>
                <w:color w:val="auto"/>
                <w:lang w:bidi="ar"/>
              </w:rPr>
              <w:t>产品名称</w:t>
            </w:r>
          </w:p>
        </w:tc>
        <w:tc>
          <w:tcPr>
            <w:tcW w:w="1440" w:type="dxa"/>
            <w:tcBorders>
              <w:top w:val="single" w:color="000000" w:sz="8" w:space="0"/>
              <w:left w:val="single" w:color="000000" w:sz="8" w:space="0"/>
              <w:bottom w:val="single" w:color="000000" w:sz="8" w:space="0"/>
              <w:right w:val="single" w:color="000000" w:sz="8" w:space="0"/>
            </w:tcBorders>
            <w:vAlign w:val="center"/>
          </w:tcPr>
          <w:p w14:paraId="010B1B27">
            <w:pPr>
              <w:spacing w:line="348" w:lineRule="auto"/>
              <w:jc w:val="center"/>
              <w:textAlignment w:val="center"/>
              <w:rPr>
                <w:rFonts w:hint="eastAsia" w:ascii="宋体" w:hAnsi="宋体" w:cs="宋体"/>
                <w:b/>
                <w:bCs/>
                <w:sz w:val="24"/>
                <w:szCs w:val="24"/>
              </w:rPr>
            </w:pPr>
            <w:r>
              <w:rPr>
                <w:rFonts w:hint="eastAsia" w:ascii="宋体" w:hAnsi="宋体" w:cs="宋体"/>
                <w:b/>
                <w:bCs/>
                <w:sz w:val="24"/>
                <w:szCs w:val="24"/>
                <w:lang w:bidi="ar"/>
              </w:rPr>
              <w:t>生产厂家</w:t>
            </w:r>
          </w:p>
        </w:tc>
        <w:tc>
          <w:tcPr>
            <w:tcW w:w="1275" w:type="dxa"/>
            <w:tcBorders>
              <w:top w:val="single" w:color="000000" w:sz="8" w:space="0"/>
              <w:left w:val="single" w:color="000000" w:sz="8" w:space="0"/>
              <w:bottom w:val="single" w:color="000000" w:sz="8" w:space="0"/>
              <w:right w:val="single" w:color="000000" w:sz="8" w:space="0"/>
            </w:tcBorders>
            <w:vAlign w:val="center"/>
          </w:tcPr>
          <w:p w14:paraId="214B0F65">
            <w:pPr>
              <w:spacing w:line="348" w:lineRule="auto"/>
              <w:jc w:val="both"/>
              <w:textAlignment w:val="center"/>
              <w:rPr>
                <w:rFonts w:hint="eastAsia" w:ascii="宋体" w:hAnsi="宋体" w:cs="宋体"/>
                <w:b/>
                <w:bCs/>
                <w:sz w:val="24"/>
                <w:szCs w:val="24"/>
              </w:rPr>
            </w:pPr>
            <w:r>
              <w:rPr>
                <w:rFonts w:hint="eastAsia" w:ascii="宋体" w:hAnsi="宋体" w:cs="宋体"/>
                <w:b/>
                <w:bCs/>
                <w:sz w:val="24"/>
                <w:szCs w:val="24"/>
                <w:lang w:bidi="ar"/>
              </w:rPr>
              <w:t>规格型号</w:t>
            </w:r>
          </w:p>
        </w:tc>
        <w:tc>
          <w:tcPr>
            <w:tcW w:w="1275" w:type="dxa"/>
            <w:tcBorders>
              <w:top w:val="single" w:color="000000" w:sz="8" w:space="0"/>
              <w:left w:val="single" w:color="000000" w:sz="8" w:space="0"/>
              <w:bottom w:val="single" w:color="000000" w:sz="8" w:space="0"/>
              <w:right w:val="single" w:color="000000" w:sz="8" w:space="0"/>
            </w:tcBorders>
            <w:vAlign w:val="center"/>
          </w:tcPr>
          <w:p w14:paraId="36DC49F7">
            <w:pPr>
              <w:spacing w:line="348" w:lineRule="auto"/>
              <w:jc w:val="both"/>
              <w:textAlignment w:val="center"/>
              <w:rPr>
                <w:rFonts w:hint="eastAsia" w:ascii="宋体" w:hAnsi="宋体" w:cs="宋体"/>
                <w:b/>
                <w:bCs/>
                <w:sz w:val="24"/>
                <w:szCs w:val="24"/>
              </w:rPr>
            </w:pPr>
            <w:r>
              <w:rPr>
                <w:rFonts w:hint="eastAsia" w:ascii="宋体" w:hAnsi="宋体" w:cs="宋体"/>
                <w:b/>
                <w:bCs/>
                <w:sz w:val="24"/>
                <w:szCs w:val="24"/>
                <w:lang w:bidi="ar"/>
              </w:rPr>
              <w:t>注册证号</w:t>
            </w:r>
          </w:p>
        </w:tc>
        <w:tc>
          <w:tcPr>
            <w:tcW w:w="1080" w:type="dxa"/>
            <w:tcBorders>
              <w:top w:val="single" w:color="000000" w:sz="8" w:space="0"/>
              <w:left w:val="single" w:color="000000" w:sz="8" w:space="0"/>
              <w:bottom w:val="single" w:color="000000" w:sz="8" w:space="0"/>
              <w:right w:val="single" w:color="000000" w:sz="8" w:space="0"/>
            </w:tcBorders>
            <w:vAlign w:val="center"/>
          </w:tcPr>
          <w:p w14:paraId="6C301214">
            <w:pPr>
              <w:spacing w:line="348" w:lineRule="auto"/>
              <w:jc w:val="center"/>
              <w:textAlignment w:val="center"/>
              <w:rPr>
                <w:rFonts w:hint="eastAsia" w:ascii="宋体" w:hAnsi="宋体" w:cs="宋体"/>
                <w:b/>
                <w:bCs/>
                <w:sz w:val="24"/>
                <w:szCs w:val="24"/>
              </w:rPr>
            </w:pPr>
            <w:r>
              <w:rPr>
                <w:rStyle w:val="197"/>
                <w:rFonts w:hint="default"/>
                <w:color w:val="auto"/>
                <w:lang w:bidi="ar"/>
              </w:rPr>
              <w:t>数量</w:t>
            </w:r>
          </w:p>
        </w:tc>
        <w:tc>
          <w:tcPr>
            <w:tcW w:w="1080" w:type="dxa"/>
            <w:tcBorders>
              <w:top w:val="single" w:color="000000" w:sz="8" w:space="0"/>
              <w:left w:val="single" w:color="000000" w:sz="8" w:space="0"/>
              <w:bottom w:val="single" w:color="000000" w:sz="8" w:space="0"/>
              <w:right w:val="single" w:color="000000" w:sz="8" w:space="0"/>
            </w:tcBorders>
            <w:vAlign w:val="center"/>
          </w:tcPr>
          <w:p w14:paraId="5D6DFA25">
            <w:pPr>
              <w:spacing w:line="348" w:lineRule="auto"/>
              <w:jc w:val="center"/>
              <w:textAlignment w:val="center"/>
              <w:rPr>
                <w:rFonts w:hint="eastAsia" w:ascii="宋体" w:hAnsi="宋体" w:cs="宋体"/>
                <w:b/>
                <w:bCs/>
                <w:sz w:val="24"/>
                <w:szCs w:val="24"/>
              </w:rPr>
            </w:pPr>
            <w:r>
              <w:rPr>
                <w:rStyle w:val="197"/>
                <w:rFonts w:hint="default"/>
                <w:color w:val="auto"/>
                <w:lang w:bidi="ar"/>
              </w:rPr>
              <w:t>单价（元）</w:t>
            </w:r>
          </w:p>
        </w:tc>
        <w:tc>
          <w:tcPr>
            <w:tcW w:w="2166" w:type="dxa"/>
            <w:tcBorders>
              <w:top w:val="single" w:color="000000" w:sz="8" w:space="0"/>
              <w:left w:val="nil"/>
              <w:bottom w:val="single" w:color="000000" w:sz="8" w:space="0"/>
              <w:right w:val="single" w:color="000000" w:sz="8" w:space="0"/>
            </w:tcBorders>
            <w:vAlign w:val="center"/>
          </w:tcPr>
          <w:p w14:paraId="352F753C">
            <w:pPr>
              <w:spacing w:line="348" w:lineRule="auto"/>
              <w:jc w:val="center"/>
              <w:textAlignment w:val="center"/>
              <w:rPr>
                <w:rFonts w:hint="eastAsia" w:ascii="宋体" w:hAnsi="宋体" w:cs="宋体"/>
                <w:b/>
                <w:bCs/>
                <w:sz w:val="24"/>
                <w:szCs w:val="24"/>
              </w:rPr>
            </w:pPr>
            <w:r>
              <w:rPr>
                <w:rStyle w:val="197"/>
                <w:rFonts w:hint="default"/>
                <w:color w:val="auto"/>
                <w:lang w:bidi="ar"/>
              </w:rPr>
              <w:t>总价（元）</w:t>
            </w:r>
          </w:p>
        </w:tc>
      </w:tr>
      <w:tr w14:paraId="61233A83">
        <w:tblPrEx>
          <w:tblCellMar>
            <w:top w:w="0" w:type="dxa"/>
            <w:left w:w="108" w:type="dxa"/>
            <w:bottom w:w="0" w:type="dxa"/>
            <w:right w:w="108" w:type="dxa"/>
          </w:tblCellMar>
        </w:tblPrEx>
        <w:trPr>
          <w:trHeight w:val="300" w:hRule="atLeast"/>
        </w:trPr>
        <w:tc>
          <w:tcPr>
            <w:tcW w:w="1440" w:type="dxa"/>
            <w:tcBorders>
              <w:top w:val="single" w:color="000000" w:sz="8" w:space="0"/>
              <w:left w:val="single" w:color="000000" w:sz="8" w:space="0"/>
              <w:bottom w:val="single" w:color="000000" w:sz="8" w:space="0"/>
              <w:right w:val="single" w:color="000000" w:sz="8" w:space="0"/>
            </w:tcBorders>
            <w:vAlign w:val="center"/>
          </w:tcPr>
          <w:p w14:paraId="47D847AB">
            <w:pPr>
              <w:spacing w:line="348" w:lineRule="auto"/>
              <w:rPr>
                <w:rFonts w:ascii="Calibri" w:hAnsi="Calibri" w:cs="Calibri"/>
              </w:rPr>
            </w:pPr>
          </w:p>
        </w:tc>
        <w:tc>
          <w:tcPr>
            <w:tcW w:w="1440" w:type="dxa"/>
            <w:tcBorders>
              <w:top w:val="single" w:color="000000" w:sz="8" w:space="0"/>
              <w:left w:val="single" w:color="000000" w:sz="8" w:space="0"/>
              <w:bottom w:val="single" w:color="000000" w:sz="8" w:space="0"/>
              <w:right w:val="single" w:color="000000" w:sz="8" w:space="0"/>
            </w:tcBorders>
            <w:vAlign w:val="center"/>
          </w:tcPr>
          <w:p w14:paraId="2B899A0A">
            <w:pPr>
              <w:spacing w:line="348" w:lineRule="auto"/>
              <w:rPr>
                <w:rFonts w:ascii="Calibri" w:hAnsi="Calibri" w:cs="Calibri"/>
              </w:rPr>
            </w:pPr>
          </w:p>
        </w:tc>
        <w:tc>
          <w:tcPr>
            <w:tcW w:w="1275" w:type="dxa"/>
            <w:tcBorders>
              <w:top w:val="single" w:color="000000" w:sz="8" w:space="0"/>
              <w:left w:val="single" w:color="000000" w:sz="8" w:space="0"/>
              <w:bottom w:val="single" w:color="000000" w:sz="8" w:space="0"/>
              <w:right w:val="single" w:color="000000" w:sz="8" w:space="0"/>
            </w:tcBorders>
            <w:vAlign w:val="center"/>
          </w:tcPr>
          <w:p w14:paraId="6E04B850">
            <w:pPr>
              <w:spacing w:line="348" w:lineRule="auto"/>
              <w:rPr>
                <w:rFonts w:ascii="Calibri" w:hAnsi="Calibri" w:cs="Calibri"/>
              </w:rPr>
            </w:pPr>
          </w:p>
        </w:tc>
        <w:tc>
          <w:tcPr>
            <w:tcW w:w="1275" w:type="dxa"/>
            <w:tcBorders>
              <w:top w:val="single" w:color="000000" w:sz="8" w:space="0"/>
              <w:left w:val="single" w:color="000000" w:sz="8" w:space="0"/>
              <w:bottom w:val="single" w:color="000000" w:sz="8" w:space="0"/>
              <w:right w:val="single" w:color="000000" w:sz="8" w:space="0"/>
            </w:tcBorders>
            <w:vAlign w:val="center"/>
          </w:tcPr>
          <w:p w14:paraId="220FE71B">
            <w:pPr>
              <w:spacing w:line="348" w:lineRule="auto"/>
              <w:rPr>
                <w:rFonts w:ascii="Calibri" w:hAnsi="Calibri" w:cs="Calibri"/>
              </w:rPr>
            </w:pPr>
          </w:p>
        </w:tc>
        <w:tc>
          <w:tcPr>
            <w:tcW w:w="1080" w:type="dxa"/>
            <w:tcBorders>
              <w:top w:val="single" w:color="000000" w:sz="8" w:space="0"/>
              <w:left w:val="single" w:color="000000" w:sz="8" w:space="0"/>
              <w:bottom w:val="single" w:color="000000" w:sz="8" w:space="0"/>
              <w:right w:val="single" w:color="000000" w:sz="8" w:space="0"/>
            </w:tcBorders>
            <w:vAlign w:val="center"/>
          </w:tcPr>
          <w:p w14:paraId="71A226AD">
            <w:pPr>
              <w:spacing w:line="348" w:lineRule="auto"/>
              <w:rPr>
                <w:rFonts w:ascii="Calibri" w:hAnsi="Calibri" w:cs="Calibri"/>
              </w:rPr>
            </w:pPr>
          </w:p>
        </w:tc>
        <w:tc>
          <w:tcPr>
            <w:tcW w:w="1080" w:type="dxa"/>
            <w:tcBorders>
              <w:top w:val="single" w:color="000000" w:sz="8" w:space="0"/>
              <w:left w:val="single" w:color="000000" w:sz="8" w:space="0"/>
              <w:bottom w:val="single" w:color="000000" w:sz="8" w:space="0"/>
              <w:right w:val="single" w:color="000000" w:sz="8" w:space="0"/>
            </w:tcBorders>
            <w:vAlign w:val="center"/>
          </w:tcPr>
          <w:p w14:paraId="632E90BD">
            <w:pPr>
              <w:spacing w:line="348" w:lineRule="auto"/>
              <w:rPr>
                <w:rFonts w:ascii="Calibri" w:hAnsi="Calibri" w:cs="Calibri"/>
              </w:rPr>
            </w:pPr>
          </w:p>
        </w:tc>
        <w:tc>
          <w:tcPr>
            <w:tcW w:w="2166" w:type="dxa"/>
            <w:tcBorders>
              <w:top w:val="nil"/>
              <w:left w:val="nil"/>
              <w:bottom w:val="single" w:color="000000" w:sz="8" w:space="0"/>
              <w:right w:val="single" w:color="000000" w:sz="8" w:space="0"/>
            </w:tcBorders>
            <w:vAlign w:val="center"/>
          </w:tcPr>
          <w:p w14:paraId="5CCF31FB">
            <w:pPr>
              <w:spacing w:line="348" w:lineRule="auto"/>
              <w:rPr>
                <w:rFonts w:ascii="Calibri" w:hAnsi="Calibri" w:cs="Calibri"/>
              </w:rPr>
            </w:pPr>
          </w:p>
        </w:tc>
      </w:tr>
      <w:tr w14:paraId="2581D93A">
        <w:tblPrEx>
          <w:tblCellMar>
            <w:top w:w="0" w:type="dxa"/>
            <w:left w:w="108" w:type="dxa"/>
            <w:bottom w:w="0" w:type="dxa"/>
            <w:right w:w="108" w:type="dxa"/>
          </w:tblCellMar>
        </w:tblPrEx>
        <w:trPr>
          <w:trHeight w:val="315" w:hRule="atLeast"/>
        </w:trPr>
        <w:tc>
          <w:tcPr>
            <w:tcW w:w="7590" w:type="dxa"/>
            <w:gridSpan w:val="6"/>
            <w:tcBorders>
              <w:top w:val="single" w:color="000000" w:sz="8" w:space="0"/>
              <w:left w:val="single" w:color="000000" w:sz="8" w:space="0"/>
              <w:bottom w:val="single" w:color="000000" w:sz="8" w:space="0"/>
              <w:right w:val="single" w:color="000000" w:sz="8" w:space="0"/>
            </w:tcBorders>
          </w:tcPr>
          <w:p w14:paraId="64BA8D96">
            <w:pPr>
              <w:spacing w:line="348" w:lineRule="auto"/>
              <w:jc w:val="right"/>
              <w:textAlignment w:val="top"/>
              <w:rPr>
                <w:rFonts w:hint="eastAsia" w:ascii="宋体" w:hAnsi="宋体" w:cs="宋体"/>
                <w:b/>
                <w:bCs/>
                <w:sz w:val="24"/>
                <w:szCs w:val="24"/>
              </w:rPr>
            </w:pPr>
            <w:r>
              <w:rPr>
                <w:rFonts w:hint="eastAsia" w:ascii="宋体" w:hAnsi="宋体" w:cs="宋体"/>
                <w:b/>
                <w:bCs/>
                <w:sz w:val="24"/>
                <w:szCs w:val="24"/>
                <w:lang w:bidi="ar"/>
              </w:rPr>
              <w:t>合计（人民币）：</w:t>
            </w:r>
          </w:p>
        </w:tc>
        <w:tc>
          <w:tcPr>
            <w:tcW w:w="2166" w:type="dxa"/>
            <w:tcBorders>
              <w:top w:val="nil"/>
              <w:left w:val="nil"/>
              <w:bottom w:val="single" w:color="000000" w:sz="8" w:space="0"/>
              <w:right w:val="single" w:color="000000" w:sz="8" w:space="0"/>
            </w:tcBorders>
          </w:tcPr>
          <w:p w14:paraId="2342B2E0">
            <w:pPr>
              <w:spacing w:line="348" w:lineRule="auto"/>
              <w:rPr>
                <w:rFonts w:ascii="Calibri" w:hAnsi="Calibri" w:cs="Calibri"/>
              </w:rPr>
            </w:pPr>
          </w:p>
        </w:tc>
      </w:tr>
      <w:tr w14:paraId="6D3CE398">
        <w:tblPrEx>
          <w:tblCellMar>
            <w:top w:w="0" w:type="dxa"/>
            <w:left w:w="108" w:type="dxa"/>
            <w:bottom w:w="0" w:type="dxa"/>
            <w:right w:w="108" w:type="dxa"/>
          </w:tblCellMar>
        </w:tblPrEx>
        <w:trPr>
          <w:trHeight w:val="330" w:hRule="atLeast"/>
        </w:trPr>
        <w:tc>
          <w:tcPr>
            <w:tcW w:w="9756" w:type="dxa"/>
            <w:gridSpan w:val="7"/>
            <w:tcBorders>
              <w:top w:val="nil"/>
              <w:left w:val="single" w:color="000000" w:sz="8" w:space="0"/>
              <w:bottom w:val="single" w:color="000000" w:sz="8" w:space="0"/>
              <w:right w:val="single" w:color="000000" w:sz="8" w:space="0"/>
            </w:tcBorders>
          </w:tcPr>
          <w:p w14:paraId="123E97A4">
            <w:pPr>
              <w:spacing w:line="348" w:lineRule="auto"/>
              <w:rPr>
                <w:rFonts w:hint="eastAsia" w:ascii="宋体" w:hAnsi="宋体" w:cs="宋体"/>
                <w:b/>
                <w:bCs/>
                <w:sz w:val="24"/>
                <w:szCs w:val="24"/>
                <w:lang w:bidi="ar"/>
              </w:rPr>
            </w:pPr>
            <w:r>
              <w:rPr>
                <w:rFonts w:hint="eastAsia" w:ascii="宋体" w:hAnsi="宋体" w:cs="宋体"/>
                <w:b/>
                <w:bCs/>
                <w:sz w:val="24"/>
                <w:szCs w:val="24"/>
                <w:lang w:bidi="ar"/>
              </w:rPr>
              <w:t>总金额（大写）：</w:t>
            </w:r>
          </w:p>
          <w:p w14:paraId="23A17703">
            <w:pPr>
              <w:spacing w:line="348" w:lineRule="auto"/>
            </w:pPr>
            <w:r>
              <w:rPr>
                <w:rFonts w:hint="eastAsia" w:ascii="Arial" w:hAnsi="Arial" w:cs="Arial"/>
                <w:b/>
                <w:bCs/>
                <w:sz w:val="24"/>
                <w:szCs w:val="24"/>
              </w:rPr>
              <w:t>注：此费用为固定费用，在合同期限内不得因任何原因变更，除非双方另有书面协议。</w:t>
            </w:r>
          </w:p>
        </w:tc>
      </w:tr>
    </w:tbl>
    <w:p w14:paraId="69CA8543">
      <w:pPr>
        <w:spacing w:line="348" w:lineRule="auto"/>
        <w:rPr>
          <w:rFonts w:ascii="Arial" w:hAnsi="Arial" w:cs="Arial"/>
          <w:b/>
          <w:bCs/>
          <w:sz w:val="24"/>
        </w:rPr>
      </w:pPr>
    </w:p>
    <w:p w14:paraId="5167738D">
      <w:pPr>
        <w:spacing w:line="348" w:lineRule="auto"/>
        <w:rPr>
          <w:rFonts w:ascii="Arial" w:hAnsi="Arial" w:cs="Arial"/>
          <w:b/>
          <w:bCs/>
          <w:sz w:val="24"/>
        </w:rPr>
      </w:pPr>
      <w:r>
        <w:rPr>
          <w:rFonts w:ascii="Arial" w:hAnsi="Arial" w:cs="Arial"/>
          <w:b/>
          <w:bCs/>
          <w:sz w:val="24"/>
        </w:rPr>
        <w:t>2</w:t>
      </w:r>
      <w:r>
        <w:rPr>
          <w:rFonts w:hint="eastAsia" w:ascii="Arial" w:hAnsi="Arial" w:cs="Arial"/>
          <w:b/>
          <w:bCs/>
          <w:sz w:val="24"/>
        </w:rPr>
        <w:t>.交货</w:t>
      </w:r>
    </w:p>
    <w:p w14:paraId="063790B4">
      <w:pPr>
        <w:spacing w:line="348" w:lineRule="auto"/>
        <w:ind w:firstLine="482" w:firstLineChars="200"/>
        <w:rPr>
          <w:rFonts w:ascii="Arial" w:hAnsi="Arial" w:cs="Arial"/>
          <w:b/>
          <w:bCs/>
          <w:sz w:val="24"/>
        </w:rPr>
      </w:pPr>
      <w:r>
        <w:rPr>
          <w:rFonts w:hint="eastAsia" w:ascii="Arial" w:hAnsi="Arial" w:cs="Arial"/>
          <w:b/>
          <w:bCs/>
          <w:sz w:val="24"/>
        </w:rPr>
        <w:t>（1）交货地址：海南省海口市人民大道43号（海口市人民医院）甲方指定地点。</w:t>
      </w:r>
    </w:p>
    <w:p w14:paraId="24E78365">
      <w:pPr>
        <w:spacing w:line="348" w:lineRule="auto"/>
        <w:ind w:firstLine="482" w:firstLineChars="200"/>
        <w:rPr>
          <w:rFonts w:ascii="Arial" w:hAnsi="Arial" w:cs="Arial"/>
          <w:b/>
          <w:bCs/>
          <w:sz w:val="24"/>
        </w:rPr>
      </w:pPr>
      <w:r>
        <w:rPr>
          <w:rFonts w:hint="eastAsia" w:ascii="Arial" w:hAnsi="Arial" w:cs="Arial"/>
          <w:b/>
          <w:bCs/>
          <w:sz w:val="24"/>
        </w:rPr>
        <w:t>（2）交货时间：乙方应自合同生效之日起XX天内将全部产品无偿运送至甲方指定地点安装、调试，并经甲方验收合格后交付。</w:t>
      </w:r>
    </w:p>
    <w:p w14:paraId="05B9348D">
      <w:pPr>
        <w:spacing w:line="348" w:lineRule="auto"/>
        <w:rPr>
          <w:rFonts w:ascii="Arial" w:hAnsi="Arial" w:cs="Arial"/>
          <w:b/>
          <w:bCs/>
          <w:sz w:val="24"/>
        </w:rPr>
      </w:pPr>
    </w:p>
    <w:p w14:paraId="30E221C9">
      <w:pPr>
        <w:spacing w:line="348" w:lineRule="auto"/>
        <w:rPr>
          <w:rFonts w:ascii="Arial" w:hAnsi="Arial" w:cs="Arial"/>
          <w:b/>
          <w:bCs/>
          <w:sz w:val="24"/>
        </w:rPr>
      </w:pPr>
      <w:r>
        <w:rPr>
          <w:rFonts w:hint="eastAsia" w:ascii="Arial" w:hAnsi="Arial" w:cs="Arial"/>
          <w:b/>
          <w:bCs/>
          <w:sz w:val="24"/>
        </w:rPr>
        <w:t>3.售后服务</w:t>
      </w:r>
    </w:p>
    <w:p w14:paraId="061479FD">
      <w:pPr>
        <w:spacing w:line="348" w:lineRule="auto"/>
        <w:ind w:firstLine="482" w:firstLineChars="200"/>
        <w:rPr>
          <w:rFonts w:ascii="Arial" w:hAnsi="Arial" w:cs="Arial"/>
          <w:b/>
          <w:bCs/>
          <w:sz w:val="24"/>
        </w:rPr>
      </w:pPr>
      <w:r>
        <w:rPr>
          <w:rFonts w:hint="eastAsia" w:ascii="宋体" w:hAnsi="宋体" w:cs="Arial"/>
          <w:b/>
          <w:bCs/>
          <w:sz w:val="24"/>
        </w:rPr>
        <w:t>（1）按国家和海南省相关技术标准，乙方确保产品质量合格，并为全新未使用过的原厂正品，自产品验收合格日之日起算承诺质保期为</w:t>
      </w:r>
      <w:r>
        <w:rPr>
          <w:rFonts w:hint="eastAsia" w:ascii="宋体" w:hAnsi="宋体" w:cs="Arial"/>
          <w:b/>
          <w:bCs/>
          <w:sz w:val="24"/>
          <w:u w:val="single"/>
        </w:rPr>
        <w:t xml:space="preserve">  </w:t>
      </w:r>
      <w:r>
        <w:rPr>
          <w:rFonts w:hint="eastAsia" w:ascii="宋体" w:hAnsi="宋体" w:cs="Arial"/>
          <w:b/>
          <w:bCs/>
          <w:sz w:val="24"/>
        </w:rPr>
        <w:t>个月，</w:t>
      </w:r>
      <w:r>
        <w:rPr>
          <w:rFonts w:hint="eastAsia" w:ascii="Arial" w:hAnsi="Arial" w:cs="Arial"/>
          <w:b/>
          <w:bCs/>
          <w:sz w:val="24"/>
        </w:rPr>
        <w:t>保修期内若出现质量问题乙方提供免费维修（人为、自然灾害造成产品损坏除外）。</w:t>
      </w:r>
    </w:p>
    <w:p w14:paraId="281281EB">
      <w:pPr>
        <w:spacing w:line="348" w:lineRule="auto"/>
        <w:ind w:firstLine="482" w:firstLineChars="200"/>
        <w:rPr>
          <w:rFonts w:ascii="Arial" w:hAnsi="Arial" w:cs="Arial"/>
          <w:b/>
          <w:bCs/>
          <w:sz w:val="24"/>
        </w:rPr>
      </w:pPr>
      <w:r>
        <w:rPr>
          <w:rFonts w:hint="eastAsia" w:ascii="Arial" w:hAnsi="Arial" w:cs="Arial"/>
          <w:b/>
          <w:bCs/>
          <w:sz w:val="24"/>
        </w:rPr>
        <w:t>（2）在质保期内，自甲方通知之时起，乙方应12小时内响应提供售后服务；如远程不能解决问题，应自甲方通知之时起在48小时内到现场处理；自甲方通知之日起，乙方对2日内不能解决的问题，须提供备用的产品供甲方使用。</w:t>
      </w:r>
    </w:p>
    <w:p w14:paraId="4C69738A">
      <w:pPr>
        <w:spacing w:line="348" w:lineRule="auto"/>
        <w:ind w:firstLine="482" w:firstLineChars="200"/>
        <w:rPr>
          <w:rFonts w:ascii="Arial" w:hAnsi="Arial" w:cs="Arial"/>
          <w:b/>
          <w:bCs/>
          <w:sz w:val="24"/>
        </w:rPr>
      </w:pPr>
      <w:r>
        <w:rPr>
          <w:rFonts w:hint="eastAsia" w:ascii="Arial" w:hAnsi="Arial" w:cs="Arial"/>
          <w:b/>
          <w:bCs/>
          <w:sz w:val="24"/>
        </w:rPr>
        <w:t>（3）在质保期内，若乙方不按本合同约定提供售后服务的，甲方可以自行聘请第三方提供服务，所产生的费用由乙方承担，包括但不限于差旅费、材料费、维修费、零件费等，甲方有权从任何一笔应支付给乙方的费用中予以扣除并不承担任何违约责任。</w:t>
      </w:r>
    </w:p>
    <w:p w14:paraId="302690C0">
      <w:pPr>
        <w:spacing w:line="348" w:lineRule="auto"/>
        <w:ind w:firstLine="361" w:firstLineChars="150"/>
        <w:rPr>
          <w:rFonts w:ascii="Arial" w:hAnsi="Arial" w:cs="Arial"/>
          <w:b/>
          <w:bCs/>
          <w:sz w:val="24"/>
        </w:rPr>
      </w:pPr>
    </w:p>
    <w:p w14:paraId="3D066651">
      <w:pPr>
        <w:widowControl w:val="0"/>
        <w:spacing w:line="348" w:lineRule="auto"/>
        <w:rPr>
          <w:rFonts w:ascii="Arial" w:hAnsi="Arial" w:cs="Arial"/>
          <w:b/>
          <w:bCs/>
          <w:sz w:val="24"/>
        </w:rPr>
      </w:pPr>
      <w:r>
        <w:rPr>
          <w:rFonts w:ascii="Arial" w:hAnsi="Arial" w:cs="Arial"/>
          <w:b/>
          <w:bCs/>
          <w:sz w:val="24"/>
        </w:rPr>
        <w:t>4</w:t>
      </w:r>
      <w:r>
        <w:rPr>
          <w:rFonts w:hint="eastAsia" w:ascii="Arial" w:hAnsi="Arial" w:cs="Arial"/>
          <w:b/>
          <w:bCs/>
          <w:sz w:val="24"/>
        </w:rPr>
        <w:t>.验收</w:t>
      </w:r>
    </w:p>
    <w:p w14:paraId="2BD4621E">
      <w:pPr>
        <w:widowControl w:val="0"/>
        <w:spacing w:line="348" w:lineRule="auto"/>
        <w:ind w:firstLine="482" w:firstLineChars="200"/>
        <w:rPr>
          <w:rFonts w:ascii="Arial" w:hAnsi="Arial" w:cs="Arial"/>
          <w:b/>
          <w:bCs/>
          <w:sz w:val="24"/>
        </w:rPr>
      </w:pPr>
      <w:r>
        <w:rPr>
          <w:rFonts w:hint="eastAsia" w:ascii="Arial" w:hAnsi="Arial" w:cs="Arial"/>
          <w:b/>
          <w:bCs/>
          <w:sz w:val="24"/>
        </w:rPr>
        <w:t>（1）乙方负责发货到甲方指定地点后，双方协助开箱清点货物，如果发现数量不足或有质量、技术问题，乙方应自发现问题之日起15天内，按照甲方的要求，采取补足、更换或退货等处理措施，并承担由此产生的各项直接或间接损失费用。</w:t>
      </w:r>
    </w:p>
    <w:p w14:paraId="1DA723C1">
      <w:pPr>
        <w:widowControl w:val="0"/>
        <w:spacing w:line="348" w:lineRule="auto"/>
        <w:ind w:firstLine="482" w:firstLineChars="200"/>
        <w:rPr>
          <w:rFonts w:ascii="Arial" w:hAnsi="Arial" w:cs="Arial"/>
          <w:b/>
          <w:bCs/>
          <w:sz w:val="24"/>
        </w:rPr>
      </w:pPr>
      <w:r>
        <w:rPr>
          <w:rFonts w:hint="eastAsia" w:ascii="Arial" w:hAnsi="Arial" w:cs="Arial"/>
          <w:b/>
          <w:bCs/>
          <w:sz w:val="24"/>
        </w:rPr>
        <w:t>（2）产品安装后，乙方、生产厂家（或厂家授权的单位）</w:t>
      </w:r>
      <w:r>
        <w:rPr>
          <w:rFonts w:hint="eastAsia" w:ascii="仿宋" w:hAnsi="仿宋" w:eastAsia="仿宋"/>
          <w:sz w:val="32"/>
          <w:szCs w:val="32"/>
        </w:rPr>
        <w:t>、</w:t>
      </w:r>
      <w:r>
        <w:rPr>
          <w:rFonts w:hint="eastAsia" w:ascii="Arial" w:hAnsi="Arial" w:cs="Arial"/>
          <w:b/>
          <w:bCs/>
          <w:sz w:val="24"/>
        </w:rPr>
        <w:t>甲方使用科室、医疗设备处监管工程师及管理人员约定时间对产品进行正式验收，并由乙方组织人员培训。</w:t>
      </w:r>
    </w:p>
    <w:p w14:paraId="108BCAF1">
      <w:pPr>
        <w:widowControl w:val="0"/>
        <w:spacing w:line="348" w:lineRule="auto"/>
        <w:ind w:firstLine="482" w:firstLineChars="200"/>
        <w:rPr>
          <w:rFonts w:ascii="宋体"/>
          <w:b/>
          <w:sz w:val="24"/>
        </w:rPr>
      </w:pPr>
      <w:r>
        <w:rPr>
          <w:rFonts w:hint="eastAsia" w:ascii="Arial" w:hAnsi="Arial" w:cs="Arial"/>
          <w:b/>
          <w:bCs/>
          <w:sz w:val="24"/>
        </w:rPr>
        <w:t>（3）产品验收合格后，乙方应向甲方提供全部与产品或者产品相关的配套材料，</w:t>
      </w:r>
      <w:r>
        <w:rPr>
          <w:rFonts w:hint="eastAsia" w:ascii="宋体" w:hAnsi="宋体"/>
          <w:b/>
          <w:sz w:val="24"/>
        </w:rPr>
        <w:t>包括相应的操作手册、维护手册、产品说明书、质量保证文件、服务指南、进口产品报告单或是国产产品合格证，产品验收单及培训相关记录表等；计量产品还须提供计量校准证书，特种设备产品须提供使用登记证书。</w:t>
      </w:r>
    </w:p>
    <w:p w14:paraId="2B423D18">
      <w:pPr>
        <w:widowControl w:val="0"/>
        <w:tabs>
          <w:tab w:val="left" w:pos="312"/>
        </w:tabs>
        <w:spacing w:line="348" w:lineRule="auto"/>
        <w:ind w:firstLine="482" w:firstLineChars="200"/>
        <w:rPr>
          <w:rFonts w:hint="eastAsia" w:ascii="宋体" w:hAnsi="宋体"/>
          <w:b/>
          <w:sz w:val="24"/>
        </w:rPr>
      </w:pPr>
      <w:r>
        <w:rPr>
          <w:rFonts w:hint="eastAsia" w:ascii="宋体" w:hAnsi="宋体"/>
          <w:b/>
          <w:kern w:val="2"/>
          <w:sz w:val="24"/>
          <w:szCs w:val="24"/>
        </w:rPr>
        <w:t>（4）</w:t>
      </w:r>
      <w:r>
        <w:rPr>
          <w:rFonts w:hint="eastAsia" w:ascii="宋体" w:hAnsi="宋体"/>
          <w:b/>
          <w:sz w:val="24"/>
        </w:rPr>
        <w:t>进口的医疗器械应当有中文说明书、中文标签，说明书、标签应当符合《医疗器械监督管理条例》规定以及相关规定标准的要求，没有中文说明书、中文标签或是说明书、标签不符合相关规定的，不得进口。</w:t>
      </w:r>
      <w:bookmarkStart w:id="80" w:name="_Hlk97639581"/>
      <w:r>
        <w:rPr>
          <w:rFonts w:hint="eastAsia" w:ascii="宋体" w:hAnsi="宋体"/>
          <w:b/>
          <w:sz w:val="24"/>
        </w:rPr>
        <w:t>如乙方未向甲方提供符合要求的中文说明书、中文标签，乙方应向甲方承担合同总金额2</w:t>
      </w:r>
      <w:r>
        <w:rPr>
          <w:rFonts w:ascii="宋体" w:hAnsi="宋体"/>
          <w:b/>
          <w:sz w:val="24"/>
        </w:rPr>
        <w:t>0</w:t>
      </w:r>
      <w:r>
        <w:rPr>
          <w:rFonts w:hint="eastAsia" w:ascii="宋体" w:hAnsi="宋体"/>
          <w:b/>
          <w:sz w:val="24"/>
        </w:rPr>
        <w:t>%的违约金，因此给甲方造成损失的，乙方应负责赔偿。</w:t>
      </w:r>
      <w:bookmarkEnd w:id="80"/>
    </w:p>
    <w:p w14:paraId="53FA1DC1">
      <w:pPr>
        <w:tabs>
          <w:tab w:val="left" w:pos="312"/>
        </w:tabs>
        <w:spacing w:line="348" w:lineRule="auto"/>
        <w:rPr>
          <w:rFonts w:hint="eastAsia" w:ascii="宋体" w:hAnsi="宋体"/>
          <w:b/>
          <w:sz w:val="24"/>
        </w:rPr>
      </w:pPr>
    </w:p>
    <w:p w14:paraId="4FA9E9B5">
      <w:pPr>
        <w:numPr>
          <w:ilvl w:val="0"/>
          <w:numId w:val="4"/>
        </w:numPr>
        <w:shd w:val="clear" w:color="auto" w:fill="FFFFFF"/>
        <w:adjustRightInd w:val="0"/>
        <w:snapToGrid w:val="0"/>
        <w:spacing w:line="348" w:lineRule="auto"/>
        <w:rPr>
          <w:rFonts w:ascii="Arial" w:hAnsi="Arial" w:cs="Arial"/>
          <w:b/>
          <w:bCs/>
          <w:sz w:val="24"/>
        </w:rPr>
      </w:pPr>
      <w:r>
        <w:rPr>
          <w:rFonts w:hint="eastAsia" w:ascii="宋体" w:hAnsi="宋体" w:cs="宋体"/>
          <w:b/>
          <w:bCs/>
          <w:sz w:val="24"/>
        </w:rPr>
        <w:t>付款方式：</w:t>
      </w:r>
    </w:p>
    <w:p w14:paraId="20CCEA8C">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乙方指定收款账户信息：</w:t>
      </w:r>
    </w:p>
    <w:p w14:paraId="139CAB24">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开户名称：</w:t>
      </w:r>
    </w:p>
    <w:p w14:paraId="71821F29">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开户银行：</w:t>
      </w:r>
    </w:p>
    <w:p w14:paraId="72C883BD">
      <w:pPr>
        <w:shd w:val="clear" w:color="auto" w:fill="FFFFFF"/>
        <w:adjustRightInd w:val="0"/>
        <w:snapToGrid w:val="0"/>
        <w:spacing w:line="348" w:lineRule="auto"/>
        <w:rPr>
          <w:rFonts w:ascii="Arial" w:hAnsi="Arial" w:cs="Arial"/>
          <w:b/>
          <w:bCs/>
          <w:color w:val="000000" w:themeColor="text1"/>
          <w:sz w:val="24"/>
          <w14:textFill>
            <w14:solidFill>
              <w14:schemeClr w14:val="tx1"/>
            </w14:solidFill>
          </w14:textFill>
        </w:rPr>
      </w:pPr>
      <w:r>
        <w:rPr>
          <w:rFonts w:hint="eastAsia" w:ascii="Arial" w:hAnsi="Arial" w:cs="Arial"/>
          <w:b/>
          <w:bCs/>
          <w:sz w:val="24"/>
        </w:rPr>
        <w:t xml:space="preserve">账   </w:t>
      </w:r>
      <w:r>
        <w:rPr>
          <w:rFonts w:hint="eastAsia" w:ascii="Arial" w:hAnsi="Arial" w:cs="Arial"/>
          <w:b/>
          <w:bCs/>
          <w:color w:val="000000" w:themeColor="text1"/>
          <w:sz w:val="24"/>
          <w14:textFill>
            <w14:solidFill>
              <w14:schemeClr w14:val="tx1"/>
            </w14:solidFill>
          </w14:textFill>
        </w:rPr>
        <w:t xml:space="preserve"> 号：</w:t>
      </w:r>
    </w:p>
    <w:p w14:paraId="69EA42F1">
      <w:pPr>
        <w:widowControl w:val="0"/>
        <w:shd w:val="clear" w:color="auto" w:fill="FFFFFF"/>
        <w:adjustRightInd w:val="0"/>
        <w:snapToGrid w:val="0"/>
        <w:spacing w:line="348" w:lineRule="auto"/>
        <w:ind w:firstLine="482" w:firstLineChars="200"/>
        <w:rPr>
          <w:rFonts w:hint="eastAsia" w:ascii="Arial" w:hAnsi="Arial" w:cs="Arial"/>
          <w:b/>
          <w:bCs/>
          <w:color w:val="000000" w:themeColor="text1"/>
          <w:sz w:val="24"/>
          <w14:textFill>
            <w14:solidFill>
              <w14:schemeClr w14:val="tx1"/>
            </w14:solidFill>
          </w14:textFill>
        </w:rPr>
      </w:pPr>
      <w:r>
        <w:rPr>
          <w:rFonts w:hint="eastAsia" w:ascii="Arial" w:hAnsi="Arial" w:cs="Arial"/>
          <w:b/>
          <w:bCs/>
          <w:color w:val="000000" w:themeColor="text1"/>
          <w:sz w:val="24"/>
          <w14:textFill>
            <w14:solidFill>
              <w14:schemeClr w14:val="tx1"/>
            </w14:solidFill>
          </w14:textFill>
        </w:rPr>
        <w:t>(1)合同签订10个工作日内, 甲方向乙方支付合同总价款30%的预付款；在乙方向甲方出具合同总价款5%的质量保函和合同总价款95%的无条件银行独立履约保函后，且在甲方收到政府拨付的专项资金和甲方的内部付款审批流程完成的前提条件下，在5个工作日内向乙方付清合同总价款70%的款项，计人民币  (￥         ）。开具履约保函所产生的所有费用由乙方自行承担。若甲方根据实际情况判断实际到货时间将超出履约保函有效期的，乙方应当按甲方的要求延长履约保函有效期。乙方提供的银行履约保函应为无条件的、载明“见索即付”的独立保函，即不得额外附加甲方在向银行发《索赔通知》时的证据义务。</w:t>
      </w:r>
    </w:p>
    <w:p w14:paraId="55C72899">
      <w:pPr>
        <w:widowControl w:val="0"/>
        <w:shd w:val="clear" w:color="auto" w:fill="FFFFFF"/>
        <w:adjustRightInd w:val="0"/>
        <w:snapToGrid w:val="0"/>
        <w:spacing w:line="348" w:lineRule="auto"/>
        <w:ind w:firstLine="482" w:firstLineChars="200"/>
        <w:rPr>
          <w:rFonts w:hint="eastAsia" w:ascii="Arial" w:hAnsi="Arial" w:cs="Arial"/>
          <w:b/>
          <w:bCs/>
          <w:color w:val="000000" w:themeColor="text1"/>
          <w:sz w:val="24"/>
          <w14:textFill>
            <w14:solidFill>
              <w14:schemeClr w14:val="tx1"/>
            </w14:solidFill>
          </w14:textFill>
        </w:rPr>
      </w:pPr>
      <w:r>
        <w:rPr>
          <w:rFonts w:hint="eastAsia" w:ascii="Arial" w:hAnsi="Arial" w:cs="Arial"/>
          <w:b/>
          <w:bCs/>
          <w:color w:val="000000" w:themeColor="text1"/>
          <w:sz w:val="24"/>
          <w14:textFill>
            <w14:solidFill>
              <w14:schemeClr w14:val="tx1"/>
            </w14:solidFill>
          </w14:textFill>
        </w:rPr>
        <w:t>(2)履约保函解除条件：</w:t>
      </w:r>
    </w:p>
    <w:p w14:paraId="084943B0">
      <w:pPr>
        <w:widowControl w:val="0"/>
        <w:shd w:val="clear" w:color="auto" w:fill="FFFFFF"/>
        <w:adjustRightInd w:val="0"/>
        <w:snapToGrid w:val="0"/>
        <w:spacing w:line="348" w:lineRule="auto"/>
        <w:ind w:firstLine="482" w:firstLineChars="200"/>
        <w:rPr>
          <w:rFonts w:hint="eastAsia" w:ascii="Arial" w:hAnsi="Arial" w:cs="Arial"/>
          <w:b/>
          <w:bCs/>
          <w:color w:val="000000" w:themeColor="text1"/>
          <w:sz w:val="24"/>
          <w14:textFill>
            <w14:solidFill>
              <w14:schemeClr w14:val="tx1"/>
            </w14:solidFill>
          </w14:textFill>
        </w:rPr>
      </w:pPr>
      <w:r>
        <w:rPr>
          <w:rFonts w:hint="eastAsia" w:ascii="Arial" w:hAnsi="Arial" w:cs="Arial"/>
          <w:b/>
          <w:bCs/>
          <w:color w:val="000000" w:themeColor="text1"/>
          <w:sz w:val="24"/>
          <w14:textFill>
            <w14:solidFill>
              <w14:schemeClr w14:val="tx1"/>
            </w14:solidFill>
          </w14:textFill>
        </w:rPr>
        <w:t>乙方负责发货到甲方指定地点，组织安装调试运转正常，并通过培训、验收合格，提交全部报告材料后，乙方可向银行申请解除合同总价款95%的履约保函。</w:t>
      </w:r>
    </w:p>
    <w:p w14:paraId="579414D1">
      <w:pPr>
        <w:widowControl w:val="0"/>
        <w:numPr>
          <w:ilvl w:val="0"/>
          <w:numId w:val="0"/>
        </w:numPr>
        <w:shd w:val="clear" w:color="auto" w:fill="FFFFFF"/>
        <w:adjustRightInd w:val="0"/>
        <w:snapToGrid w:val="0"/>
        <w:spacing w:line="348" w:lineRule="auto"/>
        <w:ind w:firstLine="482" w:firstLineChars="200"/>
        <w:rPr>
          <w:rFonts w:hint="eastAsia" w:ascii="Arial" w:hAnsi="Arial" w:cs="Arial"/>
          <w:b/>
          <w:bCs/>
          <w:color w:val="000000" w:themeColor="text1"/>
          <w:sz w:val="24"/>
          <w14:textFill>
            <w14:solidFill>
              <w14:schemeClr w14:val="tx1"/>
            </w14:solidFill>
          </w14:textFill>
        </w:rPr>
      </w:pPr>
      <w:r>
        <w:rPr>
          <w:rFonts w:hint="eastAsia" w:ascii="Arial" w:hAnsi="Arial" w:eastAsia="宋体" w:cs="Arial"/>
          <w:b/>
          <w:bCs/>
          <w:color w:val="000000" w:themeColor="text1"/>
          <w:sz w:val="24"/>
          <w:szCs w:val="21"/>
          <w:lang w:val="en-US" w:eastAsia="zh-CN" w:bidi="ar-SA"/>
          <w14:textFill>
            <w14:solidFill>
              <w14:schemeClr w14:val="tx1"/>
            </w14:solidFill>
          </w14:textFill>
        </w:rPr>
        <w:t>（3）</w:t>
      </w:r>
      <w:r>
        <w:rPr>
          <w:rFonts w:hint="eastAsia" w:ascii="Arial" w:hAnsi="Arial" w:cs="Arial"/>
          <w:b/>
          <w:bCs/>
          <w:color w:val="000000" w:themeColor="text1"/>
          <w:sz w:val="24"/>
          <w14:textFill>
            <w14:solidFill>
              <w14:schemeClr w14:val="tx1"/>
            </w14:solidFill>
          </w14:textFill>
        </w:rPr>
        <w:t>自验收合格满五年设备无质量问题，乙方向甲方取回质量保函，如设备出现质量问题，将由乙方维护或更换设备直到甲方认可后才能取回质量保函。</w:t>
      </w:r>
    </w:p>
    <w:p w14:paraId="4DDDDF1D">
      <w:pPr>
        <w:widowControl w:val="0"/>
        <w:numPr>
          <w:ilvl w:val="0"/>
          <w:numId w:val="0"/>
        </w:numPr>
        <w:shd w:val="clear" w:color="auto" w:fill="FFFFFF"/>
        <w:adjustRightInd w:val="0"/>
        <w:snapToGrid w:val="0"/>
        <w:spacing w:line="348" w:lineRule="auto"/>
        <w:ind w:firstLine="482" w:firstLineChars="200"/>
        <w:rPr>
          <w:rFonts w:hint="eastAsia" w:ascii="Arial" w:hAnsi="Arial" w:cs="Arial"/>
          <w:b/>
          <w:bCs/>
          <w:color w:val="000000" w:themeColor="text1"/>
          <w:sz w:val="24"/>
          <w14:textFill>
            <w14:solidFill>
              <w14:schemeClr w14:val="tx1"/>
            </w14:solidFill>
          </w14:textFill>
        </w:rPr>
      </w:pPr>
      <w:r>
        <w:rPr>
          <w:rFonts w:hint="eastAsia" w:ascii="Arial" w:hAnsi="Arial" w:cs="Arial"/>
          <w:b/>
          <w:bCs/>
          <w:color w:val="000000" w:themeColor="text1"/>
          <w:sz w:val="24"/>
          <w14:textFill>
            <w14:solidFill>
              <w14:schemeClr w14:val="tx1"/>
            </w14:solidFill>
          </w14:textFill>
        </w:rPr>
        <w:t>6.违约责任条款</w:t>
      </w:r>
    </w:p>
    <w:p w14:paraId="537A47AB">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color w:val="000000" w:themeColor="text1"/>
          <w:sz w:val="24"/>
          <w14:textFill>
            <w14:solidFill>
              <w14:schemeClr w14:val="tx1"/>
            </w14:solidFill>
          </w14:textFill>
        </w:rPr>
        <w:t>（1）乙方违反质量条款交付产品，乙方应在甲方书面通知15日内提供符合约定标准的产品，如逾期交付的，每逾期一日承担合同总金额万分之</w:t>
      </w:r>
      <w:r>
        <w:rPr>
          <w:rFonts w:hint="eastAsia" w:ascii="Arial" w:hAnsi="Arial" w:cs="Arial"/>
          <w:b/>
          <w:bCs/>
          <w:sz w:val="24"/>
        </w:rPr>
        <w:t>五的违约金。</w:t>
      </w:r>
    </w:p>
    <w:p w14:paraId="2D96CEE5">
      <w:pPr>
        <w:widowControl w:val="0"/>
        <w:shd w:val="clear" w:color="auto" w:fill="FFFFFF"/>
        <w:adjustRightInd w:val="0"/>
        <w:snapToGrid w:val="0"/>
        <w:spacing w:line="348" w:lineRule="auto"/>
        <w:ind w:firstLine="482" w:firstLineChars="200"/>
        <w:rPr>
          <w:rFonts w:ascii="Arial" w:hAnsi="Arial" w:cs="Arial"/>
          <w:b/>
          <w:bCs/>
          <w:sz w:val="24"/>
        </w:rPr>
      </w:pPr>
      <w:bookmarkStart w:id="81" w:name="_Hlk97639060"/>
      <w:r>
        <w:rPr>
          <w:rFonts w:hint="eastAsia" w:ascii="Arial" w:hAnsi="Arial" w:cs="Arial"/>
          <w:b/>
          <w:bCs/>
          <w:sz w:val="24"/>
        </w:rPr>
        <w:t>（2）乙方未按本合同约定交付合格的产品，则每延期一日，乙方应向甲方承担相当于合同总金额万分之五的违约金，延期交付产品超过 15日的，则甲方有权解除合同，合同解除当日，乙方应向甲方支付相当于合同总金额10%的违约金，因此给甲方造成其他损失的，乙方仍然应负责赔偿。</w:t>
      </w:r>
    </w:p>
    <w:bookmarkEnd w:id="81"/>
    <w:p w14:paraId="5ED97442">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（3）甲乙双方因不可抗拒因素违反了本合同条约，不视为违约，但应及时告知并友好协商，尽可能减少双方损失。</w:t>
      </w:r>
    </w:p>
    <w:p w14:paraId="5592020A">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（4）未经甲方书面同意，乙方擅自转让本合同项下权利或义务的行为对甲方不发生效力，甲方有权单方面解除本合同。</w:t>
      </w:r>
    </w:p>
    <w:p w14:paraId="3E1DC524">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5）乙方提供的产品不得侵犯他人的知识产权，若因此出现知识产权争议，乙方承担全部责任及处理此争议所产生的全部费用（包括但不限于应诉费及赔偿费）；若出现的争议涉及诉讼或仲裁并牵连甲方的，则甲方为了处理诉讼或仲裁案而发生的律师费、差旅费、调查费及诉讼费或仲裁费等均由乙方承担；若发生的争议在30天内无法得到有利于甲方的结果，则甲方有权解除合同。</w:t>
      </w:r>
    </w:p>
    <w:p w14:paraId="3255AC66">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6）如产品质量达不到供货标准或产品数量不符合约定的，乙方应立即采取补足、更换等补救措施直至通过甲方验收止，由此产生的费用和逾期责任由乙方承担。且甲方有权视乙方违约程度，决定是否解除本合同。</w:t>
      </w:r>
    </w:p>
    <w:p w14:paraId="5D772AA0">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（7）若认定为假冒伪劣产品导致停用查封，除按法律法规处罚外，还须全额赔偿给予医院造成的所有损失。</w:t>
      </w:r>
    </w:p>
    <w:p w14:paraId="3BE59CFE">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（8）因乙方原因导致甲方决定解除本合同的，乙方应在收到甲方解除合同通知之日起三日内退还已收全部款项（未付费用不再支付），并按本合同总金额10%的比例向甲方支付违约金。</w:t>
      </w:r>
    </w:p>
    <w:p w14:paraId="1946D4C4">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（9）本合同项下，乙方需向甲方支付的违约金、赔偿金等，甲方有权直接从尚未支付的合同款项中扣除；不足的部分，自甲方通知乙方之日起，乙方应在3日内补足。</w:t>
      </w:r>
    </w:p>
    <w:p w14:paraId="0197A6DB">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（10）乙方在产品安装过程中，运输途中出现的损坏、遗失，由乙方免费更换。</w:t>
      </w:r>
    </w:p>
    <w:p w14:paraId="1B8BE2E8">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（11）乙方须确保供给甲方的产品在验收合格后即可使用，如有配带专机专用耗材的，应一并响应，不得存在先采购产品后发现没有耗材使用的现象，一旦发现乙方需向甲方支付合同总金额10%的违约金。</w:t>
      </w:r>
    </w:p>
    <w:p w14:paraId="785EE876">
      <w:pPr>
        <w:widowControl w:val="0"/>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12）如乙方提供的产品不符合合同要求或者质量、功能存在瑕疵，甲方使用乙方提供的产品造成自身或他人人身、财产损害的，乙方应按合同总金额的10%向甲方支付违约金，并承担甲方因此遭受的损失，包括但不限于甲方为了处理相关诉讼或仲裁案而支出的律师费、差旅费、调查费、诉讼费、仲裁费、保全保险费、保全费、鉴定费、公证费、行政罚款等费用。</w:t>
      </w:r>
    </w:p>
    <w:p w14:paraId="2811362F">
      <w:pPr>
        <w:shd w:val="clear" w:color="auto" w:fill="FFFFFF"/>
        <w:adjustRightInd w:val="0"/>
        <w:snapToGrid w:val="0"/>
        <w:spacing w:line="348" w:lineRule="auto"/>
        <w:rPr>
          <w:rFonts w:ascii="Arial" w:hAnsi="Arial" w:cs="Arial"/>
          <w:b/>
          <w:bCs/>
          <w:sz w:val="24"/>
        </w:rPr>
      </w:pPr>
    </w:p>
    <w:p w14:paraId="549AB36A">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7.争议解决</w:t>
      </w:r>
    </w:p>
    <w:p w14:paraId="1CE36622">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（1）本合同履行过程中发生的任何争议，应首先友好协商解决，如果协商开始后60天仍不能解决，任何一方有权向甲方所在地有管辖权的人民法院提出诉讼。</w:t>
      </w:r>
    </w:p>
    <w:p w14:paraId="7969E7AC">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（2）</w:t>
      </w:r>
      <w:r>
        <w:rPr>
          <w:rFonts w:hint="eastAsia" w:ascii="Arial" w:hAnsi="Arial" w:cs="Arial"/>
          <w:b/>
          <w:bCs/>
          <w:sz w:val="24"/>
          <w:szCs w:val="24"/>
        </w:rPr>
        <w:t>为解决纠纷而发生的费用由违约方承担。包括但不限于为诉讼而支出的诉讼费用、律师费、差旅费、保全费、保全保险费、鉴定费、公证费等守约方为实现债权而支出的一切费用。</w:t>
      </w:r>
    </w:p>
    <w:p w14:paraId="3827E877">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（3）产生争议期间，除产生争议的部分外，合同其他事项和条款仍应继续履行，如有未尽事宜双方可以协商签订补充合同。</w:t>
      </w:r>
    </w:p>
    <w:p w14:paraId="5C301CC3">
      <w:pPr>
        <w:shd w:val="clear" w:color="auto" w:fill="FFFFFF"/>
        <w:adjustRightInd w:val="0"/>
        <w:snapToGrid w:val="0"/>
        <w:spacing w:line="348" w:lineRule="auto"/>
        <w:rPr>
          <w:rFonts w:ascii="Arial" w:hAnsi="Arial" w:cs="Arial"/>
          <w:b/>
          <w:bCs/>
          <w:sz w:val="24"/>
        </w:rPr>
      </w:pPr>
    </w:p>
    <w:p w14:paraId="7BE0E74B">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8.医疗卫生机构医药产品廉洁购销条款</w:t>
      </w:r>
    </w:p>
    <w:p w14:paraId="01A54D8E">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（1）甲乙双方按照《民法典》及医药产品购销合同约定购销药品、医疗设备、医用耗材等医药产品。</w:t>
      </w:r>
    </w:p>
    <w:p w14:paraId="6BC39322">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（2）甲方应当严格执行医药产品购销合同验收、入库制度，对采购医药产品及发票进行查验，不得违反有关规定合同外采购、违价采购或从非规定渠道采购。</w:t>
      </w:r>
    </w:p>
    <w:p w14:paraId="4F1F4BD3">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0B27F55">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（4）严禁甲方工作人员利用任何途径和方式，为乙方统计医师个人及临床科室有关医药产品用量信息，或为乙方统计提供便利。</w:t>
      </w:r>
    </w:p>
    <w:p w14:paraId="30020A91">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（5）乙方不得以回扣、宴请等方式影响甲方工作人员采购或使用医药产品的选择权，不得在学术活动中提供旅游、超标准支付食宿费用。</w:t>
      </w:r>
    </w:p>
    <w:p w14:paraId="7E95C4DC">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（6）乙方指定</w:t>
      </w:r>
      <w:r>
        <w:rPr>
          <w:rFonts w:hint="eastAsia" w:ascii="Arial" w:hAnsi="Arial" w:cs="Arial"/>
          <w:b/>
          <w:bCs/>
          <w:sz w:val="24"/>
          <w:u w:val="single"/>
        </w:rPr>
        <w:t xml:space="preserve">    </w:t>
      </w:r>
      <w:r>
        <w:rPr>
          <w:rFonts w:hint="eastAsia" w:ascii="Arial" w:hAnsi="Arial" w:cs="Arial"/>
          <w:b/>
          <w:bCs/>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5420B923">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7）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2B0CD49A">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8）乙方与甲方业务往来中，乙方所提供的发票是增值税发票，且均需通过合法途径领购，其发票真实、准确、完整，符合《中华人民共和国发票管理办法》及相关规定，不存在任何阴阳发票、虚假发票等。如果违反上述承诺，甲方发现乙方提供任何非法增值税发票，不予退还，直接上报财政、税务及纪检部门处理，且甲方有权单方面终止与乙方签署的任何合同协议、业务往来及一切款项支付，乙方愿意承担相应法律责任，并赔偿甲方因此所遭受的一切损失。</w:t>
      </w:r>
    </w:p>
    <w:p w14:paraId="15F0BB3B">
      <w:pPr>
        <w:shd w:val="clear" w:color="auto" w:fill="FFFFFF"/>
        <w:adjustRightInd w:val="0"/>
        <w:snapToGrid w:val="0"/>
        <w:spacing w:line="348" w:lineRule="auto"/>
        <w:rPr>
          <w:rFonts w:ascii="Arial" w:hAnsi="Arial" w:cs="Arial"/>
          <w:b/>
          <w:bCs/>
          <w:sz w:val="24"/>
        </w:rPr>
      </w:pPr>
    </w:p>
    <w:p w14:paraId="217EE919">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9.通知与送达</w:t>
      </w:r>
    </w:p>
    <w:p w14:paraId="0EB00BB2">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1）对于履行本合同过程中需要向对方送达的文件或资料，甲乙双方中的任何一方授权的代表签收即视为送达；如以邮寄形式送达的，向各方指定的如下邮寄地址通过特快专递的方式投寄该文件之日起的第三日即视为送达：</w:t>
      </w:r>
    </w:p>
    <w:p w14:paraId="2C0A0957">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甲方指定的邮寄地址：海口市海甸岛人民大道43号海口市人民医院</w:t>
      </w:r>
    </w:p>
    <w:p w14:paraId="593A027E">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收件人：凌女士           联系电话：66189743</w:t>
      </w:r>
    </w:p>
    <w:p w14:paraId="3C3ACCD1">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乙方指定的邮寄地址：</w:t>
      </w:r>
    </w:p>
    <w:p w14:paraId="583D041F">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收件人：            联系电话：</w:t>
      </w:r>
    </w:p>
    <w:p w14:paraId="59E824C8">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（2）甲乙双方可指定各自的电子邮箱作为接收通知或文件的方式，按照如下电子邮箱进行发送，则在发送后的第一个工作日即视为有效送达：</w:t>
      </w:r>
    </w:p>
    <w:p w14:paraId="4039FFED">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 xml:space="preserve">甲方指定的电子邮箱：yxgcc66189527@163.com      </w:t>
      </w:r>
    </w:p>
    <w:p w14:paraId="2C4C3EFF">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 xml:space="preserve">乙方指定的电子邮箱：                </w:t>
      </w:r>
    </w:p>
    <w:p w14:paraId="5EE43837">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（3）如一方地址、电话、传真号码有变更，应在变更当日内书面通知对方。</w:t>
      </w:r>
    </w:p>
    <w:p w14:paraId="352BB46F">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（4）以上送达地址适用范围包括但不限于各类告知书、通知书、工作联系单、协议文件、诉讼，送达主体可以是协议各方、人民法院及各行政机关。</w:t>
      </w:r>
    </w:p>
    <w:p w14:paraId="09D9B5BA">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双方共同确认：上述合同中的地址适用于各个司法阶段，包括但不限于一审、二审、再审、执行以及督促程序。同时双方保证送达地址准确、有效，如果提供的地址不确切，或者不及时告知变更后的地址，使诉讼法律文书无法送达或未及时送达，自行承担由此可能产生的法律后果。</w:t>
      </w:r>
    </w:p>
    <w:p w14:paraId="0B944D8D">
      <w:pPr>
        <w:shd w:val="clear" w:color="auto" w:fill="FFFFFF"/>
        <w:adjustRightInd w:val="0"/>
        <w:snapToGrid w:val="0"/>
        <w:spacing w:line="348" w:lineRule="auto"/>
        <w:rPr>
          <w:rFonts w:ascii="Arial" w:hAnsi="Arial" w:cs="Arial"/>
          <w:b/>
          <w:bCs/>
          <w:sz w:val="24"/>
        </w:rPr>
      </w:pPr>
    </w:p>
    <w:p w14:paraId="3F2DF129">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10.其他</w:t>
      </w:r>
    </w:p>
    <w:p w14:paraId="55D98E12">
      <w:pPr>
        <w:shd w:val="clear" w:color="auto" w:fill="FFFFFF"/>
        <w:adjustRightInd w:val="0"/>
        <w:snapToGrid w:val="0"/>
        <w:spacing w:line="348" w:lineRule="auto"/>
        <w:ind w:firstLine="482" w:firstLineChars="200"/>
      </w:pPr>
      <w:r>
        <w:rPr>
          <w:rFonts w:hint="eastAsia" w:ascii="Arial" w:hAnsi="Arial" w:cs="Arial"/>
          <w:b/>
          <w:bCs/>
          <w:sz w:val="24"/>
        </w:rPr>
        <w:t>（1）会议纪要、往来信函、询价文件、招投标文件、合同附件、《成交通知书》及补充协议均为本合同不可分割的有效组成部分，与本合同具有同等法律效力和履约义务。</w:t>
      </w:r>
    </w:p>
    <w:p w14:paraId="30BABA66">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（2）本合同组成包括：合同条款、产品配置清单、成交通知书。</w:t>
      </w:r>
    </w:p>
    <w:p w14:paraId="1982F256">
      <w:pPr>
        <w:shd w:val="clear" w:color="auto" w:fill="FFFFFF"/>
        <w:adjustRightInd w:val="0"/>
        <w:snapToGrid w:val="0"/>
        <w:spacing w:line="348" w:lineRule="auto"/>
        <w:ind w:firstLine="482" w:firstLineChars="200"/>
        <w:rPr>
          <w:rFonts w:ascii="Arial" w:hAnsi="Arial" w:cs="Arial"/>
          <w:b/>
          <w:bCs/>
          <w:sz w:val="24"/>
        </w:rPr>
      </w:pPr>
      <w:r>
        <w:rPr>
          <w:rFonts w:hint="eastAsia" w:ascii="Arial" w:hAnsi="Arial" w:cs="Arial"/>
          <w:b/>
          <w:bCs/>
          <w:sz w:val="24"/>
        </w:rPr>
        <w:t>（3）乙方售后服务负责人：        ；联系电话：    。</w:t>
      </w:r>
    </w:p>
    <w:p w14:paraId="328C413E">
      <w:pPr>
        <w:shd w:val="clear" w:color="auto" w:fill="FFFFFF"/>
        <w:adjustRightInd w:val="0"/>
        <w:snapToGrid w:val="0"/>
        <w:spacing w:line="348" w:lineRule="auto"/>
      </w:pPr>
      <w:r>
        <w:rPr>
          <w:rFonts w:hint="eastAsia" w:ascii="Arial" w:hAnsi="Arial" w:cs="Arial"/>
          <w:b/>
          <w:bCs/>
          <w:sz w:val="24"/>
        </w:rPr>
        <w:t xml:space="preserve">     供货公司常用办公电话：</w:t>
      </w:r>
    </w:p>
    <w:p w14:paraId="32553C0A">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 xml:space="preserve">     厂家售后服务工程师：  ；联系电话：         。</w:t>
      </w:r>
    </w:p>
    <w:p w14:paraId="28118B7D">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 xml:space="preserve">     乙方业务联系人：        ；联系电话：       。</w:t>
      </w:r>
    </w:p>
    <w:p w14:paraId="6B7E4538">
      <w:pPr>
        <w:shd w:val="clear" w:color="auto" w:fill="FFFFFF"/>
        <w:adjustRightInd w:val="0"/>
        <w:snapToGrid w:val="0"/>
        <w:spacing w:line="348" w:lineRule="auto"/>
        <w:rPr>
          <w:rFonts w:ascii="Arial" w:hAnsi="Arial" w:cs="Arial"/>
          <w:b/>
          <w:bCs/>
          <w:sz w:val="24"/>
        </w:rPr>
      </w:pPr>
    </w:p>
    <w:p w14:paraId="5401D596">
      <w:pPr>
        <w:shd w:val="clear" w:color="auto" w:fill="FFFFFF"/>
        <w:adjustRightInd w:val="0"/>
        <w:snapToGrid w:val="0"/>
        <w:spacing w:line="348" w:lineRule="auto"/>
        <w:rPr>
          <w:rFonts w:ascii="Arial" w:hAnsi="Arial" w:cs="Arial"/>
          <w:b/>
          <w:bCs/>
          <w:sz w:val="24"/>
        </w:rPr>
      </w:pPr>
    </w:p>
    <w:p w14:paraId="452D2F66">
      <w:pPr>
        <w:shd w:val="clear" w:color="auto" w:fill="FFFFFF"/>
        <w:adjustRightInd w:val="0"/>
        <w:snapToGrid w:val="0"/>
        <w:spacing w:line="348" w:lineRule="auto"/>
        <w:rPr>
          <w:rFonts w:ascii="Arial" w:hAnsi="Arial" w:cs="Arial"/>
          <w:b/>
          <w:bCs/>
          <w:sz w:val="24"/>
        </w:rPr>
      </w:pPr>
    </w:p>
    <w:p w14:paraId="73A28B7B">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11.合同生效</w:t>
      </w:r>
    </w:p>
    <w:p w14:paraId="23266E0E">
      <w:pPr>
        <w:shd w:val="clear" w:color="auto" w:fill="FFFFFF"/>
        <w:adjustRightInd w:val="0"/>
        <w:snapToGrid w:val="0"/>
        <w:spacing w:line="348" w:lineRule="auto"/>
        <w:rPr>
          <w:rFonts w:ascii="Arial" w:hAnsi="Arial" w:cs="Arial"/>
          <w:b/>
          <w:bCs/>
          <w:sz w:val="24"/>
        </w:rPr>
      </w:pPr>
      <w:r>
        <w:rPr>
          <w:rFonts w:hint="eastAsia" w:ascii="Arial" w:hAnsi="Arial" w:cs="Arial"/>
          <w:b/>
          <w:bCs/>
          <w:sz w:val="24"/>
        </w:rPr>
        <w:t>本合同由甲乙双方签字并加盖单位公章之日起生效。</w:t>
      </w:r>
    </w:p>
    <w:p w14:paraId="421A3D6C">
      <w:pPr>
        <w:spacing w:line="348" w:lineRule="auto"/>
        <w:rPr>
          <w:rFonts w:ascii="Arial" w:hAnsi="Arial" w:cs="Arial"/>
          <w:b/>
          <w:bCs/>
          <w:sz w:val="24"/>
        </w:rPr>
      </w:pPr>
      <w:r>
        <w:rPr>
          <w:rFonts w:hint="eastAsia" w:ascii="Arial" w:hAnsi="Arial" w:cs="Arial"/>
          <w:b/>
          <w:bCs/>
          <w:sz w:val="24"/>
        </w:rPr>
        <w:t>12.合同备案</w:t>
      </w:r>
    </w:p>
    <w:p w14:paraId="0AD05B14">
      <w:pPr>
        <w:spacing w:line="348" w:lineRule="auto"/>
        <w:rPr>
          <w:rFonts w:ascii="Arial" w:hAnsi="Arial" w:cs="Arial"/>
          <w:b/>
          <w:bCs/>
          <w:sz w:val="24"/>
        </w:rPr>
      </w:pPr>
      <w:r>
        <w:rPr>
          <w:rFonts w:hint="eastAsia" w:ascii="Arial" w:hAnsi="Arial" w:cs="Arial"/>
          <w:b/>
          <w:bCs/>
          <w:sz w:val="24"/>
        </w:rPr>
        <w:t>本合同一式  份，甲方执叁份，乙方执  份，采购代理机构执壹份，每份均具有同等法律效力。</w:t>
      </w:r>
    </w:p>
    <w:p w14:paraId="29D6CA32">
      <w:pPr>
        <w:spacing w:line="360" w:lineRule="auto"/>
        <w:rPr>
          <w:rFonts w:ascii="Arial" w:hAnsi="Arial" w:cs="Arial"/>
          <w:b/>
          <w:bCs/>
          <w:sz w:val="24"/>
        </w:rPr>
      </w:pPr>
      <w:r>
        <w:rPr>
          <w:rFonts w:hint="eastAsia" w:ascii="Arial" w:hAnsi="Arial" w:cs="Arial"/>
          <w:b/>
          <w:bCs/>
          <w:sz w:val="24"/>
        </w:rPr>
        <w:t>（以下无正文）</w:t>
      </w:r>
    </w:p>
    <w:p w14:paraId="444E5B04">
      <w:pPr>
        <w:pStyle w:val="12"/>
        <w:ind w:firstLine="0" w:firstLineChars="0"/>
        <w:rPr>
          <w:rFonts w:ascii="Arial" w:hAnsi="Arial" w:cs="Arial"/>
          <w:b/>
          <w:bCs/>
          <w:sz w:val="24"/>
        </w:rPr>
      </w:pPr>
    </w:p>
    <w:p w14:paraId="3A1A3336">
      <w:pPr>
        <w:pStyle w:val="12"/>
        <w:ind w:firstLine="0" w:firstLineChars="0"/>
        <w:rPr>
          <w:rFonts w:ascii="Arial" w:hAnsi="Arial" w:cs="Arial"/>
          <w:b/>
          <w:bCs/>
          <w:sz w:val="24"/>
        </w:rPr>
      </w:pPr>
    </w:p>
    <w:p w14:paraId="59018E35">
      <w:pPr>
        <w:spacing w:line="360" w:lineRule="auto"/>
        <w:rPr>
          <w:rFonts w:ascii="Arial" w:hAnsi="Arial" w:cs="Arial"/>
          <w:b/>
          <w:bCs/>
          <w:sz w:val="24"/>
        </w:rPr>
      </w:pPr>
      <w:r>
        <w:rPr>
          <w:rFonts w:hint="eastAsia" w:ascii="Arial" w:hAnsi="Arial" w:cs="Arial"/>
          <w:b/>
          <w:bCs/>
          <w:sz w:val="24"/>
        </w:rPr>
        <w:t>甲方：海口市人民医院（盖章）</w:t>
      </w:r>
      <w:r>
        <w:rPr>
          <w:rFonts w:ascii="Arial" w:hAnsi="Arial" w:cs="Arial"/>
          <w:b/>
          <w:bCs/>
          <w:sz w:val="24"/>
        </w:rPr>
        <w:t xml:space="preserve">       </w:t>
      </w:r>
      <w:r>
        <w:rPr>
          <w:rFonts w:hint="eastAsia" w:ascii="Arial" w:hAnsi="Arial" w:cs="Arial"/>
          <w:b/>
          <w:bCs/>
          <w:sz w:val="24"/>
        </w:rPr>
        <w:t xml:space="preserve">    乙方：            （盖章）</w:t>
      </w:r>
    </w:p>
    <w:p w14:paraId="6AACE7D8">
      <w:pPr>
        <w:spacing w:line="360" w:lineRule="auto"/>
        <w:rPr>
          <w:rFonts w:ascii="Arial" w:hAnsi="Arial" w:cs="Arial"/>
          <w:b/>
          <w:bCs/>
          <w:sz w:val="24"/>
        </w:rPr>
      </w:pPr>
    </w:p>
    <w:p w14:paraId="6D26212A">
      <w:pPr>
        <w:spacing w:line="360" w:lineRule="auto"/>
        <w:rPr>
          <w:rFonts w:ascii="Arial" w:hAnsi="Arial" w:cs="Arial"/>
          <w:b/>
          <w:bCs/>
          <w:sz w:val="24"/>
        </w:rPr>
      </w:pPr>
      <w:r>
        <w:rPr>
          <w:rFonts w:hint="eastAsia" w:ascii="Arial" w:hAnsi="Arial" w:cs="Arial"/>
          <w:b/>
          <w:bCs/>
          <w:sz w:val="24"/>
        </w:rPr>
        <w:t>法定代表人签字：</w:t>
      </w:r>
      <w:r>
        <w:rPr>
          <w:rFonts w:ascii="Arial" w:hAnsi="Arial" w:cs="Arial"/>
          <w:b/>
          <w:bCs/>
          <w:sz w:val="24"/>
          <w:u w:val="single"/>
        </w:rPr>
        <w:t xml:space="preserve">                </w:t>
      </w:r>
      <w:r>
        <w:rPr>
          <w:rFonts w:ascii="Arial" w:hAnsi="Arial" w:cs="Arial"/>
          <w:b/>
          <w:bCs/>
          <w:sz w:val="24"/>
        </w:rPr>
        <w:t xml:space="preserve">     </w:t>
      </w:r>
      <w:r>
        <w:rPr>
          <w:rFonts w:hint="eastAsia" w:ascii="Arial" w:hAnsi="Arial" w:cs="Arial"/>
          <w:b/>
          <w:bCs/>
          <w:sz w:val="24"/>
        </w:rPr>
        <w:t xml:space="preserve">  法定代表人签字：</w:t>
      </w:r>
      <w:r>
        <w:rPr>
          <w:rFonts w:ascii="Arial" w:hAnsi="Arial" w:cs="Arial"/>
          <w:b/>
          <w:bCs/>
          <w:sz w:val="24"/>
          <w:u w:val="single"/>
        </w:rPr>
        <w:t xml:space="preserve">                </w:t>
      </w:r>
      <w:r>
        <w:rPr>
          <w:rFonts w:ascii="Arial" w:hAnsi="Arial" w:cs="Arial"/>
          <w:b/>
          <w:bCs/>
          <w:sz w:val="24"/>
        </w:rPr>
        <w:t xml:space="preserve"> </w:t>
      </w:r>
    </w:p>
    <w:p w14:paraId="566DA83C">
      <w:pPr>
        <w:ind w:firstLine="4337" w:firstLineChars="1800"/>
        <w:rPr>
          <w:rFonts w:ascii="Arial" w:hAnsi="Arial" w:cs="Arial"/>
          <w:b/>
          <w:bCs/>
          <w:sz w:val="24"/>
        </w:rPr>
      </w:pPr>
      <w:r>
        <w:rPr>
          <w:rFonts w:ascii="Arial" w:hAnsi="Arial" w:cs="Arial"/>
          <w:b/>
          <w:bCs/>
          <w:sz w:val="24"/>
        </w:rPr>
        <w:t xml:space="preserve">   </w:t>
      </w:r>
      <w:r>
        <w:rPr>
          <w:rFonts w:hint="eastAsia" w:ascii="Arial" w:hAnsi="Arial" w:cs="Arial"/>
          <w:b/>
          <w:bCs/>
          <w:sz w:val="24"/>
        </w:rPr>
        <w:t xml:space="preserve"> </w:t>
      </w:r>
      <w:r>
        <w:rPr>
          <w:rFonts w:ascii="Arial" w:hAnsi="Arial" w:cs="Arial"/>
          <w:b/>
          <w:bCs/>
          <w:sz w:val="24"/>
        </w:rPr>
        <w:t xml:space="preserve">   </w:t>
      </w:r>
    </w:p>
    <w:p w14:paraId="7B40F727">
      <w:pPr>
        <w:rPr>
          <w:rFonts w:ascii="Arial" w:hAnsi="Arial" w:cs="Arial"/>
          <w:b/>
          <w:bCs/>
          <w:sz w:val="24"/>
        </w:rPr>
      </w:pPr>
    </w:p>
    <w:p w14:paraId="1608973E">
      <w:pPr>
        <w:rPr>
          <w:rFonts w:hint="eastAsia" w:ascii="宋体" w:hAnsi="宋体" w:cs="Arial"/>
          <w:b/>
          <w:bCs/>
          <w:sz w:val="24"/>
        </w:rPr>
      </w:pPr>
      <w:r>
        <w:rPr>
          <w:rFonts w:hint="eastAsia" w:ascii="Arial" w:hAnsi="Arial" w:cs="Arial"/>
          <w:b/>
          <w:bCs/>
          <w:sz w:val="24"/>
        </w:rPr>
        <w:t>签约日期：</w:t>
      </w:r>
      <w:r>
        <w:rPr>
          <w:rFonts w:ascii="Arial" w:hAnsi="Arial" w:cs="Arial"/>
          <w:b/>
          <w:bCs/>
          <w:sz w:val="24"/>
        </w:rPr>
        <w:t xml:space="preserve">      </w:t>
      </w:r>
      <w:r>
        <w:rPr>
          <w:rFonts w:hint="eastAsia" w:ascii="Arial" w:hAnsi="Arial" w:cs="Arial"/>
          <w:b/>
          <w:bCs/>
          <w:sz w:val="24"/>
        </w:rPr>
        <w:t>年</w:t>
      </w:r>
      <w:r>
        <w:rPr>
          <w:rFonts w:ascii="Arial" w:hAnsi="Arial" w:cs="Arial"/>
          <w:b/>
          <w:bCs/>
          <w:sz w:val="24"/>
        </w:rPr>
        <w:t xml:space="preserve">   </w:t>
      </w:r>
      <w:r>
        <w:rPr>
          <w:rFonts w:hint="eastAsia" w:ascii="Arial" w:hAnsi="Arial" w:cs="Arial"/>
          <w:b/>
          <w:bCs/>
          <w:sz w:val="24"/>
        </w:rPr>
        <w:t>月</w:t>
      </w:r>
      <w:r>
        <w:rPr>
          <w:rFonts w:ascii="Arial" w:hAnsi="Arial" w:cs="Arial"/>
          <w:b/>
          <w:bCs/>
          <w:sz w:val="24"/>
        </w:rPr>
        <w:t xml:space="preserve">   </w:t>
      </w:r>
      <w:r>
        <w:rPr>
          <w:rFonts w:hint="eastAsia" w:ascii="Arial" w:hAnsi="Arial" w:cs="Arial"/>
          <w:b/>
          <w:bCs/>
          <w:sz w:val="24"/>
        </w:rPr>
        <w:t>日</w:t>
      </w:r>
      <w:r>
        <w:rPr>
          <w:rFonts w:ascii="Arial" w:hAnsi="Arial" w:cs="Arial"/>
          <w:b/>
          <w:bCs/>
          <w:sz w:val="24"/>
        </w:rPr>
        <w:t xml:space="preserve">         </w:t>
      </w:r>
      <w:r>
        <w:rPr>
          <w:rFonts w:hint="eastAsia" w:ascii="Arial" w:hAnsi="Arial" w:cs="Arial"/>
          <w:b/>
          <w:bCs/>
          <w:sz w:val="24"/>
        </w:rPr>
        <w:t xml:space="preserve">  签约日期：</w:t>
      </w:r>
      <w:r>
        <w:rPr>
          <w:rFonts w:ascii="Arial" w:hAnsi="Arial" w:cs="Arial"/>
          <w:b/>
          <w:bCs/>
          <w:sz w:val="24"/>
        </w:rPr>
        <w:t xml:space="preserve">      </w:t>
      </w:r>
      <w:r>
        <w:rPr>
          <w:rFonts w:hint="eastAsia" w:ascii="Arial" w:hAnsi="Arial" w:cs="Arial"/>
          <w:b/>
          <w:bCs/>
          <w:sz w:val="24"/>
        </w:rPr>
        <w:t>年</w:t>
      </w:r>
      <w:r>
        <w:rPr>
          <w:rFonts w:ascii="Arial" w:hAnsi="Arial" w:cs="Arial"/>
          <w:b/>
          <w:bCs/>
          <w:sz w:val="24"/>
        </w:rPr>
        <w:t xml:space="preserve">   </w:t>
      </w:r>
      <w:r>
        <w:rPr>
          <w:rFonts w:hint="eastAsia" w:ascii="Arial" w:hAnsi="Arial" w:cs="Arial"/>
          <w:b/>
          <w:bCs/>
          <w:sz w:val="24"/>
        </w:rPr>
        <w:t>月</w:t>
      </w:r>
      <w:r>
        <w:rPr>
          <w:rFonts w:ascii="Arial" w:hAnsi="Arial" w:cs="Arial"/>
          <w:b/>
          <w:bCs/>
          <w:sz w:val="24"/>
        </w:rPr>
        <w:t xml:space="preserve">   </w:t>
      </w:r>
      <w:r>
        <w:rPr>
          <w:rFonts w:hint="eastAsia" w:ascii="Arial" w:hAnsi="Arial" w:cs="Arial"/>
          <w:b/>
          <w:bCs/>
          <w:sz w:val="24"/>
        </w:rPr>
        <w:t>日</w:t>
      </w:r>
    </w:p>
    <w:p w14:paraId="7A6448EC">
      <w:pPr>
        <w:rPr>
          <w:rFonts w:hint="eastAsia" w:ascii="宋体" w:hAnsi="宋体" w:cs="Arial"/>
          <w:b/>
          <w:bCs/>
          <w:sz w:val="24"/>
        </w:rPr>
      </w:pPr>
    </w:p>
    <w:p w14:paraId="6B6A0A62"/>
    <w:p w14:paraId="10C0D891">
      <w:pPr>
        <w:snapToGrid w:val="0"/>
        <w:spacing w:before="285" w:beforeLines="100" w:line="360" w:lineRule="auto"/>
        <w:rPr>
          <w:rFonts w:ascii="宋体" w:cs="宋体"/>
          <w:b/>
          <w:sz w:val="24"/>
        </w:rPr>
      </w:pPr>
      <w:r>
        <w:rPr>
          <w:rFonts w:hint="eastAsia" w:ascii="宋体" w:hAnsi="宋体" w:cs="宋体"/>
          <w:b/>
          <w:sz w:val="24"/>
        </w:rPr>
        <w:t>采购代理机构声明：本合同标的经采购代理机构依法定程序采购，合同主要条款内容与招投标文件的内容一致。</w:t>
      </w:r>
    </w:p>
    <w:p w14:paraId="08EF0615">
      <w:pPr>
        <w:snapToGrid w:val="0"/>
        <w:spacing w:before="285" w:beforeLines="100" w:after="285" w:afterLines="100"/>
        <w:ind w:firstLine="482" w:firstLineChars="200"/>
        <w:rPr>
          <w:rFonts w:ascii="宋体" w:cs="宋体"/>
          <w:b/>
          <w:sz w:val="24"/>
        </w:rPr>
      </w:pPr>
      <w:r>
        <w:rPr>
          <w:rFonts w:hint="eastAsia" w:ascii="宋体" w:hAnsi="宋体" w:cs="宋体"/>
          <w:b/>
          <w:sz w:val="24"/>
        </w:rPr>
        <w:t>采购代理机构：</w:t>
      </w:r>
    </w:p>
    <w:p w14:paraId="0757CE9E">
      <w:pPr>
        <w:snapToGrid w:val="0"/>
        <w:spacing w:before="285" w:beforeLines="100" w:after="285" w:afterLines="100"/>
        <w:ind w:firstLine="482" w:firstLineChars="200"/>
        <w:rPr>
          <w:rFonts w:ascii="宋体" w:cs="宋体"/>
          <w:b/>
          <w:sz w:val="24"/>
        </w:rPr>
      </w:pPr>
      <w:r>
        <w:rPr>
          <w:rFonts w:hint="eastAsia" w:ascii="宋体" w:hAnsi="宋体" w:cs="宋体"/>
          <w:b/>
          <w:sz w:val="24"/>
        </w:rPr>
        <w:t>法定代表人（签字或盖章）：</w:t>
      </w:r>
      <w:r>
        <w:rPr>
          <w:rFonts w:ascii="宋体" w:hAnsi="宋体" w:cs="宋体"/>
          <w:b/>
          <w:sz w:val="24"/>
        </w:rPr>
        <w:t xml:space="preserve"> </w:t>
      </w:r>
      <w:r>
        <w:rPr>
          <w:rFonts w:ascii="宋体" w:hAnsi="宋体" w:cs="宋体"/>
          <w:b/>
          <w:sz w:val="24"/>
          <w:u w:val="single"/>
        </w:rPr>
        <w:t xml:space="preserve">              </w:t>
      </w:r>
    </w:p>
    <w:p w14:paraId="3E4424AA">
      <w:pPr>
        <w:spacing w:before="285" w:beforeLines="100" w:after="285" w:afterLines="100"/>
        <w:ind w:firstLine="482" w:firstLineChars="200"/>
        <w:outlineLvl w:val="0"/>
        <w:rPr>
          <w:b/>
        </w:rPr>
      </w:pPr>
      <w:r>
        <w:rPr>
          <w:rFonts w:hint="eastAsia" w:ascii="宋体" w:hAnsi="宋体" w:cs="宋体"/>
          <w:b/>
          <w:sz w:val="24"/>
        </w:rPr>
        <w:t>签订日期：</w:t>
      </w:r>
      <w:r>
        <w:rPr>
          <w:rFonts w:ascii="宋体" w:hAnsi="宋体" w:cs="宋体"/>
          <w:b/>
          <w:sz w:val="24"/>
          <w:u w:val="single"/>
        </w:rPr>
        <w:t xml:space="preserve">      </w:t>
      </w:r>
      <w:r>
        <w:rPr>
          <w:rFonts w:hint="eastAsia" w:ascii="宋体" w:hAnsi="宋体" w:cs="宋体"/>
          <w:b/>
          <w:sz w:val="24"/>
        </w:rPr>
        <w:t>年</w:t>
      </w:r>
      <w:r>
        <w:rPr>
          <w:rFonts w:ascii="宋体" w:hAnsi="宋体" w:cs="宋体"/>
          <w:b/>
          <w:sz w:val="24"/>
          <w:u w:val="single"/>
        </w:rPr>
        <w:t xml:space="preserve">    </w:t>
      </w:r>
      <w:r>
        <w:rPr>
          <w:rFonts w:hint="eastAsia" w:ascii="宋体" w:hAnsi="宋体" w:cs="宋体"/>
          <w:b/>
          <w:sz w:val="24"/>
        </w:rPr>
        <w:t>月</w:t>
      </w:r>
      <w:r>
        <w:rPr>
          <w:rFonts w:ascii="宋体" w:hAnsi="宋体" w:cs="宋体"/>
          <w:b/>
          <w:sz w:val="24"/>
          <w:u w:val="single"/>
        </w:rPr>
        <w:t xml:space="preserve">    </w:t>
      </w:r>
      <w:r>
        <w:rPr>
          <w:rFonts w:hint="eastAsia" w:ascii="宋体" w:hAnsi="宋体" w:cs="宋体"/>
          <w:b/>
          <w:sz w:val="24"/>
        </w:rPr>
        <w:t>日</w:t>
      </w:r>
    </w:p>
    <w:p w14:paraId="6CA9D8FB">
      <w:pPr>
        <w:spacing w:line="560" w:lineRule="exact"/>
        <w:ind w:firstLine="480" w:firstLineChars="200"/>
        <w:rPr>
          <w:sz w:val="24"/>
        </w:rPr>
      </w:pPr>
    </w:p>
    <w:p w14:paraId="5E742281">
      <w:pPr>
        <w:snapToGrid w:val="0"/>
        <w:spacing w:before="285" w:beforeLines="100" w:line="560" w:lineRule="exact"/>
        <w:ind w:firstLine="480" w:firstLineChars="200"/>
        <w:rPr>
          <w:rFonts w:ascii="宋体" w:cs="宋体"/>
          <w:sz w:val="24"/>
        </w:rPr>
      </w:pPr>
      <w:r>
        <w:rPr>
          <w:rFonts w:hint="eastAsia" w:ascii="宋体" w:hAnsi="宋体" w:cs="宋体"/>
          <w:sz w:val="24"/>
        </w:rPr>
        <w:t>采购代理机构声明：本合同标的经采购代理机构依法定程序采购，合同主要条款内容与招投标文件的内容一致。</w:t>
      </w:r>
    </w:p>
    <w:p w14:paraId="1C7EBCA9">
      <w:pPr>
        <w:snapToGrid w:val="0"/>
        <w:spacing w:before="285" w:beforeLines="100" w:after="285" w:afterLines="100" w:line="560" w:lineRule="exact"/>
        <w:ind w:firstLine="480" w:firstLineChars="200"/>
        <w:rPr>
          <w:rFonts w:ascii="宋体" w:cs="宋体"/>
          <w:sz w:val="24"/>
        </w:rPr>
      </w:pPr>
      <w:r>
        <w:rPr>
          <w:rFonts w:hint="eastAsia" w:ascii="宋体" w:hAnsi="宋体" w:cs="宋体"/>
          <w:sz w:val="24"/>
        </w:rPr>
        <w:t>采购代理机构：</w:t>
      </w:r>
    </w:p>
    <w:p w14:paraId="498E2FA3">
      <w:pPr>
        <w:snapToGrid w:val="0"/>
        <w:spacing w:before="285" w:beforeLines="100" w:after="285" w:afterLines="100"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法定代表人（签字或盖章）：</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p>
    <w:p w14:paraId="340F8D30">
      <w:pPr>
        <w:snapToGrid w:val="0"/>
        <w:spacing w:before="285" w:beforeLines="100" w:after="285" w:afterLines="100"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委托代表签名：</w:t>
      </w:r>
      <w:r>
        <w:rPr>
          <w:rFonts w:ascii="宋体" w:hAnsi="宋体" w:cs="宋体"/>
          <w:color w:val="000000" w:themeColor="text1"/>
          <w:sz w:val="24"/>
          <w:u w:val="single"/>
          <w14:textFill>
            <w14:solidFill>
              <w14:schemeClr w14:val="tx1"/>
            </w14:solidFill>
          </w14:textFill>
        </w:rPr>
        <w:t xml:space="preserve">               </w:t>
      </w:r>
    </w:p>
    <w:p w14:paraId="09C19738">
      <w:pPr>
        <w:spacing w:before="285" w:beforeLines="100" w:after="285" w:afterLines="100" w:line="560" w:lineRule="exact"/>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93D3EFE">
      <w:pPr>
        <w:tabs>
          <w:tab w:val="left" w:pos="4680"/>
        </w:tabs>
        <w:snapToGrid w:val="0"/>
        <w:spacing w:line="360" w:lineRule="auto"/>
        <w:jc w:val="center"/>
        <w:outlineLvl w:val="0"/>
        <w:rPr>
          <w:rStyle w:val="196"/>
          <w:rFonts w:hint="eastAsia" w:eastAsia="宋体"/>
          <w:lang w:eastAsia="zh-CN"/>
        </w:rPr>
      </w:pPr>
      <w:r>
        <w:rPr>
          <w:rStyle w:val="196"/>
          <w:rFonts w:hint="eastAsia"/>
        </w:rPr>
        <w:br w:type="page"/>
      </w:r>
      <w:bookmarkStart w:id="82" w:name="_Toc14509"/>
      <w:r>
        <w:rPr>
          <w:rStyle w:val="196"/>
          <w:rFonts w:hint="eastAsia"/>
        </w:rPr>
        <w:t>第五章  投标文件格式</w:t>
      </w:r>
      <w:bookmarkEnd w:id="78"/>
      <w:bookmarkEnd w:id="79"/>
    </w:p>
    <w:p w14:paraId="35283538">
      <w:pPr>
        <w:tabs>
          <w:tab w:val="left" w:pos="4680"/>
        </w:tabs>
        <w:snapToGrid w:val="0"/>
        <w:spacing w:line="360" w:lineRule="auto"/>
        <w:jc w:val="center"/>
        <w:outlineLvl w:val="0"/>
        <w:rPr>
          <w:rStyle w:val="196"/>
        </w:rPr>
      </w:pPr>
      <w:r>
        <w:rPr>
          <w:rFonts w:hint="eastAsia" w:ascii="宋体" w:hAnsi="宋体" w:cs="宋体"/>
          <w:b/>
          <w:bCs/>
          <w:sz w:val="24"/>
          <w:szCs w:val="24"/>
        </w:rPr>
        <w:t>（A、B、C、D包通用）</w:t>
      </w:r>
      <w:bookmarkEnd w:id="82"/>
    </w:p>
    <w:p w14:paraId="00F36CA0">
      <w:pPr>
        <w:tabs>
          <w:tab w:val="left" w:pos="1665"/>
        </w:tabs>
        <w:spacing w:line="360" w:lineRule="auto"/>
        <w:ind w:firstLine="354" w:firstLineChars="147"/>
        <w:rPr>
          <w:rFonts w:ascii="宋体"/>
          <w:b/>
          <w:bCs/>
          <w:kern w:val="28"/>
          <w:sz w:val="24"/>
          <w:szCs w:val="24"/>
        </w:rPr>
      </w:pPr>
      <w:r>
        <w:rPr>
          <w:rFonts w:hint="eastAsia" w:ascii="宋体" w:hAnsi="宋体" w:cs="宋体"/>
          <w:b/>
          <w:bCs/>
          <w:kern w:val="28"/>
          <w:sz w:val="24"/>
          <w:szCs w:val="24"/>
        </w:rPr>
        <w:t>请投标人按照以下文件要求的格式、内容制作投标文件，并按照以下顺序编制目录及页码，否则可能将影响对投标文件的评价。</w:t>
      </w:r>
    </w:p>
    <w:p w14:paraId="53D55D96">
      <w:pPr>
        <w:tabs>
          <w:tab w:val="left" w:pos="4680"/>
        </w:tabs>
        <w:snapToGrid w:val="0"/>
        <w:spacing w:line="360" w:lineRule="auto"/>
        <w:ind w:firstLine="480" w:firstLineChars="200"/>
        <w:rPr>
          <w:rFonts w:ascii="宋体"/>
          <w:sz w:val="24"/>
          <w:szCs w:val="24"/>
        </w:rPr>
      </w:pPr>
      <w:bookmarkStart w:id="83" w:name="_Toc483396415"/>
      <w:bookmarkStart w:id="84" w:name="_Toc25786980"/>
      <w:bookmarkStart w:id="85" w:name="_Toc483396327"/>
      <w:r>
        <w:rPr>
          <w:rFonts w:ascii="宋体" w:hAnsi="宋体" w:cs="宋体"/>
          <w:sz w:val="24"/>
          <w:szCs w:val="24"/>
        </w:rPr>
        <w:t>1</w:t>
      </w:r>
      <w:r>
        <w:rPr>
          <w:rFonts w:hint="eastAsia" w:ascii="宋体" w:hAnsi="宋体" w:cs="宋体"/>
          <w:sz w:val="24"/>
          <w:szCs w:val="24"/>
        </w:rPr>
        <w:t>、投标函</w:t>
      </w:r>
      <w:bookmarkEnd w:id="83"/>
      <w:bookmarkEnd w:id="84"/>
      <w:bookmarkEnd w:id="85"/>
    </w:p>
    <w:p w14:paraId="02D11829">
      <w:pPr>
        <w:tabs>
          <w:tab w:val="left" w:pos="4680"/>
        </w:tabs>
        <w:snapToGrid w:val="0"/>
        <w:spacing w:line="360" w:lineRule="auto"/>
        <w:ind w:firstLine="480" w:firstLineChars="200"/>
        <w:rPr>
          <w:rFonts w:hint="eastAsia" w:ascii="宋体" w:hAnsi="宋体" w:cs="宋体"/>
          <w:sz w:val="24"/>
          <w:szCs w:val="24"/>
        </w:rPr>
      </w:pPr>
      <w:bookmarkStart w:id="86" w:name="_Toc483396416"/>
      <w:bookmarkStart w:id="87" w:name="_Toc25786981"/>
      <w:bookmarkStart w:id="88" w:name="_Toc483396328"/>
      <w:r>
        <w:rPr>
          <w:rFonts w:ascii="宋体" w:hAnsi="宋体" w:cs="宋体"/>
          <w:sz w:val="24"/>
          <w:szCs w:val="24"/>
        </w:rPr>
        <w:t>2</w:t>
      </w:r>
      <w:r>
        <w:rPr>
          <w:rFonts w:hint="eastAsia" w:ascii="宋体" w:hAnsi="宋体" w:cs="宋体"/>
          <w:sz w:val="24"/>
          <w:szCs w:val="24"/>
        </w:rPr>
        <w:t>、法人授权委托书</w:t>
      </w:r>
      <w:bookmarkEnd w:id="86"/>
      <w:bookmarkEnd w:id="87"/>
      <w:bookmarkEnd w:id="88"/>
      <w:bookmarkStart w:id="89" w:name="_Toc483396417"/>
      <w:bookmarkStart w:id="90" w:name="_Toc483396329"/>
    </w:p>
    <w:p w14:paraId="577E23C0">
      <w:pPr>
        <w:tabs>
          <w:tab w:val="left" w:pos="4680"/>
        </w:tabs>
        <w:snapToGrid w:val="0"/>
        <w:spacing w:line="360" w:lineRule="auto"/>
        <w:ind w:firstLine="480" w:firstLineChars="200"/>
        <w:rPr>
          <w:rFonts w:ascii="宋体"/>
          <w:sz w:val="24"/>
          <w:szCs w:val="24"/>
        </w:rPr>
      </w:pPr>
      <w:bookmarkStart w:id="91" w:name="_Toc25786982"/>
      <w:r>
        <w:rPr>
          <w:rFonts w:ascii="宋体" w:hAnsi="宋体" w:cs="宋体"/>
          <w:sz w:val="24"/>
          <w:szCs w:val="24"/>
        </w:rPr>
        <w:t>3</w:t>
      </w:r>
      <w:r>
        <w:rPr>
          <w:rFonts w:hint="eastAsia" w:ascii="宋体" w:hAnsi="宋体" w:cs="宋体"/>
          <w:sz w:val="24"/>
          <w:szCs w:val="24"/>
        </w:rPr>
        <w:t>、开标一览表</w:t>
      </w:r>
      <w:bookmarkEnd w:id="89"/>
      <w:bookmarkEnd w:id="90"/>
      <w:bookmarkEnd w:id="91"/>
    </w:p>
    <w:p w14:paraId="3DE7755F">
      <w:pPr>
        <w:tabs>
          <w:tab w:val="left" w:pos="4680"/>
        </w:tabs>
        <w:snapToGrid w:val="0"/>
        <w:spacing w:line="360" w:lineRule="auto"/>
        <w:ind w:firstLine="480" w:firstLineChars="200"/>
        <w:rPr>
          <w:rFonts w:hint="eastAsia" w:ascii="宋体" w:hAnsi="宋体" w:cs="宋体"/>
          <w:sz w:val="24"/>
          <w:szCs w:val="24"/>
        </w:rPr>
      </w:pPr>
      <w:bookmarkStart w:id="92" w:name="_Toc483396418"/>
      <w:bookmarkStart w:id="93" w:name="_Toc483396330"/>
      <w:bookmarkStart w:id="94" w:name="_Toc25786983"/>
      <w:r>
        <w:rPr>
          <w:rFonts w:hint="eastAsia" w:ascii="宋体" w:hAnsi="宋体" w:cs="宋体"/>
          <w:sz w:val="24"/>
          <w:szCs w:val="24"/>
        </w:rPr>
        <w:t>4</w:t>
      </w:r>
      <w:bookmarkEnd w:id="92"/>
      <w:bookmarkEnd w:id="93"/>
      <w:r>
        <w:rPr>
          <w:rFonts w:hint="eastAsia" w:ascii="宋体" w:hAnsi="宋体" w:cs="宋体"/>
          <w:sz w:val="24"/>
          <w:szCs w:val="24"/>
        </w:rPr>
        <w:t>、</w:t>
      </w:r>
      <w:bookmarkEnd w:id="94"/>
      <w:r>
        <w:rPr>
          <w:rFonts w:hint="eastAsia" w:ascii="宋体" w:hAnsi="宋体" w:cs="宋体"/>
          <w:sz w:val="24"/>
          <w:szCs w:val="24"/>
        </w:rPr>
        <w:t>技术、商务标偏离表</w:t>
      </w:r>
    </w:p>
    <w:p w14:paraId="7518D2B4">
      <w:pPr>
        <w:tabs>
          <w:tab w:val="left" w:pos="4680"/>
        </w:tabs>
        <w:snapToGrid w:val="0"/>
        <w:spacing w:line="360" w:lineRule="auto"/>
        <w:ind w:firstLine="480" w:firstLineChars="200"/>
        <w:rPr>
          <w:rFonts w:ascii="宋体"/>
          <w:sz w:val="24"/>
          <w:szCs w:val="24"/>
        </w:rPr>
      </w:pPr>
      <w:bookmarkStart w:id="95" w:name="_Toc483396331"/>
      <w:bookmarkStart w:id="96" w:name="_Toc483396419"/>
      <w:r>
        <w:rPr>
          <w:rFonts w:hint="eastAsia" w:ascii="宋体" w:hAnsi="宋体" w:cs="宋体"/>
          <w:sz w:val="24"/>
          <w:szCs w:val="24"/>
        </w:rPr>
        <w:t>5、类似项目业绩表</w:t>
      </w:r>
      <w:bookmarkEnd w:id="95"/>
      <w:bookmarkEnd w:id="96"/>
    </w:p>
    <w:p w14:paraId="597E2799">
      <w:pPr>
        <w:tabs>
          <w:tab w:val="left" w:pos="4680"/>
        </w:tabs>
        <w:snapToGrid w:val="0"/>
        <w:spacing w:line="360" w:lineRule="auto"/>
        <w:ind w:firstLine="480" w:firstLineChars="200"/>
        <w:rPr>
          <w:rFonts w:ascii="宋体"/>
          <w:sz w:val="24"/>
          <w:szCs w:val="24"/>
        </w:rPr>
      </w:pPr>
      <w:bookmarkStart w:id="97" w:name="_Toc483396333"/>
      <w:bookmarkStart w:id="98" w:name="_Toc25786986"/>
      <w:bookmarkStart w:id="99" w:name="_Toc483396421"/>
      <w:bookmarkStart w:id="100" w:name="_Toc495509221"/>
      <w:r>
        <w:rPr>
          <w:rFonts w:hint="eastAsia" w:ascii="宋体" w:hAnsi="宋体" w:cs="宋体"/>
          <w:sz w:val="24"/>
          <w:szCs w:val="24"/>
        </w:rPr>
        <w:t>6、资格证明材料</w:t>
      </w:r>
      <w:bookmarkEnd w:id="97"/>
      <w:bookmarkEnd w:id="98"/>
      <w:bookmarkEnd w:id="99"/>
      <w:bookmarkEnd w:id="100"/>
    </w:p>
    <w:p w14:paraId="14CC130F">
      <w:pPr>
        <w:tabs>
          <w:tab w:val="left" w:pos="4680"/>
        </w:tabs>
        <w:snapToGrid w:val="0"/>
        <w:spacing w:line="360" w:lineRule="auto"/>
        <w:ind w:firstLine="480" w:firstLineChars="200"/>
        <w:rPr>
          <w:rFonts w:hint="eastAsia" w:ascii="宋体" w:hAnsi="宋体" w:cs="宋体"/>
          <w:sz w:val="24"/>
          <w:szCs w:val="24"/>
        </w:rPr>
      </w:pPr>
      <w:bookmarkStart w:id="101" w:name="_Toc25786988"/>
      <w:bookmarkStart w:id="102" w:name="_Toc483396336"/>
      <w:bookmarkStart w:id="103" w:name="_Toc483396424"/>
      <w:r>
        <w:rPr>
          <w:rFonts w:hint="eastAsia" w:ascii="宋体" w:hAnsi="宋体" w:cs="宋体"/>
          <w:sz w:val="24"/>
          <w:szCs w:val="24"/>
        </w:rPr>
        <w:t>（1） 在中华人民共和国注册，具有独立承担民事责任的能力；（注：①投标人若为企业法人：提供有效的“统一 社会信用代码营业执照 ”；②若为事业法人：提供有效的“统一社会信用代码法人登记证书 ”；③若为其他组织：提供“对应主管部门颁发的准许执业证明文件或营业执照 ”； 以上均提供复印件加盖公章）</w:t>
      </w:r>
    </w:p>
    <w:p w14:paraId="633B8D36">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（2）具有良好的商业信誉和健全的财务会计制度（提供承诺函加盖公章）；</w:t>
      </w:r>
    </w:p>
    <w:p w14:paraId="5DF29337">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（3）具有履行合同所必需的设备和专业技术能力（提供承诺函加盖公章）；</w:t>
      </w:r>
    </w:p>
    <w:p w14:paraId="740B1A95">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（4）有依法缴纳税收和社会保障资金的良好记录（提供承诺函加盖公章）； </w:t>
      </w:r>
    </w:p>
    <w:p w14:paraId="05CCFFF4">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（5）参加此项采购活动前三年内，在经营活动中没有重大违法记录（提供承诺函加盖公章）； </w:t>
      </w:r>
    </w:p>
    <w:p w14:paraId="73D90164">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（6）在“ 中国执行信息公开网（http://zxgk.court.gov.cn/shixin/） ”没有列入失信被执行人、“信用中国（www.creditchi na.gov.cn ）”没有列入重大税收违法失信主体、中国政府采购网（www.ccgp.gov.cn ）没有列入政府采购严重违法失信行为记录名单的供应商（提供承诺函并加盖单位公章，以现场查询为准）；</w:t>
      </w:r>
    </w:p>
    <w:p w14:paraId="0960E49B">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（7）提供政府采购活动前三年内无环保类行政处罚记录声明函（环保类行政处罚记录声明函）。 </w:t>
      </w:r>
    </w:p>
    <w:p w14:paraId="70940FE5">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8）单位负责人为同一人或者单位负责人存在直接控股、管理关系的不同供应商情形，不得参加同一标段投标或者未划分标段的同一招标项目的投标。除单一来源采购项目外，为采购项目提供整体设计、规范编制或者项目管理、监理、检测等服务的供应商，也不得再参加该采购项目的其他采购活动（提供声明函加盖公章）；</w:t>
      </w:r>
    </w:p>
    <w:p w14:paraId="734359EA">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（9）如投标人不是所投设备生产厂家的，属于三类医疗器械的须具有医疗器械经营企业许可证，属于二类医疗器械的须具有医疗器械经营企业备案登记凭证（提供证件复印件加盖公章）； </w:t>
      </w:r>
    </w:p>
    <w:p w14:paraId="6DF3CFB7">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（10）所投设备属于二、三类医疗器械产品的须具有医疗器械注册证、医疗器械生产许可证（进口设备除外），属于一类医疗器械产品的须具备第一类医疗器械备案凭证（提供证件复印件加盖公章）。</w:t>
      </w:r>
    </w:p>
    <w:p w14:paraId="4F7327E3">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（11）提供国家企业信用信息公示系统”法人、股东等高管人员相关资料截图。</w:t>
      </w:r>
    </w:p>
    <w:p w14:paraId="19B19BE6">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7、中小企业声明函</w:t>
      </w:r>
      <w:bookmarkEnd w:id="101"/>
    </w:p>
    <w:p w14:paraId="29D092B0">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8、监狱企业证明文件</w:t>
      </w:r>
    </w:p>
    <w:p w14:paraId="16469FA7">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9、残疾人福利性单位声明函 </w:t>
      </w:r>
    </w:p>
    <w:p w14:paraId="6547B46B">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10、售后服务及培训方案 </w:t>
      </w:r>
    </w:p>
    <w:p w14:paraId="51A7960B">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11、质量保证保修方案</w:t>
      </w:r>
    </w:p>
    <w:p w14:paraId="5D11F14F">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12、验收方案</w:t>
      </w:r>
    </w:p>
    <w:p w14:paraId="37E2B70D">
      <w:pPr>
        <w:tabs>
          <w:tab w:val="left" w:pos="468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13、投标人认为需要的其他证明材料（包含资格性、符合性审查、技术商务评分表内容）</w:t>
      </w:r>
      <w:bookmarkEnd w:id="102"/>
      <w:bookmarkEnd w:id="103"/>
      <w:bookmarkStart w:id="104" w:name="_Toc483396425"/>
      <w:bookmarkStart w:id="105" w:name="_Toc483396337"/>
    </w:p>
    <w:bookmarkEnd w:id="104"/>
    <w:bookmarkEnd w:id="105"/>
    <w:p w14:paraId="6364F9E1">
      <w:pPr>
        <w:jc w:val="center"/>
        <w:rPr>
          <w:b/>
          <w:bCs/>
          <w:sz w:val="36"/>
          <w:szCs w:val="36"/>
        </w:rPr>
      </w:pPr>
      <w:bookmarkStart w:id="106" w:name="_Toc483396426"/>
      <w:bookmarkStart w:id="107" w:name="_Toc238907083"/>
      <w:bookmarkStart w:id="108" w:name="_Toc171325097"/>
      <w:bookmarkStart w:id="109" w:name="_Toc483396338"/>
      <w:bookmarkStart w:id="110" w:name="_Toc238907085"/>
      <w:bookmarkStart w:id="111" w:name="_Toc171325099"/>
      <w:bookmarkStart w:id="112" w:name="_Toc168282804"/>
      <w:bookmarkStart w:id="113" w:name="_Toc171325101"/>
      <w:r>
        <w:rPr>
          <w:rFonts w:hint="eastAsia" w:ascii="宋体" w:hAnsi="宋体" w:cs="榛戜綋"/>
          <w:b/>
          <w:sz w:val="32"/>
          <w:szCs w:val="32"/>
        </w:rPr>
        <w:br w:type="page"/>
      </w:r>
      <w:bookmarkStart w:id="114" w:name="_Toc25786990"/>
      <w:r>
        <w:rPr>
          <w:rFonts w:hint="eastAsia" w:ascii="宋体" w:hAnsi="宋体" w:cs="榛戜綋"/>
          <w:b/>
          <w:sz w:val="32"/>
          <w:szCs w:val="32"/>
        </w:rPr>
        <w:t>初步评审表各项页码索引表</w:t>
      </w:r>
      <w:bookmarkEnd w:id="114"/>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0678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51D83AA8">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序号</w:t>
            </w:r>
          </w:p>
        </w:tc>
        <w:tc>
          <w:tcPr>
            <w:tcW w:w="2130" w:type="dxa"/>
            <w:vAlign w:val="center"/>
          </w:tcPr>
          <w:p w14:paraId="20D70933">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评审项</w:t>
            </w:r>
          </w:p>
        </w:tc>
        <w:tc>
          <w:tcPr>
            <w:tcW w:w="2131" w:type="dxa"/>
            <w:vAlign w:val="center"/>
          </w:tcPr>
          <w:p w14:paraId="16C1B470">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响应情况</w:t>
            </w:r>
          </w:p>
        </w:tc>
        <w:tc>
          <w:tcPr>
            <w:tcW w:w="2131" w:type="dxa"/>
            <w:vAlign w:val="center"/>
          </w:tcPr>
          <w:p w14:paraId="5890D5FD">
            <w:pPr>
              <w:widowControl w:val="0"/>
              <w:autoSpaceDE w:val="0"/>
              <w:autoSpaceDN w:val="0"/>
              <w:jc w:val="center"/>
              <w:rPr>
                <w:rFonts w:hint="eastAsia" w:ascii="宋体" w:hAnsi="宋体" w:cs="宋体"/>
                <w:sz w:val="24"/>
                <w:szCs w:val="24"/>
              </w:rPr>
            </w:pPr>
            <w:r>
              <w:rPr>
                <w:rFonts w:hint="eastAsia" w:ascii="宋体" w:hAnsi="宋体" w:cs="宋体"/>
                <w:sz w:val="24"/>
                <w:szCs w:val="24"/>
              </w:rPr>
              <w:t>材料所在页码</w:t>
            </w:r>
          </w:p>
          <w:p w14:paraId="01BEDBB4">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（第页）</w:t>
            </w:r>
          </w:p>
        </w:tc>
      </w:tr>
      <w:tr w14:paraId="4656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2192EDD0">
            <w:pPr>
              <w:widowControl w:val="0"/>
              <w:autoSpaceDE w:val="0"/>
              <w:autoSpaceDN w:val="0"/>
              <w:spacing w:line="360" w:lineRule="auto"/>
              <w:jc w:val="center"/>
              <w:rPr>
                <w:rFonts w:hint="eastAsia" w:ascii="宋体" w:hAnsi="宋体" w:cs="宋体"/>
                <w:sz w:val="24"/>
                <w:szCs w:val="24"/>
              </w:rPr>
            </w:pPr>
            <w:r>
              <w:rPr>
                <w:rFonts w:ascii="宋体" w:hAnsi="宋体" w:cs="宋体"/>
                <w:sz w:val="24"/>
                <w:szCs w:val="24"/>
              </w:rPr>
              <w:t>1</w:t>
            </w:r>
          </w:p>
        </w:tc>
        <w:tc>
          <w:tcPr>
            <w:tcW w:w="2130" w:type="dxa"/>
            <w:vAlign w:val="center"/>
          </w:tcPr>
          <w:p w14:paraId="667C6597">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06CF36D7">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481D4310">
            <w:pPr>
              <w:widowControl w:val="0"/>
              <w:autoSpaceDE w:val="0"/>
              <w:autoSpaceDN w:val="0"/>
              <w:spacing w:line="360" w:lineRule="auto"/>
              <w:jc w:val="center"/>
              <w:rPr>
                <w:rFonts w:hint="eastAsia" w:ascii="宋体" w:hAnsi="宋体" w:cs="宋体"/>
                <w:sz w:val="24"/>
                <w:szCs w:val="24"/>
              </w:rPr>
            </w:pPr>
          </w:p>
        </w:tc>
      </w:tr>
      <w:tr w14:paraId="7034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5AA0D1A0">
            <w:pPr>
              <w:widowControl w:val="0"/>
              <w:autoSpaceDE w:val="0"/>
              <w:autoSpaceDN w:val="0"/>
              <w:spacing w:line="360" w:lineRule="auto"/>
              <w:jc w:val="center"/>
              <w:rPr>
                <w:rFonts w:hint="eastAsia" w:ascii="宋体" w:hAnsi="宋体" w:cs="宋体"/>
                <w:sz w:val="24"/>
                <w:szCs w:val="24"/>
              </w:rPr>
            </w:pPr>
            <w:r>
              <w:rPr>
                <w:rFonts w:ascii="宋体" w:hAnsi="宋体" w:cs="宋体"/>
                <w:sz w:val="24"/>
                <w:szCs w:val="24"/>
              </w:rPr>
              <w:t>2</w:t>
            </w:r>
          </w:p>
        </w:tc>
        <w:tc>
          <w:tcPr>
            <w:tcW w:w="2130" w:type="dxa"/>
            <w:vAlign w:val="center"/>
          </w:tcPr>
          <w:p w14:paraId="42042338">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36425D01">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0BF135F6">
            <w:pPr>
              <w:widowControl w:val="0"/>
              <w:autoSpaceDE w:val="0"/>
              <w:autoSpaceDN w:val="0"/>
              <w:spacing w:line="360" w:lineRule="auto"/>
              <w:jc w:val="center"/>
              <w:rPr>
                <w:rFonts w:hint="eastAsia" w:ascii="宋体" w:hAnsi="宋体" w:cs="宋体"/>
                <w:sz w:val="24"/>
                <w:szCs w:val="24"/>
              </w:rPr>
            </w:pPr>
          </w:p>
        </w:tc>
      </w:tr>
      <w:tr w14:paraId="7078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17124918">
            <w:pPr>
              <w:widowControl w:val="0"/>
              <w:autoSpaceDE w:val="0"/>
              <w:autoSpaceDN w:val="0"/>
              <w:spacing w:line="360" w:lineRule="auto"/>
              <w:jc w:val="center"/>
              <w:rPr>
                <w:rFonts w:hint="eastAsia" w:ascii="宋体" w:hAnsi="宋体" w:cs="宋体"/>
                <w:sz w:val="24"/>
                <w:szCs w:val="24"/>
              </w:rPr>
            </w:pPr>
            <w:r>
              <w:rPr>
                <w:rFonts w:ascii="宋体" w:hAnsi="宋体" w:cs="宋体"/>
                <w:sz w:val="24"/>
                <w:szCs w:val="24"/>
              </w:rPr>
              <w:t>3</w:t>
            </w:r>
          </w:p>
        </w:tc>
        <w:tc>
          <w:tcPr>
            <w:tcW w:w="2130" w:type="dxa"/>
            <w:vAlign w:val="center"/>
          </w:tcPr>
          <w:p w14:paraId="28CC39CB">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66F0B32C">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4ED646EA">
            <w:pPr>
              <w:widowControl w:val="0"/>
              <w:autoSpaceDE w:val="0"/>
              <w:autoSpaceDN w:val="0"/>
              <w:spacing w:line="360" w:lineRule="auto"/>
              <w:jc w:val="center"/>
              <w:rPr>
                <w:rFonts w:hint="eastAsia" w:ascii="宋体" w:hAnsi="宋体" w:cs="宋体"/>
                <w:sz w:val="24"/>
                <w:szCs w:val="24"/>
              </w:rPr>
            </w:pPr>
          </w:p>
        </w:tc>
      </w:tr>
      <w:tr w14:paraId="4B33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39D03490">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w:t>
            </w:r>
          </w:p>
        </w:tc>
        <w:tc>
          <w:tcPr>
            <w:tcW w:w="2130" w:type="dxa"/>
            <w:vAlign w:val="center"/>
          </w:tcPr>
          <w:p w14:paraId="4CB2ED02">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390601A1">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61B2626F">
            <w:pPr>
              <w:widowControl w:val="0"/>
              <w:autoSpaceDE w:val="0"/>
              <w:autoSpaceDN w:val="0"/>
              <w:spacing w:line="360" w:lineRule="auto"/>
              <w:jc w:val="center"/>
              <w:rPr>
                <w:rFonts w:hint="eastAsia" w:ascii="宋体" w:hAnsi="宋体" w:cs="宋体"/>
                <w:sz w:val="24"/>
                <w:szCs w:val="24"/>
              </w:rPr>
            </w:pPr>
          </w:p>
        </w:tc>
      </w:tr>
    </w:tbl>
    <w:p w14:paraId="44837FE9">
      <w:pPr>
        <w:widowControl w:val="0"/>
        <w:autoSpaceDE w:val="0"/>
        <w:autoSpaceDN w:val="0"/>
        <w:spacing w:line="360" w:lineRule="auto"/>
        <w:jc w:val="center"/>
        <w:rPr>
          <w:rFonts w:hint="eastAsia" w:ascii="宋体" w:hAnsi="宋体" w:cs="宋体"/>
          <w:sz w:val="24"/>
          <w:szCs w:val="24"/>
        </w:rPr>
      </w:pPr>
    </w:p>
    <w:p w14:paraId="4A9AA25B">
      <w:pPr>
        <w:widowControl w:val="0"/>
        <w:autoSpaceDE w:val="0"/>
        <w:autoSpaceDN w:val="0"/>
        <w:spacing w:line="360" w:lineRule="auto"/>
        <w:jc w:val="center"/>
        <w:rPr>
          <w:rFonts w:hint="eastAsia" w:ascii="宋体" w:hAnsi="宋体" w:cs="宋体"/>
          <w:sz w:val="24"/>
          <w:szCs w:val="24"/>
        </w:rPr>
      </w:pPr>
    </w:p>
    <w:p w14:paraId="3BB7D4FF">
      <w:pPr>
        <w:widowControl w:val="0"/>
        <w:autoSpaceDE w:val="0"/>
        <w:autoSpaceDN w:val="0"/>
        <w:spacing w:line="360" w:lineRule="auto"/>
        <w:jc w:val="center"/>
        <w:rPr>
          <w:rFonts w:hint="eastAsia" w:ascii="宋体" w:hAnsi="宋体" w:cs="榛戜綋"/>
          <w:b/>
          <w:sz w:val="32"/>
          <w:szCs w:val="32"/>
        </w:rPr>
      </w:pPr>
      <w:r>
        <w:rPr>
          <w:rFonts w:hint="eastAsia" w:ascii="宋体" w:hAnsi="宋体" w:cs="榛戜綋"/>
          <w:b/>
          <w:sz w:val="32"/>
          <w:szCs w:val="32"/>
        </w:rPr>
        <w:t>综合评分表各项页码索引表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383E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554F7DC5">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序号</w:t>
            </w:r>
          </w:p>
        </w:tc>
        <w:tc>
          <w:tcPr>
            <w:tcW w:w="2130" w:type="dxa"/>
            <w:vAlign w:val="center"/>
          </w:tcPr>
          <w:p w14:paraId="1D15CFA1">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评审项</w:t>
            </w:r>
          </w:p>
        </w:tc>
        <w:tc>
          <w:tcPr>
            <w:tcW w:w="2131" w:type="dxa"/>
            <w:vAlign w:val="center"/>
          </w:tcPr>
          <w:p w14:paraId="466767CA">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响应情况</w:t>
            </w:r>
          </w:p>
        </w:tc>
        <w:tc>
          <w:tcPr>
            <w:tcW w:w="2131" w:type="dxa"/>
            <w:vAlign w:val="center"/>
          </w:tcPr>
          <w:p w14:paraId="4F9F7519">
            <w:pPr>
              <w:widowControl w:val="0"/>
              <w:autoSpaceDE w:val="0"/>
              <w:autoSpaceDN w:val="0"/>
              <w:jc w:val="center"/>
              <w:rPr>
                <w:rFonts w:hint="eastAsia" w:ascii="宋体" w:hAnsi="宋体" w:cs="宋体"/>
                <w:sz w:val="24"/>
                <w:szCs w:val="24"/>
              </w:rPr>
            </w:pPr>
            <w:r>
              <w:rPr>
                <w:rFonts w:hint="eastAsia" w:ascii="宋体" w:hAnsi="宋体" w:cs="宋体"/>
                <w:sz w:val="24"/>
                <w:szCs w:val="24"/>
              </w:rPr>
              <w:t>材料所在页码</w:t>
            </w:r>
          </w:p>
          <w:p w14:paraId="10F7F700">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（第页）</w:t>
            </w:r>
          </w:p>
        </w:tc>
      </w:tr>
      <w:tr w14:paraId="23AC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71884A5A">
            <w:pPr>
              <w:widowControl w:val="0"/>
              <w:autoSpaceDE w:val="0"/>
              <w:autoSpaceDN w:val="0"/>
              <w:spacing w:line="360" w:lineRule="auto"/>
              <w:jc w:val="center"/>
              <w:rPr>
                <w:rFonts w:hint="eastAsia" w:ascii="宋体" w:hAnsi="宋体" w:cs="宋体"/>
                <w:sz w:val="24"/>
                <w:szCs w:val="24"/>
              </w:rPr>
            </w:pPr>
            <w:r>
              <w:rPr>
                <w:rFonts w:ascii="宋体" w:hAnsi="宋体" w:cs="宋体"/>
                <w:sz w:val="24"/>
                <w:szCs w:val="24"/>
              </w:rPr>
              <w:t>1</w:t>
            </w:r>
          </w:p>
        </w:tc>
        <w:tc>
          <w:tcPr>
            <w:tcW w:w="2130" w:type="dxa"/>
            <w:vAlign w:val="center"/>
          </w:tcPr>
          <w:p w14:paraId="1E0B5696">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49581AD5">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45D740FD">
            <w:pPr>
              <w:widowControl w:val="0"/>
              <w:autoSpaceDE w:val="0"/>
              <w:autoSpaceDN w:val="0"/>
              <w:spacing w:line="360" w:lineRule="auto"/>
              <w:jc w:val="center"/>
              <w:rPr>
                <w:rFonts w:hint="eastAsia" w:ascii="宋体" w:hAnsi="宋体" w:cs="宋体"/>
                <w:sz w:val="24"/>
                <w:szCs w:val="24"/>
              </w:rPr>
            </w:pPr>
          </w:p>
        </w:tc>
      </w:tr>
      <w:tr w14:paraId="7A71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31CC0AA7">
            <w:pPr>
              <w:widowControl w:val="0"/>
              <w:autoSpaceDE w:val="0"/>
              <w:autoSpaceDN w:val="0"/>
              <w:spacing w:line="360" w:lineRule="auto"/>
              <w:jc w:val="center"/>
              <w:rPr>
                <w:rFonts w:hint="eastAsia" w:ascii="宋体" w:hAnsi="宋体" w:cs="宋体"/>
                <w:sz w:val="24"/>
                <w:szCs w:val="24"/>
              </w:rPr>
            </w:pPr>
            <w:r>
              <w:rPr>
                <w:rFonts w:ascii="宋体" w:hAnsi="宋体" w:cs="宋体"/>
                <w:sz w:val="24"/>
                <w:szCs w:val="24"/>
              </w:rPr>
              <w:t>2</w:t>
            </w:r>
          </w:p>
        </w:tc>
        <w:tc>
          <w:tcPr>
            <w:tcW w:w="2130" w:type="dxa"/>
            <w:vAlign w:val="center"/>
          </w:tcPr>
          <w:p w14:paraId="7E97A3BF">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5B1C4C94">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47C37852">
            <w:pPr>
              <w:widowControl w:val="0"/>
              <w:autoSpaceDE w:val="0"/>
              <w:autoSpaceDN w:val="0"/>
              <w:spacing w:line="360" w:lineRule="auto"/>
              <w:jc w:val="center"/>
              <w:rPr>
                <w:rFonts w:hint="eastAsia" w:ascii="宋体" w:hAnsi="宋体" w:cs="宋体"/>
                <w:sz w:val="24"/>
                <w:szCs w:val="24"/>
              </w:rPr>
            </w:pPr>
          </w:p>
        </w:tc>
      </w:tr>
      <w:tr w14:paraId="247C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419CDAC3">
            <w:pPr>
              <w:widowControl w:val="0"/>
              <w:autoSpaceDE w:val="0"/>
              <w:autoSpaceDN w:val="0"/>
              <w:spacing w:line="360" w:lineRule="auto"/>
              <w:jc w:val="center"/>
              <w:rPr>
                <w:rFonts w:hint="eastAsia" w:ascii="宋体" w:hAnsi="宋体" w:cs="宋体"/>
                <w:sz w:val="24"/>
                <w:szCs w:val="24"/>
              </w:rPr>
            </w:pPr>
            <w:r>
              <w:rPr>
                <w:rFonts w:ascii="宋体" w:hAnsi="宋体" w:cs="宋体"/>
                <w:sz w:val="24"/>
                <w:szCs w:val="24"/>
              </w:rPr>
              <w:t>3</w:t>
            </w:r>
          </w:p>
        </w:tc>
        <w:tc>
          <w:tcPr>
            <w:tcW w:w="2130" w:type="dxa"/>
            <w:vAlign w:val="center"/>
          </w:tcPr>
          <w:p w14:paraId="3CF2FC86">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6A53466A">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10E5E1C0">
            <w:pPr>
              <w:widowControl w:val="0"/>
              <w:autoSpaceDE w:val="0"/>
              <w:autoSpaceDN w:val="0"/>
              <w:spacing w:line="360" w:lineRule="auto"/>
              <w:jc w:val="center"/>
              <w:rPr>
                <w:rFonts w:hint="eastAsia" w:ascii="宋体" w:hAnsi="宋体" w:cs="宋体"/>
                <w:sz w:val="24"/>
                <w:szCs w:val="24"/>
              </w:rPr>
            </w:pPr>
          </w:p>
        </w:tc>
      </w:tr>
      <w:tr w14:paraId="5C4C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5C89C9C3">
            <w:pPr>
              <w:widowControl w:val="0"/>
              <w:autoSpaceDE w:val="0"/>
              <w:autoSpaceDN w:val="0"/>
              <w:spacing w:line="360" w:lineRule="auto"/>
              <w:jc w:val="center"/>
              <w:rPr>
                <w:rFonts w:hint="eastAsia" w:ascii="宋体" w:hAnsi="宋体" w:cs="宋体"/>
                <w:sz w:val="24"/>
                <w:szCs w:val="24"/>
              </w:rPr>
            </w:pPr>
            <w:r>
              <w:rPr>
                <w:rFonts w:hint="eastAsia" w:ascii="宋体" w:hAnsi="宋体" w:cs="宋体"/>
                <w:sz w:val="24"/>
                <w:szCs w:val="24"/>
              </w:rPr>
              <w:t>…</w:t>
            </w:r>
          </w:p>
        </w:tc>
        <w:tc>
          <w:tcPr>
            <w:tcW w:w="2130" w:type="dxa"/>
            <w:vAlign w:val="center"/>
          </w:tcPr>
          <w:p w14:paraId="65548D87">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35146A29">
            <w:pPr>
              <w:widowControl w:val="0"/>
              <w:autoSpaceDE w:val="0"/>
              <w:autoSpaceDN w:val="0"/>
              <w:spacing w:line="360" w:lineRule="auto"/>
              <w:jc w:val="center"/>
              <w:rPr>
                <w:rFonts w:hint="eastAsia" w:ascii="宋体" w:hAnsi="宋体" w:cs="宋体"/>
                <w:sz w:val="24"/>
                <w:szCs w:val="24"/>
              </w:rPr>
            </w:pPr>
          </w:p>
        </w:tc>
        <w:tc>
          <w:tcPr>
            <w:tcW w:w="2131" w:type="dxa"/>
            <w:vAlign w:val="center"/>
          </w:tcPr>
          <w:p w14:paraId="17026477">
            <w:pPr>
              <w:widowControl w:val="0"/>
              <w:autoSpaceDE w:val="0"/>
              <w:autoSpaceDN w:val="0"/>
              <w:spacing w:line="360" w:lineRule="auto"/>
              <w:jc w:val="center"/>
              <w:rPr>
                <w:rFonts w:hint="eastAsia" w:ascii="宋体" w:hAnsi="宋体" w:cs="宋体"/>
                <w:sz w:val="24"/>
                <w:szCs w:val="24"/>
              </w:rPr>
            </w:pPr>
          </w:p>
        </w:tc>
      </w:tr>
    </w:tbl>
    <w:p w14:paraId="01E1B18C">
      <w:pPr>
        <w:outlineLvl w:val="2"/>
        <w:rPr>
          <w:rFonts w:ascii="宋体"/>
          <w:b/>
          <w:bCs/>
          <w:sz w:val="28"/>
          <w:szCs w:val="28"/>
        </w:rPr>
      </w:pPr>
      <w:r>
        <w:rPr>
          <w:rFonts w:hint="eastAsia" w:ascii="宋体" w:hAnsi="宋体" w:cs="宋体"/>
          <w:b/>
          <w:bCs/>
          <w:sz w:val="28"/>
          <w:szCs w:val="28"/>
        </w:rPr>
        <w:br w:type="page"/>
      </w:r>
      <w:bookmarkStart w:id="115" w:name="_Toc3546"/>
      <w:bookmarkStart w:id="116" w:name="_Toc25786991"/>
      <w:r>
        <w:rPr>
          <w:rFonts w:hint="eastAsia" w:ascii="宋体" w:hAnsi="宋体" w:cs="宋体"/>
          <w:b/>
          <w:bCs/>
          <w:sz w:val="28"/>
          <w:szCs w:val="28"/>
        </w:rPr>
        <w:t>一、投标函</w:t>
      </w:r>
      <w:bookmarkEnd w:id="106"/>
      <w:bookmarkEnd w:id="107"/>
      <w:bookmarkEnd w:id="108"/>
      <w:bookmarkEnd w:id="109"/>
      <w:bookmarkEnd w:id="115"/>
      <w:bookmarkEnd w:id="116"/>
    </w:p>
    <w:p w14:paraId="3B75B17F">
      <w:pPr>
        <w:spacing w:line="360" w:lineRule="auto"/>
        <w:ind w:firstLine="643" w:firstLineChars="200"/>
        <w:jc w:val="center"/>
        <w:rPr>
          <w:rFonts w:ascii="宋体"/>
          <w:b/>
          <w:bCs/>
          <w:sz w:val="32"/>
          <w:szCs w:val="32"/>
        </w:rPr>
      </w:pPr>
      <w:r>
        <w:rPr>
          <w:rFonts w:hint="eastAsia" w:ascii="宋体" w:hAnsi="宋体" w:cs="宋体"/>
          <w:b/>
          <w:bCs/>
          <w:sz w:val="32"/>
          <w:szCs w:val="32"/>
        </w:rPr>
        <w:t>投标函</w:t>
      </w:r>
    </w:p>
    <w:p w14:paraId="02E80D54">
      <w:pPr>
        <w:snapToGrid w:val="0"/>
        <w:spacing w:before="19" w:line="360" w:lineRule="auto"/>
        <w:rPr>
          <w:rFonts w:ascii="宋体"/>
          <w:sz w:val="24"/>
          <w:szCs w:val="24"/>
          <w:u w:val="single"/>
        </w:rPr>
      </w:pPr>
      <w:r>
        <w:rPr>
          <w:rFonts w:hint="eastAsia" w:ascii="宋体" w:hAnsi="宋体" w:cs="宋体"/>
          <w:sz w:val="24"/>
          <w:szCs w:val="24"/>
        </w:rPr>
        <w:t>致：</w:t>
      </w:r>
      <w:r>
        <w:rPr>
          <w:rFonts w:hint="eastAsia" w:ascii="宋体" w:hAnsi="宋体" w:cs="宋体"/>
          <w:sz w:val="24"/>
          <w:szCs w:val="24"/>
          <w:u w:val="single"/>
        </w:rPr>
        <w:t>海南天行招投标有限公司</w:t>
      </w:r>
    </w:p>
    <w:p w14:paraId="4169510F">
      <w:pPr>
        <w:spacing w:line="360" w:lineRule="auto"/>
        <w:ind w:firstLine="360" w:firstLineChars="150"/>
        <w:rPr>
          <w:rFonts w:ascii="宋体"/>
          <w:sz w:val="24"/>
          <w:szCs w:val="24"/>
        </w:rPr>
      </w:pPr>
      <w:r>
        <w:rPr>
          <w:rFonts w:hint="eastAsia" w:ascii="宋体" w:hAnsi="宋体" w:cs="宋体"/>
          <w:sz w:val="24"/>
          <w:szCs w:val="24"/>
        </w:rPr>
        <w:t>根据贵单位</w:t>
      </w:r>
      <w:r>
        <w:rPr>
          <w:rFonts w:hint="eastAsia" w:ascii="宋体" w:hAnsi="宋体" w:cs="宋体"/>
          <w:sz w:val="24"/>
          <w:szCs w:val="24"/>
          <w:u w:val="single"/>
        </w:rPr>
        <w:t xml:space="preserve">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）招标文件要求，正式授权下述签字人</w:t>
      </w:r>
      <w:r>
        <w:rPr>
          <w:rFonts w:hint="eastAsia" w:ascii="宋体" w:hAnsi="宋体" w:cs="宋体"/>
          <w:sz w:val="24"/>
          <w:szCs w:val="24"/>
          <w:u w:val="single"/>
        </w:rPr>
        <w:t xml:space="preserve">    </w:t>
      </w:r>
      <w:r>
        <w:rPr>
          <w:rFonts w:hint="eastAsia" w:ascii="宋体" w:hAnsi="宋体" w:cs="宋体"/>
          <w:sz w:val="24"/>
          <w:szCs w:val="24"/>
        </w:rPr>
        <w:t>（姓名和职务）代表投标人</w:t>
      </w:r>
      <w:r>
        <w:rPr>
          <w:rFonts w:hint="eastAsia" w:ascii="宋体" w:hAnsi="宋体" w:cs="宋体"/>
          <w:sz w:val="24"/>
          <w:szCs w:val="24"/>
          <w:u w:val="single"/>
        </w:rPr>
        <w:t xml:space="preserve">    </w:t>
      </w:r>
      <w:r>
        <w:rPr>
          <w:rFonts w:hint="eastAsia" w:ascii="宋体" w:hAnsi="宋体" w:cs="宋体"/>
          <w:sz w:val="24"/>
          <w:szCs w:val="24"/>
        </w:rPr>
        <w:t>（投标单位名称），提交投标文件。</w:t>
      </w:r>
    </w:p>
    <w:p w14:paraId="578E9B3C">
      <w:pPr>
        <w:snapToGrid w:val="0"/>
        <w:spacing w:line="360" w:lineRule="auto"/>
        <w:ind w:firstLine="480" w:firstLineChars="200"/>
        <w:rPr>
          <w:rFonts w:ascii="宋体"/>
          <w:sz w:val="24"/>
          <w:szCs w:val="24"/>
        </w:rPr>
      </w:pPr>
      <w:r>
        <w:rPr>
          <w:rFonts w:hint="eastAsia" w:ascii="宋体" w:hAnsi="宋体" w:cs="宋体"/>
          <w:sz w:val="24"/>
          <w:szCs w:val="24"/>
        </w:rPr>
        <w:t>根据此函，我们宣布同意如下：</w:t>
      </w:r>
    </w:p>
    <w:p w14:paraId="757DFF11">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、我方接受招标文件的所有的条款和规定。</w:t>
      </w:r>
    </w:p>
    <w:p w14:paraId="4A46221C">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、我方同意按照招标文件第二章“投标人须知”的规定，本投标文件的有效期为从投标截止日期起计算的</w:t>
      </w:r>
      <w:r>
        <w:rPr>
          <w:rFonts w:ascii="宋体" w:hAnsi="宋体" w:cs="宋体"/>
          <w:sz w:val="24"/>
          <w:szCs w:val="24"/>
          <w:u w:val="single"/>
        </w:rPr>
        <w:t xml:space="preserve"> </w:t>
      </w:r>
      <w:r>
        <w:rPr>
          <w:rFonts w:hint="eastAsia" w:ascii="宋体" w:hAnsi="宋体" w:cs="宋体"/>
          <w:sz w:val="24"/>
          <w:szCs w:val="24"/>
          <w:u w:val="single"/>
        </w:rPr>
        <w:t>90</w:t>
      </w:r>
      <w:r>
        <w:rPr>
          <w:rFonts w:ascii="宋体" w:hAnsi="宋体" w:cs="宋体"/>
          <w:sz w:val="24"/>
          <w:szCs w:val="24"/>
          <w:u w:val="single"/>
        </w:rPr>
        <w:t xml:space="preserve"> </w:t>
      </w:r>
      <w:r>
        <w:rPr>
          <w:rFonts w:hint="eastAsia" w:ascii="宋体" w:hAnsi="宋体" w:cs="宋体"/>
          <w:sz w:val="24"/>
          <w:szCs w:val="24"/>
        </w:rPr>
        <w:t>天，在此期间，本投标文件将始终对我方具有约束力，并可随时被接受。</w:t>
      </w:r>
    </w:p>
    <w:p w14:paraId="079240A3">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、我们同意提供贵单位要求的有关本次投标的所有资料或证据，并保证资料、证据的真实有效性。</w:t>
      </w:r>
    </w:p>
    <w:p w14:paraId="5C039F80">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、我方完全理解贵方不一定要接受最低投标价的投标，即</w:t>
      </w:r>
      <w:r>
        <w:rPr>
          <w:rFonts w:hint="eastAsia" w:ascii="宋体" w:hAnsi="宋体" w:cs="宋体"/>
          <w:sz w:val="24"/>
          <w:szCs w:val="24"/>
          <w:u w:val="single"/>
        </w:rPr>
        <w:t>最低投标价不是中标的保证</w:t>
      </w:r>
      <w:r>
        <w:rPr>
          <w:rFonts w:hint="eastAsia" w:ascii="宋体" w:hAnsi="宋体" w:cs="宋体"/>
          <w:sz w:val="24"/>
          <w:szCs w:val="24"/>
        </w:rPr>
        <w:t>。</w:t>
      </w:r>
    </w:p>
    <w:p w14:paraId="137B12AB">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、如果我方中标，我们将根据招标文件的规定严格履行自己的责任和义务。</w:t>
      </w:r>
    </w:p>
    <w:p w14:paraId="53BDB668">
      <w:pPr>
        <w:snapToGrid w:val="0"/>
        <w:spacing w:line="480" w:lineRule="exact"/>
        <w:ind w:firstLine="480" w:firstLineChars="200"/>
        <w:rPr>
          <w:rFonts w:ascii="宋体"/>
          <w:sz w:val="24"/>
          <w:szCs w:val="24"/>
        </w:rPr>
      </w:pPr>
    </w:p>
    <w:p w14:paraId="49C9EF6A">
      <w:pPr>
        <w:snapToGrid w:val="0"/>
        <w:spacing w:line="480" w:lineRule="exact"/>
        <w:ind w:firstLine="480" w:firstLineChars="200"/>
        <w:rPr>
          <w:rFonts w:ascii="宋体"/>
          <w:sz w:val="24"/>
          <w:szCs w:val="24"/>
        </w:rPr>
      </w:pPr>
      <w:r>
        <w:rPr>
          <w:rFonts w:hint="eastAsia" w:ascii="宋体" w:hAnsi="宋体" w:cs="宋体"/>
          <w:sz w:val="24"/>
          <w:szCs w:val="24"/>
        </w:rPr>
        <w:t>投标人名称：</w:t>
      </w:r>
      <w:r>
        <w:rPr>
          <w:rFonts w:hint="eastAsia" w:ascii="宋体" w:hAnsi="宋体" w:cs="宋体"/>
          <w:sz w:val="24"/>
          <w:szCs w:val="24"/>
          <w:u w:val="single"/>
        </w:rPr>
        <w:t>（公章）</w:t>
      </w:r>
    </w:p>
    <w:p w14:paraId="2EAEECC3">
      <w:pPr>
        <w:snapToGrid w:val="0"/>
        <w:spacing w:line="480" w:lineRule="exact"/>
        <w:ind w:firstLine="480" w:firstLineChars="200"/>
        <w:rPr>
          <w:rFonts w:ascii="宋体"/>
          <w:sz w:val="24"/>
          <w:szCs w:val="24"/>
          <w:u w:val="single"/>
        </w:rPr>
      </w:pPr>
      <w:r>
        <w:rPr>
          <w:rFonts w:hint="eastAsia" w:ascii="宋体" w:hAnsi="宋体" w:cs="宋体"/>
          <w:sz w:val="24"/>
          <w:szCs w:val="24"/>
        </w:rPr>
        <w:t>地址：邮编：</w:t>
      </w:r>
    </w:p>
    <w:p w14:paraId="60BC4D59">
      <w:pPr>
        <w:snapToGrid w:val="0"/>
        <w:spacing w:line="480" w:lineRule="exact"/>
        <w:ind w:firstLine="480" w:firstLineChars="200"/>
        <w:rPr>
          <w:rFonts w:ascii="宋体"/>
          <w:sz w:val="24"/>
          <w:szCs w:val="24"/>
          <w:u w:val="single"/>
        </w:rPr>
      </w:pPr>
      <w:r>
        <w:rPr>
          <w:rFonts w:hint="eastAsia" w:ascii="宋体" w:hAnsi="宋体" w:cs="宋体"/>
          <w:sz w:val="24"/>
          <w:szCs w:val="24"/>
        </w:rPr>
        <w:t>电话：传真：</w:t>
      </w:r>
    </w:p>
    <w:p w14:paraId="69CAC22A">
      <w:pPr>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法定代表人或授权代理人：（签字）</w:t>
      </w:r>
    </w:p>
    <w:p w14:paraId="0238D312">
      <w:pPr>
        <w:snapToGrid w:val="0"/>
        <w:spacing w:line="480" w:lineRule="exact"/>
        <w:ind w:firstLine="480" w:firstLineChars="200"/>
        <w:rPr>
          <w:rFonts w:ascii="宋体"/>
          <w:sz w:val="24"/>
          <w:szCs w:val="24"/>
          <w:u w:val="single"/>
        </w:rPr>
      </w:pPr>
      <w:r>
        <w:rPr>
          <w:rFonts w:hint="eastAsia" w:ascii="宋体" w:hAnsi="宋体" w:cs="宋体"/>
          <w:sz w:val="24"/>
          <w:szCs w:val="24"/>
        </w:rPr>
        <w:t>职务：</w:t>
      </w:r>
    </w:p>
    <w:p w14:paraId="17EDE451">
      <w:pPr>
        <w:snapToGrid w:val="0"/>
        <w:spacing w:line="480" w:lineRule="exact"/>
        <w:ind w:firstLine="480" w:firstLineChars="200"/>
        <w:rPr>
          <w:rFonts w:hint="eastAsia" w:ascii="宋体" w:hAnsi="宋体" w:cs="宋体"/>
          <w:b/>
          <w:bCs/>
          <w:sz w:val="28"/>
          <w:szCs w:val="28"/>
        </w:rPr>
      </w:pPr>
      <w:r>
        <w:rPr>
          <w:rFonts w:hint="eastAsia" w:ascii="宋体" w:hAnsi="宋体" w:cs="宋体"/>
          <w:sz w:val="24"/>
          <w:szCs w:val="24"/>
        </w:rPr>
        <w:t>日期：</w:t>
      </w:r>
      <w:bookmarkStart w:id="117" w:name="_Toc483396427"/>
      <w:bookmarkStart w:id="118" w:name="_Toc483396339"/>
    </w:p>
    <w:p w14:paraId="25DC069A">
      <w:pPr>
        <w:outlineLvl w:val="2"/>
        <w:rPr>
          <w:rFonts w:ascii="宋体"/>
          <w:b/>
          <w:bCs/>
          <w:sz w:val="28"/>
          <w:szCs w:val="28"/>
        </w:rPr>
      </w:pPr>
      <w:r>
        <w:rPr>
          <w:rFonts w:hint="eastAsia" w:ascii="宋体" w:hAnsi="宋体" w:cs="宋体"/>
          <w:b/>
          <w:bCs/>
          <w:sz w:val="28"/>
          <w:szCs w:val="28"/>
        </w:rPr>
        <w:br w:type="page"/>
      </w:r>
      <w:bookmarkStart w:id="119" w:name="_Toc3141"/>
      <w:r>
        <w:rPr>
          <w:rFonts w:hint="eastAsia" w:ascii="宋体" w:hAnsi="宋体" w:cs="宋体"/>
          <w:b/>
          <w:bCs/>
          <w:sz w:val="28"/>
          <w:szCs w:val="28"/>
        </w:rPr>
        <w:t>二、法人授权委托书</w:t>
      </w:r>
      <w:bookmarkEnd w:id="117"/>
      <w:bookmarkEnd w:id="118"/>
      <w:bookmarkEnd w:id="119"/>
    </w:p>
    <w:p w14:paraId="63877830">
      <w:pPr>
        <w:ind w:firstLine="562" w:firstLineChars="200"/>
        <w:jc w:val="center"/>
        <w:rPr>
          <w:b/>
          <w:bCs/>
          <w:sz w:val="28"/>
          <w:szCs w:val="28"/>
        </w:rPr>
      </w:pPr>
      <w:r>
        <w:rPr>
          <w:rFonts w:hint="eastAsia" w:cs="宋体"/>
          <w:b/>
          <w:bCs/>
          <w:sz w:val="28"/>
          <w:szCs w:val="28"/>
        </w:rPr>
        <w:t>法人授权委托书</w:t>
      </w:r>
    </w:p>
    <w:p w14:paraId="48840C0E">
      <w:pPr>
        <w:spacing w:line="500" w:lineRule="exact"/>
        <w:ind w:firstLine="480" w:firstLineChars="200"/>
        <w:rPr>
          <w:rFonts w:ascii="宋体"/>
          <w:sz w:val="24"/>
          <w:szCs w:val="24"/>
        </w:rPr>
      </w:pPr>
      <w:r>
        <w:rPr>
          <w:rFonts w:hint="eastAsia" w:ascii="宋体" w:hAnsi="宋体" w:cs="宋体"/>
          <w:sz w:val="24"/>
          <w:szCs w:val="24"/>
        </w:rPr>
        <w:t>致：海南天行招投标有限公司</w:t>
      </w:r>
    </w:p>
    <w:p w14:paraId="672C1BBE">
      <w:pPr>
        <w:spacing w:line="500" w:lineRule="exact"/>
        <w:ind w:firstLine="480" w:firstLineChars="200"/>
        <w:rPr>
          <w:rFonts w:hint="eastAsia" w:ascii="宋体" w:hAnsi="宋体" w:cs="宋体"/>
          <w:sz w:val="24"/>
          <w:szCs w:val="24"/>
        </w:rPr>
      </w:pPr>
      <w:r>
        <w:rPr>
          <w:rFonts w:hint="eastAsia" w:ascii="宋体" w:hAnsi="宋体" w:cs="宋体"/>
          <w:sz w:val="24"/>
          <w:szCs w:val="24"/>
        </w:rPr>
        <w:t>本授权书声明：</w:t>
      </w:r>
    </w:p>
    <w:p w14:paraId="5675EFA2">
      <w:pPr>
        <w:ind w:firstLine="480" w:firstLineChars="200"/>
        <w:rPr>
          <w:rFonts w:hint="eastAsia" w:ascii="宋体" w:hAnsi="宋体" w:cs="宋体"/>
          <w:sz w:val="24"/>
          <w:szCs w:val="24"/>
          <w:u w:val="single"/>
        </w:rPr>
      </w:pPr>
      <w:r>
        <w:rPr>
          <w:rFonts w:hint="eastAsia" w:ascii="宋体" w:hAnsi="宋体" w:cs="宋体"/>
          <w:sz w:val="24"/>
          <w:szCs w:val="24"/>
        </w:rPr>
        <w:t>投标人：</w:t>
      </w:r>
      <w:r>
        <w:rPr>
          <w:rFonts w:hint="eastAsia" w:ascii="宋体" w:hAnsi="宋体" w:cs="宋体"/>
          <w:sz w:val="24"/>
          <w:szCs w:val="24"/>
          <w:u w:val="single"/>
        </w:rPr>
        <w:t xml:space="preserve">   </w:t>
      </w:r>
    </w:p>
    <w:p w14:paraId="0DB1D841">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 xml:space="preserve">地址：    法定代表人：   </w:t>
      </w:r>
    </w:p>
    <w:p w14:paraId="178B6E0C">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授权代理人姓名：   性别：  出生日期：年月日</w:t>
      </w:r>
    </w:p>
    <w:p w14:paraId="5125DB45">
      <w:pPr>
        <w:snapToGrid w:val="0"/>
        <w:spacing w:line="500" w:lineRule="exact"/>
        <w:ind w:firstLine="480" w:firstLineChars="200"/>
        <w:rPr>
          <w:rFonts w:hint="eastAsia" w:ascii="宋体" w:hAnsi="宋体" w:cs="宋体"/>
          <w:sz w:val="24"/>
          <w:szCs w:val="24"/>
          <w:u w:val="single"/>
        </w:rPr>
      </w:pPr>
      <w:r>
        <w:rPr>
          <w:rFonts w:hint="eastAsia" w:ascii="宋体" w:hAnsi="宋体" w:cs="宋体"/>
          <w:sz w:val="24"/>
          <w:szCs w:val="24"/>
        </w:rPr>
        <w:t>所在单位：  职务：</w:t>
      </w:r>
    </w:p>
    <w:p w14:paraId="2DDFB56B">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身份证号：  联系方式：</w:t>
      </w:r>
    </w:p>
    <w:p w14:paraId="332DE60C">
      <w:pPr>
        <w:snapToGrid w:val="0"/>
        <w:spacing w:line="500" w:lineRule="exact"/>
        <w:ind w:firstLine="480" w:firstLineChars="200"/>
        <w:rPr>
          <w:rFonts w:ascii="宋体"/>
          <w:sz w:val="24"/>
          <w:szCs w:val="24"/>
        </w:rPr>
      </w:pPr>
      <w:r>
        <w:rPr>
          <w:rFonts w:hint="eastAsia" w:ascii="宋体" w:hAnsi="宋体" w:cs="宋体"/>
          <w:sz w:val="24"/>
          <w:szCs w:val="24"/>
        </w:rPr>
        <w:t>兹委托授权代理人合法地代表我单位参加</w:t>
      </w:r>
      <w:r>
        <w:rPr>
          <w:rFonts w:hint="eastAsia" w:ascii="宋体" w:hAnsi="宋体" w:cs="宋体"/>
          <w:sz w:val="24"/>
          <w:szCs w:val="24"/>
          <w:u w:val="single"/>
        </w:rPr>
        <w:t>海南天行招投标有限公司</w:t>
      </w:r>
      <w:r>
        <w:rPr>
          <w:rFonts w:hint="eastAsia" w:ascii="宋体" w:hAnsi="宋体" w:cs="宋体"/>
          <w:sz w:val="24"/>
          <w:szCs w:val="24"/>
        </w:rPr>
        <w:t>组织的</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）的政府采购活动，授权代理人有权在该投标活动中办理以下事宜：</w:t>
      </w:r>
    </w:p>
    <w:p w14:paraId="62C2FA82">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、以我单位的名义签署投标书和投标文件</w:t>
      </w:r>
    </w:p>
    <w:p w14:paraId="26DAD56F">
      <w:pPr>
        <w:snapToGrid w:val="0"/>
        <w:spacing w:line="50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、参加开标评标会议</w:t>
      </w:r>
    </w:p>
    <w:p w14:paraId="2B4D05D1">
      <w:pPr>
        <w:snapToGrid w:val="0"/>
        <w:spacing w:line="50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、向评标委员会及采购代理机构澄清、解释投标文件中的疑问</w:t>
      </w:r>
    </w:p>
    <w:p w14:paraId="21EF35EB">
      <w:pPr>
        <w:snapToGrid w:val="0"/>
        <w:spacing w:line="50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、与投标有关的各项事宜。</w:t>
      </w:r>
    </w:p>
    <w:p w14:paraId="0F248171">
      <w:pPr>
        <w:snapToGrid w:val="0"/>
        <w:spacing w:line="500" w:lineRule="exact"/>
        <w:ind w:firstLine="480" w:firstLineChars="200"/>
        <w:rPr>
          <w:rFonts w:ascii="宋体"/>
          <w:sz w:val="24"/>
          <w:szCs w:val="24"/>
        </w:rPr>
      </w:pPr>
      <w:r>
        <w:rPr>
          <w:rFonts w:hint="eastAsia" w:ascii="宋体" w:hAnsi="宋体" w:cs="宋体"/>
          <w:sz w:val="24"/>
          <w:szCs w:val="24"/>
        </w:rPr>
        <w:t>授权代理人在办理上述事宜过程中以其自己的名义所签署的所有文件我均予以承认。授权代理人无转委托权。</w:t>
      </w:r>
    </w:p>
    <w:p w14:paraId="58C4A2F2">
      <w:pPr>
        <w:snapToGrid w:val="0"/>
        <w:spacing w:line="500" w:lineRule="exact"/>
        <w:ind w:firstLine="480" w:firstLineChars="200"/>
        <w:rPr>
          <w:rFonts w:ascii="宋体"/>
          <w:sz w:val="24"/>
          <w:szCs w:val="24"/>
        </w:rPr>
      </w:pPr>
      <w:r>
        <w:rPr>
          <w:rFonts w:hint="eastAsia" w:ascii="宋体" w:hAnsi="宋体" w:cs="宋体"/>
          <w:sz w:val="24"/>
          <w:szCs w:val="24"/>
        </w:rPr>
        <w:t>委托期限：</w:t>
      </w:r>
      <w:r>
        <w:rPr>
          <w:rFonts w:hint="eastAsia" w:ascii="宋体" w:hAnsi="宋体" w:cs="宋体"/>
          <w:sz w:val="24"/>
          <w:szCs w:val="24"/>
          <w:u w:val="single"/>
        </w:rPr>
        <w:t>90日历天</w:t>
      </w:r>
      <w:r>
        <w:rPr>
          <w:rFonts w:hint="eastAsia" w:ascii="宋体" w:hAnsi="宋体" w:cs="宋体"/>
          <w:sz w:val="24"/>
          <w:szCs w:val="24"/>
        </w:rPr>
        <w:t>。</w:t>
      </w:r>
    </w:p>
    <w:p w14:paraId="078B7A16">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（附法定代表人和授权代理人身份证复印件加盖公章）</w:t>
      </w:r>
    </w:p>
    <w:p w14:paraId="445CE783">
      <w:pPr>
        <w:snapToGrid w:val="0"/>
        <w:spacing w:line="500" w:lineRule="exact"/>
        <w:ind w:firstLine="480" w:firstLineChars="200"/>
        <w:rPr>
          <w:rFonts w:ascii="宋体"/>
          <w:sz w:val="24"/>
          <w:szCs w:val="24"/>
        </w:rPr>
      </w:pPr>
    </w:p>
    <w:p w14:paraId="2166476F">
      <w:pPr>
        <w:ind w:firstLine="480" w:firstLineChars="200"/>
        <w:rPr>
          <w:rFonts w:ascii="宋体"/>
          <w:sz w:val="24"/>
          <w:szCs w:val="24"/>
          <w:u w:val="single"/>
        </w:rPr>
      </w:pPr>
      <w:r>
        <w:rPr>
          <w:rFonts w:hint="eastAsia" w:ascii="宋体" w:hAnsi="宋体" w:cs="宋体"/>
          <w:sz w:val="24"/>
          <w:szCs w:val="24"/>
        </w:rPr>
        <w:t>投标人：</w:t>
      </w:r>
      <w:r>
        <w:rPr>
          <w:rFonts w:hint="eastAsia" w:ascii="宋体" w:hAnsi="宋体" w:cs="宋体"/>
          <w:sz w:val="24"/>
          <w:szCs w:val="24"/>
          <w:u w:val="single"/>
        </w:rPr>
        <w:t>（公章）</w:t>
      </w:r>
    </w:p>
    <w:p w14:paraId="34CBA33C">
      <w:pPr>
        <w:ind w:firstLine="480" w:firstLineChars="200"/>
        <w:rPr>
          <w:rFonts w:ascii="宋体"/>
          <w:sz w:val="24"/>
          <w:szCs w:val="24"/>
          <w:u w:val="single"/>
        </w:rPr>
      </w:pPr>
      <w:r>
        <w:rPr>
          <w:rFonts w:hint="eastAsia" w:ascii="宋体" w:hAnsi="宋体" w:cs="宋体"/>
          <w:sz w:val="24"/>
          <w:szCs w:val="24"/>
        </w:rPr>
        <w:t>法定代表人：</w:t>
      </w:r>
      <w:r>
        <w:rPr>
          <w:rFonts w:hint="eastAsia" w:ascii="宋体" w:hAnsi="宋体" w:cs="宋体"/>
          <w:sz w:val="24"/>
          <w:szCs w:val="24"/>
          <w:u w:val="single"/>
        </w:rPr>
        <w:t>（签字或盖章）</w:t>
      </w:r>
    </w:p>
    <w:p w14:paraId="128710B6">
      <w:pPr>
        <w:ind w:firstLine="480" w:firstLineChars="200"/>
        <w:rPr>
          <w:rFonts w:ascii="宋体"/>
          <w:sz w:val="24"/>
          <w:szCs w:val="24"/>
          <w:u w:val="single"/>
        </w:rPr>
      </w:pPr>
      <w:r>
        <w:rPr>
          <w:rFonts w:hint="eastAsia" w:ascii="宋体" w:hAnsi="宋体" w:cs="宋体"/>
          <w:sz w:val="24"/>
          <w:szCs w:val="24"/>
        </w:rPr>
        <w:t>授权代理人：</w:t>
      </w:r>
      <w:r>
        <w:rPr>
          <w:rFonts w:hint="eastAsia" w:ascii="宋体" w:hAnsi="宋体" w:cs="宋体"/>
          <w:sz w:val="24"/>
          <w:szCs w:val="24"/>
          <w:u w:val="single"/>
        </w:rPr>
        <w:t>（签字或盖章）</w:t>
      </w:r>
    </w:p>
    <w:p w14:paraId="6C63468B">
      <w:pPr>
        <w:spacing w:line="360" w:lineRule="auto"/>
        <w:ind w:firstLine="480" w:firstLineChars="200"/>
        <w:rPr>
          <w:rFonts w:hint="eastAsia" w:ascii="宋体" w:hAnsi="宋体" w:cs="宋体"/>
          <w:b/>
          <w:bCs/>
          <w:sz w:val="28"/>
          <w:szCs w:val="28"/>
        </w:rPr>
      </w:pPr>
      <w:r>
        <w:rPr>
          <w:rFonts w:hint="eastAsia" w:cs="宋体"/>
          <w:sz w:val="24"/>
          <w:szCs w:val="24"/>
        </w:rPr>
        <w:t>日期：</w:t>
      </w:r>
      <w:bookmarkStart w:id="120" w:name="_Toc483396340"/>
      <w:bookmarkStart w:id="121" w:name="_Toc483396428"/>
    </w:p>
    <w:p w14:paraId="441A3696">
      <w:pPr>
        <w:outlineLvl w:val="2"/>
        <w:rPr>
          <w:rFonts w:hint="eastAsia" w:ascii="宋体" w:hAnsi="宋体" w:cs="宋体"/>
          <w:b/>
          <w:bCs/>
          <w:sz w:val="28"/>
          <w:szCs w:val="28"/>
        </w:rPr>
      </w:pPr>
      <w:r>
        <w:rPr>
          <w:rFonts w:hint="eastAsia" w:ascii="宋体" w:hAnsi="宋体" w:cs="宋体"/>
          <w:b/>
          <w:bCs/>
          <w:sz w:val="28"/>
          <w:szCs w:val="28"/>
        </w:rPr>
        <w:br w:type="page"/>
      </w:r>
      <w:bookmarkStart w:id="122" w:name="_Toc18335"/>
      <w:r>
        <w:rPr>
          <w:rFonts w:hint="eastAsia" w:ascii="宋体" w:hAnsi="宋体" w:cs="宋体"/>
          <w:b/>
          <w:bCs/>
          <w:sz w:val="28"/>
          <w:szCs w:val="28"/>
        </w:rPr>
        <w:t>三、开标一览表</w:t>
      </w:r>
      <w:bookmarkEnd w:id="120"/>
      <w:bookmarkEnd w:id="121"/>
      <w:bookmarkEnd w:id="122"/>
    </w:p>
    <w:p w14:paraId="2FCF4998">
      <w:pPr>
        <w:rPr>
          <w:rFonts w:hint="eastAsia" w:ascii="宋体" w:hAnsi="宋体" w:cs="宋体"/>
          <w:b/>
          <w:bCs/>
          <w:sz w:val="24"/>
          <w:szCs w:val="24"/>
        </w:rPr>
      </w:pPr>
      <w:r>
        <w:rPr>
          <w:rFonts w:hint="eastAsia" w:ascii="宋体" w:hAnsi="宋体" w:cs="宋体"/>
          <w:b/>
          <w:bCs/>
          <w:sz w:val="24"/>
          <w:szCs w:val="24"/>
        </w:rPr>
        <w:t>项目名称：</w:t>
      </w:r>
    </w:p>
    <w:p w14:paraId="22B89785">
      <w:pPr>
        <w:snapToGrid w:val="0"/>
        <w:spacing w:line="520" w:lineRule="exact"/>
        <w:rPr>
          <w:rFonts w:hint="eastAsia" w:ascii="宋体" w:hAnsi="宋体" w:cs="宋体"/>
          <w:b/>
          <w:bCs/>
          <w:sz w:val="24"/>
          <w:szCs w:val="24"/>
        </w:rPr>
      </w:pPr>
      <w:r>
        <w:rPr>
          <w:rFonts w:hint="eastAsia" w:ascii="宋体" w:hAnsi="宋体" w:cs="宋体"/>
          <w:b/>
          <w:bCs/>
          <w:sz w:val="24"/>
          <w:szCs w:val="24"/>
        </w:rPr>
        <w:t>项目编号：</w:t>
      </w:r>
    </w:p>
    <w:tbl>
      <w:tblPr>
        <w:tblStyle w:val="35"/>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397"/>
        <w:gridCol w:w="1183"/>
        <w:gridCol w:w="2181"/>
        <w:gridCol w:w="1052"/>
        <w:gridCol w:w="980"/>
        <w:gridCol w:w="940"/>
        <w:gridCol w:w="1240"/>
      </w:tblGrid>
      <w:tr w14:paraId="3614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87" w:type="dxa"/>
            <w:vAlign w:val="center"/>
          </w:tcPr>
          <w:p w14:paraId="10780457">
            <w:pPr>
              <w:widowControl w:val="0"/>
              <w:jc w:val="both"/>
              <w:rPr>
                <w:sz w:val="24"/>
                <w:szCs w:val="24"/>
              </w:rPr>
            </w:pPr>
            <w:r>
              <w:rPr>
                <w:rFonts w:hint="eastAsia"/>
                <w:sz w:val="24"/>
                <w:szCs w:val="24"/>
              </w:rPr>
              <w:t>序号</w:t>
            </w:r>
          </w:p>
        </w:tc>
        <w:tc>
          <w:tcPr>
            <w:tcW w:w="1397" w:type="dxa"/>
            <w:vAlign w:val="center"/>
          </w:tcPr>
          <w:p w14:paraId="7E3700CA">
            <w:pPr>
              <w:widowControl w:val="0"/>
              <w:jc w:val="both"/>
              <w:rPr>
                <w:sz w:val="24"/>
                <w:szCs w:val="24"/>
              </w:rPr>
            </w:pPr>
            <w:r>
              <w:rPr>
                <w:rFonts w:hint="eastAsia"/>
                <w:sz w:val="24"/>
                <w:szCs w:val="24"/>
              </w:rPr>
              <w:t>货物名称</w:t>
            </w:r>
          </w:p>
        </w:tc>
        <w:tc>
          <w:tcPr>
            <w:tcW w:w="1183" w:type="dxa"/>
            <w:vAlign w:val="center"/>
          </w:tcPr>
          <w:p w14:paraId="0CD3FEB3">
            <w:pPr>
              <w:widowControl w:val="0"/>
              <w:jc w:val="both"/>
              <w:rPr>
                <w:sz w:val="24"/>
                <w:szCs w:val="24"/>
              </w:rPr>
            </w:pPr>
            <w:r>
              <w:rPr>
                <w:rFonts w:hint="eastAsia"/>
                <w:sz w:val="24"/>
                <w:szCs w:val="24"/>
              </w:rPr>
              <w:t>品牌型号</w:t>
            </w:r>
          </w:p>
        </w:tc>
        <w:tc>
          <w:tcPr>
            <w:tcW w:w="2181" w:type="dxa"/>
            <w:vAlign w:val="center"/>
          </w:tcPr>
          <w:p w14:paraId="4410BF3A">
            <w:pPr>
              <w:widowControl w:val="0"/>
              <w:jc w:val="both"/>
              <w:rPr>
                <w:sz w:val="24"/>
                <w:szCs w:val="24"/>
              </w:rPr>
            </w:pPr>
            <w:r>
              <w:rPr>
                <w:rFonts w:hint="eastAsia"/>
                <w:sz w:val="24"/>
                <w:szCs w:val="24"/>
              </w:rPr>
              <w:t>原产地及制造厂商</w:t>
            </w:r>
          </w:p>
        </w:tc>
        <w:tc>
          <w:tcPr>
            <w:tcW w:w="1052" w:type="dxa"/>
            <w:vAlign w:val="center"/>
          </w:tcPr>
          <w:p w14:paraId="1B40B0B5">
            <w:pPr>
              <w:widowControl w:val="0"/>
              <w:jc w:val="both"/>
              <w:rPr>
                <w:sz w:val="24"/>
                <w:szCs w:val="24"/>
              </w:rPr>
            </w:pPr>
            <w:r>
              <w:rPr>
                <w:rFonts w:hint="eastAsia"/>
                <w:sz w:val="24"/>
                <w:szCs w:val="24"/>
              </w:rPr>
              <w:t>数量</w:t>
            </w:r>
          </w:p>
        </w:tc>
        <w:tc>
          <w:tcPr>
            <w:tcW w:w="980" w:type="dxa"/>
            <w:vAlign w:val="center"/>
          </w:tcPr>
          <w:p w14:paraId="68563EF0">
            <w:pPr>
              <w:widowControl w:val="0"/>
              <w:jc w:val="both"/>
              <w:rPr>
                <w:sz w:val="24"/>
                <w:szCs w:val="24"/>
              </w:rPr>
            </w:pPr>
            <w:r>
              <w:rPr>
                <w:rFonts w:hint="eastAsia"/>
                <w:sz w:val="24"/>
                <w:szCs w:val="24"/>
              </w:rPr>
              <w:t>单位</w:t>
            </w:r>
          </w:p>
        </w:tc>
        <w:tc>
          <w:tcPr>
            <w:tcW w:w="940" w:type="dxa"/>
            <w:vAlign w:val="center"/>
          </w:tcPr>
          <w:p w14:paraId="59FADFCF">
            <w:pPr>
              <w:widowControl w:val="0"/>
              <w:jc w:val="both"/>
              <w:rPr>
                <w:sz w:val="24"/>
                <w:szCs w:val="24"/>
              </w:rPr>
            </w:pPr>
            <w:r>
              <w:rPr>
                <w:rFonts w:hint="eastAsia"/>
                <w:sz w:val="24"/>
                <w:szCs w:val="24"/>
              </w:rPr>
              <w:t>单价</w:t>
            </w:r>
          </w:p>
        </w:tc>
        <w:tc>
          <w:tcPr>
            <w:tcW w:w="1240" w:type="dxa"/>
            <w:vAlign w:val="center"/>
          </w:tcPr>
          <w:p w14:paraId="2E944099">
            <w:pPr>
              <w:widowControl w:val="0"/>
              <w:jc w:val="both"/>
              <w:rPr>
                <w:sz w:val="24"/>
                <w:szCs w:val="24"/>
              </w:rPr>
            </w:pPr>
            <w:r>
              <w:rPr>
                <w:rFonts w:hint="eastAsia"/>
                <w:sz w:val="24"/>
                <w:szCs w:val="24"/>
              </w:rPr>
              <w:t>单项总价</w:t>
            </w:r>
          </w:p>
        </w:tc>
      </w:tr>
      <w:tr w14:paraId="0A07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87" w:type="dxa"/>
            <w:vAlign w:val="center"/>
          </w:tcPr>
          <w:p w14:paraId="3B2B9155">
            <w:pPr>
              <w:widowControl w:val="0"/>
              <w:jc w:val="both"/>
              <w:rPr>
                <w:sz w:val="24"/>
                <w:szCs w:val="24"/>
              </w:rPr>
            </w:pPr>
          </w:p>
        </w:tc>
        <w:tc>
          <w:tcPr>
            <w:tcW w:w="1397" w:type="dxa"/>
            <w:vAlign w:val="center"/>
          </w:tcPr>
          <w:p w14:paraId="69A0A527">
            <w:pPr>
              <w:widowControl w:val="0"/>
              <w:jc w:val="both"/>
              <w:rPr>
                <w:sz w:val="24"/>
                <w:szCs w:val="24"/>
              </w:rPr>
            </w:pPr>
          </w:p>
        </w:tc>
        <w:tc>
          <w:tcPr>
            <w:tcW w:w="1183" w:type="dxa"/>
            <w:vAlign w:val="center"/>
          </w:tcPr>
          <w:p w14:paraId="7BF669B3">
            <w:pPr>
              <w:widowControl w:val="0"/>
              <w:jc w:val="both"/>
              <w:rPr>
                <w:sz w:val="24"/>
                <w:szCs w:val="24"/>
              </w:rPr>
            </w:pPr>
          </w:p>
        </w:tc>
        <w:tc>
          <w:tcPr>
            <w:tcW w:w="2181" w:type="dxa"/>
            <w:vAlign w:val="center"/>
          </w:tcPr>
          <w:p w14:paraId="29527334">
            <w:pPr>
              <w:widowControl w:val="0"/>
              <w:jc w:val="both"/>
              <w:rPr>
                <w:sz w:val="24"/>
                <w:szCs w:val="24"/>
              </w:rPr>
            </w:pPr>
          </w:p>
        </w:tc>
        <w:tc>
          <w:tcPr>
            <w:tcW w:w="1052" w:type="dxa"/>
            <w:vAlign w:val="center"/>
          </w:tcPr>
          <w:p w14:paraId="1199E0D6">
            <w:pPr>
              <w:widowControl w:val="0"/>
              <w:jc w:val="both"/>
              <w:rPr>
                <w:sz w:val="24"/>
                <w:szCs w:val="24"/>
              </w:rPr>
            </w:pPr>
          </w:p>
        </w:tc>
        <w:tc>
          <w:tcPr>
            <w:tcW w:w="980" w:type="dxa"/>
            <w:vAlign w:val="center"/>
          </w:tcPr>
          <w:p w14:paraId="5FB5E9C7">
            <w:pPr>
              <w:widowControl w:val="0"/>
              <w:jc w:val="both"/>
              <w:rPr>
                <w:sz w:val="24"/>
                <w:szCs w:val="24"/>
              </w:rPr>
            </w:pPr>
          </w:p>
        </w:tc>
        <w:tc>
          <w:tcPr>
            <w:tcW w:w="940" w:type="dxa"/>
            <w:vAlign w:val="center"/>
          </w:tcPr>
          <w:p w14:paraId="362726FA">
            <w:pPr>
              <w:widowControl w:val="0"/>
              <w:jc w:val="both"/>
              <w:rPr>
                <w:sz w:val="24"/>
                <w:szCs w:val="24"/>
              </w:rPr>
            </w:pPr>
          </w:p>
        </w:tc>
        <w:tc>
          <w:tcPr>
            <w:tcW w:w="1240" w:type="dxa"/>
            <w:vAlign w:val="center"/>
          </w:tcPr>
          <w:p w14:paraId="755880EB">
            <w:pPr>
              <w:widowControl w:val="0"/>
              <w:jc w:val="both"/>
              <w:rPr>
                <w:sz w:val="24"/>
                <w:szCs w:val="24"/>
              </w:rPr>
            </w:pPr>
          </w:p>
        </w:tc>
      </w:tr>
      <w:tr w14:paraId="685E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87" w:type="dxa"/>
            <w:vAlign w:val="center"/>
          </w:tcPr>
          <w:p w14:paraId="201E551D">
            <w:pPr>
              <w:widowControl w:val="0"/>
              <w:jc w:val="both"/>
              <w:rPr>
                <w:sz w:val="24"/>
                <w:szCs w:val="24"/>
              </w:rPr>
            </w:pPr>
          </w:p>
        </w:tc>
        <w:tc>
          <w:tcPr>
            <w:tcW w:w="1397" w:type="dxa"/>
            <w:vAlign w:val="center"/>
          </w:tcPr>
          <w:p w14:paraId="2B919349">
            <w:pPr>
              <w:widowControl w:val="0"/>
              <w:jc w:val="both"/>
              <w:rPr>
                <w:sz w:val="24"/>
                <w:szCs w:val="24"/>
              </w:rPr>
            </w:pPr>
          </w:p>
        </w:tc>
        <w:tc>
          <w:tcPr>
            <w:tcW w:w="1183" w:type="dxa"/>
            <w:vAlign w:val="center"/>
          </w:tcPr>
          <w:p w14:paraId="3D4A91F6">
            <w:pPr>
              <w:widowControl w:val="0"/>
              <w:jc w:val="both"/>
              <w:rPr>
                <w:sz w:val="24"/>
                <w:szCs w:val="24"/>
              </w:rPr>
            </w:pPr>
          </w:p>
        </w:tc>
        <w:tc>
          <w:tcPr>
            <w:tcW w:w="2181" w:type="dxa"/>
            <w:vAlign w:val="center"/>
          </w:tcPr>
          <w:p w14:paraId="11CC68AE">
            <w:pPr>
              <w:widowControl w:val="0"/>
              <w:jc w:val="both"/>
              <w:rPr>
                <w:sz w:val="24"/>
                <w:szCs w:val="24"/>
              </w:rPr>
            </w:pPr>
          </w:p>
        </w:tc>
        <w:tc>
          <w:tcPr>
            <w:tcW w:w="1052" w:type="dxa"/>
            <w:vAlign w:val="center"/>
          </w:tcPr>
          <w:p w14:paraId="4BF1FBCE">
            <w:pPr>
              <w:widowControl w:val="0"/>
              <w:jc w:val="both"/>
              <w:rPr>
                <w:sz w:val="24"/>
                <w:szCs w:val="24"/>
              </w:rPr>
            </w:pPr>
          </w:p>
        </w:tc>
        <w:tc>
          <w:tcPr>
            <w:tcW w:w="980" w:type="dxa"/>
            <w:vAlign w:val="center"/>
          </w:tcPr>
          <w:p w14:paraId="3951CCA1">
            <w:pPr>
              <w:widowControl w:val="0"/>
              <w:jc w:val="both"/>
              <w:rPr>
                <w:sz w:val="24"/>
                <w:szCs w:val="24"/>
              </w:rPr>
            </w:pPr>
          </w:p>
        </w:tc>
        <w:tc>
          <w:tcPr>
            <w:tcW w:w="940" w:type="dxa"/>
            <w:vAlign w:val="center"/>
          </w:tcPr>
          <w:p w14:paraId="2991B2F3">
            <w:pPr>
              <w:widowControl w:val="0"/>
              <w:jc w:val="both"/>
              <w:rPr>
                <w:sz w:val="24"/>
                <w:szCs w:val="24"/>
              </w:rPr>
            </w:pPr>
          </w:p>
        </w:tc>
        <w:tc>
          <w:tcPr>
            <w:tcW w:w="1240" w:type="dxa"/>
            <w:vAlign w:val="center"/>
          </w:tcPr>
          <w:p w14:paraId="6D13346D">
            <w:pPr>
              <w:widowControl w:val="0"/>
              <w:jc w:val="both"/>
              <w:rPr>
                <w:sz w:val="24"/>
                <w:szCs w:val="24"/>
              </w:rPr>
            </w:pPr>
          </w:p>
        </w:tc>
      </w:tr>
      <w:tr w14:paraId="1405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84" w:type="dxa"/>
            <w:gridSpan w:val="2"/>
            <w:vMerge w:val="restart"/>
            <w:vAlign w:val="center"/>
          </w:tcPr>
          <w:p w14:paraId="23912511">
            <w:pPr>
              <w:widowControl w:val="0"/>
              <w:jc w:val="center"/>
              <w:rPr>
                <w:sz w:val="24"/>
                <w:szCs w:val="24"/>
              </w:rPr>
            </w:pPr>
            <w:r>
              <w:rPr>
                <w:rFonts w:hint="eastAsia"/>
                <w:sz w:val="24"/>
                <w:szCs w:val="24"/>
              </w:rPr>
              <w:t>投标报价总计</w:t>
            </w:r>
          </w:p>
          <w:p w14:paraId="70400974">
            <w:pPr>
              <w:widowControl w:val="0"/>
              <w:jc w:val="both"/>
              <w:rPr>
                <w:sz w:val="24"/>
                <w:szCs w:val="24"/>
              </w:rPr>
            </w:pPr>
          </w:p>
        </w:tc>
        <w:tc>
          <w:tcPr>
            <w:tcW w:w="7576" w:type="dxa"/>
            <w:gridSpan w:val="6"/>
            <w:vAlign w:val="center"/>
          </w:tcPr>
          <w:p w14:paraId="2BECFAA6">
            <w:pPr>
              <w:widowControl w:val="0"/>
              <w:jc w:val="both"/>
              <w:rPr>
                <w:sz w:val="24"/>
                <w:szCs w:val="24"/>
              </w:rPr>
            </w:pPr>
            <w:r>
              <w:rPr>
                <w:rFonts w:hint="eastAsia"/>
                <w:sz w:val="24"/>
                <w:szCs w:val="24"/>
              </w:rPr>
              <w:t>￥ 元</w:t>
            </w:r>
          </w:p>
        </w:tc>
      </w:tr>
      <w:tr w14:paraId="66C9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84" w:type="dxa"/>
            <w:gridSpan w:val="2"/>
            <w:vMerge w:val="continue"/>
            <w:vAlign w:val="center"/>
          </w:tcPr>
          <w:p w14:paraId="5032D384">
            <w:pPr>
              <w:widowControl w:val="0"/>
              <w:jc w:val="both"/>
              <w:rPr>
                <w:sz w:val="24"/>
                <w:szCs w:val="24"/>
              </w:rPr>
            </w:pPr>
          </w:p>
        </w:tc>
        <w:tc>
          <w:tcPr>
            <w:tcW w:w="7576" w:type="dxa"/>
            <w:gridSpan w:val="6"/>
            <w:vAlign w:val="center"/>
          </w:tcPr>
          <w:p w14:paraId="42BBD147">
            <w:pPr>
              <w:widowControl w:val="0"/>
              <w:jc w:val="both"/>
              <w:rPr>
                <w:sz w:val="24"/>
                <w:szCs w:val="24"/>
              </w:rPr>
            </w:pPr>
            <w:r>
              <w:rPr>
                <w:rFonts w:hint="eastAsia"/>
                <w:sz w:val="24"/>
                <w:szCs w:val="24"/>
              </w:rPr>
              <w:t>人民币（大写）：</w:t>
            </w:r>
          </w:p>
        </w:tc>
      </w:tr>
      <w:tr w14:paraId="2FC8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4" w:type="dxa"/>
            <w:gridSpan w:val="2"/>
            <w:vAlign w:val="center"/>
          </w:tcPr>
          <w:p w14:paraId="4D9722D0">
            <w:pPr>
              <w:widowControl w:val="0"/>
              <w:jc w:val="center"/>
              <w:rPr>
                <w:sz w:val="24"/>
                <w:szCs w:val="24"/>
              </w:rPr>
            </w:pPr>
            <w:r>
              <w:rPr>
                <w:rFonts w:hint="eastAsia"/>
                <w:sz w:val="24"/>
                <w:szCs w:val="24"/>
              </w:rPr>
              <w:t>交货期</w:t>
            </w:r>
          </w:p>
        </w:tc>
        <w:tc>
          <w:tcPr>
            <w:tcW w:w="7576" w:type="dxa"/>
            <w:gridSpan w:val="6"/>
            <w:vAlign w:val="center"/>
          </w:tcPr>
          <w:p w14:paraId="381EB422">
            <w:pPr>
              <w:widowControl w:val="0"/>
              <w:jc w:val="both"/>
              <w:rPr>
                <w:sz w:val="24"/>
                <w:szCs w:val="24"/>
              </w:rPr>
            </w:pPr>
          </w:p>
        </w:tc>
      </w:tr>
      <w:tr w14:paraId="1F1F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4" w:type="dxa"/>
            <w:gridSpan w:val="2"/>
            <w:vAlign w:val="center"/>
          </w:tcPr>
          <w:p w14:paraId="045893C3">
            <w:pPr>
              <w:widowControl w:val="0"/>
              <w:jc w:val="center"/>
              <w:rPr>
                <w:sz w:val="24"/>
                <w:szCs w:val="24"/>
              </w:rPr>
            </w:pPr>
            <w:r>
              <w:rPr>
                <w:rFonts w:hint="eastAsia"/>
                <w:sz w:val="24"/>
                <w:szCs w:val="24"/>
              </w:rPr>
              <w:t>交货地点</w:t>
            </w:r>
          </w:p>
        </w:tc>
        <w:tc>
          <w:tcPr>
            <w:tcW w:w="7576" w:type="dxa"/>
            <w:gridSpan w:val="6"/>
            <w:vAlign w:val="center"/>
          </w:tcPr>
          <w:p w14:paraId="0EF2A7AD">
            <w:pPr>
              <w:widowControl w:val="0"/>
              <w:jc w:val="both"/>
              <w:rPr>
                <w:sz w:val="24"/>
                <w:szCs w:val="24"/>
              </w:rPr>
            </w:pPr>
          </w:p>
        </w:tc>
      </w:tr>
    </w:tbl>
    <w:p w14:paraId="1FFF42D1">
      <w:pPr>
        <w:snapToGrid w:val="0"/>
        <w:spacing w:line="520" w:lineRule="exact"/>
        <w:rPr>
          <w:rFonts w:hint="eastAsia" w:ascii="宋体" w:hAnsi="宋体" w:cs="宋体"/>
          <w:b/>
          <w:bCs/>
          <w:sz w:val="28"/>
          <w:szCs w:val="28"/>
        </w:rPr>
      </w:pPr>
      <w:r>
        <w:rPr>
          <w:rFonts w:hint="eastAsia" w:ascii="宋体" w:hAnsi="宋体" w:cs="宋体"/>
          <w:b/>
          <w:bCs/>
          <w:sz w:val="28"/>
          <w:szCs w:val="28"/>
        </w:rPr>
        <w:t xml:space="preserve">                                                 </w:t>
      </w:r>
      <w:bookmarkEnd w:id="110"/>
      <w:bookmarkEnd w:id="111"/>
      <w:bookmarkStart w:id="123" w:name="_Toc483396429"/>
      <w:bookmarkStart w:id="124" w:name="_Toc483396341"/>
    </w:p>
    <w:p w14:paraId="00ECD5A8">
      <w:pPr>
        <w:snapToGrid w:val="0"/>
        <w:spacing w:line="520" w:lineRule="exact"/>
        <w:ind w:firstLine="2880" w:firstLineChars="1200"/>
        <w:rPr>
          <w:rFonts w:ascii="宋体"/>
          <w:sz w:val="24"/>
        </w:rPr>
      </w:pPr>
      <w:r>
        <w:rPr>
          <w:rFonts w:hint="eastAsia" w:ascii="宋体"/>
          <w:sz w:val="24"/>
        </w:rPr>
        <w:t>投标人：（公章）</w:t>
      </w:r>
    </w:p>
    <w:p w14:paraId="1B381A2B">
      <w:pPr>
        <w:spacing w:after="142" w:afterLines="50" w:line="520" w:lineRule="exact"/>
        <w:ind w:firstLine="2880" w:firstLineChars="1200"/>
        <w:rPr>
          <w:rFonts w:ascii="宋体"/>
          <w:sz w:val="24"/>
        </w:rPr>
      </w:pPr>
      <w:r>
        <w:rPr>
          <w:rFonts w:hint="eastAsia" w:ascii="宋体"/>
          <w:sz w:val="24"/>
        </w:rPr>
        <w:t>法定代表人或授权代理人</w:t>
      </w:r>
      <w:r>
        <w:rPr>
          <w:rFonts w:hint="eastAsia" w:ascii="宋体" w:hAnsi="宋体"/>
          <w:sz w:val="24"/>
        </w:rPr>
        <w:t>：</w:t>
      </w:r>
      <w:r>
        <w:rPr>
          <w:rFonts w:hint="eastAsia" w:ascii="宋体"/>
          <w:sz w:val="24"/>
        </w:rPr>
        <w:t>（签字</w:t>
      </w:r>
      <w:r>
        <w:rPr>
          <w:rFonts w:hint="eastAsia" w:ascii="宋体" w:hAnsi="宋体"/>
          <w:sz w:val="24"/>
        </w:rPr>
        <w:t>或盖章</w:t>
      </w:r>
      <w:r>
        <w:rPr>
          <w:rFonts w:hint="eastAsia" w:ascii="宋体"/>
          <w:sz w:val="24"/>
        </w:rPr>
        <w:t>）</w:t>
      </w:r>
    </w:p>
    <w:p w14:paraId="2259C5EA">
      <w:pPr>
        <w:spacing w:after="142" w:afterLines="50" w:line="520" w:lineRule="exact"/>
        <w:ind w:firstLine="2880" w:firstLineChars="1200"/>
        <w:rPr>
          <w:rFonts w:ascii="宋体"/>
          <w:sz w:val="24"/>
        </w:rPr>
      </w:pPr>
      <w:r>
        <w:rPr>
          <w:rFonts w:hint="eastAsia" w:ascii="宋体"/>
          <w:sz w:val="24"/>
        </w:rPr>
        <w:t>日期</w:t>
      </w:r>
      <w:r>
        <w:rPr>
          <w:rFonts w:hint="eastAsia" w:ascii="宋体" w:hAnsi="宋体"/>
          <w:sz w:val="24"/>
        </w:rPr>
        <w:t>：</w:t>
      </w:r>
    </w:p>
    <w:p w14:paraId="629DCE98">
      <w:pPr>
        <w:snapToGrid w:val="0"/>
        <w:spacing w:line="520" w:lineRule="exact"/>
        <w:ind w:firstLine="480" w:firstLineChars="200"/>
        <w:rPr>
          <w:rFonts w:ascii="宋体"/>
          <w:sz w:val="24"/>
        </w:rPr>
      </w:pPr>
      <w:r>
        <w:rPr>
          <w:rFonts w:hint="eastAsia" w:ascii="宋体"/>
          <w:sz w:val="24"/>
        </w:rPr>
        <w:t xml:space="preserve">注: ①投标报价应包括招标文件所规定的采购范围的全部内容； </w:t>
      </w:r>
    </w:p>
    <w:p w14:paraId="263470E0">
      <w:pPr>
        <w:snapToGrid w:val="0"/>
        <w:spacing w:line="520" w:lineRule="exact"/>
        <w:ind w:firstLine="960" w:firstLineChars="400"/>
        <w:rPr>
          <w:rFonts w:hint="eastAsia" w:ascii="宋体"/>
          <w:color w:val="000000" w:themeColor="text1"/>
          <w:sz w:val="24"/>
          <w14:textFill>
            <w14:solidFill>
              <w14:schemeClr w14:val="tx1"/>
            </w14:solidFill>
          </w14:textFill>
        </w:rPr>
      </w:pPr>
      <w:r>
        <w:rPr>
          <w:rFonts w:hint="eastAsia" w:ascii="宋体"/>
          <w:sz w:val="24"/>
        </w:rPr>
        <w:t>②报价总计</w:t>
      </w:r>
      <w:r>
        <w:rPr>
          <w:rFonts w:hint="eastAsia" w:ascii="宋体"/>
          <w:color w:val="000000" w:themeColor="text1"/>
          <w:sz w:val="24"/>
          <w14:textFill>
            <w14:solidFill>
              <w14:schemeClr w14:val="tx1"/>
            </w14:solidFill>
          </w14:textFill>
        </w:rPr>
        <w:t>包含运费、税费、安装调试费等一切相关费用。</w:t>
      </w:r>
    </w:p>
    <w:p w14:paraId="44666C85">
      <w:pPr>
        <w:snapToGrid w:val="0"/>
        <w:spacing w:line="520" w:lineRule="exact"/>
        <w:ind w:left="958" w:leftChars="456" w:firstLine="0" w:firstLineChars="0"/>
        <w:rPr>
          <w:rFonts w:hint="eastAsia" w:ascii="宋体"/>
          <w:color w:val="000000" w:themeColor="text1"/>
          <w:sz w:val="24"/>
          <w14:textFill>
            <w14:solidFill>
              <w14:schemeClr w14:val="tx1"/>
            </w14:solidFill>
          </w14:textFill>
        </w:rPr>
      </w:pPr>
      <w:r>
        <w:rPr>
          <w:rFonts w:hint="default" w:ascii="宋体"/>
          <w:color w:val="000000" w:themeColor="text1"/>
          <w:sz w:val="24"/>
          <w14:textFill>
            <w14:solidFill>
              <w14:schemeClr w14:val="tx1"/>
            </w14:solidFill>
          </w14:textFill>
        </w:rPr>
        <w:t>③</w:t>
      </w:r>
      <w:r>
        <w:rPr>
          <w:rFonts w:hint="eastAsia" w:ascii="宋体"/>
          <w:color w:val="000000" w:themeColor="text1"/>
          <w:sz w:val="24"/>
          <w14:textFill>
            <w14:solidFill>
              <w14:schemeClr w14:val="tx1"/>
            </w14:solidFill>
          </w14:textFill>
        </w:rPr>
        <w:t>供应商所投的产品名称应与其注册证或备案凭证名称一致，没有该证的，就统一用厂家提供的名称，务必与产品上贴的标签名称一致。配置清单所列的产品与本设备不同厂家的，都要写明厂家及规格型号</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en-US" w:eastAsia="zh-CN"/>
          <w14:textFill>
            <w14:solidFill>
              <w14:schemeClr w14:val="tx1"/>
            </w14:solidFill>
          </w14:textFill>
        </w:rPr>
        <w:t>响应公司务必严谨对待的响应文件，一旦响应文件承诺的与实际验收的货物不符，响应公司承担一切后果。</w:t>
      </w:r>
    </w:p>
    <w:p w14:paraId="103F0BA8">
      <w:pPr>
        <w:spacing w:line="460" w:lineRule="exact"/>
        <w:ind w:firstLine="420" w:firstLineChars="200"/>
        <w:rPr>
          <w:rFonts w:ascii="宋体" w:cs="宋体"/>
          <w:color w:val="000000" w:themeColor="text1"/>
          <w14:textFill>
            <w14:solidFill>
              <w14:schemeClr w14:val="tx1"/>
            </w14:solidFill>
          </w14:textFill>
        </w:rPr>
      </w:pPr>
    </w:p>
    <w:p w14:paraId="3F152DA4">
      <w:pPr>
        <w:outlineLvl w:val="2"/>
        <w:rPr>
          <w:rFonts w:ascii="宋体"/>
          <w:b/>
          <w:bCs/>
          <w:sz w:val="28"/>
          <w:szCs w:val="28"/>
        </w:rPr>
      </w:pPr>
      <w:r>
        <w:rPr>
          <w:rFonts w:hint="eastAsia" w:ascii="宋体" w:hAnsi="宋体" w:cs="宋体"/>
          <w:b/>
          <w:bCs/>
          <w:sz w:val="28"/>
          <w:szCs w:val="28"/>
        </w:rPr>
        <w:br w:type="page"/>
      </w:r>
      <w:bookmarkEnd w:id="123"/>
      <w:bookmarkEnd w:id="124"/>
      <w:bookmarkStart w:id="125" w:name="_Toc8301"/>
      <w:r>
        <w:rPr>
          <w:rFonts w:hint="eastAsia" w:ascii="宋体" w:hAnsi="宋体" w:cs="宋体"/>
          <w:b/>
          <w:bCs/>
          <w:sz w:val="28"/>
          <w:szCs w:val="28"/>
        </w:rPr>
        <w:t>四</w:t>
      </w:r>
      <w:r>
        <w:rPr>
          <w:rFonts w:hint="eastAsia" w:ascii="宋体" w:hAnsi="宋体" w:cs="宋体"/>
          <w:b/>
          <w:bCs/>
          <w:sz w:val="30"/>
          <w:szCs w:val="30"/>
        </w:rPr>
        <w:t>、</w:t>
      </w:r>
      <w:r>
        <w:rPr>
          <w:rFonts w:hint="eastAsia" w:ascii="宋体" w:cs="宋体"/>
          <w:b/>
          <w:bCs/>
          <w:sz w:val="28"/>
          <w:szCs w:val="28"/>
        </w:rPr>
        <w:t>技术、商务标偏离表</w:t>
      </w:r>
      <w:bookmarkEnd w:id="125"/>
    </w:p>
    <w:p w14:paraId="137975C6">
      <w:pPr>
        <w:jc w:val="center"/>
        <w:rPr>
          <w:rFonts w:ascii="宋体" w:cs="宋体"/>
          <w:b/>
          <w:bCs/>
          <w:sz w:val="28"/>
          <w:szCs w:val="28"/>
        </w:rPr>
      </w:pPr>
      <w:r>
        <w:rPr>
          <w:rFonts w:hint="eastAsia" w:ascii="宋体" w:cs="宋体"/>
          <w:b/>
          <w:bCs/>
          <w:sz w:val="28"/>
          <w:szCs w:val="28"/>
        </w:rPr>
        <w:t>技术标偏离表</w:t>
      </w:r>
    </w:p>
    <w:p w14:paraId="36C9D319">
      <w:pPr>
        <w:spacing w:line="360" w:lineRule="auto"/>
        <w:ind w:firstLine="480" w:firstLineChars="200"/>
        <w:rPr>
          <w:sz w:val="24"/>
          <w:szCs w:val="24"/>
        </w:rPr>
      </w:pPr>
      <w:r>
        <w:rPr>
          <w:rFonts w:hint="eastAsia" w:ascii="宋体" w:hAnsi="宋体" w:cs="宋体"/>
          <w:sz w:val="24"/>
          <w:szCs w:val="24"/>
          <w:lang w:bidi="ar"/>
        </w:rPr>
        <w:t>说明：请投标人对应招标文件的有关项目技术要求，如实、完整、准确的填写该表。投标文件有正、负偏离、完全响应均应在下表中列明。若无偏离，请标明“完全响应”。</w:t>
      </w:r>
    </w:p>
    <w:p w14:paraId="0C0E0F80">
      <w:pPr>
        <w:snapToGrid w:val="0"/>
        <w:spacing w:line="360" w:lineRule="auto"/>
        <w:ind w:firstLine="480" w:firstLineChars="200"/>
        <w:rPr>
          <w:rFonts w:hint="eastAsia" w:ascii="宋体" w:hAnsi="宋体" w:cs="宋体"/>
          <w:bCs/>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876"/>
        <w:gridCol w:w="2714"/>
        <w:gridCol w:w="2560"/>
        <w:gridCol w:w="1270"/>
      </w:tblGrid>
      <w:tr w14:paraId="37D6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1288" w:type="dxa"/>
            <w:shd w:val="clear" w:color="auto" w:fill="D9D9D9"/>
            <w:vAlign w:val="center"/>
          </w:tcPr>
          <w:p w14:paraId="7E7CA75A">
            <w:pPr>
              <w:jc w:val="center"/>
              <w:rPr>
                <w:sz w:val="24"/>
                <w:szCs w:val="24"/>
              </w:rPr>
            </w:pPr>
            <w:r>
              <w:rPr>
                <w:rFonts w:hint="eastAsia" w:cs="宋体"/>
                <w:sz w:val="24"/>
                <w:szCs w:val="24"/>
              </w:rPr>
              <w:t>序号</w:t>
            </w:r>
          </w:p>
        </w:tc>
        <w:tc>
          <w:tcPr>
            <w:tcW w:w="1876" w:type="dxa"/>
            <w:shd w:val="clear" w:color="auto" w:fill="D9D9D9"/>
            <w:vAlign w:val="center"/>
          </w:tcPr>
          <w:p w14:paraId="7410CB91">
            <w:pPr>
              <w:jc w:val="center"/>
              <w:rPr>
                <w:sz w:val="24"/>
                <w:szCs w:val="24"/>
              </w:rPr>
            </w:pPr>
            <w:r>
              <w:rPr>
                <w:rFonts w:hint="eastAsia" w:cs="宋体"/>
                <w:sz w:val="24"/>
                <w:szCs w:val="24"/>
              </w:rPr>
              <w:t>项目/招标文件条款</w:t>
            </w:r>
          </w:p>
        </w:tc>
        <w:tc>
          <w:tcPr>
            <w:tcW w:w="2714" w:type="dxa"/>
            <w:shd w:val="clear" w:color="auto" w:fill="D9D9D9"/>
            <w:vAlign w:val="center"/>
          </w:tcPr>
          <w:p w14:paraId="5FFCB064">
            <w:pPr>
              <w:jc w:val="center"/>
              <w:rPr>
                <w:sz w:val="24"/>
                <w:szCs w:val="24"/>
              </w:rPr>
            </w:pPr>
            <w:r>
              <w:rPr>
                <w:rFonts w:hint="eastAsia" w:cs="宋体"/>
                <w:sz w:val="24"/>
                <w:szCs w:val="24"/>
              </w:rPr>
              <w:t>招标文件要求</w:t>
            </w:r>
          </w:p>
        </w:tc>
        <w:tc>
          <w:tcPr>
            <w:tcW w:w="2560" w:type="dxa"/>
            <w:shd w:val="clear" w:color="auto" w:fill="D9D9D9"/>
            <w:vAlign w:val="center"/>
          </w:tcPr>
          <w:p w14:paraId="2A95D786">
            <w:pPr>
              <w:jc w:val="center"/>
              <w:rPr>
                <w:sz w:val="24"/>
                <w:szCs w:val="24"/>
              </w:rPr>
            </w:pPr>
            <w:r>
              <w:rPr>
                <w:rFonts w:hint="eastAsia" w:cs="宋体"/>
                <w:sz w:val="24"/>
                <w:szCs w:val="24"/>
              </w:rPr>
              <w:t>投标文件响应</w:t>
            </w:r>
          </w:p>
        </w:tc>
        <w:tc>
          <w:tcPr>
            <w:tcW w:w="1270" w:type="dxa"/>
            <w:shd w:val="clear" w:color="auto" w:fill="D9D9D9"/>
            <w:vAlign w:val="center"/>
          </w:tcPr>
          <w:p w14:paraId="0FEEB3F7">
            <w:pPr>
              <w:jc w:val="center"/>
              <w:rPr>
                <w:sz w:val="24"/>
                <w:szCs w:val="24"/>
              </w:rPr>
            </w:pPr>
            <w:r>
              <w:rPr>
                <w:rFonts w:hint="eastAsia" w:cs="宋体"/>
                <w:sz w:val="24"/>
                <w:szCs w:val="24"/>
              </w:rPr>
              <w:t>偏离情况</w:t>
            </w:r>
          </w:p>
        </w:tc>
      </w:tr>
      <w:tr w14:paraId="081E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2D451E8C">
            <w:pPr>
              <w:jc w:val="center"/>
              <w:rPr>
                <w:rFonts w:hint="eastAsia" w:ascii="宋体" w:hAnsi="宋体"/>
                <w:sz w:val="24"/>
                <w:szCs w:val="24"/>
              </w:rPr>
            </w:pPr>
            <w:r>
              <w:rPr>
                <w:rFonts w:ascii="宋体" w:hAnsi="宋体"/>
                <w:sz w:val="24"/>
                <w:szCs w:val="24"/>
              </w:rPr>
              <w:t>1</w:t>
            </w:r>
          </w:p>
        </w:tc>
        <w:tc>
          <w:tcPr>
            <w:tcW w:w="1876" w:type="dxa"/>
            <w:vAlign w:val="center"/>
          </w:tcPr>
          <w:p w14:paraId="757B6FC0">
            <w:pPr>
              <w:jc w:val="center"/>
              <w:rPr>
                <w:rFonts w:hint="eastAsia" w:ascii="宋体" w:hAnsi="宋体"/>
                <w:sz w:val="24"/>
                <w:szCs w:val="24"/>
              </w:rPr>
            </w:pPr>
          </w:p>
        </w:tc>
        <w:tc>
          <w:tcPr>
            <w:tcW w:w="2714" w:type="dxa"/>
            <w:vAlign w:val="center"/>
          </w:tcPr>
          <w:p w14:paraId="6C50C3BD">
            <w:pPr>
              <w:jc w:val="center"/>
              <w:rPr>
                <w:sz w:val="24"/>
                <w:szCs w:val="24"/>
              </w:rPr>
            </w:pPr>
          </w:p>
        </w:tc>
        <w:tc>
          <w:tcPr>
            <w:tcW w:w="2560" w:type="dxa"/>
            <w:vAlign w:val="center"/>
          </w:tcPr>
          <w:p w14:paraId="51CF560A">
            <w:pPr>
              <w:jc w:val="center"/>
              <w:rPr>
                <w:sz w:val="24"/>
                <w:szCs w:val="24"/>
              </w:rPr>
            </w:pPr>
          </w:p>
        </w:tc>
        <w:tc>
          <w:tcPr>
            <w:tcW w:w="1270" w:type="dxa"/>
            <w:vAlign w:val="center"/>
          </w:tcPr>
          <w:p w14:paraId="119754AF">
            <w:pPr>
              <w:jc w:val="center"/>
              <w:rPr>
                <w:sz w:val="24"/>
                <w:szCs w:val="24"/>
              </w:rPr>
            </w:pPr>
          </w:p>
        </w:tc>
      </w:tr>
      <w:tr w14:paraId="4D6A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4C89ABC7">
            <w:pPr>
              <w:jc w:val="center"/>
              <w:rPr>
                <w:rFonts w:hint="eastAsia" w:ascii="宋体" w:hAnsi="宋体"/>
                <w:sz w:val="24"/>
                <w:szCs w:val="24"/>
              </w:rPr>
            </w:pPr>
            <w:r>
              <w:rPr>
                <w:rFonts w:ascii="宋体" w:hAnsi="宋体"/>
                <w:sz w:val="24"/>
                <w:szCs w:val="24"/>
              </w:rPr>
              <w:t>2</w:t>
            </w:r>
          </w:p>
        </w:tc>
        <w:tc>
          <w:tcPr>
            <w:tcW w:w="1876" w:type="dxa"/>
            <w:vAlign w:val="center"/>
          </w:tcPr>
          <w:p w14:paraId="779D998F">
            <w:pPr>
              <w:jc w:val="center"/>
              <w:rPr>
                <w:rFonts w:hint="eastAsia" w:ascii="宋体" w:hAnsi="宋体"/>
                <w:sz w:val="24"/>
                <w:szCs w:val="24"/>
              </w:rPr>
            </w:pPr>
          </w:p>
        </w:tc>
        <w:tc>
          <w:tcPr>
            <w:tcW w:w="2714" w:type="dxa"/>
            <w:vAlign w:val="center"/>
          </w:tcPr>
          <w:p w14:paraId="533EC220">
            <w:pPr>
              <w:jc w:val="center"/>
              <w:rPr>
                <w:sz w:val="24"/>
                <w:szCs w:val="24"/>
              </w:rPr>
            </w:pPr>
          </w:p>
        </w:tc>
        <w:tc>
          <w:tcPr>
            <w:tcW w:w="2560" w:type="dxa"/>
            <w:vAlign w:val="center"/>
          </w:tcPr>
          <w:p w14:paraId="33073E8C">
            <w:pPr>
              <w:jc w:val="center"/>
              <w:rPr>
                <w:sz w:val="24"/>
                <w:szCs w:val="24"/>
              </w:rPr>
            </w:pPr>
          </w:p>
        </w:tc>
        <w:tc>
          <w:tcPr>
            <w:tcW w:w="1270" w:type="dxa"/>
            <w:vAlign w:val="center"/>
          </w:tcPr>
          <w:p w14:paraId="5765ECF5">
            <w:pPr>
              <w:jc w:val="center"/>
              <w:rPr>
                <w:sz w:val="24"/>
                <w:szCs w:val="24"/>
              </w:rPr>
            </w:pPr>
          </w:p>
        </w:tc>
      </w:tr>
      <w:tr w14:paraId="168F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51C52BC9">
            <w:pPr>
              <w:jc w:val="center"/>
              <w:rPr>
                <w:rFonts w:hint="eastAsia" w:ascii="宋体" w:hAnsi="宋体"/>
                <w:sz w:val="24"/>
                <w:szCs w:val="24"/>
              </w:rPr>
            </w:pPr>
            <w:r>
              <w:rPr>
                <w:rFonts w:ascii="宋体" w:hAnsi="宋体"/>
                <w:sz w:val="24"/>
                <w:szCs w:val="24"/>
              </w:rPr>
              <w:t>3</w:t>
            </w:r>
          </w:p>
        </w:tc>
        <w:tc>
          <w:tcPr>
            <w:tcW w:w="1876" w:type="dxa"/>
            <w:vAlign w:val="center"/>
          </w:tcPr>
          <w:p w14:paraId="5B1911C0">
            <w:pPr>
              <w:jc w:val="center"/>
              <w:rPr>
                <w:rFonts w:hint="eastAsia" w:ascii="宋体" w:hAnsi="宋体"/>
                <w:sz w:val="24"/>
                <w:szCs w:val="24"/>
              </w:rPr>
            </w:pPr>
          </w:p>
        </w:tc>
        <w:tc>
          <w:tcPr>
            <w:tcW w:w="2714" w:type="dxa"/>
            <w:vAlign w:val="center"/>
          </w:tcPr>
          <w:p w14:paraId="4AE0836A">
            <w:pPr>
              <w:jc w:val="center"/>
              <w:rPr>
                <w:sz w:val="24"/>
                <w:szCs w:val="24"/>
              </w:rPr>
            </w:pPr>
          </w:p>
        </w:tc>
        <w:tc>
          <w:tcPr>
            <w:tcW w:w="2560" w:type="dxa"/>
            <w:vAlign w:val="center"/>
          </w:tcPr>
          <w:p w14:paraId="5F028D8C">
            <w:pPr>
              <w:jc w:val="center"/>
              <w:rPr>
                <w:sz w:val="24"/>
                <w:szCs w:val="24"/>
              </w:rPr>
            </w:pPr>
          </w:p>
        </w:tc>
        <w:tc>
          <w:tcPr>
            <w:tcW w:w="1270" w:type="dxa"/>
            <w:vAlign w:val="center"/>
          </w:tcPr>
          <w:p w14:paraId="6EE112C0">
            <w:pPr>
              <w:jc w:val="center"/>
              <w:rPr>
                <w:sz w:val="24"/>
                <w:szCs w:val="24"/>
              </w:rPr>
            </w:pPr>
          </w:p>
        </w:tc>
      </w:tr>
      <w:tr w14:paraId="7964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4EC12DA3">
            <w:pPr>
              <w:jc w:val="center"/>
              <w:rPr>
                <w:rFonts w:hint="eastAsia" w:ascii="宋体" w:hAnsi="宋体"/>
                <w:sz w:val="24"/>
                <w:szCs w:val="24"/>
              </w:rPr>
            </w:pPr>
            <w:r>
              <w:rPr>
                <w:rFonts w:ascii="宋体" w:hAnsi="宋体"/>
                <w:sz w:val="24"/>
                <w:szCs w:val="24"/>
              </w:rPr>
              <w:t>4</w:t>
            </w:r>
          </w:p>
        </w:tc>
        <w:tc>
          <w:tcPr>
            <w:tcW w:w="1876" w:type="dxa"/>
            <w:vAlign w:val="center"/>
          </w:tcPr>
          <w:p w14:paraId="028ADD1F">
            <w:pPr>
              <w:jc w:val="center"/>
              <w:rPr>
                <w:rFonts w:hint="eastAsia" w:ascii="宋体" w:hAnsi="宋体"/>
                <w:sz w:val="24"/>
                <w:szCs w:val="24"/>
              </w:rPr>
            </w:pPr>
          </w:p>
        </w:tc>
        <w:tc>
          <w:tcPr>
            <w:tcW w:w="2714" w:type="dxa"/>
            <w:vAlign w:val="center"/>
          </w:tcPr>
          <w:p w14:paraId="69EFA456">
            <w:pPr>
              <w:jc w:val="center"/>
              <w:rPr>
                <w:sz w:val="24"/>
                <w:szCs w:val="24"/>
              </w:rPr>
            </w:pPr>
          </w:p>
        </w:tc>
        <w:tc>
          <w:tcPr>
            <w:tcW w:w="2560" w:type="dxa"/>
            <w:vAlign w:val="center"/>
          </w:tcPr>
          <w:p w14:paraId="6D9BAC29">
            <w:pPr>
              <w:jc w:val="center"/>
              <w:rPr>
                <w:sz w:val="24"/>
                <w:szCs w:val="24"/>
              </w:rPr>
            </w:pPr>
          </w:p>
        </w:tc>
        <w:tc>
          <w:tcPr>
            <w:tcW w:w="1270" w:type="dxa"/>
            <w:vAlign w:val="center"/>
          </w:tcPr>
          <w:p w14:paraId="60D172EB">
            <w:pPr>
              <w:jc w:val="center"/>
              <w:rPr>
                <w:sz w:val="24"/>
                <w:szCs w:val="24"/>
              </w:rPr>
            </w:pPr>
          </w:p>
        </w:tc>
      </w:tr>
      <w:tr w14:paraId="0C16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3D317B0A">
            <w:pPr>
              <w:jc w:val="center"/>
              <w:rPr>
                <w:rFonts w:hint="eastAsia" w:ascii="宋体" w:hAnsi="宋体"/>
                <w:sz w:val="24"/>
                <w:szCs w:val="24"/>
              </w:rPr>
            </w:pPr>
            <w:r>
              <w:rPr>
                <w:rFonts w:ascii="宋体" w:hAnsi="宋体"/>
                <w:sz w:val="24"/>
                <w:szCs w:val="24"/>
              </w:rPr>
              <w:t>5</w:t>
            </w:r>
          </w:p>
        </w:tc>
        <w:tc>
          <w:tcPr>
            <w:tcW w:w="1876" w:type="dxa"/>
            <w:vAlign w:val="center"/>
          </w:tcPr>
          <w:p w14:paraId="23F40230">
            <w:pPr>
              <w:jc w:val="center"/>
              <w:rPr>
                <w:rFonts w:hint="eastAsia" w:ascii="宋体" w:hAnsi="宋体"/>
                <w:sz w:val="24"/>
                <w:szCs w:val="24"/>
              </w:rPr>
            </w:pPr>
            <w:r>
              <w:rPr>
                <w:rFonts w:hint="eastAsia" w:ascii="宋体" w:hAnsi="宋体" w:cs="宋体"/>
                <w:sz w:val="24"/>
                <w:szCs w:val="24"/>
              </w:rPr>
              <w:t>…</w:t>
            </w:r>
          </w:p>
        </w:tc>
        <w:tc>
          <w:tcPr>
            <w:tcW w:w="2714" w:type="dxa"/>
            <w:vAlign w:val="center"/>
          </w:tcPr>
          <w:p w14:paraId="4C6F1821">
            <w:pPr>
              <w:jc w:val="center"/>
              <w:rPr>
                <w:sz w:val="24"/>
                <w:szCs w:val="24"/>
              </w:rPr>
            </w:pPr>
          </w:p>
        </w:tc>
        <w:tc>
          <w:tcPr>
            <w:tcW w:w="2560" w:type="dxa"/>
            <w:vAlign w:val="center"/>
          </w:tcPr>
          <w:p w14:paraId="61B8E373">
            <w:pPr>
              <w:jc w:val="center"/>
              <w:rPr>
                <w:sz w:val="24"/>
                <w:szCs w:val="24"/>
              </w:rPr>
            </w:pPr>
          </w:p>
        </w:tc>
        <w:tc>
          <w:tcPr>
            <w:tcW w:w="1270" w:type="dxa"/>
            <w:vAlign w:val="center"/>
          </w:tcPr>
          <w:p w14:paraId="0D874018">
            <w:pPr>
              <w:jc w:val="center"/>
              <w:rPr>
                <w:sz w:val="24"/>
                <w:szCs w:val="24"/>
              </w:rPr>
            </w:pPr>
          </w:p>
        </w:tc>
      </w:tr>
    </w:tbl>
    <w:p w14:paraId="422B165C">
      <w:pPr>
        <w:snapToGrid w:val="0"/>
        <w:spacing w:line="360" w:lineRule="auto"/>
        <w:ind w:firstLine="480" w:firstLineChars="200"/>
        <w:rPr>
          <w:rFonts w:ascii="宋体"/>
          <w:sz w:val="24"/>
          <w:szCs w:val="24"/>
        </w:rPr>
      </w:pPr>
    </w:p>
    <w:p w14:paraId="44376F87">
      <w:pPr>
        <w:tabs>
          <w:tab w:val="left" w:pos="1113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投标人全称：（公章）</w:t>
      </w:r>
    </w:p>
    <w:p w14:paraId="3BE4C02E">
      <w:pPr>
        <w:tabs>
          <w:tab w:val="left" w:pos="11130"/>
        </w:tabs>
        <w:snapToGrid w:val="0"/>
        <w:spacing w:line="360" w:lineRule="auto"/>
        <w:ind w:firstLine="480" w:firstLineChars="200"/>
        <w:rPr>
          <w:rFonts w:ascii="宋体"/>
          <w:sz w:val="24"/>
          <w:szCs w:val="24"/>
          <w:u w:val="single"/>
        </w:rPr>
      </w:pPr>
      <w:r>
        <w:rPr>
          <w:rFonts w:hint="eastAsia" w:ascii="宋体" w:hAnsi="宋体" w:cs="宋体"/>
          <w:sz w:val="24"/>
          <w:szCs w:val="24"/>
        </w:rPr>
        <w:t>法定代表人或授权代理人：（签字或盖章）</w:t>
      </w:r>
    </w:p>
    <w:p w14:paraId="08FB262A">
      <w:pPr>
        <w:tabs>
          <w:tab w:val="left" w:pos="11130"/>
        </w:tabs>
        <w:snapToGrid w:val="0"/>
        <w:spacing w:line="360" w:lineRule="auto"/>
        <w:ind w:firstLine="480" w:firstLineChars="200"/>
        <w:rPr>
          <w:rFonts w:hint="eastAsia" w:ascii="宋体" w:hAnsi="宋体"/>
          <w:sz w:val="24"/>
          <w:szCs w:val="24"/>
        </w:rPr>
      </w:pPr>
      <w:r>
        <w:rPr>
          <w:rFonts w:hint="eastAsia" w:ascii="宋体" w:hAnsi="宋体"/>
          <w:sz w:val="24"/>
          <w:szCs w:val="24"/>
        </w:rPr>
        <w:t>年   月   日</w:t>
      </w:r>
    </w:p>
    <w:p w14:paraId="412E409F">
      <w:pPr>
        <w:tabs>
          <w:tab w:val="left" w:pos="11130"/>
        </w:tabs>
        <w:snapToGrid w:val="0"/>
        <w:spacing w:line="360" w:lineRule="auto"/>
        <w:rPr>
          <w:rFonts w:hint="eastAsia" w:ascii="宋体" w:hAnsi="宋体" w:cs="宋体"/>
          <w:sz w:val="24"/>
          <w:szCs w:val="24"/>
        </w:rPr>
      </w:pPr>
      <w:r>
        <w:rPr>
          <w:rFonts w:hint="eastAsia" w:ascii="宋体" w:hAnsi="宋体" w:cs="宋体"/>
          <w:sz w:val="24"/>
          <w:szCs w:val="24"/>
        </w:rPr>
        <w:t>注：1、此表为表样，行数可自行添加，但表式不变。</w:t>
      </w:r>
    </w:p>
    <w:p w14:paraId="1F846ED3">
      <w:pPr>
        <w:tabs>
          <w:tab w:val="left" w:pos="1113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2、偏离情况说明分正偏离、完全响应、负偏离，分别表示优于要求、满足要求、不满足要求。</w:t>
      </w:r>
    </w:p>
    <w:p w14:paraId="7127B9A5">
      <w:pPr>
        <w:snapToGrid w:val="0"/>
        <w:spacing w:line="360" w:lineRule="auto"/>
        <w:ind w:firstLine="422" w:firstLineChars="200"/>
        <w:rPr>
          <w:rFonts w:ascii="宋体"/>
          <w:b/>
          <w:bCs/>
        </w:rPr>
      </w:pPr>
    </w:p>
    <w:p w14:paraId="11320670">
      <w:pPr>
        <w:ind w:firstLine="420" w:firstLineChars="200"/>
        <w:rPr>
          <w:rFonts w:ascii="宋体"/>
        </w:rPr>
      </w:pPr>
    </w:p>
    <w:p w14:paraId="63C35794">
      <w:pPr>
        <w:snapToGrid w:val="0"/>
        <w:spacing w:line="240" w:lineRule="atLeast"/>
        <w:ind w:firstLine="420" w:firstLineChars="200"/>
        <w:rPr>
          <w:rFonts w:ascii="宋体"/>
        </w:rPr>
      </w:pPr>
    </w:p>
    <w:p w14:paraId="6C88D4AE">
      <w:pPr>
        <w:snapToGrid w:val="0"/>
        <w:spacing w:line="240" w:lineRule="atLeast"/>
        <w:ind w:firstLine="420" w:firstLineChars="200"/>
        <w:rPr>
          <w:rFonts w:ascii="宋体"/>
        </w:rPr>
      </w:pPr>
    </w:p>
    <w:p w14:paraId="6C483730">
      <w:pPr>
        <w:snapToGrid w:val="0"/>
        <w:spacing w:line="240" w:lineRule="atLeast"/>
        <w:ind w:firstLine="420" w:firstLineChars="200"/>
        <w:rPr>
          <w:rFonts w:ascii="宋体"/>
        </w:rPr>
      </w:pPr>
    </w:p>
    <w:p w14:paraId="71C9E5F9">
      <w:pPr>
        <w:snapToGrid w:val="0"/>
        <w:spacing w:line="240" w:lineRule="atLeast"/>
        <w:ind w:firstLine="420" w:firstLineChars="200"/>
        <w:rPr>
          <w:rFonts w:ascii="宋体"/>
        </w:rPr>
      </w:pPr>
    </w:p>
    <w:p w14:paraId="16342D25">
      <w:pPr>
        <w:snapToGrid w:val="0"/>
        <w:spacing w:line="240" w:lineRule="atLeast"/>
        <w:ind w:firstLine="420" w:firstLineChars="200"/>
        <w:rPr>
          <w:rFonts w:ascii="宋体"/>
        </w:rPr>
      </w:pPr>
    </w:p>
    <w:p w14:paraId="5A0E81F6">
      <w:pPr>
        <w:snapToGrid w:val="0"/>
        <w:spacing w:line="240" w:lineRule="atLeast"/>
        <w:ind w:firstLine="420" w:firstLineChars="200"/>
        <w:rPr>
          <w:rFonts w:ascii="宋体"/>
        </w:rPr>
      </w:pPr>
    </w:p>
    <w:bookmarkEnd w:id="112"/>
    <w:bookmarkEnd w:id="113"/>
    <w:p w14:paraId="60218E5D">
      <w:pPr>
        <w:spacing w:line="420" w:lineRule="exact"/>
        <w:ind w:right="-483" w:rightChars="-230" w:firstLine="3907" w:firstLineChars="1390"/>
        <w:rPr>
          <w:rFonts w:ascii="宋体"/>
          <w:b/>
          <w:bCs/>
          <w:sz w:val="28"/>
          <w:szCs w:val="28"/>
        </w:rPr>
      </w:pPr>
      <w:bookmarkStart w:id="126" w:name="_Toc483396342"/>
      <w:bookmarkStart w:id="127" w:name="_Toc483396430"/>
      <w:bookmarkStart w:id="128" w:name="_Toc238907086"/>
      <w:bookmarkStart w:id="129" w:name="_Toc171325102"/>
    </w:p>
    <w:p w14:paraId="60B3F00C">
      <w:pPr>
        <w:spacing w:line="420" w:lineRule="exact"/>
        <w:ind w:right="-483" w:rightChars="-230" w:firstLine="3907" w:firstLineChars="1390"/>
        <w:rPr>
          <w:rFonts w:ascii="宋体"/>
          <w:b/>
          <w:bCs/>
          <w:sz w:val="28"/>
          <w:szCs w:val="28"/>
        </w:rPr>
      </w:pPr>
    </w:p>
    <w:p w14:paraId="58FDB1C5">
      <w:pPr>
        <w:spacing w:line="420" w:lineRule="exact"/>
        <w:ind w:right="-483" w:rightChars="-230" w:firstLine="3907" w:firstLineChars="1390"/>
        <w:rPr>
          <w:rFonts w:ascii="宋体"/>
          <w:b/>
          <w:bCs/>
          <w:sz w:val="28"/>
          <w:szCs w:val="28"/>
        </w:rPr>
      </w:pPr>
      <w:r>
        <w:rPr>
          <w:rFonts w:hint="eastAsia" w:ascii="宋体"/>
          <w:b/>
          <w:bCs/>
          <w:sz w:val="28"/>
          <w:szCs w:val="28"/>
        </w:rPr>
        <w:t>商务标偏离表</w:t>
      </w:r>
    </w:p>
    <w:p w14:paraId="23A8EF59">
      <w:pPr>
        <w:spacing w:line="360" w:lineRule="auto"/>
        <w:ind w:firstLine="480" w:firstLineChars="200"/>
        <w:rPr>
          <w:rFonts w:hint="eastAsia" w:ascii="宋体" w:hAnsi="宋体" w:cs="宋体"/>
          <w:sz w:val="24"/>
          <w:szCs w:val="24"/>
          <w:lang w:bidi="ar"/>
        </w:rPr>
      </w:pPr>
      <w:r>
        <w:rPr>
          <w:rFonts w:hint="eastAsia" w:ascii="宋体" w:hAnsi="宋体" w:cs="宋体"/>
          <w:sz w:val="24"/>
          <w:szCs w:val="24"/>
          <w:lang w:bidi="ar"/>
        </w:rPr>
        <w:t>说明：请投标人对应招标文件的商务要求。投标人须如实、完整、准确的填写该表。投标文件有正、负偏离、完全响应均应在下表中列明。若无偏离，请标明“完全响应”</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876"/>
        <w:gridCol w:w="2714"/>
        <w:gridCol w:w="2560"/>
        <w:gridCol w:w="1270"/>
      </w:tblGrid>
      <w:tr w14:paraId="7DAA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1288" w:type="dxa"/>
            <w:shd w:val="clear" w:color="auto" w:fill="D9D9D9"/>
            <w:vAlign w:val="center"/>
          </w:tcPr>
          <w:p w14:paraId="7E22F96D">
            <w:pPr>
              <w:jc w:val="center"/>
              <w:rPr>
                <w:sz w:val="24"/>
                <w:szCs w:val="24"/>
              </w:rPr>
            </w:pPr>
            <w:r>
              <w:rPr>
                <w:rFonts w:hint="eastAsia" w:cs="宋体"/>
                <w:sz w:val="24"/>
                <w:szCs w:val="24"/>
              </w:rPr>
              <w:t>序号</w:t>
            </w:r>
          </w:p>
        </w:tc>
        <w:tc>
          <w:tcPr>
            <w:tcW w:w="1876" w:type="dxa"/>
            <w:shd w:val="clear" w:color="auto" w:fill="D9D9D9"/>
            <w:vAlign w:val="center"/>
          </w:tcPr>
          <w:p w14:paraId="709C5206">
            <w:pPr>
              <w:jc w:val="center"/>
              <w:rPr>
                <w:sz w:val="24"/>
                <w:szCs w:val="24"/>
              </w:rPr>
            </w:pPr>
            <w:r>
              <w:rPr>
                <w:rFonts w:hint="eastAsia" w:cs="宋体"/>
                <w:sz w:val="24"/>
                <w:szCs w:val="24"/>
              </w:rPr>
              <w:t>项目/招标文件条款</w:t>
            </w:r>
          </w:p>
        </w:tc>
        <w:tc>
          <w:tcPr>
            <w:tcW w:w="2714" w:type="dxa"/>
            <w:shd w:val="clear" w:color="auto" w:fill="D9D9D9"/>
            <w:vAlign w:val="center"/>
          </w:tcPr>
          <w:p w14:paraId="34139AD7">
            <w:pPr>
              <w:jc w:val="center"/>
              <w:rPr>
                <w:sz w:val="24"/>
                <w:szCs w:val="24"/>
              </w:rPr>
            </w:pPr>
            <w:r>
              <w:rPr>
                <w:rFonts w:hint="eastAsia" w:cs="宋体"/>
                <w:sz w:val="24"/>
                <w:szCs w:val="24"/>
              </w:rPr>
              <w:t>招标文件要求</w:t>
            </w:r>
          </w:p>
        </w:tc>
        <w:tc>
          <w:tcPr>
            <w:tcW w:w="2560" w:type="dxa"/>
            <w:shd w:val="clear" w:color="auto" w:fill="D9D9D9"/>
            <w:vAlign w:val="center"/>
          </w:tcPr>
          <w:p w14:paraId="09EC20E1">
            <w:pPr>
              <w:jc w:val="center"/>
              <w:rPr>
                <w:sz w:val="24"/>
                <w:szCs w:val="24"/>
              </w:rPr>
            </w:pPr>
            <w:r>
              <w:rPr>
                <w:rFonts w:hint="eastAsia" w:cs="宋体"/>
                <w:sz w:val="24"/>
                <w:szCs w:val="24"/>
              </w:rPr>
              <w:t>投标文件响应</w:t>
            </w:r>
          </w:p>
        </w:tc>
        <w:tc>
          <w:tcPr>
            <w:tcW w:w="1270" w:type="dxa"/>
            <w:shd w:val="clear" w:color="auto" w:fill="D9D9D9"/>
            <w:vAlign w:val="center"/>
          </w:tcPr>
          <w:p w14:paraId="7BAE5C49">
            <w:pPr>
              <w:jc w:val="center"/>
              <w:rPr>
                <w:sz w:val="24"/>
                <w:szCs w:val="24"/>
              </w:rPr>
            </w:pPr>
            <w:r>
              <w:rPr>
                <w:rFonts w:hint="eastAsia" w:cs="宋体"/>
                <w:sz w:val="24"/>
                <w:szCs w:val="24"/>
              </w:rPr>
              <w:t>偏离情况</w:t>
            </w:r>
          </w:p>
        </w:tc>
      </w:tr>
      <w:tr w14:paraId="2D4D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6B95E38D">
            <w:pPr>
              <w:jc w:val="center"/>
              <w:rPr>
                <w:rFonts w:hint="eastAsia" w:ascii="宋体" w:hAnsi="宋体"/>
                <w:sz w:val="24"/>
                <w:szCs w:val="24"/>
              </w:rPr>
            </w:pPr>
            <w:r>
              <w:rPr>
                <w:rFonts w:ascii="宋体" w:hAnsi="宋体"/>
                <w:sz w:val="24"/>
                <w:szCs w:val="24"/>
              </w:rPr>
              <w:t>1</w:t>
            </w:r>
          </w:p>
        </w:tc>
        <w:tc>
          <w:tcPr>
            <w:tcW w:w="1876" w:type="dxa"/>
            <w:vAlign w:val="center"/>
          </w:tcPr>
          <w:p w14:paraId="40D4AF48">
            <w:pPr>
              <w:jc w:val="center"/>
              <w:rPr>
                <w:rFonts w:hint="eastAsia" w:ascii="宋体" w:hAnsi="宋体"/>
                <w:sz w:val="24"/>
                <w:szCs w:val="24"/>
              </w:rPr>
            </w:pPr>
          </w:p>
        </w:tc>
        <w:tc>
          <w:tcPr>
            <w:tcW w:w="2714" w:type="dxa"/>
            <w:vAlign w:val="center"/>
          </w:tcPr>
          <w:p w14:paraId="3AECAE79">
            <w:pPr>
              <w:jc w:val="center"/>
              <w:rPr>
                <w:sz w:val="24"/>
                <w:szCs w:val="24"/>
              </w:rPr>
            </w:pPr>
          </w:p>
        </w:tc>
        <w:tc>
          <w:tcPr>
            <w:tcW w:w="2560" w:type="dxa"/>
            <w:vAlign w:val="center"/>
          </w:tcPr>
          <w:p w14:paraId="0E6F2629">
            <w:pPr>
              <w:jc w:val="center"/>
              <w:rPr>
                <w:sz w:val="24"/>
                <w:szCs w:val="24"/>
              </w:rPr>
            </w:pPr>
          </w:p>
        </w:tc>
        <w:tc>
          <w:tcPr>
            <w:tcW w:w="1270" w:type="dxa"/>
            <w:vAlign w:val="center"/>
          </w:tcPr>
          <w:p w14:paraId="62F9CAB3">
            <w:pPr>
              <w:jc w:val="center"/>
              <w:rPr>
                <w:sz w:val="24"/>
                <w:szCs w:val="24"/>
              </w:rPr>
            </w:pPr>
          </w:p>
        </w:tc>
      </w:tr>
      <w:tr w14:paraId="6E66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16C6FBCD">
            <w:pPr>
              <w:jc w:val="center"/>
              <w:rPr>
                <w:rFonts w:hint="eastAsia" w:ascii="宋体" w:hAnsi="宋体"/>
                <w:sz w:val="24"/>
                <w:szCs w:val="24"/>
              </w:rPr>
            </w:pPr>
            <w:r>
              <w:rPr>
                <w:rFonts w:ascii="宋体" w:hAnsi="宋体"/>
                <w:sz w:val="24"/>
                <w:szCs w:val="24"/>
              </w:rPr>
              <w:t>2</w:t>
            </w:r>
          </w:p>
        </w:tc>
        <w:tc>
          <w:tcPr>
            <w:tcW w:w="1876" w:type="dxa"/>
            <w:vAlign w:val="center"/>
          </w:tcPr>
          <w:p w14:paraId="33370DFC">
            <w:pPr>
              <w:jc w:val="center"/>
              <w:rPr>
                <w:rFonts w:hint="eastAsia" w:ascii="宋体" w:hAnsi="宋体"/>
                <w:sz w:val="24"/>
                <w:szCs w:val="24"/>
              </w:rPr>
            </w:pPr>
          </w:p>
        </w:tc>
        <w:tc>
          <w:tcPr>
            <w:tcW w:w="2714" w:type="dxa"/>
            <w:vAlign w:val="center"/>
          </w:tcPr>
          <w:p w14:paraId="2EEC7B8C">
            <w:pPr>
              <w:jc w:val="center"/>
              <w:rPr>
                <w:sz w:val="24"/>
                <w:szCs w:val="24"/>
              </w:rPr>
            </w:pPr>
          </w:p>
        </w:tc>
        <w:tc>
          <w:tcPr>
            <w:tcW w:w="2560" w:type="dxa"/>
            <w:vAlign w:val="center"/>
          </w:tcPr>
          <w:p w14:paraId="7CB8F2A9">
            <w:pPr>
              <w:jc w:val="center"/>
              <w:rPr>
                <w:sz w:val="24"/>
                <w:szCs w:val="24"/>
              </w:rPr>
            </w:pPr>
          </w:p>
        </w:tc>
        <w:tc>
          <w:tcPr>
            <w:tcW w:w="1270" w:type="dxa"/>
            <w:vAlign w:val="center"/>
          </w:tcPr>
          <w:p w14:paraId="2BA81CE1">
            <w:pPr>
              <w:jc w:val="center"/>
              <w:rPr>
                <w:sz w:val="24"/>
                <w:szCs w:val="24"/>
              </w:rPr>
            </w:pPr>
          </w:p>
        </w:tc>
      </w:tr>
      <w:tr w14:paraId="6C42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3EA93A88">
            <w:pPr>
              <w:jc w:val="center"/>
              <w:rPr>
                <w:rFonts w:hint="eastAsia" w:ascii="宋体" w:hAnsi="宋体"/>
                <w:sz w:val="24"/>
                <w:szCs w:val="24"/>
              </w:rPr>
            </w:pPr>
            <w:r>
              <w:rPr>
                <w:rFonts w:ascii="宋体" w:hAnsi="宋体"/>
                <w:sz w:val="24"/>
                <w:szCs w:val="24"/>
              </w:rPr>
              <w:t>3</w:t>
            </w:r>
          </w:p>
        </w:tc>
        <w:tc>
          <w:tcPr>
            <w:tcW w:w="1876" w:type="dxa"/>
            <w:vAlign w:val="center"/>
          </w:tcPr>
          <w:p w14:paraId="72AD646F">
            <w:pPr>
              <w:jc w:val="center"/>
              <w:rPr>
                <w:rFonts w:hint="eastAsia" w:ascii="宋体" w:hAnsi="宋体"/>
                <w:sz w:val="24"/>
                <w:szCs w:val="24"/>
              </w:rPr>
            </w:pPr>
          </w:p>
        </w:tc>
        <w:tc>
          <w:tcPr>
            <w:tcW w:w="2714" w:type="dxa"/>
            <w:vAlign w:val="center"/>
          </w:tcPr>
          <w:p w14:paraId="17BDF8B4">
            <w:pPr>
              <w:jc w:val="center"/>
              <w:rPr>
                <w:sz w:val="24"/>
                <w:szCs w:val="24"/>
              </w:rPr>
            </w:pPr>
          </w:p>
        </w:tc>
        <w:tc>
          <w:tcPr>
            <w:tcW w:w="2560" w:type="dxa"/>
            <w:vAlign w:val="center"/>
          </w:tcPr>
          <w:p w14:paraId="2D1B4BFD">
            <w:pPr>
              <w:jc w:val="center"/>
              <w:rPr>
                <w:sz w:val="24"/>
                <w:szCs w:val="24"/>
              </w:rPr>
            </w:pPr>
          </w:p>
        </w:tc>
        <w:tc>
          <w:tcPr>
            <w:tcW w:w="1270" w:type="dxa"/>
            <w:vAlign w:val="center"/>
          </w:tcPr>
          <w:p w14:paraId="52BE880A">
            <w:pPr>
              <w:jc w:val="center"/>
              <w:rPr>
                <w:sz w:val="24"/>
                <w:szCs w:val="24"/>
              </w:rPr>
            </w:pPr>
          </w:p>
        </w:tc>
      </w:tr>
      <w:tr w14:paraId="0292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4AAE48DF">
            <w:pPr>
              <w:jc w:val="center"/>
              <w:rPr>
                <w:rFonts w:hint="eastAsia" w:ascii="宋体" w:hAnsi="宋体"/>
                <w:sz w:val="24"/>
                <w:szCs w:val="24"/>
              </w:rPr>
            </w:pPr>
            <w:r>
              <w:rPr>
                <w:rFonts w:ascii="宋体" w:hAnsi="宋体"/>
                <w:sz w:val="24"/>
                <w:szCs w:val="24"/>
              </w:rPr>
              <w:t>4</w:t>
            </w:r>
          </w:p>
        </w:tc>
        <w:tc>
          <w:tcPr>
            <w:tcW w:w="1876" w:type="dxa"/>
            <w:vAlign w:val="center"/>
          </w:tcPr>
          <w:p w14:paraId="5DDD0BA7">
            <w:pPr>
              <w:jc w:val="center"/>
              <w:rPr>
                <w:rFonts w:hint="eastAsia" w:ascii="宋体" w:hAnsi="宋体"/>
                <w:sz w:val="24"/>
                <w:szCs w:val="24"/>
              </w:rPr>
            </w:pPr>
          </w:p>
        </w:tc>
        <w:tc>
          <w:tcPr>
            <w:tcW w:w="2714" w:type="dxa"/>
            <w:vAlign w:val="center"/>
          </w:tcPr>
          <w:p w14:paraId="4AC6D804">
            <w:pPr>
              <w:jc w:val="center"/>
              <w:rPr>
                <w:sz w:val="24"/>
                <w:szCs w:val="24"/>
              </w:rPr>
            </w:pPr>
          </w:p>
        </w:tc>
        <w:tc>
          <w:tcPr>
            <w:tcW w:w="2560" w:type="dxa"/>
            <w:vAlign w:val="center"/>
          </w:tcPr>
          <w:p w14:paraId="54EA1E79">
            <w:pPr>
              <w:jc w:val="center"/>
              <w:rPr>
                <w:sz w:val="24"/>
                <w:szCs w:val="24"/>
              </w:rPr>
            </w:pPr>
          </w:p>
        </w:tc>
        <w:tc>
          <w:tcPr>
            <w:tcW w:w="1270" w:type="dxa"/>
            <w:vAlign w:val="center"/>
          </w:tcPr>
          <w:p w14:paraId="143A418B">
            <w:pPr>
              <w:jc w:val="center"/>
              <w:rPr>
                <w:sz w:val="24"/>
                <w:szCs w:val="24"/>
              </w:rPr>
            </w:pPr>
          </w:p>
        </w:tc>
      </w:tr>
      <w:tr w14:paraId="05A3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288" w:type="dxa"/>
            <w:vAlign w:val="center"/>
          </w:tcPr>
          <w:p w14:paraId="27F65268">
            <w:pPr>
              <w:jc w:val="center"/>
              <w:rPr>
                <w:rFonts w:hint="eastAsia" w:ascii="宋体" w:hAnsi="宋体"/>
                <w:sz w:val="24"/>
                <w:szCs w:val="24"/>
              </w:rPr>
            </w:pPr>
            <w:r>
              <w:rPr>
                <w:rFonts w:ascii="宋体" w:hAnsi="宋体"/>
                <w:sz w:val="24"/>
                <w:szCs w:val="24"/>
              </w:rPr>
              <w:t>5</w:t>
            </w:r>
          </w:p>
        </w:tc>
        <w:tc>
          <w:tcPr>
            <w:tcW w:w="1876" w:type="dxa"/>
            <w:vAlign w:val="center"/>
          </w:tcPr>
          <w:p w14:paraId="74F28176">
            <w:pPr>
              <w:jc w:val="center"/>
              <w:rPr>
                <w:rFonts w:hint="eastAsia" w:ascii="宋体" w:hAnsi="宋体"/>
                <w:sz w:val="24"/>
                <w:szCs w:val="24"/>
              </w:rPr>
            </w:pPr>
            <w:r>
              <w:rPr>
                <w:rFonts w:hint="eastAsia" w:ascii="宋体" w:hAnsi="宋体" w:cs="宋体"/>
                <w:sz w:val="24"/>
                <w:szCs w:val="24"/>
              </w:rPr>
              <w:t>…</w:t>
            </w:r>
          </w:p>
        </w:tc>
        <w:tc>
          <w:tcPr>
            <w:tcW w:w="2714" w:type="dxa"/>
            <w:vAlign w:val="center"/>
          </w:tcPr>
          <w:p w14:paraId="5D4F4FC4">
            <w:pPr>
              <w:jc w:val="center"/>
              <w:rPr>
                <w:sz w:val="24"/>
                <w:szCs w:val="24"/>
              </w:rPr>
            </w:pPr>
          </w:p>
        </w:tc>
        <w:tc>
          <w:tcPr>
            <w:tcW w:w="2560" w:type="dxa"/>
            <w:vAlign w:val="center"/>
          </w:tcPr>
          <w:p w14:paraId="799E37D5">
            <w:pPr>
              <w:jc w:val="center"/>
              <w:rPr>
                <w:sz w:val="24"/>
                <w:szCs w:val="24"/>
              </w:rPr>
            </w:pPr>
          </w:p>
        </w:tc>
        <w:tc>
          <w:tcPr>
            <w:tcW w:w="1270" w:type="dxa"/>
            <w:vAlign w:val="center"/>
          </w:tcPr>
          <w:p w14:paraId="27BA2E4B">
            <w:pPr>
              <w:jc w:val="center"/>
              <w:rPr>
                <w:sz w:val="24"/>
                <w:szCs w:val="24"/>
              </w:rPr>
            </w:pPr>
          </w:p>
        </w:tc>
      </w:tr>
    </w:tbl>
    <w:p w14:paraId="3BCE66B4">
      <w:pPr>
        <w:spacing w:line="420" w:lineRule="exact"/>
        <w:ind w:left="-424" w:leftChars="-202" w:right="-483" w:rightChars="-230" w:firstLine="360" w:firstLineChars="150"/>
        <w:rPr>
          <w:rFonts w:ascii="宋体"/>
          <w:bCs/>
          <w:sz w:val="24"/>
          <w:szCs w:val="24"/>
        </w:rPr>
      </w:pPr>
    </w:p>
    <w:p w14:paraId="5641C37E">
      <w:pPr>
        <w:spacing w:line="420" w:lineRule="exact"/>
        <w:ind w:left="-424" w:leftChars="-202" w:right="-483" w:rightChars="-230" w:firstLine="525" w:firstLineChars="250"/>
        <w:rPr>
          <w:rFonts w:ascii="宋体"/>
          <w:bCs/>
        </w:rPr>
      </w:pPr>
    </w:p>
    <w:p w14:paraId="4F1D18B6">
      <w:pPr>
        <w:spacing w:line="420" w:lineRule="exact"/>
        <w:ind w:left="-424" w:leftChars="-202" w:right="-483" w:rightChars="-230" w:firstLine="600" w:firstLineChars="250"/>
        <w:rPr>
          <w:rFonts w:hint="eastAsia" w:ascii="宋体" w:hAnsi="宋体"/>
          <w:bCs/>
          <w:sz w:val="24"/>
          <w:szCs w:val="24"/>
          <w:u w:val="single"/>
        </w:rPr>
      </w:pPr>
      <w:r>
        <w:rPr>
          <w:rFonts w:hint="eastAsia" w:ascii="宋体" w:hAnsi="宋体"/>
          <w:bCs/>
          <w:sz w:val="24"/>
          <w:szCs w:val="24"/>
        </w:rPr>
        <w:t>投标人：（盖章）</w:t>
      </w:r>
    </w:p>
    <w:p w14:paraId="78DB3583">
      <w:pPr>
        <w:spacing w:line="420" w:lineRule="exact"/>
        <w:ind w:left="-424" w:leftChars="-202" w:right="-483" w:rightChars="-230" w:firstLine="600" w:firstLineChars="250"/>
        <w:rPr>
          <w:rFonts w:hint="eastAsia" w:ascii="宋体" w:hAnsi="宋体"/>
          <w:sz w:val="24"/>
          <w:szCs w:val="24"/>
          <w:u w:val="single"/>
        </w:rPr>
      </w:pPr>
      <w:r>
        <w:rPr>
          <w:rFonts w:hint="eastAsia" w:ascii="宋体" w:hAnsi="宋体"/>
          <w:sz w:val="24"/>
          <w:szCs w:val="24"/>
        </w:rPr>
        <w:t>法定代表人或授权代理人</w:t>
      </w:r>
      <w:r>
        <w:rPr>
          <w:rFonts w:hint="eastAsia" w:ascii="宋体" w:hAnsi="宋体"/>
          <w:bCs/>
          <w:sz w:val="24"/>
          <w:szCs w:val="24"/>
        </w:rPr>
        <w:t>：（签字或盖章）</w:t>
      </w:r>
    </w:p>
    <w:p w14:paraId="60629297">
      <w:pPr>
        <w:spacing w:line="420" w:lineRule="exact"/>
        <w:ind w:left="-424" w:leftChars="-202" w:right="-483" w:rightChars="-230" w:firstLine="600" w:firstLineChars="250"/>
        <w:rPr>
          <w:rFonts w:hint="eastAsia" w:ascii="宋体" w:hAnsi="宋体" w:cs="宋体"/>
          <w:b/>
          <w:bCs/>
          <w:sz w:val="28"/>
          <w:szCs w:val="28"/>
        </w:rPr>
      </w:pPr>
      <w:r>
        <w:rPr>
          <w:rFonts w:hint="eastAsia" w:ascii="宋体" w:hAnsi="宋体"/>
          <w:sz w:val="24"/>
          <w:szCs w:val="24"/>
        </w:rPr>
        <w:t>年   月   日</w:t>
      </w:r>
    </w:p>
    <w:p w14:paraId="599B8F7F">
      <w:pPr>
        <w:tabs>
          <w:tab w:val="left" w:pos="11130"/>
        </w:tabs>
        <w:snapToGrid w:val="0"/>
        <w:spacing w:line="360" w:lineRule="auto"/>
        <w:rPr>
          <w:rFonts w:hint="eastAsia" w:ascii="宋体" w:hAnsi="宋体" w:cs="宋体"/>
          <w:sz w:val="24"/>
          <w:szCs w:val="24"/>
        </w:rPr>
      </w:pPr>
    </w:p>
    <w:p w14:paraId="46331A31">
      <w:pPr>
        <w:tabs>
          <w:tab w:val="left" w:pos="11130"/>
        </w:tabs>
        <w:snapToGrid w:val="0"/>
        <w:spacing w:line="360" w:lineRule="auto"/>
        <w:rPr>
          <w:rFonts w:hint="eastAsia" w:ascii="宋体" w:hAnsi="宋体" w:cs="宋体"/>
          <w:sz w:val="24"/>
          <w:szCs w:val="24"/>
        </w:rPr>
      </w:pPr>
      <w:r>
        <w:rPr>
          <w:rFonts w:hint="eastAsia" w:ascii="宋体" w:hAnsi="宋体" w:cs="宋体"/>
          <w:sz w:val="24"/>
          <w:szCs w:val="24"/>
        </w:rPr>
        <w:t>注：1、此表为表样，行数可自行添加，但表式不变。</w:t>
      </w:r>
    </w:p>
    <w:p w14:paraId="5DB757E1">
      <w:pPr>
        <w:tabs>
          <w:tab w:val="left" w:pos="1113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2、偏离情况说明分正偏离、完全响应、负偏离，分别表示优于要求、满足要求、不满足要求。</w:t>
      </w:r>
    </w:p>
    <w:p w14:paraId="003AEA2A">
      <w:pPr>
        <w:outlineLvl w:val="2"/>
        <w:rPr>
          <w:rFonts w:ascii="宋体"/>
          <w:b/>
          <w:bCs/>
          <w:sz w:val="28"/>
          <w:szCs w:val="28"/>
        </w:rPr>
      </w:pPr>
      <w:r>
        <w:rPr>
          <w:rFonts w:hint="eastAsia" w:ascii="宋体" w:hAnsi="宋体" w:cs="宋体"/>
          <w:b/>
          <w:bCs/>
          <w:sz w:val="28"/>
          <w:szCs w:val="28"/>
        </w:rPr>
        <w:br w:type="page"/>
      </w:r>
      <w:bookmarkStart w:id="130" w:name="_Toc10591"/>
      <w:r>
        <w:rPr>
          <w:rFonts w:hint="eastAsia" w:ascii="宋体" w:hAnsi="宋体" w:cs="宋体"/>
          <w:b/>
          <w:bCs/>
          <w:sz w:val="28"/>
          <w:szCs w:val="28"/>
        </w:rPr>
        <w:t>五、类似项目业绩表</w:t>
      </w:r>
      <w:bookmarkEnd w:id="126"/>
      <w:bookmarkEnd w:id="127"/>
      <w:bookmarkEnd w:id="130"/>
    </w:p>
    <w:p w14:paraId="30BB026C">
      <w:pPr>
        <w:spacing w:line="360" w:lineRule="auto"/>
        <w:ind w:firstLine="602" w:firstLineChars="200"/>
        <w:jc w:val="center"/>
        <w:rPr>
          <w:rFonts w:ascii="宋体"/>
          <w:b/>
          <w:bCs/>
          <w:sz w:val="30"/>
          <w:szCs w:val="30"/>
        </w:rPr>
      </w:pPr>
      <w:r>
        <w:rPr>
          <w:rFonts w:hint="eastAsia" w:ascii="宋体" w:hAnsi="宋体" w:cs="宋体"/>
          <w:b/>
          <w:bCs/>
          <w:sz w:val="30"/>
          <w:szCs w:val="30"/>
        </w:rPr>
        <w:t>项目业绩表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310"/>
        <w:gridCol w:w="1310"/>
        <w:gridCol w:w="1310"/>
        <w:gridCol w:w="1310"/>
        <w:gridCol w:w="1197"/>
        <w:gridCol w:w="1197"/>
      </w:tblGrid>
      <w:tr w14:paraId="524D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55" w:type="dxa"/>
            <w:vAlign w:val="center"/>
          </w:tcPr>
          <w:p w14:paraId="06BE9037">
            <w:pPr>
              <w:jc w:val="center"/>
              <w:rPr>
                <w:b/>
                <w:sz w:val="24"/>
                <w:szCs w:val="24"/>
              </w:rPr>
            </w:pPr>
            <w:r>
              <w:rPr>
                <w:rFonts w:hint="eastAsia" w:cs="宋体"/>
                <w:b/>
                <w:sz w:val="24"/>
                <w:szCs w:val="24"/>
              </w:rPr>
              <w:t>序号</w:t>
            </w:r>
          </w:p>
        </w:tc>
        <w:tc>
          <w:tcPr>
            <w:tcW w:w="1310" w:type="dxa"/>
            <w:vAlign w:val="center"/>
          </w:tcPr>
          <w:p w14:paraId="6F70ECBD">
            <w:pPr>
              <w:jc w:val="center"/>
              <w:rPr>
                <w:b/>
                <w:sz w:val="24"/>
                <w:szCs w:val="24"/>
              </w:rPr>
            </w:pPr>
            <w:r>
              <w:rPr>
                <w:rFonts w:hint="eastAsia" w:cs="宋体"/>
                <w:b/>
                <w:sz w:val="24"/>
                <w:szCs w:val="24"/>
              </w:rPr>
              <w:t>项目名称</w:t>
            </w:r>
          </w:p>
        </w:tc>
        <w:tc>
          <w:tcPr>
            <w:tcW w:w="1310" w:type="dxa"/>
            <w:vAlign w:val="center"/>
          </w:tcPr>
          <w:p w14:paraId="08EC9185">
            <w:pPr>
              <w:jc w:val="center"/>
              <w:rPr>
                <w:b/>
                <w:sz w:val="24"/>
                <w:szCs w:val="24"/>
              </w:rPr>
            </w:pPr>
            <w:r>
              <w:rPr>
                <w:rFonts w:hint="eastAsia" w:cs="宋体"/>
                <w:b/>
                <w:sz w:val="24"/>
                <w:szCs w:val="24"/>
              </w:rPr>
              <w:t>项目性质</w:t>
            </w:r>
          </w:p>
        </w:tc>
        <w:tc>
          <w:tcPr>
            <w:tcW w:w="1310" w:type="dxa"/>
            <w:vAlign w:val="center"/>
          </w:tcPr>
          <w:p w14:paraId="7FD47221">
            <w:pPr>
              <w:jc w:val="center"/>
              <w:rPr>
                <w:b/>
                <w:sz w:val="24"/>
                <w:szCs w:val="24"/>
              </w:rPr>
            </w:pPr>
            <w:r>
              <w:rPr>
                <w:rFonts w:hint="eastAsia" w:cs="宋体"/>
                <w:b/>
                <w:sz w:val="24"/>
                <w:szCs w:val="24"/>
              </w:rPr>
              <w:t>采购人</w:t>
            </w:r>
          </w:p>
        </w:tc>
        <w:tc>
          <w:tcPr>
            <w:tcW w:w="1310" w:type="dxa"/>
            <w:vAlign w:val="center"/>
          </w:tcPr>
          <w:p w14:paraId="59F74404">
            <w:pPr>
              <w:jc w:val="center"/>
              <w:rPr>
                <w:b/>
                <w:sz w:val="24"/>
                <w:szCs w:val="24"/>
              </w:rPr>
            </w:pPr>
            <w:r>
              <w:rPr>
                <w:rFonts w:hint="eastAsia" w:cs="宋体"/>
                <w:b/>
                <w:sz w:val="24"/>
                <w:szCs w:val="24"/>
              </w:rPr>
              <w:t>合同金额</w:t>
            </w:r>
          </w:p>
        </w:tc>
        <w:tc>
          <w:tcPr>
            <w:tcW w:w="1197" w:type="dxa"/>
            <w:vAlign w:val="center"/>
          </w:tcPr>
          <w:p w14:paraId="60D67A7F">
            <w:pPr>
              <w:jc w:val="center"/>
              <w:rPr>
                <w:b/>
                <w:sz w:val="24"/>
                <w:szCs w:val="24"/>
              </w:rPr>
            </w:pPr>
            <w:r>
              <w:rPr>
                <w:rFonts w:hint="eastAsia" w:cs="宋体"/>
                <w:b/>
                <w:sz w:val="24"/>
                <w:szCs w:val="24"/>
              </w:rPr>
              <w:t>合同年份</w:t>
            </w:r>
          </w:p>
        </w:tc>
        <w:tc>
          <w:tcPr>
            <w:tcW w:w="1197" w:type="dxa"/>
            <w:vAlign w:val="center"/>
          </w:tcPr>
          <w:p w14:paraId="785E8430">
            <w:pPr>
              <w:jc w:val="center"/>
              <w:rPr>
                <w:b/>
                <w:sz w:val="24"/>
                <w:szCs w:val="24"/>
              </w:rPr>
            </w:pPr>
            <w:r>
              <w:rPr>
                <w:rFonts w:hint="eastAsia" w:cs="宋体"/>
                <w:b/>
                <w:sz w:val="24"/>
                <w:szCs w:val="24"/>
              </w:rPr>
              <w:t>备注</w:t>
            </w:r>
          </w:p>
        </w:tc>
      </w:tr>
      <w:tr w14:paraId="20DA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5" w:type="dxa"/>
            <w:vAlign w:val="center"/>
          </w:tcPr>
          <w:p w14:paraId="599A474C">
            <w:pPr>
              <w:jc w:val="center"/>
            </w:pPr>
            <w:r>
              <w:t>1</w:t>
            </w:r>
          </w:p>
        </w:tc>
        <w:tc>
          <w:tcPr>
            <w:tcW w:w="1310" w:type="dxa"/>
          </w:tcPr>
          <w:p w14:paraId="7AC752F7">
            <w:pPr>
              <w:spacing w:line="360" w:lineRule="auto"/>
              <w:ind w:firstLine="480" w:firstLineChars="200"/>
              <w:jc w:val="center"/>
              <w:rPr>
                <w:rFonts w:ascii="宋体"/>
                <w:sz w:val="24"/>
                <w:szCs w:val="24"/>
              </w:rPr>
            </w:pPr>
          </w:p>
        </w:tc>
        <w:tc>
          <w:tcPr>
            <w:tcW w:w="1310" w:type="dxa"/>
          </w:tcPr>
          <w:p w14:paraId="4473E195">
            <w:pPr>
              <w:spacing w:line="360" w:lineRule="auto"/>
              <w:ind w:firstLine="480" w:firstLineChars="200"/>
              <w:jc w:val="center"/>
              <w:rPr>
                <w:rFonts w:ascii="宋体"/>
                <w:sz w:val="24"/>
                <w:szCs w:val="24"/>
              </w:rPr>
            </w:pPr>
          </w:p>
        </w:tc>
        <w:tc>
          <w:tcPr>
            <w:tcW w:w="1310" w:type="dxa"/>
          </w:tcPr>
          <w:p w14:paraId="040FB47B">
            <w:pPr>
              <w:spacing w:line="360" w:lineRule="auto"/>
              <w:ind w:firstLine="480" w:firstLineChars="200"/>
              <w:jc w:val="center"/>
              <w:rPr>
                <w:rFonts w:ascii="宋体"/>
                <w:sz w:val="24"/>
                <w:szCs w:val="24"/>
              </w:rPr>
            </w:pPr>
          </w:p>
        </w:tc>
        <w:tc>
          <w:tcPr>
            <w:tcW w:w="1310" w:type="dxa"/>
          </w:tcPr>
          <w:p w14:paraId="15B26137">
            <w:pPr>
              <w:spacing w:line="360" w:lineRule="auto"/>
              <w:ind w:firstLine="480" w:firstLineChars="200"/>
              <w:jc w:val="center"/>
              <w:rPr>
                <w:rFonts w:ascii="宋体"/>
                <w:sz w:val="24"/>
                <w:szCs w:val="24"/>
              </w:rPr>
            </w:pPr>
          </w:p>
        </w:tc>
        <w:tc>
          <w:tcPr>
            <w:tcW w:w="1197" w:type="dxa"/>
          </w:tcPr>
          <w:p w14:paraId="77683894">
            <w:pPr>
              <w:spacing w:line="360" w:lineRule="auto"/>
              <w:ind w:firstLine="480" w:firstLineChars="200"/>
              <w:jc w:val="center"/>
              <w:rPr>
                <w:rFonts w:ascii="宋体"/>
                <w:sz w:val="24"/>
                <w:szCs w:val="24"/>
              </w:rPr>
            </w:pPr>
          </w:p>
        </w:tc>
        <w:tc>
          <w:tcPr>
            <w:tcW w:w="1197" w:type="dxa"/>
          </w:tcPr>
          <w:p w14:paraId="68E5F6BD">
            <w:pPr>
              <w:spacing w:line="360" w:lineRule="auto"/>
              <w:ind w:firstLine="480" w:firstLineChars="200"/>
              <w:jc w:val="center"/>
              <w:rPr>
                <w:rFonts w:ascii="宋体"/>
                <w:sz w:val="24"/>
                <w:szCs w:val="24"/>
              </w:rPr>
            </w:pPr>
          </w:p>
        </w:tc>
      </w:tr>
      <w:tr w14:paraId="701A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5" w:type="dxa"/>
            <w:vAlign w:val="center"/>
          </w:tcPr>
          <w:p w14:paraId="7D06EE18">
            <w:pPr>
              <w:jc w:val="center"/>
            </w:pPr>
            <w:r>
              <w:t>2</w:t>
            </w:r>
          </w:p>
        </w:tc>
        <w:tc>
          <w:tcPr>
            <w:tcW w:w="1310" w:type="dxa"/>
          </w:tcPr>
          <w:p w14:paraId="2E0190DD">
            <w:pPr>
              <w:spacing w:line="360" w:lineRule="auto"/>
              <w:ind w:firstLine="480" w:firstLineChars="200"/>
              <w:jc w:val="center"/>
              <w:rPr>
                <w:rFonts w:ascii="宋体"/>
                <w:sz w:val="24"/>
                <w:szCs w:val="24"/>
              </w:rPr>
            </w:pPr>
          </w:p>
        </w:tc>
        <w:tc>
          <w:tcPr>
            <w:tcW w:w="1310" w:type="dxa"/>
          </w:tcPr>
          <w:p w14:paraId="0BC5EED5">
            <w:pPr>
              <w:spacing w:line="360" w:lineRule="auto"/>
              <w:ind w:firstLine="480" w:firstLineChars="200"/>
              <w:jc w:val="center"/>
              <w:rPr>
                <w:rFonts w:ascii="宋体"/>
                <w:sz w:val="24"/>
                <w:szCs w:val="24"/>
              </w:rPr>
            </w:pPr>
          </w:p>
        </w:tc>
        <w:tc>
          <w:tcPr>
            <w:tcW w:w="1310" w:type="dxa"/>
          </w:tcPr>
          <w:p w14:paraId="2E6C55ED">
            <w:pPr>
              <w:spacing w:line="360" w:lineRule="auto"/>
              <w:ind w:firstLine="480" w:firstLineChars="200"/>
              <w:jc w:val="center"/>
              <w:rPr>
                <w:rFonts w:ascii="宋体"/>
                <w:sz w:val="24"/>
                <w:szCs w:val="24"/>
              </w:rPr>
            </w:pPr>
          </w:p>
        </w:tc>
        <w:tc>
          <w:tcPr>
            <w:tcW w:w="1310" w:type="dxa"/>
          </w:tcPr>
          <w:p w14:paraId="799FC9D6">
            <w:pPr>
              <w:spacing w:line="360" w:lineRule="auto"/>
              <w:ind w:firstLine="480" w:firstLineChars="200"/>
              <w:jc w:val="center"/>
              <w:rPr>
                <w:rFonts w:ascii="宋体"/>
                <w:sz w:val="24"/>
                <w:szCs w:val="24"/>
              </w:rPr>
            </w:pPr>
          </w:p>
        </w:tc>
        <w:tc>
          <w:tcPr>
            <w:tcW w:w="1197" w:type="dxa"/>
          </w:tcPr>
          <w:p w14:paraId="03926EE1">
            <w:pPr>
              <w:spacing w:line="360" w:lineRule="auto"/>
              <w:ind w:firstLine="480" w:firstLineChars="200"/>
              <w:jc w:val="center"/>
              <w:rPr>
                <w:rFonts w:ascii="宋体"/>
                <w:sz w:val="24"/>
                <w:szCs w:val="24"/>
              </w:rPr>
            </w:pPr>
          </w:p>
        </w:tc>
        <w:tc>
          <w:tcPr>
            <w:tcW w:w="1197" w:type="dxa"/>
          </w:tcPr>
          <w:p w14:paraId="05FE7B4B">
            <w:pPr>
              <w:spacing w:line="360" w:lineRule="auto"/>
              <w:ind w:firstLine="480" w:firstLineChars="200"/>
              <w:jc w:val="center"/>
              <w:rPr>
                <w:rFonts w:ascii="宋体"/>
                <w:sz w:val="24"/>
                <w:szCs w:val="24"/>
              </w:rPr>
            </w:pPr>
          </w:p>
        </w:tc>
      </w:tr>
      <w:tr w14:paraId="21D4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5" w:type="dxa"/>
            <w:vAlign w:val="center"/>
          </w:tcPr>
          <w:p w14:paraId="4E3D19B5">
            <w:pPr>
              <w:jc w:val="center"/>
            </w:pPr>
            <w:r>
              <w:t>3</w:t>
            </w:r>
          </w:p>
        </w:tc>
        <w:tc>
          <w:tcPr>
            <w:tcW w:w="1310" w:type="dxa"/>
          </w:tcPr>
          <w:p w14:paraId="465AA7CF">
            <w:pPr>
              <w:spacing w:line="360" w:lineRule="auto"/>
              <w:ind w:firstLine="480" w:firstLineChars="200"/>
              <w:jc w:val="center"/>
              <w:rPr>
                <w:rFonts w:ascii="宋体"/>
                <w:sz w:val="24"/>
                <w:szCs w:val="24"/>
              </w:rPr>
            </w:pPr>
          </w:p>
        </w:tc>
        <w:tc>
          <w:tcPr>
            <w:tcW w:w="1310" w:type="dxa"/>
          </w:tcPr>
          <w:p w14:paraId="44C675BF">
            <w:pPr>
              <w:spacing w:line="360" w:lineRule="auto"/>
              <w:ind w:firstLine="480" w:firstLineChars="200"/>
              <w:jc w:val="center"/>
              <w:rPr>
                <w:rFonts w:ascii="宋体"/>
                <w:sz w:val="24"/>
                <w:szCs w:val="24"/>
              </w:rPr>
            </w:pPr>
          </w:p>
        </w:tc>
        <w:tc>
          <w:tcPr>
            <w:tcW w:w="1310" w:type="dxa"/>
          </w:tcPr>
          <w:p w14:paraId="3827D5EC">
            <w:pPr>
              <w:spacing w:line="360" w:lineRule="auto"/>
              <w:ind w:firstLine="480" w:firstLineChars="200"/>
              <w:jc w:val="center"/>
              <w:rPr>
                <w:rFonts w:ascii="宋体"/>
                <w:sz w:val="24"/>
                <w:szCs w:val="24"/>
              </w:rPr>
            </w:pPr>
          </w:p>
        </w:tc>
        <w:tc>
          <w:tcPr>
            <w:tcW w:w="1310" w:type="dxa"/>
          </w:tcPr>
          <w:p w14:paraId="74D41E35">
            <w:pPr>
              <w:spacing w:line="360" w:lineRule="auto"/>
              <w:ind w:firstLine="480" w:firstLineChars="200"/>
              <w:jc w:val="center"/>
              <w:rPr>
                <w:rFonts w:ascii="宋体"/>
                <w:sz w:val="24"/>
                <w:szCs w:val="24"/>
              </w:rPr>
            </w:pPr>
          </w:p>
        </w:tc>
        <w:tc>
          <w:tcPr>
            <w:tcW w:w="1197" w:type="dxa"/>
          </w:tcPr>
          <w:p w14:paraId="0FBFDD6E">
            <w:pPr>
              <w:spacing w:line="360" w:lineRule="auto"/>
              <w:ind w:firstLine="480" w:firstLineChars="200"/>
              <w:jc w:val="center"/>
              <w:rPr>
                <w:rFonts w:ascii="宋体"/>
                <w:sz w:val="24"/>
                <w:szCs w:val="24"/>
              </w:rPr>
            </w:pPr>
          </w:p>
        </w:tc>
        <w:tc>
          <w:tcPr>
            <w:tcW w:w="1197" w:type="dxa"/>
          </w:tcPr>
          <w:p w14:paraId="1D2BE236">
            <w:pPr>
              <w:spacing w:line="360" w:lineRule="auto"/>
              <w:ind w:firstLine="480" w:firstLineChars="200"/>
              <w:jc w:val="center"/>
              <w:rPr>
                <w:rFonts w:ascii="宋体"/>
                <w:sz w:val="24"/>
                <w:szCs w:val="24"/>
              </w:rPr>
            </w:pPr>
          </w:p>
        </w:tc>
      </w:tr>
      <w:tr w14:paraId="4034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5" w:type="dxa"/>
            <w:vAlign w:val="center"/>
          </w:tcPr>
          <w:p w14:paraId="330C4C6C">
            <w:pPr>
              <w:jc w:val="center"/>
            </w:pPr>
            <w:r>
              <w:t>4</w:t>
            </w:r>
          </w:p>
        </w:tc>
        <w:tc>
          <w:tcPr>
            <w:tcW w:w="1310" w:type="dxa"/>
          </w:tcPr>
          <w:p w14:paraId="0F13D2BF">
            <w:pPr>
              <w:spacing w:line="360" w:lineRule="auto"/>
              <w:ind w:firstLine="480" w:firstLineChars="200"/>
              <w:jc w:val="center"/>
              <w:rPr>
                <w:rFonts w:ascii="宋体"/>
                <w:sz w:val="24"/>
                <w:szCs w:val="24"/>
              </w:rPr>
            </w:pPr>
          </w:p>
        </w:tc>
        <w:tc>
          <w:tcPr>
            <w:tcW w:w="1310" w:type="dxa"/>
          </w:tcPr>
          <w:p w14:paraId="3E45911D">
            <w:pPr>
              <w:spacing w:line="360" w:lineRule="auto"/>
              <w:ind w:firstLine="480" w:firstLineChars="200"/>
              <w:jc w:val="center"/>
              <w:rPr>
                <w:rFonts w:ascii="宋体"/>
                <w:sz w:val="24"/>
                <w:szCs w:val="24"/>
              </w:rPr>
            </w:pPr>
          </w:p>
        </w:tc>
        <w:tc>
          <w:tcPr>
            <w:tcW w:w="1310" w:type="dxa"/>
          </w:tcPr>
          <w:p w14:paraId="1F1AC75F">
            <w:pPr>
              <w:spacing w:line="360" w:lineRule="auto"/>
              <w:ind w:firstLine="480" w:firstLineChars="200"/>
              <w:jc w:val="center"/>
              <w:rPr>
                <w:rFonts w:ascii="宋体"/>
                <w:sz w:val="24"/>
                <w:szCs w:val="24"/>
              </w:rPr>
            </w:pPr>
          </w:p>
        </w:tc>
        <w:tc>
          <w:tcPr>
            <w:tcW w:w="1310" w:type="dxa"/>
          </w:tcPr>
          <w:p w14:paraId="0CA3CAF5">
            <w:pPr>
              <w:spacing w:line="360" w:lineRule="auto"/>
              <w:ind w:firstLine="480" w:firstLineChars="200"/>
              <w:jc w:val="center"/>
              <w:rPr>
                <w:rFonts w:ascii="宋体"/>
                <w:sz w:val="24"/>
                <w:szCs w:val="24"/>
              </w:rPr>
            </w:pPr>
          </w:p>
        </w:tc>
        <w:tc>
          <w:tcPr>
            <w:tcW w:w="1197" w:type="dxa"/>
          </w:tcPr>
          <w:p w14:paraId="1380328E">
            <w:pPr>
              <w:spacing w:line="360" w:lineRule="auto"/>
              <w:ind w:firstLine="480" w:firstLineChars="200"/>
              <w:jc w:val="center"/>
              <w:rPr>
                <w:rFonts w:ascii="宋体"/>
                <w:sz w:val="24"/>
                <w:szCs w:val="24"/>
              </w:rPr>
            </w:pPr>
          </w:p>
        </w:tc>
        <w:tc>
          <w:tcPr>
            <w:tcW w:w="1197" w:type="dxa"/>
          </w:tcPr>
          <w:p w14:paraId="5F75B2C1">
            <w:pPr>
              <w:spacing w:line="360" w:lineRule="auto"/>
              <w:ind w:firstLine="480" w:firstLineChars="200"/>
              <w:jc w:val="center"/>
              <w:rPr>
                <w:rFonts w:ascii="宋体"/>
                <w:sz w:val="24"/>
                <w:szCs w:val="24"/>
              </w:rPr>
            </w:pPr>
          </w:p>
        </w:tc>
      </w:tr>
      <w:tr w14:paraId="6279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5" w:type="dxa"/>
            <w:vAlign w:val="center"/>
          </w:tcPr>
          <w:p w14:paraId="49BED004">
            <w:pPr>
              <w:jc w:val="center"/>
            </w:pPr>
            <w:r>
              <w:t>5</w:t>
            </w:r>
          </w:p>
        </w:tc>
        <w:tc>
          <w:tcPr>
            <w:tcW w:w="1310" w:type="dxa"/>
          </w:tcPr>
          <w:p w14:paraId="410CEBA2">
            <w:pPr>
              <w:spacing w:line="360" w:lineRule="auto"/>
              <w:ind w:firstLine="480" w:firstLineChars="200"/>
              <w:jc w:val="center"/>
              <w:rPr>
                <w:rFonts w:ascii="宋体"/>
                <w:sz w:val="24"/>
                <w:szCs w:val="24"/>
              </w:rPr>
            </w:pPr>
          </w:p>
        </w:tc>
        <w:tc>
          <w:tcPr>
            <w:tcW w:w="1310" w:type="dxa"/>
          </w:tcPr>
          <w:p w14:paraId="730D15DD">
            <w:pPr>
              <w:spacing w:line="360" w:lineRule="auto"/>
              <w:ind w:firstLine="480" w:firstLineChars="200"/>
              <w:jc w:val="center"/>
              <w:rPr>
                <w:rFonts w:ascii="宋体"/>
                <w:sz w:val="24"/>
                <w:szCs w:val="24"/>
              </w:rPr>
            </w:pPr>
          </w:p>
        </w:tc>
        <w:tc>
          <w:tcPr>
            <w:tcW w:w="1310" w:type="dxa"/>
          </w:tcPr>
          <w:p w14:paraId="51F7EB78">
            <w:pPr>
              <w:spacing w:line="360" w:lineRule="auto"/>
              <w:ind w:firstLine="480" w:firstLineChars="200"/>
              <w:jc w:val="center"/>
              <w:rPr>
                <w:rFonts w:ascii="宋体"/>
                <w:sz w:val="24"/>
                <w:szCs w:val="24"/>
              </w:rPr>
            </w:pPr>
          </w:p>
        </w:tc>
        <w:tc>
          <w:tcPr>
            <w:tcW w:w="1310" w:type="dxa"/>
          </w:tcPr>
          <w:p w14:paraId="5C1E3AE1">
            <w:pPr>
              <w:spacing w:line="360" w:lineRule="auto"/>
              <w:ind w:firstLine="480" w:firstLineChars="200"/>
              <w:jc w:val="center"/>
              <w:rPr>
                <w:rFonts w:ascii="宋体"/>
                <w:sz w:val="24"/>
                <w:szCs w:val="24"/>
              </w:rPr>
            </w:pPr>
          </w:p>
        </w:tc>
        <w:tc>
          <w:tcPr>
            <w:tcW w:w="1197" w:type="dxa"/>
          </w:tcPr>
          <w:p w14:paraId="5B924AF8">
            <w:pPr>
              <w:spacing w:line="360" w:lineRule="auto"/>
              <w:ind w:firstLine="480" w:firstLineChars="200"/>
              <w:jc w:val="center"/>
              <w:rPr>
                <w:rFonts w:ascii="宋体"/>
                <w:sz w:val="24"/>
                <w:szCs w:val="24"/>
              </w:rPr>
            </w:pPr>
          </w:p>
        </w:tc>
        <w:tc>
          <w:tcPr>
            <w:tcW w:w="1197" w:type="dxa"/>
          </w:tcPr>
          <w:p w14:paraId="47405993">
            <w:pPr>
              <w:spacing w:line="360" w:lineRule="auto"/>
              <w:ind w:firstLine="480" w:firstLineChars="200"/>
              <w:jc w:val="center"/>
              <w:rPr>
                <w:rFonts w:ascii="宋体"/>
                <w:sz w:val="24"/>
                <w:szCs w:val="24"/>
              </w:rPr>
            </w:pPr>
          </w:p>
        </w:tc>
      </w:tr>
      <w:tr w14:paraId="23EF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5" w:type="dxa"/>
            <w:vAlign w:val="center"/>
          </w:tcPr>
          <w:p w14:paraId="3B61ED64">
            <w:pPr>
              <w:jc w:val="center"/>
            </w:pPr>
            <w:r>
              <w:t>6</w:t>
            </w:r>
          </w:p>
        </w:tc>
        <w:tc>
          <w:tcPr>
            <w:tcW w:w="1310" w:type="dxa"/>
          </w:tcPr>
          <w:p w14:paraId="4E5FC661">
            <w:pPr>
              <w:spacing w:line="360" w:lineRule="auto"/>
              <w:ind w:firstLine="480" w:firstLineChars="200"/>
              <w:jc w:val="center"/>
              <w:rPr>
                <w:rFonts w:ascii="宋体"/>
                <w:sz w:val="24"/>
                <w:szCs w:val="24"/>
              </w:rPr>
            </w:pPr>
          </w:p>
        </w:tc>
        <w:tc>
          <w:tcPr>
            <w:tcW w:w="1310" w:type="dxa"/>
          </w:tcPr>
          <w:p w14:paraId="65A2897E">
            <w:pPr>
              <w:spacing w:line="360" w:lineRule="auto"/>
              <w:ind w:firstLine="480" w:firstLineChars="200"/>
              <w:jc w:val="center"/>
              <w:rPr>
                <w:rFonts w:ascii="宋体"/>
                <w:sz w:val="24"/>
                <w:szCs w:val="24"/>
              </w:rPr>
            </w:pPr>
          </w:p>
        </w:tc>
        <w:tc>
          <w:tcPr>
            <w:tcW w:w="1310" w:type="dxa"/>
          </w:tcPr>
          <w:p w14:paraId="4F8A5CF9">
            <w:pPr>
              <w:spacing w:line="360" w:lineRule="auto"/>
              <w:ind w:firstLine="480" w:firstLineChars="200"/>
              <w:jc w:val="center"/>
              <w:rPr>
                <w:rFonts w:ascii="宋体"/>
                <w:sz w:val="24"/>
                <w:szCs w:val="24"/>
              </w:rPr>
            </w:pPr>
          </w:p>
        </w:tc>
        <w:tc>
          <w:tcPr>
            <w:tcW w:w="1310" w:type="dxa"/>
          </w:tcPr>
          <w:p w14:paraId="59EA3E3A">
            <w:pPr>
              <w:spacing w:line="360" w:lineRule="auto"/>
              <w:ind w:firstLine="480" w:firstLineChars="200"/>
              <w:jc w:val="center"/>
              <w:rPr>
                <w:rFonts w:ascii="宋体"/>
                <w:sz w:val="24"/>
                <w:szCs w:val="24"/>
              </w:rPr>
            </w:pPr>
          </w:p>
        </w:tc>
        <w:tc>
          <w:tcPr>
            <w:tcW w:w="1197" w:type="dxa"/>
          </w:tcPr>
          <w:p w14:paraId="2ECC08D7">
            <w:pPr>
              <w:spacing w:line="360" w:lineRule="auto"/>
              <w:ind w:firstLine="480" w:firstLineChars="200"/>
              <w:jc w:val="center"/>
              <w:rPr>
                <w:rFonts w:ascii="宋体"/>
                <w:sz w:val="24"/>
                <w:szCs w:val="24"/>
              </w:rPr>
            </w:pPr>
          </w:p>
        </w:tc>
        <w:tc>
          <w:tcPr>
            <w:tcW w:w="1197" w:type="dxa"/>
          </w:tcPr>
          <w:p w14:paraId="3D4DD9E1">
            <w:pPr>
              <w:spacing w:line="360" w:lineRule="auto"/>
              <w:ind w:firstLine="480" w:firstLineChars="200"/>
              <w:jc w:val="center"/>
              <w:rPr>
                <w:rFonts w:ascii="宋体"/>
                <w:sz w:val="24"/>
                <w:szCs w:val="24"/>
              </w:rPr>
            </w:pPr>
          </w:p>
        </w:tc>
      </w:tr>
      <w:tr w14:paraId="76F7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5" w:type="dxa"/>
            <w:vAlign w:val="center"/>
          </w:tcPr>
          <w:p w14:paraId="3C3E8FC4">
            <w:pPr>
              <w:jc w:val="center"/>
            </w:pPr>
            <w:r>
              <w:rPr>
                <w:rFonts w:hint="eastAsia"/>
              </w:rPr>
              <w:t>…</w:t>
            </w:r>
            <w:r>
              <w:t>.</w:t>
            </w:r>
          </w:p>
        </w:tc>
        <w:tc>
          <w:tcPr>
            <w:tcW w:w="1310" w:type="dxa"/>
          </w:tcPr>
          <w:p w14:paraId="6C4024BE">
            <w:pPr>
              <w:spacing w:line="360" w:lineRule="auto"/>
              <w:ind w:firstLine="480" w:firstLineChars="200"/>
              <w:jc w:val="center"/>
              <w:rPr>
                <w:rFonts w:ascii="宋体" w:cs="宋体"/>
                <w:sz w:val="24"/>
                <w:szCs w:val="24"/>
              </w:rPr>
            </w:pPr>
          </w:p>
        </w:tc>
        <w:tc>
          <w:tcPr>
            <w:tcW w:w="1310" w:type="dxa"/>
          </w:tcPr>
          <w:p w14:paraId="11578118">
            <w:pPr>
              <w:spacing w:line="360" w:lineRule="auto"/>
              <w:ind w:firstLine="480" w:firstLineChars="200"/>
              <w:jc w:val="center"/>
              <w:rPr>
                <w:rFonts w:ascii="宋体" w:cs="宋体"/>
                <w:sz w:val="24"/>
                <w:szCs w:val="24"/>
              </w:rPr>
            </w:pPr>
          </w:p>
        </w:tc>
        <w:tc>
          <w:tcPr>
            <w:tcW w:w="1310" w:type="dxa"/>
          </w:tcPr>
          <w:p w14:paraId="331D58D1">
            <w:pPr>
              <w:spacing w:line="360" w:lineRule="auto"/>
              <w:ind w:firstLine="480" w:firstLineChars="200"/>
              <w:jc w:val="center"/>
              <w:rPr>
                <w:rFonts w:ascii="宋体" w:cs="宋体"/>
                <w:sz w:val="24"/>
                <w:szCs w:val="24"/>
              </w:rPr>
            </w:pPr>
          </w:p>
        </w:tc>
        <w:tc>
          <w:tcPr>
            <w:tcW w:w="1310" w:type="dxa"/>
          </w:tcPr>
          <w:p w14:paraId="58218A08">
            <w:pPr>
              <w:spacing w:line="360" w:lineRule="auto"/>
              <w:ind w:firstLine="480" w:firstLineChars="200"/>
              <w:jc w:val="center"/>
              <w:rPr>
                <w:rFonts w:ascii="宋体" w:cs="宋体"/>
                <w:sz w:val="24"/>
                <w:szCs w:val="24"/>
              </w:rPr>
            </w:pPr>
          </w:p>
        </w:tc>
        <w:tc>
          <w:tcPr>
            <w:tcW w:w="1197" w:type="dxa"/>
          </w:tcPr>
          <w:p w14:paraId="1513DDC2">
            <w:pPr>
              <w:spacing w:line="360" w:lineRule="auto"/>
              <w:ind w:firstLine="480" w:firstLineChars="200"/>
              <w:jc w:val="center"/>
              <w:rPr>
                <w:rFonts w:ascii="宋体" w:cs="宋体"/>
                <w:sz w:val="24"/>
                <w:szCs w:val="24"/>
              </w:rPr>
            </w:pPr>
          </w:p>
        </w:tc>
        <w:tc>
          <w:tcPr>
            <w:tcW w:w="1197" w:type="dxa"/>
          </w:tcPr>
          <w:p w14:paraId="10B41DEE">
            <w:pPr>
              <w:spacing w:line="360" w:lineRule="auto"/>
              <w:ind w:firstLine="480" w:firstLineChars="200"/>
              <w:jc w:val="center"/>
              <w:rPr>
                <w:rFonts w:ascii="宋体" w:cs="宋体"/>
                <w:sz w:val="24"/>
                <w:szCs w:val="24"/>
              </w:rPr>
            </w:pPr>
          </w:p>
        </w:tc>
      </w:tr>
    </w:tbl>
    <w:p w14:paraId="5A2FA2CF">
      <w:pPr>
        <w:spacing w:line="360" w:lineRule="auto"/>
        <w:ind w:firstLine="480" w:firstLineChars="200"/>
        <w:rPr>
          <w:rFonts w:ascii="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、此表行数可添加</w:t>
      </w:r>
    </w:p>
    <w:p w14:paraId="422EA687">
      <w:pPr>
        <w:spacing w:line="360" w:lineRule="auto"/>
        <w:ind w:firstLine="480" w:firstLineChars="200"/>
        <w:rPr>
          <w:rFonts w:ascii="宋体"/>
          <w:sz w:val="24"/>
          <w:szCs w:val="24"/>
        </w:rPr>
      </w:pPr>
      <w:r>
        <w:rPr>
          <w:rFonts w:ascii="宋体" w:hAnsi="宋体" w:cs="宋体"/>
          <w:sz w:val="24"/>
          <w:szCs w:val="24"/>
        </w:rPr>
        <w:t xml:space="preserve">    2</w:t>
      </w:r>
      <w:r>
        <w:rPr>
          <w:rFonts w:hint="eastAsia" w:ascii="宋体" w:hAnsi="宋体" w:cs="宋体"/>
          <w:sz w:val="24"/>
          <w:szCs w:val="24"/>
        </w:rPr>
        <w:t>、此表如有虚假情况，将导致投标无效</w:t>
      </w:r>
    </w:p>
    <w:p w14:paraId="224BCDEA">
      <w:pPr>
        <w:spacing w:line="360" w:lineRule="auto"/>
        <w:ind w:firstLine="602" w:firstLineChars="200"/>
        <w:jc w:val="center"/>
        <w:rPr>
          <w:b/>
          <w:bCs/>
          <w:sz w:val="30"/>
          <w:szCs w:val="30"/>
        </w:rPr>
      </w:pPr>
    </w:p>
    <w:p w14:paraId="16E16F9C">
      <w:pPr>
        <w:spacing w:line="360" w:lineRule="auto"/>
        <w:ind w:firstLine="602" w:firstLineChars="200"/>
        <w:jc w:val="center"/>
        <w:rPr>
          <w:b/>
          <w:bCs/>
          <w:sz w:val="30"/>
          <w:szCs w:val="30"/>
        </w:rPr>
      </w:pPr>
    </w:p>
    <w:p w14:paraId="3C095893">
      <w:pPr>
        <w:spacing w:line="360" w:lineRule="auto"/>
        <w:ind w:firstLine="840" w:firstLineChars="350"/>
        <w:rPr>
          <w:rFonts w:cs="宋体"/>
          <w:sz w:val="24"/>
          <w:szCs w:val="24"/>
        </w:rPr>
      </w:pPr>
      <w:r>
        <w:rPr>
          <w:rFonts w:hint="eastAsia" w:cs="宋体"/>
          <w:sz w:val="24"/>
          <w:szCs w:val="24"/>
        </w:rPr>
        <w:t>投标人全称：（公章）</w:t>
      </w:r>
    </w:p>
    <w:p w14:paraId="2D50AA0B">
      <w:pPr>
        <w:spacing w:line="360" w:lineRule="auto"/>
        <w:ind w:firstLine="840" w:firstLineChars="350"/>
        <w:rPr>
          <w:sz w:val="24"/>
          <w:szCs w:val="24"/>
        </w:rPr>
      </w:pPr>
      <w:r>
        <w:rPr>
          <w:rFonts w:hint="eastAsia" w:cs="宋体"/>
          <w:sz w:val="24"/>
          <w:szCs w:val="24"/>
        </w:rPr>
        <w:t>法定代表人或授权代理人：（签字或盖章）</w:t>
      </w:r>
    </w:p>
    <w:p w14:paraId="2397505F">
      <w:pPr>
        <w:spacing w:line="360" w:lineRule="auto"/>
        <w:ind w:firstLine="883" w:firstLineChars="200"/>
        <w:rPr>
          <w:b/>
          <w:bCs/>
          <w:sz w:val="44"/>
          <w:szCs w:val="44"/>
        </w:rPr>
      </w:pPr>
    </w:p>
    <w:bookmarkEnd w:id="128"/>
    <w:bookmarkEnd w:id="129"/>
    <w:p w14:paraId="5984D4FB">
      <w:pPr>
        <w:rPr>
          <w:rFonts w:hint="eastAsia" w:ascii="宋体" w:hAnsi="宋体" w:cs="宋体"/>
          <w:b/>
          <w:bCs/>
          <w:sz w:val="28"/>
          <w:szCs w:val="28"/>
        </w:rPr>
      </w:pPr>
      <w:bookmarkStart w:id="131" w:name="_Toc483396343"/>
      <w:bookmarkStart w:id="132" w:name="_Toc483396431"/>
    </w:p>
    <w:bookmarkEnd w:id="131"/>
    <w:bookmarkEnd w:id="132"/>
    <w:p w14:paraId="5C7600BD">
      <w:pPr>
        <w:outlineLvl w:val="2"/>
        <w:rPr>
          <w:rFonts w:ascii="宋体"/>
          <w:b/>
          <w:bCs/>
          <w:sz w:val="28"/>
          <w:szCs w:val="28"/>
        </w:rPr>
      </w:pPr>
      <w:bookmarkStart w:id="133" w:name="_Toc30886"/>
      <w:r>
        <w:rPr>
          <w:rFonts w:hint="eastAsia" w:ascii="宋体" w:cs="宋体"/>
          <w:b/>
          <w:bCs/>
          <w:sz w:val="28"/>
          <w:szCs w:val="28"/>
        </w:rPr>
        <w:t>六、</w:t>
      </w:r>
      <w:r>
        <w:rPr>
          <w:rFonts w:hint="eastAsia" w:ascii="宋体" w:hAnsi="宋体" w:cs="宋体"/>
          <w:b/>
          <w:bCs/>
          <w:sz w:val="28"/>
          <w:szCs w:val="28"/>
        </w:rPr>
        <w:t>资格证明材料</w:t>
      </w:r>
      <w:bookmarkEnd w:id="133"/>
    </w:p>
    <w:p w14:paraId="6CF8559D">
      <w:pPr>
        <w:pStyle w:val="16"/>
        <w:rPr>
          <w:sz w:val="24"/>
          <w:szCs w:val="24"/>
        </w:rPr>
      </w:pPr>
      <w:r>
        <w:rPr>
          <w:rFonts w:hint="eastAsia"/>
          <w:sz w:val="24"/>
          <w:szCs w:val="24"/>
        </w:rPr>
        <w:t>（1） 在中华人民共和国注册，具有独立承担民事责任的能力；（注：①投标人若为企业法人：提供有效的“统一 社会信用代码营业执照 ”；②若为事业法人：提供有效的“统一社会信用代码法人登记证书 ”；③若为其他组织：提供“对应主管部门颁发的准许执业证明文件或营业执照 ”； 以上均提供复印件加盖公章）</w:t>
      </w:r>
    </w:p>
    <w:p w14:paraId="010C828D">
      <w:pPr>
        <w:pStyle w:val="16"/>
        <w:rPr>
          <w:sz w:val="24"/>
          <w:szCs w:val="24"/>
        </w:rPr>
      </w:pPr>
      <w:r>
        <w:rPr>
          <w:rFonts w:hint="eastAsia"/>
          <w:sz w:val="24"/>
          <w:szCs w:val="24"/>
        </w:rPr>
        <w:br w:type="page"/>
      </w:r>
      <w:r>
        <w:rPr>
          <w:rFonts w:hint="eastAsia"/>
          <w:sz w:val="24"/>
          <w:szCs w:val="24"/>
        </w:rPr>
        <w:t>（2）具有良好的商业信誉和健全的财务会计制度（提供承诺函加盖公章）。</w:t>
      </w:r>
    </w:p>
    <w:p w14:paraId="189A0087">
      <w:pPr>
        <w:pStyle w:val="16"/>
        <w:rPr>
          <w:sz w:val="24"/>
          <w:szCs w:val="24"/>
        </w:rPr>
      </w:pPr>
      <w:r>
        <w:rPr>
          <w:rFonts w:hint="eastAsia"/>
          <w:sz w:val="24"/>
          <w:szCs w:val="24"/>
        </w:rPr>
        <w:br w:type="page"/>
      </w:r>
      <w:r>
        <w:rPr>
          <w:rFonts w:hint="eastAsia"/>
          <w:sz w:val="24"/>
          <w:szCs w:val="24"/>
        </w:rPr>
        <w:t>（3）具有履行合同所必需的设备和专业技术能力（提供承诺函加盖公章）。</w:t>
      </w:r>
    </w:p>
    <w:p w14:paraId="7A42D802">
      <w:pPr>
        <w:pStyle w:val="16"/>
        <w:rPr>
          <w:sz w:val="24"/>
          <w:szCs w:val="24"/>
        </w:rPr>
      </w:pPr>
      <w:r>
        <w:rPr>
          <w:rFonts w:hint="eastAsia"/>
          <w:sz w:val="24"/>
          <w:szCs w:val="24"/>
        </w:rPr>
        <w:br w:type="column"/>
      </w:r>
      <w:r>
        <w:rPr>
          <w:rFonts w:hint="eastAsia"/>
          <w:sz w:val="24"/>
          <w:szCs w:val="24"/>
        </w:rPr>
        <w:t xml:space="preserve">（4）有依法缴纳税收和社会保障资金的良好记录（提供承诺函加盖公章）； </w:t>
      </w:r>
    </w:p>
    <w:p w14:paraId="51EC9554">
      <w:pPr>
        <w:pStyle w:val="16"/>
        <w:rPr>
          <w:sz w:val="24"/>
          <w:szCs w:val="24"/>
        </w:rPr>
      </w:pPr>
      <w:r>
        <w:rPr>
          <w:rFonts w:hint="eastAsia"/>
          <w:sz w:val="24"/>
          <w:szCs w:val="24"/>
        </w:rPr>
        <w:br w:type="page"/>
      </w:r>
      <w:r>
        <w:rPr>
          <w:rFonts w:hint="eastAsia"/>
          <w:sz w:val="24"/>
          <w:szCs w:val="24"/>
        </w:rPr>
        <w:t xml:space="preserve">（5）参加此项采购活动前三年内，在经营活动中没有重大违法记录（提供承诺函加盖公章）； </w:t>
      </w:r>
    </w:p>
    <w:p w14:paraId="4A74F5A2">
      <w:pPr>
        <w:pStyle w:val="16"/>
        <w:rPr>
          <w:sz w:val="24"/>
          <w:szCs w:val="24"/>
        </w:rPr>
      </w:pPr>
      <w:r>
        <w:rPr>
          <w:rFonts w:hint="eastAsia"/>
          <w:sz w:val="24"/>
          <w:szCs w:val="24"/>
        </w:rPr>
        <w:br w:type="page"/>
      </w:r>
      <w:r>
        <w:rPr>
          <w:rFonts w:hint="eastAsia"/>
          <w:sz w:val="24"/>
          <w:szCs w:val="24"/>
        </w:rPr>
        <w:t>（6）在“ 中国执行信息公开网（http://zxgk.court.gov.cn/shixin/） ”没有列入失信被执行人、“信用中国（www.creditchi na.gov.cn ）”没有列入重大税收违法失信主体、中国政府采购网（www.ccgp.gov.cn ）没有列入政府采购严重违法失信行为记录名单的供应商（提供承诺函并加盖单位公章，以现场查询为准）；</w:t>
      </w:r>
    </w:p>
    <w:p w14:paraId="6E9CB91F">
      <w:pPr>
        <w:pStyle w:val="16"/>
        <w:rPr>
          <w:sz w:val="24"/>
          <w:szCs w:val="24"/>
        </w:rPr>
      </w:pPr>
      <w:r>
        <w:rPr>
          <w:rFonts w:hint="eastAsia"/>
          <w:sz w:val="24"/>
          <w:szCs w:val="24"/>
        </w:rPr>
        <w:br w:type="page"/>
      </w:r>
      <w:r>
        <w:rPr>
          <w:rFonts w:hint="eastAsia"/>
          <w:sz w:val="24"/>
          <w:szCs w:val="24"/>
        </w:rPr>
        <w:t xml:space="preserve">（7）提供政府采购活动前三年内无环保类行政处罚记录声明函（环保类行政处罚记录声明函）。 </w:t>
      </w:r>
    </w:p>
    <w:p w14:paraId="77267114">
      <w:pPr>
        <w:pStyle w:val="16"/>
        <w:rPr>
          <w:sz w:val="24"/>
          <w:szCs w:val="24"/>
        </w:rPr>
      </w:pPr>
      <w:r>
        <w:rPr>
          <w:rFonts w:hint="eastAsia"/>
          <w:sz w:val="24"/>
          <w:szCs w:val="24"/>
        </w:rPr>
        <w:br w:type="page"/>
      </w:r>
      <w:r>
        <w:rPr>
          <w:rFonts w:hint="eastAsia"/>
          <w:sz w:val="24"/>
          <w:szCs w:val="24"/>
        </w:rPr>
        <w:t>（8）单位负责人为同一人或者单位负责人存在直接控股、管理关系的不同供应商情形，不得参加同一标段投标或者未划分标段的同一招标项目的投标。除单一来源采购项目外，为采购项目提供整体设计、规范编制或者项目管理、监理、检测等服务的供应商，也不得再参加该采购项目的其他采购活动（提供声明函加盖公章）；</w:t>
      </w:r>
    </w:p>
    <w:p w14:paraId="6C163CFC">
      <w:pPr>
        <w:pStyle w:val="16"/>
        <w:rPr>
          <w:sz w:val="24"/>
          <w:szCs w:val="24"/>
        </w:rPr>
      </w:pPr>
      <w:r>
        <w:rPr>
          <w:rFonts w:hint="eastAsia"/>
          <w:sz w:val="24"/>
          <w:szCs w:val="24"/>
        </w:rPr>
        <w:br w:type="page"/>
      </w:r>
      <w:r>
        <w:rPr>
          <w:rFonts w:hint="eastAsia"/>
          <w:sz w:val="24"/>
          <w:szCs w:val="24"/>
        </w:rPr>
        <w:t xml:space="preserve">（9）如投标人不是所投设备生产厂家的，属于三类医疗器械的须具有医疗器械经营企业许可证，属于二类医疗器械的须具有医疗器械经营企业备案登记凭证（提供证件复印件加盖公章）； </w:t>
      </w:r>
    </w:p>
    <w:p w14:paraId="367ECA19">
      <w:pPr>
        <w:pStyle w:val="16"/>
      </w:pPr>
      <w:r>
        <w:rPr>
          <w:rFonts w:hint="eastAsia"/>
          <w:sz w:val="24"/>
          <w:szCs w:val="24"/>
        </w:rPr>
        <w:br w:type="page"/>
      </w:r>
      <w:r>
        <w:rPr>
          <w:rFonts w:hint="eastAsia"/>
          <w:sz w:val="24"/>
          <w:szCs w:val="24"/>
        </w:rPr>
        <w:t>（10）所投设备属于二、三类医疗器械产品的须具有医疗器械注册证、医疗器械生产许可证（进口设备除外），属于一类医疗器械产品的须具备第一类医疗器械备案凭证（提供证件复印件加盖公章）。</w:t>
      </w:r>
    </w:p>
    <w:p w14:paraId="655B3F9E">
      <w:pPr>
        <w:spacing w:line="360" w:lineRule="auto"/>
        <w:rPr>
          <w:sz w:val="24"/>
          <w:szCs w:val="24"/>
        </w:rPr>
      </w:pPr>
    </w:p>
    <w:p w14:paraId="24078E62">
      <w:pPr>
        <w:snapToGrid w:val="0"/>
        <w:spacing w:line="460" w:lineRule="exact"/>
        <w:ind w:firstLine="482" w:firstLineChars="200"/>
        <w:jc w:val="center"/>
        <w:rPr>
          <w:rFonts w:hint="eastAsia" w:ascii="宋体" w:hAnsi="宋体" w:cs="宋体"/>
          <w:b/>
          <w:bCs/>
          <w:sz w:val="24"/>
        </w:rPr>
      </w:pPr>
    </w:p>
    <w:p w14:paraId="3B1C3584">
      <w:pPr>
        <w:snapToGrid w:val="0"/>
        <w:spacing w:line="460" w:lineRule="exact"/>
        <w:ind w:firstLine="482" w:firstLineChars="200"/>
        <w:jc w:val="center"/>
        <w:rPr>
          <w:rFonts w:hint="eastAsia" w:ascii="宋体" w:hAnsi="宋体" w:cs="宋体"/>
          <w:b/>
          <w:bCs/>
          <w:sz w:val="24"/>
        </w:rPr>
      </w:pPr>
    </w:p>
    <w:p w14:paraId="04C8A04F">
      <w:pPr>
        <w:snapToGrid w:val="0"/>
        <w:spacing w:line="460" w:lineRule="exact"/>
        <w:ind w:firstLine="482" w:firstLineChars="200"/>
        <w:jc w:val="center"/>
        <w:rPr>
          <w:rFonts w:hint="eastAsia" w:ascii="宋体" w:hAnsi="宋体" w:cs="宋体"/>
          <w:b/>
          <w:bCs/>
          <w:sz w:val="24"/>
        </w:rPr>
      </w:pPr>
    </w:p>
    <w:p w14:paraId="3C77D4A7">
      <w:pPr>
        <w:snapToGrid w:val="0"/>
        <w:spacing w:line="460" w:lineRule="exact"/>
        <w:ind w:firstLine="482" w:firstLineChars="200"/>
        <w:jc w:val="center"/>
        <w:rPr>
          <w:rFonts w:hint="eastAsia" w:ascii="宋体" w:hAnsi="宋体" w:cs="宋体"/>
          <w:b/>
          <w:bCs/>
          <w:sz w:val="24"/>
        </w:rPr>
      </w:pPr>
    </w:p>
    <w:p w14:paraId="59355BEA">
      <w:pPr>
        <w:snapToGrid w:val="0"/>
        <w:spacing w:line="460" w:lineRule="exact"/>
        <w:ind w:firstLine="482" w:firstLineChars="200"/>
        <w:jc w:val="center"/>
        <w:rPr>
          <w:rFonts w:hint="eastAsia" w:ascii="宋体" w:hAnsi="宋体" w:cs="宋体"/>
          <w:b/>
          <w:bCs/>
          <w:sz w:val="24"/>
        </w:rPr>
      </w:pPr>
    </w:p>
    <w:p w14:paraId="46FD5CBA">
      <w:pPr>
        <w:snapToGrid w:val="0"/>
        <w:spacing w:line="460" w:lineRule="exact"/>
        <w:ind w:firstLine="482" w:firstLineChars="200"/>
        <w:jc w:val="center"/>
        <w:rPr>
          <w:rFonts w:hint="eastAsia" w:ascii="宋体" w:hAnsi="宋体" w:cs="宋体"/>
          <w:b/>
          <w:bCs/>
          <w:sz w:val="24"/>
        </w:rPr>
      </w:pPr>
    </w:p>
    <w:p w14:paraId="093C3AFA">
      <w:pPr>
        <w:snapToGrid w:val="0"/>
        <w:spacing w:line="460" w:lineRule="exact"/>
        <w:ind w:firstLine="482" w:firstLineChars="200"/>
        <w:jc w:val="center"/>
        <w:rPr>
          <w:rFonts w:hint="eastAsia" w:ascii="宋体" w:hAnsi="宋体" w:cs="宋体"/>
          <w:b/>
          <w:bCs/>
          <w:sz w:val="24"/>
        </w:rPr>
      </w:pPr>
    </w:p>
    <w:p w14:paraId="7F686B11">
      <w:pPr>
        <w:snapToGrid w:val="0"/>
        <w:spacing w:line="460" w:lineRule="exact"/>
        <w:ind w:firstLine="482" w:firstLineChars="200"/>
        <w:jc w:val="center"/>
        <w:rPr>
          <w:rFonts w:hint="eastAsia" w:ascii="宋体" w:hAnsi="宋体" w:cs="宋体"/>
          <w:b/>
          <w:bCs/>
          <w:sz w:val="24"/>
        </w:rPr>
      </w:pPr>
    </w:p>
    <w:p w14:paraId="7A6558A4">
      <w:pPr>
        <w:snapToGrid w:val="0"/>
        <w:spacing w:line="460" w:lineRule="exact"/>
        <w:ind w:firstLine="482" w:firstLineChars="200"/>
        <w:jc w:val="center"/>
        <w:rPr>
          <w:rFonts w:hint="eastAsia" w:ascii="宋体" w:hAnsi="宋体" w:cs="宋体"/>
          <w:b/>
          <w:bCs/>
          <w:sz w:val="24"/>
        </w:rPr>
      </w:pPr>
    </w:p>
    <w:p w14:paraId="6F0597C3">
      <w:pPr>
        <w:snapToGrid w:val="0"/>
        <w:spacing w:line="460" w:lineRule="exact"/>
        <w:ind w:firstLine="482" w:firstLineChars="200"/>
        <w:jc w:val="center"/>
        <w:rPr>
          <w:rFonts w:hint="eastAsia" w:ascii="宋体" w:hAnsi="宋体" w:cs="宋体"/>
          <w:b/>
          <w:bCs/>
          <w:sz w:val="24"/>
        </w:rPr>
      </w:pPr>
    </w:p>
    <w:p w14:paraId="654D28D6">
      <w:pPr>
        <w:snapToGrid w:val="0"/>
        <w:spacing w:line="460" w:lineRule="exact"/>
        <w:ind w:firstLine="482" w:firstLineChars="200"/>
        <w:jc w:val="center"/>
        <w:rPr>
          <w:rFonts w:hint="eastAsia" w:ascii="宋体" w:hAnsi="宋体" w:cs="宋体"/>
          <w:b/>
          <w:bCs/>
          <w:sz w:val="24"/>
        </w:rPr>
      </w:pPr>
    </w:p>
    <w:p w14:paraId="367A7869">
      <w:pPr>
        <w:snapToGrid w:val="0"/>
        <w:spacing w:line="460" w:lineRule="exact"/>
        <w:ind w:firstLine="482" w:firstLineChars="200"/>
        <w:jc w:val="center"/>
        <w:rPr>
          <w:rFonts w:hint="eastAsia" w:ascii="宋体" w:hAnsi="宋体" w:cs="宋体"/>
          <w:b/>
          <w:bCs/>
          <w:sz w:val="24"/>
        </w:rPr>
      </w:pPr>
    </w:p>
    <w:p w14:paraId="76962B6E">
      <w:pPr>
        <w:snapToGrid w:val="0"/>
        <w:spacing w:line="460" w:lineRule="exact"/>
        <w:ind w:firstLine="482" w:firstLineChars="200"/>
        <w:jc w:val="center"/>
        <w:rPr>
          <w:rFonts w:hint="eastAsia" w:ascii="宋体" w:hAnsi="宋体" w:cs="宋体"/>
          <w:b/>
          <w:bCs/>
          <w:sz w:val="24"/>
        </w:rPr>
      </w:pPr>
    </w:p>
    <w:p w14:paraId="2B8F63C7">
      <w:pPr>
        <w:snapToGrid w:val="0"/>
        <w:spacing w:line="460" w:lineRule="exact"/>
        <w:ind w:firstLine="482" w:firstLineChars="200"/>
        <w:jc w:val="center"/>
        <w:rPr>
          <w:rFonts w:hint="eastAsia" w:ascii="宋体" w:hAnsi="宋体" w:cs="宋体"/>
          <w:b/>
          <w:bCs/>
          <w:sz w:val="24"/>
        </w:rPr>
      </w:pPr>
    </w:p>
    <w:p w14:paraId="06231D7A">
      <w:pPr>
        <w:spacing w:line="360" w:lineRule="auto"/>
        <w:rPr>
          <w:rFonts w:hint="eastAsia" w:ascii="宋体" w:hAnsi="宋体" w:cs="宋体"/>
          <w:lang w:bidi="ar"/>
        </w:rPr>
      </w:pPr>
    </w:p>
    <w:p w14:paraId="1D4B1809">
      <w:pPr>
        <w:pStyle w:val="33"/>
        <w:spacing w:before="0" w:beforeAutospacing="0" w:after="0" w:afterAutospacing="0" w:line="560" w:lineRule="exact"/>
        <w:ind w:firstLine="562" w:firstLineChars="200"/>
        <w:rPr>
          <w:rFonts w:hint="eastAsia" w:hAnsi="宋体" w:cs="宋体"/>
          <w:color w:val="000000" w:themeColor="text1"/>
          <w14:textFill>
            <w14:solidFill>
              <w14:schemeClr w14:val="tx1"/>
            </w14:solidFill>
          </w14:textFill>
        </w:rPr>
      </w:pPr>
      <w:r>
        <w:rPr>
          <w:rFonts w:hint="eastAsia" w:ascii="宋体" w:hAnsi="宋体" w:cs="宋体"/>
          <w:b/>
          <w:bCs/>
          <w:sz w:val="28"/>
          <w:szCs w:val="28"/>
        </w:rPr>
        <w:br w:type="page"/>
      </w:r>
      <w:bookmarkStart w:id="134" w:name="_Toc8167"/>
    </w:p>
    <w:p w14:paraId="3B638ABC">
      <w:pPr>
        <w:pStyle w:val="33"/>
        <w:spacing w:before="0" w:beforeAutospacing="0" w:after="0" w:afterAutospacing="0" w:line="560" w:lineRule="exact"/>
        <w:ind w:firstLine="480" w:firstLineChars="200"/>
        <w:rPr>
          <w:rFonts w:hint="eastAsia" w:hAnsi="宋体" w:cs="宋体"/>
          <w:color w:val="000000" w:themeColor="text1"/>
          <w:lang w:eastAsia="zh-CN"/>
          <w14:textFill>
            <w14:solidFill>
              <w14:schemeClr w14:val="tx1"/>
            </w14:solidFill>
          </w14:textFill>
        </w:rPr>
      </w:pP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11</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提供</w:t>
      </w:r>
      <w:r>
        <w:rPr>
          <w:rFonts w:hint="eastAsia" w:hAnsi="宋体" w:cs="宋体"/>
          <w:color w:val="000000" w:themeColor="text1"/>
          <w:lang w:eastAsia="zh-CN"/>
          <w14:textFill>
            <w14:solidFill>
              <w14:schemeClr w14:val="tx1"/>
            </w14:solidFill>
          </w14:textFill>
        </w:rPr>
        <w:t>国家企业信用信息公示系统”法人、股东等高管人员相关资料截图。</w:t>
      </w:r>
    </w:p>
    <w:p w14:paraId="42DE1CF3">
      <w:pPr>
        <w:rPr>
          <w:rStyle w:val="47"/>
          <w:rFonts w:hint="eastAsia"/>
        </w:rPr>
      </w:pPr>
      <w:r>
        <w:rPr>
          <w:rStyle w:val="47"/>
          <w:rFonts w:hint="eastAsia"/>
        </w:rPr>
        <w:br w:type="page"/>
      </w:r>
    </w:p>
    <w:p w14:paraId="6422F091">
      <w:pPr>
        <w:outlineLvl w:val="2"/>
        <w:rPr>
          <w:rFonts w:hint="eastAsia" w:ascii="宋体" w:hAnsi="宋体" w:cs="宋体"/>
          <w:b/>
          <w:bCs/>
          <w:sz w:val="28"/>
          <w:szCs w:val="28"/>
        </w:rPr>
      </w:pPr>
      <w:r>
        <w:rPr>
          <w:rStyle w:val="47"/>
          <w:rFonts w:hint="eastAsia"/>
        </w:rPr>
        <w:t>七、中小企业声明函</w:t>
      </w:r>
      <w:bookmarkEnd w:id="134"/>
      <w:r>
        <w:rPr>
          <w:rStyle w:val="47"/>
          <w:rFonts w:hint="eastAsia"/>
        </w:rPr>
        <w:t xml:space="preserve"> </w:t>
      </w:r>
    </w:p>
    <w:p w14:paraId="6A908606">
      <w:pPr>
        <w:spacing w:line="440" w:lineRule="exact"/>
        <w:jc w:val="center"/>
        <w:rPr>
          <w:rFonts w:ascii="宋体" w:cs="宋体"/>
          <w:b/>
          <w:sz w:val="28"/>
          <w:szCs w:val="28"/>
        </w:rPr>
      </w:pPr>
      <w:r>
        <w:rPr>
          <w:rFonts w:hint="eastAsia" w:ascii="宋体" w:hAnsi="宋体" w:cs="宋体"/>
          <w:b/>
          <w:bCs/>
          <w:sz w:val="28"/>
          <w:szCs w:val="28"/>
          <w:lang w:val="zh-TW" w:eastAsia="zh-TW"/>
        </w:rPr>
        <w:t>中小企业声明函（货物）</w:t>
      </w:r>
    </w:p>
    <w:p w14:paraId="468F5CD7">
      <w:pPr>
        <w:spacing w:line="360" w:lineRule="auto"/>
        <w:jc w:val="both"/>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本公司（联合体）郑重声明，根据《政府采购促进中小企业发展管理办法》（财库﹝2020﹞46 号）的规定，本公司 （联合体）参加</w:t>
      </w:r>
      <w:r>
        <w:rPr>
          <w:rFonts w:ascii="宋体" w:hAnsi="宋体" w:cs="宋体"/>
          <w:sz w:val="24"/>
          <w:szCs w:val="24"/>
          <w:u w:val="single"/>
        </w:rPr>
        <w:t>（单位名称）</w:t>
      </w:r>
      <w:r>
        <w:rPr>
          <w:rFonts w:ascii="宋体" w:hAnsi="宋体" w:cs="宋体"/>
          <w:sz w:val="24"/>
          <w:szCs w:val="24"/>
        </w:rPr>
        <w:t>的</w:t>
      </w:r>
      <w:r>
        <w:rPr>
          <w:rFonts w:ascii="宋体" w:hAnsi="宋体" w:cs="宋体"/>
          <w:sz w:val="24"/>
          <w:szCs w:val="24"/>
          <w:u w:val="single"/>
        </w:rPr>
        <w:t>（项目名称）</w:t>
      </w:r>
      <w:r>
        <w:rPr>
          <w:rFonts w:ascii="宋体" w:hAnsi="宋体" w:cs="宋体"/>
          <w:sz w:val="24"/>
          <w:szCs w:val="24"/>
        </w:rPr>
        <w:t xml:space="preserve">采购活动，提供的货物全部由符合政策要求的中小企业制造。相关企业 （含联合体中的中小企业、签订分包意向协议的中小企业） 的具体情况如下： </w:t>
      </w:r>
    </w:p>
    <w:p w14:paraId="4803C94B">
      <w:pPr>
        <w:numPr>
          <w:ilvl w:val="0"/>
          <w:numId w:val="5"/>
        </w:numPr>
        <w:spacing w:line="360" w:lineRule="auto"/>
        <w:ind w:firstLine="480" w:firstLineChars="200"/>
        <w:jc w:val="both"/>
        <w:rPr>
          <w:rFonts w:hint="eastAsia" w:ascii="宋体" w:hAnsi="宋体" w:cs="宋体"/>
          <w:sz w:val="24"/>
          <w:szCs w:val="24"/>
        </w:rPr>
      </w:pPr>
      <w:r>
        <w:rPr>
          <w:rFonts w:ascii="宋体" w:hAnsi="宋体" w:cs="宋体"/>
          <w:sz w:val="24"/>
          <w:szCs w:val="24"/>
          <w:u w:val="single"/>
        </w:rPr>
        <w:t>（标的名称）</w:t>
      </w:r>
      <w:r>
        <w:rPr>
          <w:rFonts w:ascii="宋体" w:hAnsi="宋体" w:cs="宋体"/>
          <w:sz w:val="24"/>
          <w:szCs w:val="24"/>
        </w:rPr>
        <w:t xml:space="preserve"> ，属于</w:t>
      </w:r>
      <w:r>
        <w:rPr>
          <w:rFonts w:hint="eastAsia" w:ascii="宋体" w:hAnsi="宋体" w:cs="宋体"/>
          <w:sz w:val="24"/>
          <w:szCs w:val="24"/>
          <w:u w:val="single"/>
        </w:rPr>
        <w:t>工业（制造业）</w:t>
      </w:r>
      <w:r>
        <w:rPr>
          <w:rFonts w:ascii="宋体" w:hAnsi="宋体" w:cs="宋体"/>
          <w:sz w:val="24"/>
          <w:szCs w:val="24"/>
        </w:rPr>
        <w:t>；制造商为</w:t>
      </w:r>
      <w:r>
        <w:rPr>
          <w:rFonts w:ascii="宋体" w:hAnsi="宋体" w:cs="宋体"/>
          <w:sz w:val="24"/>
          <w:szCs w:val="24"/>
          <w:u w:val="single"/>
        </w:rPr>
        <w:t>（企业名称）</w:t>
      </w:r>
      <w:r>
        <w:rPr>
          <w:rFonts w:ascii="宋体" w:hAnsi="宋体" w:cs="宋体"/>
          <w:sz w:val="24"/>
          <w:szCs w:val="24"/>
        </w:rPr>
        <w:t>，从业人员</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rPr>
        <w:t>人，营业收入为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rPr>
        <w:t>万元，资产总额为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rPr>
        <w:t>万元，属于</w:t>
      </w:r>
      <w:r>
        <w:rPr>
          <w:rFonts w:ascii="宋体" w:hAnsi="宋体" w:cs="宋体"/>
          <w:sz w:val="24"/>
          <w:szCs w:val="24"/>
          <w:u w:val="single"/>
        </w:rPr>
        <w:t>（中型企业、小型企业、微型企业）</w:t>
      </w:r>
      <w:r>
        <w:rPr>
          <w:rFonts w:ascii="宋体" w:hAnsi="宋体" w:cs="宋体"/>
          <w:sz w:val="24"/>
          <w:szCs w:val="24"/>
        </w:rPr>
        <w:t xml:space="preserve">； </w:t>
      </w:r>
    </w:p>
    <w:p w14:paraId="75C8718B">
      <w:pPr>
        <w:numPr>
          <w:ilvl w:val="0"/>
          <w:numId w:val="5"/>
        </w:numPr>
        <w:spacing w:line="360" w:lineRule="auto"/>
        <w:ind w:firstLine="480" w:firstLineChars="200"/>
        <w:jc w:val="both"/>
        <w:rPr>
          <w:rFonts w:hint="eastAsia" w:ascii="宋体" w:hAnsi="宋体" w:cs="宋体"/>
          <w:sz w:val="24"/>
          <w:szCs w:val="24"/>
        </w:rPr>
      </w:pPr>
      <w:r>
        <w:rPr>
          <w:rFonts w:ascii="宋体" w:hAnsi="宋体" w:cs="宋体"/>
          <w:sz w:val="24"/>
          <w:szCs w:val="24"/>
          <w:u w:val="single"/>
        </w:rPr>
        <w:t xml:space="preserve">（标的名称） </w:t>
      </w:r>
      <w:r>
        <w:rPr>
          <w:rFonts w:ascii="宋体" w:hAnsi="宋体" w:cs="宋体"/>
          <w:sz w:val="24"/>
          <w:szCs w:val="24"/>
        </w:rPr>
        <w:t>，属于</w:t>
      </w:r>
      <w:r>
        <w:rPr>
          <w:rFonts w:hint="eastAsia" w:ascii="宋体" w:hAnsi="宋体" w:cs="宋体"/>
          <w:sz w:val="24"/>
          <w:szCs w:val="24"/>
          <w:u w:val="single"/>
        </w:rPr>
        <w:t>工业（制造业）</w:t>
      </w:r>
      <w:r>
        <w:rPr>
          <w:rFonts w:ascii="宋体" w:hAnsi="宋体" w:cs="宋体"/>
          <w:sz w:val="24"/>
          <w:szCs w:val="24"/>
        </w:rPr>
        <w:t>；制造商为</w:t>
      </w:r>
      <w:r>
        <w:rPr>
          <w:rFonts w:ascii="宋体" w:hAnsi="宋体" w:cs="宋体"/>
          <w:sz w:val="24"/>
          <w:szCs w:val="24"/>
          <w:u w:val="single"/>
        </w:rPr>
        <w:t>（企业名称）</w:t>
      </w:r>
      <w:r>
        <w:rPr>
          <w:rFonts w:ascii="宋体" w:hAnsi="宋体" w:cs="宋体"/>
          <w:sz w:val="24"/>
          <w:szCs w:val="24"/>
        </w:rPr>
        <w:t>，从业人员</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rPr>
        <w:t>人，营业收入为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rPr>
        <w:t>万元，资产总额为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rPr>
        <w:t>万元，属于</w:t>
      </w:r>
      <w:r>
        <w:rPr>
          <w:rFonts w:ascii="宋体" w:hAnsi="宋体" w:cs="宋体"/>
          <w:sz w:val="24"/>
          <w:szCs w:val="24"/>
          <w:u w:val="single"/>
        </w:rPr>
        <w:t>（中型企业、小型企业、微型企业）</w:t>
      </w:r>
      <w:r>
        <w:rPr>
          <w:rFonts w:ascii="宋体" w:hAnsi="宋体" w:cs="宋体"/>
          <w:sz w:val="24"/>
          <w:szCs w:val="24"/>
        </w:rPr>
        <w:t xml:space="preserve">； </w:t>
      </w:r>
    </w:p>
    <w:p w14:paraId="77DA43E8">
      <w:pPr>
        <w:spacing w:line="360" w:lineRule="auto"/>
        <w:ind w:left="420" w:leftChars="200"/>
        <w:jc w:val="both"/>
        <w:rPr>
          <w:rFonts w:hint="eastAsia" w:ascii="宋体" w:hAnsi="宋体" w:cs="宋体"/>
          <w:sz w:val="24"/>
          <w:szCs w:val="24"/>
        </w:rPr>
      </w:pPr>
      <w:r>
        <w:rPr>
          <w:rFonts w:ascii="宋体" w:hAnsi="宋体" w:cs="宋体"/>
          <w:sz w:val="24"/>
          <w:szCs w:val="24"/>
        </w:rPr>
        <w:t xml:space="preserve">…… </w:t>
      </w:r>
    </w:p>
    <w:p w14:paraId="36442B17">
      <w:pPr>
        <w:spacing w:line="360" w:lineRule="auto"/>
        <w:ind w:firstLine="480" w:firstLineChars="200"/>
        <w:jc w:val="both"/>
        <w:rPr>
          <w:rFonts w:hint="eastAsia" w:ascii="宋体" w:hAnsi="宋体" w:cs="宋体"/>
          <w:sz w:val="24"/>
          <w:szCs w:val="24"/>
        </w:rPr>
      </w:pPr>
      <w:r>
        <w:rPr>
          <w:rFonts w:ascii="宋体" w:hAnsi="宋体" w:cs="宋体"/>
          <w:sz w:val="24"/>
          <w:szCs w:val="24"/>
        </w:rPr>
        <w:t xml:space="preserve">以上企业，不属于大企业的分支机构，不存在控股股东为大企业的情形，也不存在与大企业的负责人为同一人的情形。本企业对上述声明内容的真实性负责。如有虚假，将依法承担相应责任。 </w:t>
      </w:r>
    </w:p>
    <w:p w14:paraId="13DEE672">
      <w:pPr>
        <w:spacing w:line="360" w:lineRule="auto"/>
        <w:ind w:firstLine="480" w:firstLineChars="200"/>
        <w:jc w:val="both"/>
        <w:rPr>
          <w:rFonts w:hint="eastAsia" w:ascii="宋体" w:hAnsi="宋体" w:cs="宋体"/>
          <w:sz w:val="24"/>
          <w:szCs w:val="24"/>
        </w:rPr>
      </w:pPr>
      <w:r>
        <w:rPr>
          <w:rFonts w:ascii="宋体" w:hAnsi="宋体" w:cs="宋体"/>
          <w:sz w:val="24"/>
          <w:szCs w:val="24"/>
        </w:rPr>
        <w:t xml:space="preserve">企业名称（盖章）： </w:t>
      </w:r>
    </w:p>
    <w:p w14:paraId="1B7AA531">
      <w:pPr>
        <w:spacing w:line="360" w:lineRule="auto"/>
        <w:ind w:firstLine="480" w:firstLineChars="200"/>
        <w:jc w:val="both"/>
        <w:rPr>
          <w:rFonts w:hint="eastAsia" w:ascii="宋体" w:hAnsi="宋体" w:cs="宋体"/>
          <w:sz w:val="24"/>
          <w:szCs w:val="24"/>
        </w:rPr>
      </w:pPr>
      <w:r>
        <w:rPr>
          <w:rFonts w:ascii="宋体" w:hAnsi="宋体" w:cs="宋体"/>
          <w:sz w:val="24"/>
          <w:szCs w:val="24"/>
        </w:rPr>
        <w:t xml:space="preserve">日 期： </w:t>
      </w:r>
    </w:p>
    <w:p w14:paraId="09D9D049">
      <w:pPr>
        <w:spacing w:line="360" w:lineRule="auto"/>
        <w:ind w:firstLine="480" w:firstLineChars="200"/>
        <w:jc w:val="both"/>
        <w:rPr>
          <w:rFonts w:hint="eastAsia" w:ascii="宋体" w:hAnsi="宋体" w:cs="宋体"/>
          <w:sz w:val="24"/>
          <w:szCs w:val="24"/>
        </w:rPr>
      </w:pPr>
    </w:p>
    <w:p w14:paraId="4E21E315">
      <w:pPr>
        <w:spacing w:line="360" w:lineRule="auto"/>
        <w:ind w:firstLine="482" w:firstLineChars="200"/>
        <w:jc w:val="both"/>
        <w:rPr>
          <w:rFonts w:hint="eastAsia" w:ascii="宋体" w:hAnsi="宋体" w:cs="宋体"/>
          <w:b/>
          <w:bCs/>
          <w:sz w:val="24"/>
          <w:szCs w:val="24"/>
        </w:rPr>
      </w:pPr>
      <w:r>
        <w:rPr>
          <w:rFonts w:ascii="宋体" w:hAnsi="宋体" w:cs="宋体"/>
          <w:b/>
          <w:bCs/>
          <w:sz w:val="24"/>
          <w:szCs w:val="24"/>
        </w:rPr>
        <w:t>从业人员、营业收入、资产总额填报上一年度数据，无上一年度数据的新成立企业可不填报。</w:t>
      </w:r>
    </w:p>
    <w:p w14:paraId="2E66FF19">
      <w:pPr>
        <w:tabs>
          <w:tab w:val="left" w:pos="4680"/>
        </w:tabs>
        <w:snapToGrid w:val="0"/>
        <w:spacing w:line="360" w:lineRule="auto"/>
        <w:rPr>
          <w:rFonts w:hint="eastAsia" w:ascii="宋体" w:hAnsi="宋体" w:cs="宋体"/>
          <w:b/>
          <w:bCs/>
          <w:sz w:val="28"/>
          <w:szCs w:val="28"/>
        </w:rPr>
      </w:pPr>
    </w:p>
    <w:p w14:paraId="21AE4649">
      <w:pPr>
        <w:tabs>
          <w:tab w:val="left" w:pos="4680"/>
        </w:tabs>
        <w:snapToGrid w:val="0"/>
        <w:spacing w:line="360" w:lineRule="auto"/>
        <w:rPr>
          <w:rFonts w:hint="eastAsia" w:ascii="宋体" w:hAnsi="宋体" w:cs="宋体"/>
          <w:b/>
          <w:bCs/>
          <w:sz w:val="28"/>
          <w:szCs w:val="28"/>
        </w:rPr>
      </w:pPr>
    </w:p>
    <w:p w14:paraId="5CA28AFD">
      <w:pPr>
        <w:tabs>
          <w:tab w:val="left" w:pos="4680"/>
        </w:tabs>
        <w:snapToGrid w:val="0"/>
        <w:spacing w:line="360" w:lineRule="auto"/>
        <w:rPr>
          <w:rFonts w:hint="eastAsia" w:ascii="宋体" w:hAnsi="宋体" w:cs="宋体"/>
          <w:b/>
          <w:bCs/>
          <w:sz w:val="28"/>
          <w:szCs w:val="28"/>
        </w:rPr>
      </w:pPr>
    </w:p>
    <w:p w14:paraId="665383E1">
      <w:pPr>
        <w:rPr>
          <w:rFonts w:hint="eastAsia" w:ascii="宋体" w:hAnsi="宋体" w:cs="宋体"/>
          <w:b/>
          <w:bCs/>
          <w:sz w:val="28"/>
          <w:szCs w:val="28"/>
        </w:rPr>
      </w:pPr>
      <w:bookmarkStart w:id="135" w:name="_Toc25786993"/>
    </w:p>
    <w:p w14:paraId="43D0257F">
      <w:pPr>
        <w:rPr>
          <w:rFonts w:hint="eastAsia" w:ascii="宋体" w:hAnsi="宋体" w:cs="宋体"/>
          <w:b/>
          <w:bCs/>
          <w:sz w:val="28"/>
          <w:szCs w:val="28"/>
        </w:rPr>
      </w:pPr>
    </w:p>
    <w:p w14:paraId="28644877">
      <w:pPr>
        <w:rPr>
          <w:rFonts w:hint="eastAsia" w:ascii="宋体" w:hAnsi="宋体" w:cs="宋体"/>
          <w:b/>
          <w:bCs/>
          <w:sz w:val="28"/>
          <w:szCs w:val="28"/>
        </w:rPr>
      </w:pPr>
    </w:p>
    <w:p w14:paraId="6CF46293">
      <w:pPr>
        <w:pStyle w:val="4"/>
      </w:pPr>
      <w:bookmarkStart w:id="136" w:name="_Toc12436"/>
      <w:r>
        <w:rPr>
          <w:rFonts w:hint="eastAsia"/>
        </w:rPr>
        <w:t>八、监狱企业证明文件</w:t>
      </w:r>
      <w:bookmarkEnd w:id="136"/>
    </w:p>
    <w:p w14:paraId="36F9A649">
      <w:pPr>
        <w:spacing w:line="360" w:lineRule="auto"/>
        <w:ind w:firstLine="480" w:firstLineChars="200"/>
        <w:rPr>
          <w:rFonts w:hint="eastAsia" w:ascii="宋体" w:hAnsi="宋体" w:cs="宋体"/>
          <w:sz w:val="24"/>
          <w:szCs w:val="24"/>
          <w:lang w:bidi="ar"/>
        </w:rPr>
      </w:pPr>
      <w:r>
        <w:rPr>
          <w:rFonts w:hint="eastAsia" w:ascii="宋体" w:hAnsi="宋体" w:cs="宋体"/>
          <w:sz w:val="24"/>
          <w:szCs w:val="24"/>
          <w:lang w:bidi="ar"/>
        </w:rPr>
        <w:t xml:space="preserve">享受政策优惠的监狱企业须提供由省级以上监狱管理局、戒毒管理局（含新疆生产建设兵团）出具的属于监狱企业的证明文件。 </w:t>
      </w:r>
    </w:p>
    <w:p w14:paraId="7B2B6596">
      <w:pPr>
        <w:spacing w:line="360" w:lineRule="auto"/>
        <w:ind w:firstLine="482" w:firstLineChars="200"/>
        <w:rPr>
          <w:b/>
          <w:bCs/>
        </w:rPr>
      </w:pPr>
      <w:r>
        <w:rPr>
          <w:rFonts w:hint="eastAsia" w:ascii="宋体" w:hAnsi="宋体" w:cs="宋体"/>
          <w:b/>
          <w:bCs/>
          <w:sz w:val="24"/>
          <w:szCs w:val="24"/>
          <w:lang w:bidi="ar"/>
        </w:rPr>
        <w:t>非监狱企业无需提供。</w:t>
      </w:r>
    </w:p>
    <w:p w14:paraId="38C7C89F">
      <w:pPr>
        <w:spacing w:line="360" w:lineRule="auto"/>
        <w:rPr>
          <w:rFonts w:hint="eastAsia" w:ascii="宋体" w:hAnsi="宋体" w:cs="宋体"/>
          <w:b/>
          <w:sz w:val="28"/>
          <w:szCs w:val="28"/>
          <w:lang w:bidi="ar"/>
        </w:rPr>
      </w:pPr>
    </w:p>
    <w:p w14:paraId="2291993D">
      <w:pPr>
        <w:spacing w:line="360" w:lineRule="auto"/>
        <w:rPr>
          <w:rFonts w:hint="eastAsia" w:ascii="宋体" w:hAnsi="宋体" w:cs="宋体"/>
          <w:b/>
          <w:sz w:val="28"/>
          <w:szCs w:val="28"/>
          <w:lang w:bidi="ar"/>
        </w:rPr>
      </w:pPr>
    </w:p>
    <w:p w14:paraId="5FA56673">
      <w:pPr>
        <w:spacing w:line="360" w:lineRule="auto"/>
        <w:rPr>
          <w:rFonts w:hint="eastAsia" w:ascii="宋体" w:hAnsi="宋体" w:cs="宋体"/>
          <w:b/>
          <w:sz w:val="28"/>
          <w:szCs w:val="28"/>
          <w:lang w:bidi="ar"/>
        </w:rPr>
      </w:pPr>
    </w:p>
    <w:p w14:paraId="0A75A62C">
      <w:pPr>
        <w:spacing w:line="360" w:lineRule="auto"/>
        <w:rPr>
          <w:rFonts w:hint="eastAsia" w:ascii="宋体" w:hAnsi="宋体" w:cs="宋体"/>
          <w:b/>
          <w:sz w:val="28"/>
          <w:szCs w:val="28"/>
          <w:lang w:bidi="ar"/>
        </w:rPr>
      </w:pPr>
    </w:p>
    <w:p w14:paraId="2951EEFC">
      <w:pPr>
        <w:spacing w:line="360" w:lineRule="auto"/>
        <w:rPr>
          <w:rFonts w:hint="eastAsia" w:ascii="宋体" w:hAnsi="宋体" w:cs="宋体"/>
          <w:b/>
          <w:sz w:val="28"/>
          <w:szCs w:val="28"/>
          <w:lang w:bidi="ar"/>
        </w:rPr>
      </w:pPr>
    </w:p>
    <w:p w14:paraId="3F7A664A">
      <w:pPr>
        <w:spacing w:line="360" w:lineRule="auto"/>
        <w:rPr>
          <w:rFonts w:hint="eastAsia" w:ascii="宋体" w:hAnsi="宋体" w:cs="宋体"/>
          <w:b/>
          <w:sz w:val="28"/>
          <w:szCs w:val="28"/>
          <w:lang w:bidi="ar"/>
        </w:rPr>
      </w:pPr>
    </w:p>
    <w:p w14:paraId="2C75F733">
      <w:pPr>
        <w:spacing w:line="360" w:lineRule="auto"/>
        <w:rPr>
          <w:rFonts w:hint="eastAsia" w:ascii="宋体" w:hAnsi="宋体" w:cs="宋体"/>
          <w:b/>
          <w:sz w:val="28"/>
          <w:szCs w:val="28"/>
          <w:lang w:bidi="ar"/>
        </w:rPr>
      </w:pPr>
    </w:p>
    <w:p w14:paraId="75F85DC2">
      <w:pPr>
        <w:spacing w:line="360" w:lineRule="auto"/>
        <w:rPr>
          <w:rFonts w:hint="eastAsia" w:ascii="宋体" w:hAnsi="宋体" w:cs="宋体"/>
          <w:b/>
          <w:sz w:val="28"/>
          <w:szCs w:val="28"/>
          <w:lang w:bidi="ar"/>
        </w:rPr>
      </w:pPr>
    </w:p>
    <w:p w14:paraId="726BD509">
      <w:pPr>
        <w:spacing w:line="360" w:lineRule="auto"/>
        <w:rPr>
          <w:rFonts w:hint="eastAsia" w:ascii="宋体" w:hAnsi="宋体" w:cs="宋体"/>
          <w:b/>
          <w:sz w:val="28"/>
          <w:szCs w:val="28"/>
          <w:lang w:bidi="ar"/>
        </w:rPr>
      </w:pPr>
    </w:p>
    <w:p w14:paraId="27696512">
      <w:pPr>
        <w:spacing w:line="360" w:lineRule="auto"/>
        <w:rPr>
          <w:rFonts w:hint="eastAsia" w:ascii="宋体" w:hAnsi="宋体" w:cs="宋体"/>
          <w:b/>
          <w:sz w:val="28"/>
          <w:szCs w:val="28"/>
          <w:lang w:bidi="ar"/>
        </w:rPr>
      </w:pPr>
    </w:p>
    <w:p w14:paraId="78FE60BC">
      <w:pPr>
        <w:spacing w:line="360" w:lineRule="auto"/>
        <w:rPr>
          <w:rFonts w:hint="eastAsia" w:ascii="宋体" w:hAnsi="宋体" w:cs="宋体"/>
          <w:b/>
          <w:sz w:val="28"/>
          <w:szCs w:val="28"/>
          <w:lang w:bidi="ar"/>
        </w:rPr>
      </w:pPr>
    </w:p>
    <w:p w14:paraId="57DA3717">
      <w:pPr>
        <w:spacing w:line="360" w:lineRule="auto"/>
        <w:rPr>
          <w:rFonts w:hint="eastAsia" w:ascii="宋体" w:hAnsi="宋体" w:cs="宋体"/>
          <w:b/>
          <w:sz w:val="28"/>
          <w:szCs w:val="28"/>
          <w:lang w:bidi="ar"/>
        </w:rPr>
      </w:pPr>
    </w:p>
    <w:p w14:paraId="61FD675F">
      <w:pPr>
        <w:spacing w:line="360" w:lineRule="auto"/>
        <w:rPr>
          <w:rFonts w:hint="eastAsia" w:ascii="宋体" w:hAnsi="宋体" w:cs="宋体"/>
          <w:b/>
          <w:sz w:val="28"/>
          <w:szCs w:val="28"/>
          <w:lang w:bidi="ar"/>
        </w:rPr>
      </w:pPr>
    </w:p>
    <w:p w14:paraId="2C7E7BF3">
      <w:pPr>
        <w:spacing w:line="360" w:lineRule="auto"/>
        <w:rPr>
          <w:rFonts w:hint="eastAsia" w:ascii="宋体" w:hAnsi="宋体" w:cs="宋体"/>
          <w:b/>
          <w:sz w:val="28"/>
          <w:szCs w:val="28"/>
          <w:lang w:bidi="ar"/>
        </w:rPr>
      </w:pPr>
    </w:p>
    <w:p w14:paraId="779693B1">
      <w:pPr>
        <w:spacing w:line="360" w:lineRule="auto"/>
        <w:rPr>
          <w:rFonts w:hint="eastAsia" w:ascii="宋体" w:hAnsi="宋体" w:cs="宋体"/>
          <w:b/>
          <w:sz w:val="28"/>
          <w:szCs w:val="28"/>
          <w:lang w:bidi="ar"/>
        </w:rPr>
      </w:pPr>
    </w:p>
    <w:p w14:paraId="7791074A">
      <w:pPr>
        <w:spacing w:line="360" w:lineRule="auto"/>
        <w:rPr>
          <w:rFonts w:hint="eastAsia" w:ascii="宋体" w:hAnsi="宋体" w:cs="宋体"/>
          <w:b/>
          <w:sz w:val="28"/>
          <w:szCs w:val="28"/>
          <w:lang w:bidi="ar"/>
        </w:rPr>
      </w:pPr>
    </w:p>
    <w:p w14:paraId="5792BF34">
      <w:pPr>
        <w:spacing w:line="360" w:lineRule="auto"/>
        <w:rPr>
          <w:rFonts w:hint="eastAsia" w:ascii="宋体" w:hAnsi="宋体" w:cs="宋体"/>
          <w:b/>
          <w:sz w:val="28"/>
          <w:szCs w:val="28"/>
          <w:lang w:bidi="ar"/>
        </w:rPr>
      </w:pPr>
    </w:p>
    <w:p w14:paraId="5A060723">
      <w:pPr>
        <w:spacing w:line="360" w:lineRule="auto"/>
        <w:rPr>
          <w:rFonts w:hint="eastAsia" w:ascii="宋体" w:hAnsi="宋体" w:cs="宋体"/>
          <w:b/>
          <w:sz w:val="28"/>
          <w:szCs w:val="28"/>
          <w:lang w:bidi="ar"/>
        </w:rPr>
      </w:pPr>
    </w:p>
    <w:p w14:paraId="5825E5D2">
      <w:pPr>
        <w:spacing w:line="360" w:lineRule="auto"/>
        <w:rPr>
          <w:rFonts w:hint="eastAsia" w:ascii="宋体" w:hAnsi="宋体" w:cs="宋体"/>
          <w:b/>
          <w:sz w:val="28"/>
          <w:szCs w:val="28"/>
          <w:lang w:bidi="ar"/>
        </w:rPr>
      </w:pPr>
    </w:p>
    <w:p w14:paraId="5D5BD295">
      <w:pPr>
        <w:spacing w:line="360" w:lineRule="auto"/>
        <w:rPr>
          <w:rFonts w:hint="eastAsia" w:ascii="宋体" w:hAnsi="宋体" w:cs="宋体"/>
          <w:b/>
          <w:sz w:val="28"/>
          <w:szCs w:val="28"/>
          <w:lang w:bidi="ar"/>
        </w:rPr>
      </w:pPr>
    </w:p>
    <w:p w14:paraId="6E4C4212">
      <w:pPr>
        <w:pStyle w:val="4"/>
      </w:pPr>
      <w:bookmarkStart w:id="137" w:name="_Toc23087"/>
      <w:r>
        <w:rPr>
          <w:rFonts w:hint="eastAsia"/>
        </w:rPr>
        <w:t>九、残疾人福利性单位声明函</w:t>
      </w:r>
      <w:bookmarkEnd w:id="137"/>
      <w:r>
        <w:rPr>
          <w:rFonts w:hint="eastAsia"/>
        </w:rPr>
        <w:t xml:space="preserve"> </w:t>
      </w:r>
    </w:p>
    <w:p w14:paraId="55CEABD6">
      <w:pPr>
        <w:spacing w:line="360" w:lineRule="auto"/>
        <w:ind w:firstLine="480" w:firstLineChars="200"/>
        <w:rPr>
          <w:sz w:val="24"/>
          <w:szCs w:val="24"/>
        </w:rPr>
      </w:pPr>
      <w:r>
        <w:rPr>
          <w:rFonts w:hint="eastAsia" w:ascii="宋体" w:hAnsi="宋体" w:cs="宋体"/>
          <w:sz w:val="24"/>
          <w:szCs w:val="24"/>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7996315F">
      <w:pPr>
        <w:spacing w:line="360" w:lineRule="auto"/>
        <w:ind w:firstLine="480" w:firstLineChars="200"/>
        <w:rPr>
          <w:rFonts w:hint="eastAsia" w:ascii="宋体" w:hAnsi="宋体" w:cs="宋体"/>
          <w:sz w:val="24"/>
          <w:szCs w:val="24"/>
          <w:lang w:bidi="ar"/>
        </w:rPr>
      </w:pPr>
      <w:r>
        <w:rPr>
          <w:rFonts w:hint="eastAsia" w:ascii="宋体" w:hAnsi="宋体" w:cs="宋体"/>
          <w:sz w:val="24"/>
          <w:szCs w:val="24"/>
          <w:lang w:bidi="ar"/>
        </w:rPr>
        <w:t xml:space="preserve">本单位对上述声明的真实性负责。如有虚假，将依法承担相应责任。 </w:t>
      </w:r>
    </w:p>
    <w:p w14:paraId="75E28486">
      <w:pPr>
        <w:spacing w:line="360" w:lineRule="auto"/>
        <w:ind w:firstLine="480" w:firstLineChars="200"/>
        <w:rPr>
          <w:rFonts w:hint="eastAsia" w:ascii="宋体" w:hAnsi="宋体" w:cs="宋体"/>
          <w:sz w:val="24"/>
          <w:szCs w:val="24"/>
          <w:lang w:bidi="ar"/>
        </w:rPr>
      </w:pPr>
    </w:p>
    <w:p w14:paraId="36246726">
      <w:pPr>
        <w:spacing w:line="360" w:lineRule="auto"/>
        <w:ind w:firstLine="480" w:firstLineChars="200"/>
        <w:rPr>
          <w:sz w:val="24"/>
          <w:szCs w:val="24"/>
        </w:rPr>
      </w:pPr>
      <w:r>
        <w:rPr>
          <w:rFonts w:hint="eastAsia" w:ascii="宋体" w:hAnsi="宋体" w:cs="宋体"/>
          <w:sz w:val="24"/>
          <w:szCs w:val="24"/>
          <w:lang w:bidi="ar"/>
        </w:rPr>
        <w:t xml:space="preserve">单位名称（盖章）： </w:t>
      </w:r>
    </w:p>
    <w:p w14:paraId="653CDF30">
      <w:pPr>
        <w:spacing w:line="360" w:lineRule="auto"/>
        <w:ind w:firstLine="480" w:firstLineChars="200"/>
        <w:rPr>
          <w:rFonts w:hint="eastAsia" w:ascii="宋体" w:hAnsi="宋体" w:cs="宋体"/>
          <w:b/>
          <w:bCs/>
          <w:sz w:val="24"/>
          <w:szCs w:val="24"/>
          <w:lang w:bidi="ar"/>
        </w:rPr>
      </w:pPr>
      <w:r>
        <w:rPr>
          <w:rFonts w:hint="eastAsia" w:ascii="宋体" w:hAnsi="宋体" w:cs="宋体"/>
          <w:sz w:val="24"/>
          <w:szCs w:val="24"/>
          <w:lang w:bidi="ar"/>
        </w:rPr>
        <w:t xml:space="preserve">日 期： </w:t>
      </w:r>
    </w:p>
    <w:p w14:paraId="3730FD64">
      <w:pPr>
        <w:tabs>
          <w:tab w:val="left" w:pos="4680"/>
        </w:tabs>
        <w:snapToGrid w:val="0"/>
        <w:spacing w:line="360" w:lineRule="auto"/>
        <w:ind w:firstLine="482" w:firstLineChars="200"/>
        <w:rPr>
          <w:rFonts w:hint="eastAsia" w:ascii="宋体" w:hAnsi="宋体" w:cs="宋体"/>
          <w:b/>
          <w:bCs/>
          <w:sz w:val="28"/>
          <w:szCs w:val="28"/>
        </w:rPr>
      </w:pPr>
      <w:r>
        <w:rPr>
          <w:rFonts w:hint="eastAsia" w:ascii="宋体" w:hAnsi="宋体" w:cs="宋体"/>
          <w:b/>
          <w:bCs/>
          <w:sz w:val="24"/>
          <w:szCs w:val="24"/>
          <w:lang w:bidi="ar"/>
        </w:rPr>
        <w:t>非残疾人福利性单位无需提供。</w:t>
      </w:r>
    </w:p>
    <w:p w14:paraId="06E5930E">
      <w:pPr>
        <w:pStyle w:val="4"/>
      </w:pPr>
      <w:r>
        <w:rPr>
          <w:rFonts w:hint="eastAsia" w:ascii="宋体" w:hAnsi="宋体" w:cs="宋体"/>
          <w:szCs w:val="28"/>
        </w:rPr>
        <w:br w:type="page"/>
      </w:r>
      <w:bookmarkStart w:id="138" w:name="_Toc15783"/>
      <w:r>
        <w:rPr>
          <w:rFonts w:hint="eastAsia"/>
        </w:rPr>
        <w:t>十、售后服务及培训方案</w:t>
      </w:r>
      <w:bookmarkEnd w:id="138"/>
      <w:r>
        <w:rPr>
          <w:rFonts w:hint="eastAsia"/>
        </w:rPr>
        <w:t xml:space="preserve"> </w:t>
      </w:r>
    </w:p>
    <w:p w14:paraId="60612611">
      <w:pPr>
        <w:pStyle w:val="4"/>
      </w:pPr>
      <w:r>
        <w:rPr>
          <w:rFonts w:hint="eastAsia"/>
        </w:rPr>
        <w:br w:type="page"/>
      </w:r>
      <w:bookmarkStart w:id="139" w:name="_Toc22746"/>
      <w:r>
        <w:rPr>
          <w:rFonts w:hint="eastAsia"/>
        </w:rPr>
        <w:t>十一、质量保证保修方案</w:t>
      </w:r>
      <w:bookmarkEnd w:id="139"/>
    </w:p>
    <w:p w14:paraId="36B797C4">
      <w:pPr>
        <w:pStyle w:val="4"/>
      </w:pPr>
      <w:r>
        <w:rPr>
          <w:rFonts w:hint="eastAsia"/>
        </w:rPr>
        <w:br w:type="page"/>
      </w:r>
      <w:bookmarkStart w:id="140" w:name="_Toc17181"/>
      <w:r>
        <w:rPr>
          <w:rFonts w:hint="eastAsia"/>
        </w:rPr>
        <w:t>十二、验收方案</w:t>
      </w:r>
      <w:bookmarkEnd w:id="140"/>
    </w:p>
    <w:p w14:paraId="29360042">
      <w:pPr>
        <w:tabs>
          <w:tab w:val="left" w:pos="4680"/>
        </w:tabs>
        <w:snapToGrid w:val="0"/>
        <w:spacing w:line="360" w:lineRule="auto"/>
        <w:rPr>
          <w:rFonts w:hint="eastAsia" w:ascii="宋体" w:hAnsi="宋体" w:cs="宋体"/>
          <w:b/>
          <w:bCs/>
          <w:sz w:val="28"/>
          <w:szCs w:val="28"/>
        </w:rPr>
      </w:pPr>
    </w:p>
    <w:p w14:paraId="35041D24">
      <w:pPr>
        <w:tabs>
          <w:tab w:val="left" w:pos="4680"/>
        </w:tabs>
        <w:snapToGrid w:val="0"/>
        <w:spacing w:line="360" w:lineRule="auto"/>
        <w:outlineLvl w:val="2"/>
        <w:rPr>
          <w:rFonts w:ascii="宋体"/>
          <w:b/>
          <w:bCs/>
          <w:sz w:val="28"/>
          <w:szCs w:val="28"/>
        </w:rPr>
      </w:pPr>
      <w:r>
        <w:rPr>
          <w:rFonts w:hint="eastAsia" w:ascii="宋体" w:hAnsi="宋体" w:cs="宋体"/>
          <w:b/>
          <w:bCs/>
          <w:sz w:val="28"/>
          <w:szCs w:val="28"/>
        </w:rPr>
        <w:br w:type="page"/>
      </w:r>
      <w:bookmarkStart w:id="141" w:name="_Toc27307"/>
      <w:r>
        <w:rPr>
          <w:rFonts w:hint="eastAsia" w:ascii="宋体" w:hAnsi="宋体" w:cs="宋体"/>
          <w:b/>
          <w:bCs/>
          <w:sz w:val="28"/>
          <w:szCs w:val="28"/>
        </w:rPr>
        <w:t>十三、投标人认为需要的其他证明材料（包含资格性、符合性审查、技术商务评分表内容）</w:t>
      </w:r>
      <w:bookmarkEnd w:id="135"/>
      <w:bookmarkEnd w:id="141"/>
    </w:p>
    <w:p w14:paraId="65AEAFE2">
      <w:pPr>
        <w:jc w:val="center"/>
        <w:outlineLvl w:val="0"/>
        <w:rPr>
          <w:rStyle w:val="196"/>
        </w:rPr>
      </w:pPr>
      <w:bookmarkStart w:id="142" w:name="_Toc483396348"/>
      <w:bookmarkStart w:id="143" w:name="_Toc238907095"/>
      <w:bookmarkStart w:id="144" w:name="_Toc483396436"/>
      <w:r>
        <w:rPr>
          <w:rFonts w:hint="eastAsia" w:ascii="宋体" w:hAnsi="宋体" w:cs="宋体"/>
          <w:b/>
          <w:bCs/>
          <w:sz w:val="36"/>
          <w:szCs w:val="36"/>
        </w:rPr>
        <w:br w:type="page"/>
      </w:r>
      <w:bookmarkStart w:id="145" w:name="_Toc13103"/>
      <w:r>
        <w:rPr>
          <w:rStyle w:val="196"/>
          <w:rFonts w:hint="eastAsia"/>
        </w:rPr>
        <w:t>第六章  评标办法</w:t>
      </w:r>
      <w:bookmarkEnd w:id="142"/>
      <w:bookmarkEnd w:id="143"/>
      <w:bookmarkEnd w:id="144"/>
      <w:bookmarkEnd w:id="145"/>
    </w:p>
    <w:p w14:paraId="0CCBA58F">
      <w:pPr>
        <w:tabs>
          <w:tab w:val="left" w:pos="4680"/>
        </w:tabs>
        <w:snapToGrid w:val="0"/>
        <w:spacing w:line="360" w:lineRule="auto"/>
        <w:outlineLvl w:val="0"/>
        <w:rPr>
          <w:rFonts w:ascii="宋体"/>
          <w:b/>
          <w:bCs/>
          <w:sz w:val="28"/>
          <w:szCs w:val="28"/>
        </w:rPr>
      </w:pPr>
      <w:bookmarkStart w:id="146" w:name="_Toc483396349"/>
      <w:bookmarkStart w:id="147" w:name="_Toc483396437"/>
      <w:bookmarkStart w:id="148" w:name="_Toc25786995"/>
      <w:bookmarkStart w:id="149" w:name="_Toc1424"/>
      <w:r>
        <w:rPr>
          <w:rFonts w:hint="eastAsia" w:ascii="宋体" w:hAnsi="宋体" w:cs="宋体"/>
          <w:b/>
          <w:bCs/>
          <w:sz w:val="28"/>
          <w:szCs w:val="28"/>
        </w:rPr>
        <w:t>（一）评标办法</w:t>
      </w:r>
      <w:bookmarkEnd w:id="146"/>
      <w:bookmarkEnd w:id="147"/>
      <w:bookmarkEnd w:id="148"/>
      <w:bookmarkEnd w:id="149"/>
    </w:p>
    <w:p w14:paraId="2E6711EF">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评标办法采用综合评分法。</w:t>
      </w:r>
    </w:p>
    <w:p w14:paraId="1A3FE3FC">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采用综合评分法的评标步骤：先进行资格性审查、符合性审查，再进行技术、商务的详细评审。只有通过资格性、符合性评审的投标人才能进入详细的评审。</w:t>
      </w:r>
    </w:p>
    <w:p w14:paraId="0934181C">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综合评分及其统计：按照评标程序、评分标准以及分值分配的规定，评标委员会成员分别就各个投标人的技术、商务状况，其对招标文件要求的响应情况进行评议和比较，评出各投标人的技术、商务得分算术平均值即为该投标人的技术、商务评分。然后，由招标文件规定的计算方法评出价格得分。技术、商务得分与价格得分相加即得出综合得分，综合得分按由高到低顺序排列。综合得分相同的，按投标报价由低到高顺序排列。综合得分和投标报价均相同的，按技术指标由优至劣顺序排列。综合得分最高的投标人为第一中标候选供应商，综合得分次高的投标人为第二中标候选供应商，以此类推，评标委员会推荐出3名中标候选供应商。</w:t>
      </w:r>
    </w:p>
    <w:p w14:paraId="77BC6085">
      <w:pPr>
        <w:tabs>
          <w:tab w:val="left" w:pos="4680"/>
        </w:tabs>
        <w:snapToGrid w:val="0"/>
        <w:spacing w:line="360" w:lineRule="auto"/>
        <w:outlineLvl w:val="0"/>
        <w:rPr>
          <w:rFonts w:ascii="宋体"/>
          <w:b/>
          <w:bCs/>
          <w:sz w:val="28"/>
          <w:szCs w:val="28"/>
        </w:rPr>
      </w:pPr>
      <w:bookmarkStart w:id="150" w:name="_Toc483396439"/>
      <w:bookmarkStart w:id="151" w:name="_Toc483396351"/>
      <w:bookmarkStart w:id="152" w:name="_Toc498258609"/>
      <w:bookmarkStart w:id="153" w:name="_Toc500429934"/>
      <w:bookmarkStart w:id="154" w:name="_Toc3668"/>
      <w:bookmarkStart w:id="155" w:name="_Toc25786996"/>
      <w:r>
        <w:rPr>
          <w:rFonts w:hint="eastAsia" w:ascii="宋体" w:hAnsi="宋体" w:cs="宋体"/>
          <w:b/>
          <w:bCs/>
          <w:sz w:val="28"/>
          <w:szCs w:val="28"/>
        </w:rPr>
        <w:t>（二）</w:t>
      </w:r>
      <w:bookmarkEnd w:id="150"/>
      <w:bookmarkEnd w:id="151"/>
      <w:r>
        <w:rPr>
          <w:rFonts w:hint="eastAsia" w:ascii="宋体" w:hAnsi="宋体" w:cs="宋体"/>
          <w:b/>
          <w:bCs/>
          <w:sz w:val="28"/>
          <w:szCs w:val="28"/>
        </w:rPr>
        <w:t>资格性审查</w:t>
      </w:r>
      <w:bookmarkEnd w:id="152"/>
      <w:bookmarkEnd w:id="153"/>
      <w:bookmarkEnd w:id="154"/>
      <w:bookmarkEnd w:id="155"/>
    </w:p>
    <w:p w14:paraId="020740C6">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、根据中华人民共和国财政部第</w:t>
      </w:r>
      <w:r>
        <w:rPr>
          <w:rFonts w:ascii="宋体" w:hAnsi="宋体" w:cs="宋体"/>
          <w:sz w:val="24"/>
          <w:szCs w:val="24"/>
        </w:rPr>
        <w:t>87</w:t>
      </w:r>
      <w:r>
        <w:rPr>
          <w:rFonts w:hint="eastAsia" w:ascii="宋体" w:hAnsi="宋体" w:cs="宋体"/>
          <w:sz w:val="24"/>
          <w:szCs w:val="24"/>
        </w:rPr>
        <w:t>号令第四十四条规定，采购人、采购代理机构对投标人的资格进行审查；</w:t>
      </w:r>
    </w:p>
    <w:p w14:paraId="04A86790">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、采购人、采购代理机构根据“资格性审查表”对投标文件的资格性审查，只有对“资格性审查表”所列各项作出实质性响应的投标文件才能通过资格评审；</w:t>
      </w:r>
    </w:p>
    <w:p w14:paraId="600D9757">
      <w:pPr>
        <w:tabs>
          <w:tab w:val="left" w:pos="360"/>
        </w:tabs>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、判断投标文件的响应与否只根据投标文件本身，而不寻求外部证据；</w:t>
      </w:r>
    </w:p>
    <w:p w14:paraId="3F5F0C90">
      <w:pPr>
        <w:tabs>
          <w:tab w:val="left" w:pos="360"/>
        </w:tabs>
        <w:spacing w:line="360" w:lineRule="auto"/>
        <w:ind w:firstLine="480" w:firstLineChars="200"/>
        <w:rPr>
          <w:rFonts w:ascii="宋体"/>
          <w:sz w:val="24"/>
          <w:szCs w:val="24"/>
        </w:rPr>
      </w:pPr>
      <w:r>
        <w:rPr>
          <w:rFonts w:ascii="宋体" w:cs="宋体"/>
          <w:sz w:val="24"/>
          <w:szCs w:val="24"/>
        </w:rPr>
        <w:t>4</w:t>
      </w:r>
      <w:r>
        <w:rPr>
          <w:rFonts w:hint="eastAsia" w:ascii="宋体" w:cs="宋体"/>
          <w:sz w:val="24"/>
          <w:szCs w:val="24"/>
        </w:rPr>
        <w:t>、通过资格性审查的投标人不足三家，则本次招标失败。</w:t>
      </w:r>
    </w:p>
    <w:p w14:paraId="46A8E56B">
      <w:pPr>
        <w:tabs>
          <w:tab w:val="left" w:pos="4680"/>
        </w:tabs>
        <w:snapToGrid w:val="0"/>
        <w:spacing w:line="360" w:lineRule="auto"/>
        <w:outlineLvl w:val="0"/>
        <w:rPr>
          <w:rFonts w:ascii="宋体"/>
          <w:b/>
          <w:bCs/>
          <w:sz w:val="28"/>
          <w:szCs w:val="28"/>
        </w:rPr>
      </w:pPr>
      <w:bookmarkStart w:id="156" w:name="_Toc498258610"/>
      <w:bookmarkStart w:id="157" w:name="_Toc10559"/>
      <w:bookmarkStart w:id="158" w:name="_Toc500429935"/>
      <w:bookmarkStart w:id="159" w:name="_Toc25786997"/>
      <w:r>
        <w:rPr>
          <w:rFonts w:hint="eastAsia" w:ascii="宋体" w:hAnsi="宋体" w:cs="宋体"/>
          <w:b/>
          <w:bCs/>
          <w:sz w:val="28"/>
          <w:szCs w:val="28"/>
        </w:rPr>
        <w:t>（三）符合性审查</w:t>
      </w:r>
      <w:bookmarkEnd w:id="156"/>
      <w:bookmarkEnd w:id="157"/>
      <w:bookmarkEnd w:id="158"/>
      <w:bookmarkEnd w:id="159"/>
    </w:p>
    <w:p w14:paraId="745C4FD0">
      <w:pPr>
        <w:tabs>
          <w:tab w:val="left" w:pos="360"/>
        </w:tabs>
        <w:spacing w:line="360" w:lineRule="auto"/>
        <w:ind w:firstLine="480" w:firstLineChars="200"/>
        <w:rPr>
          <w:rFonts w:ascii="宋体"/>
          <w:sz w:val="24"/>
          <w:szCs w:val="24"/>
        </w:rPr>
      </w:pPr>
      <w:r>
        <w:rPr>
          <w:rFonts w:ascii="宋体" w:cs="宋体"/>
          <w:sz w:val="24"/>
          <w:szCs w:val="24"/>
        </w:rPr>
        <w:t>1</w:t>
      </w:r>
      <w:r>
        <w:rPr>
          <w:rFonts w:hint="eastAsia" w:ascii="宋体" w:cs="宋体"/>
          <w:sz w:val="24"/>
          <w:szCs w:val="24"/>
        </w:rPr>
        <w:t>、评标委员会根据符合性审查表对通过资格审查的投标文件的符合性评审，只有对符合性审查表所列各项作出实质性响应的投标文件才能通过符合性审查。对是否实质性响应招标文件的要求有争议的投标内容，评标委员会将以记名方式表决，得票超过半数的投标人有资格进入下一阶段的评审，否则将被淘汰；</w:t>
      </w:r>
    </w:p>
    <w:p w14:paraId="3FF76A7F">
      <w:pPr>
        <w:tabs>
          <w:tab w:val="left" w:pos="360"/>
        </w:tabs>
        <w:spacing w:line="360" w:lineRule="auto"/>
        <w:ind w:firstLine="480" w:firstLineChars="200"/>
        <w:rPr>
          <w:rFonts w:ascii="宋体"/>
          <w:sz w:val="24"/>
          <w:szCs w:val="24"/>
        </w:rPr>
      </w:pPr>
      <w:r>
        <w:rPr>
          <w:rFonts w:ascii="宋体" w:cs="宋体"/>
          <w:sz w:val="24"/>
          <w:szCs w:val="24"/>
        </w:rPr>
        <w:t>2</w:t>
      </w:r>
      <w:r>
        <w:rPr>
          <w:rFonts w:hint="eastAsia" w:ascii="宋体" w:cs="宋体"/>
          <w:sz w:val="24"/>
          <w:szCs w:val="24"/>
        </w:rPr>
        <w:t>、判断投标文件的响应与否只根据投标文件本身，而不寻求外部证据；</w:t>
      </w:r>
    </w:p>
    <w:p w14:paraId="6B30CCF3">
      <w:pPr>
        <w:spacing w:line="360" w:lineRule="auto"/>
        <w:ind w:firstLine="480" w:firstLineChars="200"/>
        <w:rPr>
          <w:rFonts w:ascii="宋体"/>
          <w:sz w:val="24"/>
          <w:szCs w:val="24"/>
        </w:rPr>
      </w:pPr>
      <w:r>
        <w:rPr>
          <w:rFonts w:ascii="宋体" w:cs="宋体"/>
          <w:sz w:val="24"/>
          <w:szCs w:val="24"/>
        </w:rPr>
        <w:t>3</w:t>
      </w:r>
      <w:r>
        <w:rPr>
          <w:rFonts w:hint="eastAsia" w:ascii="宋体" w:cs="宋体"/>
          <w:sz w:val="24"/>
          <w:szCs w:val="24"/>
        </w:rPr>
        <w:t>、评标委员会在符合性审查中，对算术错误的修正原则如下：投标文件的大写金额和小</w:t>
      </w:r>
      <w:r>
        <w:rPr>
          <w:rFonts w:hint="eastAsia" w:ascii="宋体" w:hAnsi="宋体" w:cs="宋体"/>
          <w:sz w:val="24"/>
          <w:szCs w:val="24"/>
        </w:rPr>
        <w:t>写金额不一致的，以大写金额为准；</w:t>
      </w:r>
    </w:p>
    <w:p w14:paraId="3EB5630C">
      <w:pPr>
        <w:spacing w:line="360" w:lineRule="auto"/>
        <w:ind w:firstLine="480" w:firstLineChars="200"/>
        <w:rPr>
          <w:rFonts w:ascii="宋体"/>
          <w:sz w:val="24"/>
          <w:szCs w:val="24"/>
        </w:rPr>
      </w:pPr>
      <w:r>
        <w:rPr>
          <w:rFonts w:ascii="宋体" w:cs="宋体"/>
          <w:sz w:val="24"/>
          <w:szCs w:val="24"/>
        </w:rPr>
        <w:t>3.1</w:t>
      </w:r>
      <w:r>
        <w:rPr>
          <w:rFonts w:hint="eastAsia" w:ascii="宋体" w:cs="宋体"/>
          <w:sz w:val="24"/>
          <w:szCs w:val="24"/>
        </w:rPr>
        <w:t>开标一览表内容与投标文件中明细表内容不一致的，以开标一览表为准；</w:t>
      </w:r>
    </w:p>
    <w:p w14:paraId="1D779514">
      <w:pPr>
        <w:tabs>
          <w:tab w:val="left" w:pos="180"/>
          <w:tab w:val="left" w:pos="420"/>
          <w:tab w:val="left" w:pos="720"/>
          <w:tab w:val="left" w:pos="780"/>
          <w:tab w:val="left" w:pos="900"/>
          <w:tab w:val="left" w:pos="1080"/>
        </w:tabs>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投标文件的</w:t>
      </w:r>
      <w:r>
        <w:rPr>
          <w:rFonts w:hint="eastAsia" w:ascii="宋体" w:cs="宋体"/>
          <w:sz w:val="24"/>
          <w:szCs w:val="24"/>
        </w:rPr>
        <w:t>大写金额和小写金额不一致的，以大写金额为准；</w:t>
      </w:r>
    </w:p>
    <w:p w14:paraId="09959B69">
      <w:pPr>
        <w:tabs>
          <w:tab w:val="left" w:pos="180"/>
          <w:tab w:val="left" w:pos="420"/>
          <w:tab w:val="left" w:pos="720"/>
          <w:tab w:val="left" w:pos="780"/>
          <w:tab w:val="left" w:pos="900"/>
          <w:tab w:val="left" w:pos="1080"/>
        </w:tabs>
        <w:spacing w:line="360" w:lineRule="auto"/>
        <w:ind w:firstLine="480" w:firstLineChars="200"/>
        <w:rPr>
          <w:rFonts w:ascii="宋体"/>
          <w:sz w:val="24"/>
          <w:szCs w:val="24"/>
        </w:rPr>
      </w:pPr>
      <w:r>
        <w:rPr>
          <w:rFonts w:ascii="宋体" w:hAnsi="宋体" w:cs="宋体"/>
          <w:sz w:val="24"/>
          <w:szCs w:val="24"/>
        </w:rPr>
        <w:t>3.3</w:t>
      </w:r>
      <w:r>
        <w:rPr>
          <w:rFonts w:hint="eastAsia" w:ascii="宋体" w:hAnsi="宋体" w:cs="宋体"/>
          <w:sz w:val="24"/>
          <w:szCs w:val="24"/>
        </w:rPr>
        <w:t>总价金额与按单价汇总金额不一致的，以单价金额计算结果为准；</w:t>
      </w:r>
    </w:p>
    <w:p w14:paraId="776D158A">
      <w:pPr>
        <w:tabs>
          <w:tab w:val="left" w:pos="180"/>
          <w:tab w:val="left" w:pos="420"/>
          <w:tab w:val="left" w:pos="720"/>
          <w:tab w:val="left" w:pos="780"/>
          <w:tab w:val="left" w:pos="900"/>
          <w:tab w:val="left" w:pos="1080"/>
        </w:tabs>
        <w:spacing w:line="360" w:lineRule="auto"/>
        <w:ind w:firstLine="480" w:firstLineChars="200"/>
        <w:rPr>
          <w:rFonts w:ascii="宋体"/>
          <w:sz w:val="24"/>
          <w:szCs w:val="24"/>
        </w:rPr>
      </w:pPr>
      <w:r>
        <w:rPr>
          <w:rFonts w:ascii="宋体" w:hAnsi="宋体" w:cs="宋体"/>
          <w:sz w:val="24"/>
          <w:szCs w:val="24"/>
        </w:rPr>
        <w:t>3.4</w:t>
      </w:r>
      <w:r>
        <w:rPr>
          <w:rFonts w:hint="eastAsia" w:ascii="宋体" w:hAnsi="宋体" w:cs="宋体"/>
          <w:sz w:val="24"/>
          <w:szCs w:val="24"/>
        </w:rPr>
        <w:t>单价金额小数点有明显错位的，应以总价为准，并修改单价；</w:t>
      </w:r>
    </w:p>
    <w:p w14:paraId="276C9636">
      <w:pPr>
        <w:tabs>
          <w:tab w:val="left" w:pos="180"/>
          <w:tab w:val="left" w:pos="420"/>
          <w:tab w:val="left" w:pos="720"/>
          <w:tab w:val="left" w:pos="780"/>
        </w:tabs>
        <w:spacing w:line="360" w:lineRule="auto"/>
        <w:ind w:firstLine="480" w:firstLineChars="200"/>
        <w:rPr>
          <w:rFonts w:ascii="宋体"/>
          <w:sz w:val="24"/>
          <w:szCs w:val="24"/>
        </w:rPr>
      </w:pPr>
      <w:r>
        <w:rPr>
          <w:rFonts w:ascii="宋体" w:hAnsi="宋体" w:cs="宋体"/>
          <w:sz w:val="24"/>
          <w:szCs w:val="24"/>
        </w:rPr>
        <w:t>3.5</w:t>
      </w:r>
      <w:r>
        <w:rPr>
          <w:rFonts w:hint="eastAsia" w:ascii="宋体" w:cs="宋体"/>
          <w:sz w:val="24"/>
          <w:szCs w:val="24"/>
        </w:rPr>
        <w:t>若投标人不同意以上修正，投标文件将视为无效；</w:t>
      </w:r>
    </w:p>
    <w:p w14:paraId="48476D0F">
      <w:pPr>
        <w:tabs>
          <w:tab w:val="left" w:pos="180"/>
          <w:tab w:val="left" w:pos="420"/>
          <w:tab w:val="left" w:pos="720"/>
          <w:tab w:val="left" w:pos="780"/>
        </w:tabs>
        <w:spacing w:line="360" w:lineRule="auto"/>
        <w:ind w:firstLine="480" w:firstLineChars="200"/>
        <w:rPr>
          <w:rFonts w:ascii="宋体"/>
          <w:sz w:val="24"/>
          <w:szCs w:val="24"/>
        </w:rPr>
      </w:pPr>
      <w:r>
        <w:rPr>
          <w:rFonts w:ascii="宋体" w:cs="宋体"/>
          <w:sz w:val="24"/>
          <w:szCs w:val="24"/>
        </w:rPr>
        <w:t>3.6</w:t>
      </w:r>
      <w:r>
        <w:rPr>
          <w:rFonts w:hint="eastAsia" w:ascii="宋体" w:hAnsi="宋体" w:cs="宋体"/>
          <w:sz w:val="24"/>
          <w:szCs w:val="24"/>
        </w:rPr>
        <w:t>对投标货物的关键、主要设备，投标人报价漏项的，作非响应性投标处理。</w:t>
      </w:r>
    </w:p>
    <w:p w14:paraId="0B6F7F7A">
      <w:pPr>
        <w:tabs>
          <w:tab w:val="left" w:pos="360"/>
        </w:tabs>
        <w:spacing w:line="360" w:lineRule="auto"/>
        <w:ind w:firstLine="420" w:firstLineChars="200"/>
        <w:rPr>
          <w:rFonts w:ascii="宋体"/>
          <w:sz w:val="24"/>
          <w:szCs w:val="24"/>
        </w:rPr>
      </w:pPr>
      <w:r>
        <w:t>4</w:t>
      </w:r>
      <w:r>
        <w:rPr>
          <w:rFonts w:hint="eastAsia" w:cs="宋体"/>
        </w:rPr>
        <w:t>、</w:t>
      </w:r>
      <w:r>
        <w:rPr>
          <w:rFonts w:hint="eastAsia" w:ascii="宋体" w:cs="宋体"/>
          <w:sz w:val="24"/>
          <w:szCs w:val="24"/>
        </w:rPr>
        <w:t>通过符合性审查的投标人不足三家，则本次招标失败。</w:t>
      </w:r>
    </w:p>
    <w:p w14:paraId="05EB696E">
      <w:pPr>
        <w:tabs>
          <w:tab w:val="left" w:pos="4680"/>
        </w:tabs>
        <w:snapToGrid w:val="0"/>
        <w:spacing w:line="360" w:lineRule="auto"/>
        <w:outlineLvl w:val="0"/>
        <w:rPr>
          <w:rFonts w:ascii="宋体"/>
          <w:b/>
          <w:bCs/>
          <w:sz w:val="28"/>
          <w:szCs w:val="28"/>
        </w:rPr>
      </w:pPr>
      <w:bookmarkStart w:id="160" w:name="_Toc483396352"/>
      <w:bookmarkStart w:id="161" w:name="_Toc498258611"/>
      <w:bookmarkStart w:id="162" w:name="_Toc500429936"/>
      <w:bookmarkStart w:id="163" w:name="_Toc23051"/>
      <w:bookmarkStart w:id="164" w:name="_Toc483396440"/>
      <w:bookmarkStart w:id="165" w:name="_Toc25786998"/>
      <w:r>
        <w:rPr>
          <w:rFonts w:hint="eastAsia" w:ascii="宋体" w:hAnsi="宋体" w:cs="宋体"/>
          <w:b/>
          <w:bCs/>
          <w:sz w:val="28"/>
          <w:szCs w:val="28"/>
        </w:rPr>
        <w:t>（四）详细评审</w:t>
      </w:r>
      <w:bookmarkEnd w:id="160"/>
      <w:bookmarkEnd w:id="161"/>
      <w:bookmarkEnd w:id="162"/>
      <w:bookmarkEnd w:id="163"/>
      <w:bookmarkEnd w:id="164"/>
      <w:bookmarkEnd w:id="165"/>
    </w:p>
    <w:p w14:paraId="5D351FBE">
      <w:pPr>
        <w:tabs>
          <w:tab w:val="left" w:pos="4680"/>
        </w:tabs>
        <w:snapToGrid w:val="0"/>
        <w:spacing w:line="360" w:lineRule="auto"/>
        <w:ind w:firstLine="480" w:firstLineChars="200"/>
        <w:rPr>
          <w:rFonts w:ascii="宋体"/>
          <w:b/>
          <w:bCs/>
          <w:sz w:val="28"/>
          <w:szCs w:val="28"/>
        </w:rPr>
      </w:pPr>
      <w:bookmarkStart w:id="166" w:name="_Toc17890114"/>
      <w:bookmarkStart w:id="167" w:name="_Toc25786999"/>
      <w:bookmarkStart w:id="168" w:name="_Toc5884556"/>
      <w:bookmarkStart w:id="169" w:name="_Toc17812993"/>
      <w:bookmarkStart w:id="170" w:name="_Toc18482158"/>
      <w:bookmarkStart w:id="171" w:name="_Toc532163379"/>
      <w:r>
        <w:rPr>
          <w:rFonts w:ascii="宋体" w:hAnsi="宋体" w:cs="宋体"/>
          <w:sz w:val="24"/>
          <w:szCs w:val="24"/>
        </w:rPr>
        <w:t>1</w:t>
      </w:r>
      <w:r>
        <w:rPr>
          <w:rFonts w:hint="eastAsia" w:ascii="宋体" w:hAnsi="宋体" w:cs="宋体"/>
          <w:sz w:val="24"/>
          <w:szCs w:val="24"/>
        </w:rPr>
        <w:t>、本次招标评分方法为综合评分法，即在最大限度地满足招标文件实质性要求的前提下，按照招标文件中规定的各项因素进行综合评审后，以评标总得分最高的投标人作为中标候选人或者中标人的评标方法。</w:t>
      </w:r>
      <w:bookmarkEnd w:id="166"/>
      <w:bookmarkEnd w:id="167"/>
      <w:bookmarkEnd w:id="168"/>
      <w:bookmarkEnd w:id="169"/>
      <w:bookmarkEnd w:id="170"/>
      <w:bookmarkEnd w:id="171"/>
    </w:p>
    <w:p w14:paraId="66DF8CD3">
      <w:pPr>
        <w:tabs>
          <w:tab w:val="left" w:pos="4680"/>
        </w:tabs>
        <w:snapToGrid w:val="0"/>
        <w:spacing w:line="360" w:lineRule="auto"/>
        <w:ind w:firstLine="480" w:firstLineChars="200"/>
        <w:rPr>
          <w:rFonts w:ascii="宋体"/>
          <w:b/>
          <w:bCs/>
          <w:sz w:val="28"/>
          <w:szCs w:val="28"/>
        </w:rPr>
      </w:pPr>
      <w:bookmarkStart w:id="172" w:name="_Toc17812994"/>
      <w:bookmarkStart w:id="173" w:name="_Toc25787000"/>
      <w:bookmarkStart w:id="174" w:name="_Toc5884557"/>
      <w:bookmarkStart w:id="175" w:name="_Toc18482159"/>
      <w:bookmarkStart w:id="176" w:name="_Toc17890115"/>
      <w:bookmarkStart w:id="177" w:name="_Toc532163380"/>
      <w:r>
        <w:rPr>
          <w:rFonts w:ascii="宋体" w:hAnsi="宋体" w:cs="宋体"/>
          <w:sz w:val="24"/>
          <w:szCs w:val="24"/>
        </w:rPr>
        <w:t>2</w:t>
      </w:r>
      <w:r>
        <w:rPr>
          <w:rFonts w:hint="eastAsia" w:ascii="宋体" w:hAnsi="宋体" w:cs="宋体"/>
          <w:sz w:val="24"/>
          <w:szCs w:val="24"/>
        </w:rPr>
        <w:t>、评标时，评标委员会各成员独立对每个有效投标人标书中的商务、技术与服务部分进行打分，汇总后按算术平均法计算出每个投标人的得分；报价得分通过计算直接取得；报价得分加评委算术平均得分，为投标人的总得分。</w:t>
      </w:r>
      <w:bookmarkEnd w:id="172"/>
      <w:bookmarkEnd w:id="173"/>
      <w:bookmarkEnd w:id="174"/>
      <w:bookmarkEnd w:id="175"/>
      <w:bookmarkEnd w:id="176"/>
      <w:bookmarkEnd w:id="177"/>
    </w:p>
    <w:p w14:paraId="3CE7A1E9"/>
    <w:p w14:paraId="3CC274A8"/>
    <w:p w14:paraId="7D198FF4"/>
    <w:p w14:paraId="1D582364"/>
    <w:p w14:paraId="46B2024A"/>
    <w:p w14:paraId="14AE79D7"/>
    <w:p w14:paraId="6AFE2209"/>
    <w:p w14:paraId="7A81334D"/>
    <w:p w14:paraId="30D72294"/>
    <w:p w14:paraId="165DB4B4"/>
    <w:p w14:paraId="76358437"/>
    <w:p w14:paraId="6B8009F6">
      <w:pPr>
        <w:spacing w:line="500" w:lineRule="exact"/>
        <w:ind w:firstLine="648" w:firstLineChars="200"/>
        <w:rPr>
          <w:rFonts w:ascii="黑体" w:eastAsia="黑体"/>
          <w:w w:val="90"/>
          <w:sz w:val="36"/>
          <w:szCs w:val="36"/>
        </w:rPr>
      </w:pPr>
    </w:p>
    <w:p w14:paraId="2F4E95A4">
      <w:pPr>
        <w:spacing w:line="500" w:lineRule="exact"/>
        <w:ind w:firstLine="562" w:firstLineChars="200"/>
        <w:jc w:val="center"/>
        <w:rPr>
          <w:rFonts w:hint="eastAsia" w:ascii="宋体" w:hAnsi="宋体" w:cs="宋体"/>
          <w:b/>
          <w:bCs/>
          <w:sz w:val="28"/>
          <w:szCs w:val="28"/>
        </w:rPr>
      </w:pPr>
      <w:bookmarkStart w:id="178" w:name="_Toc18989"/>
    </w:p>
    <w:p w14:paraId="591EF61A">
      <w:pPr>
        <w:spacing w:line="500" w:lineRule="exact"/>
        <w:ind w:firstLine="562" w:firstLineChars="200"/>
        <w:jc w:val="center"/>
        <w:rPr>
          <w:rFonts w:hint="eastAsia" w:ascii="宋体" w:hAnsi="宋体" w:cs="宋体"/>
          <w:b/>
          <w:bCs/>
          <w:sz w:val="28"/>
          <w:szCs w:val="28"/>
        </w:rPr>
      </w:pPr>
    </w:p>
    <w:p w14:paraId="2486DFDA">
      <w:pPr>
        <w:spacing w:line="500" w:lineRule="exact"/>
        <w:ind w:firstLine="562" w:firstLineChars="200"/>
        <w:jc w:val="center"/>
        <w:rPr>
          <w:rFonts w:ascii="宋体"/>
          <w:b/>
          <w:bCs/>
          <w:sz w:val="28"/>
          <w:szCs w:val="28"/>
        </w:rPr>
      </w:pPr>
      <w:r>
        <w:rPr>
          <w:rFonts w:hint="eastAsia" w:ascii="宋体" w:hAnsi="宋体" w:cs="宋体"/>
          <w:b/>
          <w:bCs/>
          <w:sz w:val="28"/>
          <w:szCs w:val="28"/>
        </w:rPr>
        <w:t>资格性审查表</w:t>
      </w:r>
      <w:bookmarkEnd w:id="178"/>
      <w:r>
        <w:rPr>
          <w:rFonts w:hint="eastAsia" w:ascii="宋体" w:hAnsi="宋体" w:cs="宋体"/>
          <w:b/>
          <w:bCs/>
          <w:sz w:val="28"/>
          <w:szCs w:val="28"/>
        </w:rPr>
        <w:t>（A、B、C、D包通用）</w:t>
      </w:r>
    </w:p>
    <w:p w14:paraId="614FF791">
      <w:pPr>
        <w:shd w:val="clear" w:color="auto" w:fill="FFFFFF"/>
        <w:spacing w:line="360" w:lineRule="auto"/>
        <w:ind w:firstLine="480" w:firstLineChars="200"/>
        <w:rPr>
          <w:rFonts w:ascii="宋体"/>
          <w:sz w:val="24"/>
          <w:szCs w:val="24"/>
          <w:u w:val="single"/>
        </w:rPr>
      </w:pPr>
      <w:r>
        <w:rPr>
          <w:rFonts w:hint="eastAsia" w:ascii="宋体" w:hAnsi="宋体" w:cs="宋体"/>
          <w:sz w:val="24"/>
          <w:szCs w:val="24"/>
        </w:rPr>
        <w:t>项目名称：</w:t>
      </w:r>
    </w:p>
    <w:p w14:paraId="1F1BD4DD">
      <w:pPr>
        <w:shd w:val="clear" w:color="auto" w:fill="FFFFFF"/>
        <w:spacing w:line="360" w:lineRule="auto"/>
        <w:ind w:firstLine="480" w:firstLineChars="200"/>
        <w:rPr>
          <w:rFonts w:ascii="宋体"/>
          <w:sz w:val="24"/>
          <w:szCs w:val="24"/>
          <w:u w:val="single"/>
        </w:rPr>
      </w:pPr>
      <w:r>
        <w:rPr>
          <w:rFonts w:hint="eastAsia" w:ascii="宋体" w:hAnsi="宋体" w:cs="宋体"/>
          <w:sz w:val="24"/>
          <w:szCs w:val="24"/>
        </w:rPr>
        <w:t>项目编号：</w:t>
      </w:r>
    </w:p>
    <w:tbl>
      <w:tblPr>
        <w:tblStyle w:val="35"/>
        <w:tblW w:w="90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03"/>
        <w:gridCol w:w="2268"/>
        <w:gridCol w:w="945"/>
      </w:tblGrid>
      <w:tr w14:paraId="6625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09" w:type="dxa"/>
            <w:vAlign w:val="center"/>
          </w:tcPr>
          <w:p w14:paraId="1321540F">
            <w:pPr>
              <w:shd w:val="clear" w:color="auto" w:fill="auto"/>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5103" w:type="dxa"/>
            <w:vAlign w:val="center"/>
          </w:tcPr>
          <w:p w14:paraId="23CD4DB3">
            <w:pPr>
              <w:shd w:val="clear" w:color="auto" w:fill="auto"/>
              <w:spacing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审查项目</w:t>
            </w:r>
          </w:p>
        </w:tc>
        <w:tc>
          <w:tcPr>
            <w:tcW w:w="2268" w:type="dxa"/>
            <w:vAlign w:val="center"/>
          </w:tcPr>
          <w:p w14:paraId="14FAB15C">
            <w:pPr>
              <w:shd w:val="clear" w:color="auto" w:fill="auto"/>
              <w:spacing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评议内容</w:t>
            </w:r>
          </w:p>
        </w:tc>
        <w:tc>
          <w:tcPr>
            <w:tcW w:w="945" w:type="dxa"/>
            <w:vAlign w:val="center"/>
          </w:tcPr>
          <w:p w14:paraId="4B2A02B2">
            <w:pPr>
              <w:shd w:val="clear" w:color="auto" w:fill="auto"/>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投标人</w:t>
            </w:r>
          </w:p>
        </w:tc>
      </w:tr>
      <w:tr w14:paraId="171B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3F9203D">
            <w:pPr>
              <w:shd w:val="clear" w:color="auto" w:fill="auto"/>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5103" w:type="dxa"/>
            <w:vAlign w:val="center"/>
          </w:tcPr>
          <w:p w14:paraId="42C556C2">
            <w:pPr>
              <w:shd w:val="clear" w:color="auto" w:fill="auto"/>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申请人的资格要求</w:t>
            </w:r>
          </w:p>
        </w:tc>
        <w:tc>
          <w:tcPr>
            <w:tcW w:w="2268" w:type="dxa"/>
            <w:vAlign w:val="center"/>
          </w:tcPr>
          <w:p w14:paraId="5C0B3872">
            <w:pPr>
              <w:shd w:val="clear" w:color="auto" w:fill="auto"/>
              <w:autoSpaceDE w:val="0"/>
              <w:autoSpaceDN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是否满足招标文件要求</w:t>
            </w:r>
          </w:p>
        </w:tc>
        <w:tc>
          <w:tcPr>
            <w:tcW w:w="945" w:type="dxa"/>
          </w:tcPr>
          <w:p w14:paraId="0FBEBB93">
            <w:pPr>
              <w:shd w:val="clear" w:color="auto" w:fill="auto"/>
              <w:spacing w:line="360" w:lineRule="auto"/>
              <w:rPr>
                <w:rFonts w:hint="eastAsia" w:ascii="宋体" w:hAnsi="宋体" w:eastAsia="宋体" w:cs="宋体"/>
                <w:color w:val="auto"/>
                <w:szCs w:val="24"/>
                <w:highlight w:val="none"/>
              </w:rPr>
            </w:pPr>
          </w:p>
        </w:tc>
      </w:tr>
      <w:tr w14:paraId="27C3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080" w:type="dxa"/>
            <w:gridSpan w:val="3"/>
            <w:vAlign w:val="center"/>
          </w:tcPr>
          <w:p w14:paraId="29A6E27D">
            <w:pPr>
              <w:shd w:val="clear" w:color="auto" w:fill="auto"/>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结论</w:t>
            </w:r>
          </w:p>
        </w:tc>
        <w:tc>
          <w:tcPr>
            <w:tcW w:w="945" w:type="dxa"/>
          </w:tcPr>
          <w:p w14:paraId="219AD85A">
            <w:pPr>
              <w:shd w:val="clear" w:color="auto" w:fill="auto"/>
              <w:spacing w:line="360" w:lineRule="auto"/>
              <w:rPr>
                <w:rFonts w:hint="eastAsia" w:ascii="宋体" w:hAnsi="宋体" w:eastAsia="宋体" w:cs="宋体"/>
                <w:color w:val="auto"/>
                <w:szCs w:val="24"/>
                <w:highlight w:val="none"/>
              </w:rPr>
            </w:pPr>
          </w:p>
        </w:tc>
      </w:tr>
    </w:tbl>
    <w:p w14:paraId="40D05389">
      <w:pPr>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、在表中的各项只需填写“√</w:t>
      </w:r>
      <w:r>
        <w:rPr>
          <w:rFonts w:ascii="宋体" w:hAnsi="宋体" w:cs="宋体"/>
          <w:sz w:val="24"/>
          <w:szCs w:val="24"/>
        </w:rPr>
        <w:t>/</w:t>
      </w:r>
      <w:r>
        <w:rPr>
          <w:rFonts w:hint="eastAsia" w:ascii="宋体" w:hAnsi="宋体" w:cs="宋体"/>
          <w:sz w:val="24"/>
          <w:szCs w:val="24"/>
        </w:rPr>
        <w:t>通过”或“×</w:t>
      </w:r>
      <w:r>
        <w:rPr>
          <w:rFonts w:ascii="宋体" w:hAnsi="宋体" w:cs="宋体"/>
          <w:sz w:val="24"/>
          <w:szCs w:val="24"/>
        </w:rPr>
        <w:t>/</w:t>
      </w:r>
      <w:r>
        <w:rPr>
          <w:rFonts w:hint="eastAsia" w:ascii="宋体" w:hAnsi="宋体" w:cs="宋体"/>
          <w:sz w:val="24"/>
          <w:szCs w:val="24"/>
        </w:rPr>
        <w:t>不通过”。</w:t>
      </w:r>
    </w:p>
    <w:p w14:paraId="3E708E8B">
      <w:pPr>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、在结论中按“一项否决”的原则，只有全部是√</w:t>
      </w:r>
      <w:r>
        <w:rPr>
          <w:rFonts w:ascii="宋体" w:hAnsi="宋体" w:cs="宋体"/>
          <w:sz w:val="24"/>
          <w:szCs w:val="24"/>
        </w:rPr>
        <w:t>/</w:t>
      </w:r>
      <w:r>
        <w:rPr>
          <w:rFonts w:hint="eastAsia" w:ascii="宋体" w:hAnsi="宋体" w:cs="宋体"/>
          <w:sz w:val="24"/>
          <w:szCs w:val="24"/>
        </w:rPr>
        <w:t>通过的，填写“合格”；只要其中有一项是×</w:t>
      </w:r>
      <w:r>
        <w:rPr>
          <w:rFonts w:ascii="宋体" w:hAnsi="宋体" w:cs="宋体"/>
          <w:sz w:val="24"/>
          <w:szCs w:val="24"/>
        </w:rPr>
        <w:t>/</w:t>
      </w:r>
      <w:r>
        <w:rPr>
          <w:rFonts w:hint="eastAsia" w:ascii="宋体" w:hAnsi="宋体" w:cs="宋体"/>
          <w:sz w:val="24"/>
          <w:szCs w:val="24"/>
        </w:rPr>
        <w:t>不通过的，填写“不合格”。</w:t>
      </w:r>
    </w:p>
    <w:p w14:paraId="013F6362">
      <w:pPr>
        <w:tabs>
          <w:tab w:val="left" w:pos="1030"/>
        </w:tabs>
        <w:spacing w:line="3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、结论是合格的，才能进入下一轮；不合格的被淘汰。</w:t>
      </w:r>
    </w:p>
    <w:p w14:paraId="1DBA4CF0">
      <w:pPr>
        <w:spacing w:line="500" w:lineRule="exact"/>
        <w:ind w:firstLine="562" w:firstLineChars="200"/>
        <w:jc w:val="center"/>
        <w:rPr>
          <w:rFonts w:hint="eastAsia" w:ascii="宋体" w:hAnsi="宋体" w:cs="宋体"/>
          <w:b/>
          <w:bCs/>
          <w:sz w:val="28"/>
          <w:szCs w:val="28"/>
        </w:rPr>
      </w:pPr>
      <w:bookmarkStart w:id="179" w:name="_Toc17976"/>
    </w:p>
    <w:p w14:paraId="78D855B6">
      <w:pPr>
        <w:spacing w:line="500" w:lineRule="exact"/>
        <w:ind w:firstLine="562" w:firstLineChars="200"/>
        <w:jc w:val="center"/>
        <w:rPr>
          <w:rFonts w:hint="eastAsia"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符合性审查表</w:t>
      </w:r>
      <w:bookmarkEnd w:id="179"/>
    </w:p>
    <w:p w14:paraId="5470BA06">
      <w:pPr>
        <w:shd w:val="clear" w:color="auto" w:fill="FFFFFF"/>
        <w:spacing w:line="360" w:lineRule="auto"/>
        <w:ind w:firstLine="480" w:firstLineChars="200"/>
        <w:rPr>
          <w:rFonts w:ascii="宋体"/>
          <w:sz w:val="24"/>
          <w:szCs w:val="24"/>
          <w:u w:val="single"/>
        </w:rPr>
      </w:pPr>
      <w:r>
        <w:rPr>
          <w:rFonts w:hint="eastAsia" w:ascii="宋体" w:hAnsi="宋体" w:cs="宋体"/>
          <w:sz w:val="24"/>
          <w:szCs w:val="24"/>
        </w:rPr>
        <w:t>项目名称：</w:t>
      </w:r>
    </w:p>
    <w:p w14:paraId="1D5EF760">
      <w:pPr>
        <w:shd w:val="clear" w:color="auto" w:fill="FFFFFF"/>
        <w:spacing w:line="360" w:lineRule="auto"/>
        <w:ind w:firstLine="480" w:firstLineChars="200"/>
        <w:rPr>
          <w:rFonts w:ascii="宋体"/>
          <w:sz w:val="24"/>
          <w:szCs w:val="24"/>
          <w:u w:val="single"/>
        </w:rPr>
      </w:pPr>
      <w:r>
        <w:rPr>
          <w:rFonts w:hint="eastAsia" w:ascii="宋体" w:hAnsi="宋体" w:cs="宋体"/>
          <w:sz w:val="24"/>
          <w:szCs w:val="24"/>
        </w:rPr>
        <w:t>项目编号：</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
        <w:gridCol w:w="1985"/>
        <w:gridCol w:w="5032"/>
        <w:gridCol w:w="1268"/>
      </w:tblGrid>
      <w:tr w14:paraId="6DEB1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25" w:type="dxa"/>
            <w:tcBorders>
              <w:top w:val="single" w:color="auto" w:sz="4" w:space="0"/>
              <w:bottom w:val="single" w:color="auto" w:sz="4" w:space="0"/>
              <w:right w:val="single" w:color="auto" w:sz="4" w:space="0"/>
            </w:tcBorders>
            <w:vAlign w:val="center"/>
          </w:tcPr>
          <w:p w14:paraId="6B59E81C">
            <w:pPr>
              <w:shd w:val="clear" w:color="auto" w:fill="FFFFFF"/>
              <w:spacing w:line="480" w:lineRule="exact"/>
              <w:rPr>
                <w:rFonts w:ascii="宋体"/>
                <w:b/>
                <w:bCs/>
              </w:rPr>
            </w:pPr>
            <w:r>
              <w:rPr>
                <w:rFonts w:hint="eastAsia" w:ascii="宋体" w:hAnsi="宋体" w:cs="宋体"/>
                <w:b/>
                <w:bCs/>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7D4500A2">
            <w:pPr>
              <w:shd w:val="clear" w:color="auto" w:fill="FFFFFF"/>
              <w:spacing w:line="480" w:lineRule="exact"/>
              <w:ind w:firstLine="422" w:firstLineChars="200"/>
              <w:jc w:val="center"/>
              <w:rPr>
                <w:rFonts w:ascii="宋体"/>
                <w:b/>
                <w:bCs/>
              </w:rPr>
            </w:pPr>
            <w:r>
              <w:rPr>
                <w:rFonts w:hint="eastAsia" w:ascii="宋体" w:hAnsi="宋体" w:cs="宋体"/>
                <w:b/>
                <w:bCs/>
              </w:rPr>
              <w:t>审查项目</w:t>
            </w:r>
          </w:p>
        </w:tc>
        <w:tc>
          <w:tcPr>
            <w:tcW w:w="5032" w:type="dxa"/>
            <w:tcBorders>
              <w:top w:val="single" w:color="auto" w:sz="4" w:space="0"/>
              <w:left w:val="single" w:color="auto" w:sz="4" w:space="0"/>
              <w:bottom w:val="single" w:color="auto" w:sz="4" w:space="0"/>
              <w:right w:val="single" w:color="auto" w:sz="4" w:space="0"/>
            </w:tcBorders>
            <w:vAlign w:val="center"/>
          </w:tcPr>
          <w:p w14:paraId="762EBFDB">
            <w:pPr>
              <w:shd w:val="clear" w:color="auto" w:fill="FFFFFF"/>
              <w:spacing w:line="480" w:lineRule="exact"/>
              <w:ind w:firstLine="422" w:firstLineChars="200"/>
              <w:jc w:val="center"/>
              <w:rPr>
                <w:rFonts w:ascii="宋体"/>
                <w:b/>
                <w:bCs/>
              </w:rPr>
            </w:pPr>
            <w:r>
              <w:rPr>
                <w:rFonts w:hint="eastAsia" w:ascii="宋体" w:hAnsi="宋体" w:cs="宋体"/>
                <w:b/>
                <w:bCs/>
              </w:rPr>
              <w:t>评议内容</w:t>
            </w:r>
          </w:p>
        </w:tc>
        <w:tc>
          <w:tcPr>
            <w:tcW w:w="1268" w:type="dxa"/>
            <w:tcBorders>
              <w:top w:val="single" w:color="auto" w:sz="4" w:space="0"/>
              <w:left w:val="single" w:color="auto" w:sz="4" w:space="0"/>
              <w:bottom w:val="single" w:color="auto" w:sz="4" w:space="0"/>
            </w:tcBorders>
            <w:vAlign w:val="center"/>
          </w:tcPr>
          <w:p w14:paraId="44888454">
            <w:pPr>
              <w:shd w:val="clear" w:color="auto" w:fill="FFFFFF"/>
              <w:snapToGrid w:val="0"/>
              <w:spacing w:line="360" w:lineRule="auto"/>
              <w:rPr>
                <w:rFonts w:ascii="宋体"/>
                <w:b/>
                <w:bCs/>
              </w:rPr>
            </w:pPr>
            <w:r>
              <w:rPr>
                <w:rFonts w:hint="eastAsia" w:ascii="宋体" w:hAnsi="宋体" w:cs="宋体"/>
                <w:b/>
                <w:bCs/>
              </w:rPr>
              <w:t>投标人</w:t>
            </w:r>
          </w:p>
        </w:tc>
      </w:tr>
      <w:tr w14:paraId="17FC6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exact"/>
          <w:jc w:val="center"/>
        </w:trPr>
        <w:tc>
          <w:tcPr>
            <w:tcW w:w="925" w:type="dxa"/>
            <w:tcBorders>
              <w:top w:val="single" w:color="auto" w:sz="4" w:space="0"/>
              <w:bottom w:val="single" w:color="auto" w:sz="4" w:space="0"/>
              <w:right w:val="single" w:color="auto" w:sz="4" w:space="0"/>
            </w:tcBorders>
            <w:vAlign w:val="center"/>
          </w:tcPr>
          <w:p w14:paraId="518A8AD8">
            <w:pPr>
              <w:shd w:val="clear" w:color="auto" w:fill="FFFFFF"/>
              <w:spacing w:line="480" w:lineRule="exact"/>
              <w:jc w:val="center"/>
              <w:rPr>
                <w:rFonts w:ascii="宋体"/>
              </w:rPr>
            </w:pPr>
            <w:r>
              <w:rPr>
                <w:rFonts w:ascii="宋体" w:hAnsi="宋体" w:cs="宋体"/>
              </w:rPr>
              <w:t>1</w:t>
            </w:r>
          </w:p>
        </w:tc>
        <w:tc>
          <w:tcPr>
            <w:tcW w:w="1985" w:type="dxa"/>
            <w:tcBorders>
              <w:top w:val="single" w:color="auto" w:sz="4" w:space="0"/>
              <w:left w:val="single" w:color="auto" w:sz="4" w:space="0"/>
              <w:bottom w:val="single" w:color="auto" w:sz="4" w:space="0"/>
              <w:right w:val="single" w:color="auto" w:sz="4" w:space="0"/>
            </w:tcBorders>
            <w:vAlign w:val="center"/>
          </w:tcPr>
          <w:p w14:paraId="5DD9A2E1">
            <w:pPr>
              <w:spacing w:line="276" w:lineRule="auto"/>
              <w:jc w:val="center"/>
              <w:rPr>
                <w:rFonts w:ascii="Tahoma" w:hAnsi="Tahoma" w:cs="Tahoma"/>
              </w:rPr>
            </w:pPr>
            <w:r>
              <w:rPr>
                <w:rFonts w:hint="eastAsia" w:ascii="Tahoma" w:hAnsi="Tahoma" w:cs="宋体"/>
              </w:rPr>
              <w:t>投标文件的有效性、完整性</w:t>
            </w:r>
          </w:p>
        </w:tc>
        <w:tc>
          <w:tcPr>
            <w:tcW w:w="5032" w:type="dxa"/>
            <w:tcBorders>
              <w:top w:val="single" w:color="auto" w:sz="4" w:space="0"/>
              <w:left w:val="single" w:color="auto" w:sz="4" w:space="0"/>
              <w:bottom w:val="single" w:color="auto" w:sz="4" w:space="0"/>
              <w:right w:val="single" w:color="auto" w:sz="4" w:space="0"/>
            </w:tcBorders>
            <w:vAlign w:val="center"/>
          </w:tcPr>
          <w:p w14:paraId="7D0EFFAB">
            <w:pPr>
              <w:spacing w:line="276" w:lineRule="auto"/>
              <w:jc w:val="both"/>
              <w:rPr>
                <w:rFonts w:ascii="Tahoma" w:hAnsi="Tahoma" w:cs="宋体"/>
              </w:rPr>
            </w:pPr>
            <w:r>
              <w:rPr>
                <w:rFonts w:hint="eastAsia" w:ascii="Tahoma" w:hAnsi="Tahoma" w:cs="宋体"/>
              </w:rPr>
              <w:t>正、副本、电子版份数、式样、签署是否符合招标文件要求，且内容完整无缺漏</w:t>
            </w:r>
          </w:p>
        </w:tc>
        <w:tc>
          <w:tcPr>
            <w:tcW w:w="1268" w:type="dxa"/>
            <w:tcBorders>
              <w:top w:val="single" w:color="auto" w:sz="4" w:space="0"/>
              <w:left w:val="single" w:color="auto" w:sz="4" w:space="0"/>
              <w:bottom w:val="single" w:color="auto" w:sz="4" w:space="0"/>
            </w:tcBorders>
            <w:vAlign w:val="center"/>
          </w:tcPr>
          <w:p w14:paraId="3255FEEA">
            <w:pPr>
              <w:shd w:val="clear" w:color="auto" w:fill="FFFFFF"/>
              <w:spacing w:line="480" w:lineRule="exact"/>
              <w:ind w:firstLine="422" w:firstLineChars="200"/>
              <w:jc w:val="center"/>
              <w:rPr>
                <w:rFonts w:ascii="宋体"/>
                <w:b/>
                <w:bCs/>
              </w:rPr>
            </w:pPr>
            <w:r>
              <w:rPr>
                <w:rFonts w:ascii="宋体"/>
                <w:b/>
                <w:bCs/>
              </w:rPr>
              <w:t> </w:t>
            </w:r>
          </w:p>
        </w:tc>
      </w:tr>
      <w:tr w14:paraId="3CEC6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exact"/>
          <w:jc w:val="center"/>
        </w:trPr>
        <w:tc>
          <w:tcPr>
            <w:tcW w:w="925" w:type="dxa"/>
            <w:tcBorders>
              <w:top w:val="single" w:color="auto" w:sz="4" w:space="0"/>
              <w:bottom w:val="single" w:color="auto" w:sz="4" w:space="0"/>
              <w:right w:val="single" w:color="auto" w:sz="4" w:space="0"/>
            </w:tcBorders>
            <w:vAlign w:val="center"/>
          </w:tcPr>
          <w:p w14:paraId="17E51F0E">
            <w:pPr>
              <w:shd w:val="clear" w:color="auto" w:fill="FFFFFF"/>
              <w:spacing w:line="480" w:lineRule="exact"/>
              <w:ind w:firstLine="315" w:firstLineChars="150"/>
              <w:rPr>
                <w:rFonts w:ascii="宋体"/>
              </w:rPr>
            </w:pPr>
            <w:r>
              <w:rPr>
                <w:rFonts w:ascii="宋体" w:hAnsi="宋体" w:cs="宋体"/>
              </w:rPr>
              <w:t>2</w:t>
            </w:r>
          </w:p>
        </w:tc>
        <w:tc>
          <w:tcPr>
            <w:tcW w:w="1985" w:type="dxa"/>
            <w:tcBorders>
              <w:top w:val="single" w:color="auto" w:sz="4" w:space="0"/>
              <w:left w:val="single" w:color="auto" w:sz="4" w:space="0"/>
              <w:bottom w:val="single" w:color="auto" w:sz="4" w:space="0"/>
              <w:right w:val="single" w:color="auto" w:sz="4" w:space="0"/>
            </w:tcBorders>
            <w:vAlign w:val="center"/>
          </w:tcPr>
          <w:p w14:paraId="4FCBEE12">
            <w:pPr>
              <w:spacing w:line="276" w:lineRule="auto"/>
              <w:jc w:val="center"/>
              <w:rPr>
                <w:rFonts w:ascii="Tahoma" w:hAnsi="Tahoma" w:cs="Tahoma"/>
              </w:rPr>
            </w:pPr>
            <w:r>
              <w:rPr>
                <w:rFonts w:hint="eastAsia" w:ascii="Tahoma" w:hAnsi="Tahoma" w:cs="宋体"/>
              </w:rPr>
              <w:t>报价项目完整性</w:t>
            </w:r>
          </w:p>
        </w:tc>
        <w:tc>
          <w:tcPr>
            <w:tcW w:w="5032" w:type="dxa"/>
            <w:tcBorders>
              <w:top w:val="single" w:color="auto" w:sz="4" w:space="0"/>
              <w:left w:val="single" w:color="auto" w:sz="4" w:space="0"/>
              <w:bottom w:val="single" w:color="auto" w:sz="4" w:space="0"/>
              <w:right w:val="single" w:color="auto" w:sz="4" w:space="0"/>
            </w:tcBorders>
            <w:vAlign w:val="center"/>
          </w:tcPr>
          <w:p w14:paraId="1F1C3C5E">
            <w:pPr>
              <w:spacing w:line="276" w:lineRule="auto"/>
              <w:jc w:val="both"/>
              <w:rPr>
                <w:rFonts w:ascii="Tahoma" w:hAnsi="Tahoma" w:cs="宋体"/>
              </w:rPr>
            </w:pPr>
            <w:r>
              <w:rPr>
                <w:rFonts w:hint="eastAsia" w:ascii="Tahoma" w:hAnsi="Tahoma" w:cs="宋体"/>
              </w:rPr>
              <w:t>是否对本项目内所有的内容进行投标，漏报其投标将被拒绝</w:t>
            </w:r>
          </w:p>
        </w:tc>
        <w:tc>
          <w:tcPr>
            <w:tcW w:w="1268" w:type="dxa"/>
            <w:tcBorders>
              <w:top w:val="single" w:color="auto" w:sz="4" w:space="0"/>
              <w:left w:val="single" w:color="auto" w:sz="4" w:space="0"/>
              <w:bottom w:val="single" w:color="auto" w:sz="4" w:space="0"/>
            </w:tcBorders>
            <w:vAlign w:val="center"/>
          </w:tcPr>
          <w:p w14:paraId="23603888">
            <w:pPr>
              <w:shd w:val="clear" w:color="auto" w:fill="FFFFFF"/>
              <w:spacing w:line="480" w:lineRule="exact"/>
              <w:ind w:firstLine="422" w:firstLineChars="200"/>
              <w:jc w:val="center"/>
              <w:rPr>
                <w:rFonts w:ascii="宋体"/>
                <w:b/>
                <w:bCs/>
              </w:rPr>
            </w:pPr>
          </w:p>
        </w:tc>
      </w:tr>
      <w:tr w14:paraId="011B9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exact"/>
          <w:jc w:val="center"/>
        </w:trPr>
        <w:tc>
          <w:tcPr>
            <w:tcW w:w="925" w:type="dxa"/>
            <w:tcBorders>
              <w:top w:val="single" w:color="auto" w:sz="4" w:space="0"/>
              <w:bottom w:val="single" w:color="auto" w:sz="4" w:space="0"/>
              <w:right w:val="single" w:color="auto" w:sz="4" w:space="0"/>
            </w:tcBorders>
            <w:vAlign w:val="center"/>
          </w:tcPr>
          <w:p w14:paraId="161E5AAF">
            <w:pPr>
              <w:shd w:val="clear" w:color="auto" w:fill="FFFFFF"/>
              <w:spacing w:line="480" w:lineRule="exact"/>
              <w:ind w:firstLine="315" w:firstLineChars="150"/>
              <w:rPr>
                <w:rFonts w:hint="eastAsia" w:ascii="宋体" w:hAnsi="宋体" w:cs="宋体"/>
              </w:rPr>
            </w:pPr>
            <w:r>
              <w:rPr>
                <w:rFonts w:hint="eastAsia" w:ascii="宋体" w:hAnsi="宋体" w:cs="宋体"/>
              </w:rPr>
              <w:t>3</w:t>
            </w:r>
          </w:p>
        </w:tc>
        <w:tc>
          <w:tcPr>
            <w:tcW w:w="1985" w:type="dxa"/>
            <w:tcBorders>
              <w:top w:val="single" w:color="auto" w:sz="4" w:space="0"/>
              <w:left w:val="single" w:color="auto" w:sz="4" w:space="0"/>
              <w:bottom w:val="single" w:color="auto" w:sz="4" w:space="0"/>
              <w:right w:val="single" w:color="auto" w:sz="4" w:space="0"/>
            </w:tcBorders>
            <w:vAlign w:val="center"/>
          </w:tcPr>
          <w:p w14:paraId="4360CF36">
            <w:pPr>
              <w:spacing w:line="276" w:lineRule="auto"/>
              <w:jc w:val="center"/>
              <w:rPr>
                <w:rFonts w:ascii="Tahoma" w:hAnsi="Tahoma" w:cs="宋体"/>
              </w:rPr>
            </w:pPr>
            <w:r>
              <w:rPr>
                <w:rFonts w:hint="eastAsia" w:ascii="Tahoma" w:hAnsi="Tahoma" w:cs="宋体"/>
              </w:rPr>
              <w:t>电子版投标文件</w:t>
            </w:r>
          </w:p>
        </w:tc>
        <w:tc>
          <w:tcPr>
            <w:tcW w:w="5032" w:type="dxa"/>
            <w:tcBorders>
              <w:top w:val="single" w:color="auto" w:sz="4" w:space="0"/>
              <w:left w:val="single" w:color="auto" w:sz="4" w:space="0"/>
              <w:bottom w:val="single" w:color="auto" w:sz="4" w:space="0"/>
              <w:right w:val="single" w:color="auto" w:sz="4" w:space="0"/>
            </w:tcBorders>
            <w:vAlign w:val="center"/>
          </w:tcPr>
          <w:p w14:paraId="0E18DD55">
            <w:pPr>
              <w:spacing w:line="276" w:lineRule="auto"/>
              <w:jc w:val="both"/>
              <w:rPr>
                <w:rFonts w:ascii="Tahoma" w:hAnsi="Tahoma" w:cs="宋体"/>
              </w:rPr>
            </w:pPr>
            <w:r>
              <w:rPr>
                <w:rFonts w:hint="eastAsia" w:ascii="Tahoma" w:hAnsi="Tahoma" w:cs="宋体"/>
              </w:rPr>
              <w:t>是否按照招标文件要求递交电子版投标文件</w:t>
            </w:r>
          </w:p>
        </w:tc>
        <w:tc>
          <w:tcPr>
            <w:tcW w:w="1268" w:type="dxa"/>
            <w:tcBorders>
              <w:top w:val="single" w:color="auto" w:sz="4" w:space="0"/>
              <w:left w:val="single" w:color="auto" w:sz="4" w:space="0"/>
              <w:bottom w:val="single" w:color="auto" w:sz="4" w:space="0"/>
            </w:tcBorders>
            <w:vAlign w:val="center"/>
          </w:tcPr>
          <w:p w14:paraId="0982E830">
            <w:pPr>
              <w:shd w:val="clear" w:color="auto" w:fill="FFFFFF"/>
              <w:spacing w:line="480" w:lineRule="exact"/>
              <w:ind w:firstLine="422" w:firstLineChars="200"/>
              <w:jc w:val="center"/>
              <w:rPr>
                <w:rFonts w:ascii="宋体"/>
                <w:b/>
                <w:bCs/>
              </w:rPr>
            </w:pPr>
          </w:p>
        </w:tc>
      </w:tr>
      <w:tr w14:paraId="311B7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25" w:type="dxa"/>
            <w:tcBorders>
              <w:top w:val="single" w:color="auto" w:sz="4" w:space="0"/>
              <w:bottom w:val="single" w:color="auto" w:sz="4" w:space="0"/>
              <w:right w:val="single" w:color="auto" w:sz="4" w:space="0"/>
            </w:tcBorders>
            <w:vAlign w:val="center"/>
          </w:tcPr>
          <w:p w14:paraId="6B25FB63">
            <w:pPr>
              <w:shd w:val="clear" w:color="auto" w:fill="FFFFFF"/>
              <w:spacing w:line="480" w:lineRule="exact"/>
              <w:ind w:firstLine="315" w:firstLineChars="150"/>
              <w:rPr>
                <w:rFonts w:ascii="宋体"/>
              </w:rPr>
            </w:pPr>
            <w:r>
              <w:rPr>
                <w:rFonts w:hint="eastAsia" w:ascii="宋体" w:hAnsi="宋体" w:cs="宋体"/>
              </w:rPr>
              <w:t>4</w:t>
            </w:r>
          </w:p>
        </w:tc>
        <w:tc>
          <w:tcPr>
            <w:tcW w:w="1985" w:type="dxa"/>
            <w:tcBorders>
              <w:top w:val="single" w:color="auto" w:sz="4" w:space="0"/>
              <w:left w:val="single" w:color="auto" w:sz="4" w:space="0"/>
              <w:bottom w:val="single" w:color="auto" w:sz="4" w:space="0"/>
              <w:right w:val="single" w:color="auto" w:sz="4" w:space="0"/>
            </w:tcBorders>
            <w:vAlign w:val="center"/>
          </w:tcPr>
          <w:p w14:paraId="4F2A33E5">
            <w:pPr>
              <w:shd w:val="clear" w:color="auto" w:fill="FFFFFF"/>
              <w:spacing w:line="480" w:lineRule="exact"/>
              <w:jc w:val="center"/>
              <w:rPr>
                <w:rFonts w:ascii="宋体"/>
              </w:rPr>
            </w:pPr>
            <w:r>
              <w:rPr>
                <w:rFonts w:hint="eastAsia" w:ascii="宋体" w:hAnsi="宋体" w:cs="宋体"/>
              </w:rPr>
              <w:t>投标有效期</w:t>
            </w:r>
          </w:p>
        </w:tc>
        <w:tc>
          <w:tcPr>
            <w:tcW w:w="5032" w:type="dxa"/>
            <w:tcBorders>
              <w:top w:val="single" w:color="auto" w:sz="4" w:space="0"/>
              <w:left w:val="single" w:color="auto" w:sz="4" w:space="0"/>
              <w:bottom w:val="single" w:color="auto" w:sz="4" w:space="0"/>
              <w:right w:val="single" w:color="auto" w:sz="4" w:space="0"/>
            </w:tcBorders>
            <w:vAlign w:val="center"/>
          </w:tcPr>
          <w:p w14:paraId="65D817F8">
            <w:pPr>
              <w:shd w:val="clear" w:color="auto" w:fill="FFFFFF"/>
              <w:spacing w:line="480" w:lineRule="exact"/>
              <w:rPr>
                <w:rFonts w:ascii="宋体"/>
              </w:rPr>
            </w:pPr>
            <w:r>
              <w:rPr>
                <w:rFonts w:hint="eastAsia" w:ascii="宋体" w:hAnsi="宋体" w:cs="宋体"/>
              </w:rPr>
              <w:t>是否满足招标文件要求</w:t>
            </w:r>
          </w:p>
        </w:tc>
        <w:tc>
          <w:tcPr>
            <w:tcW w:w="1268" w:type="dxa"/>
            <w:tcBorders>
              <w:top w:val="single" w:color="auto" w:sz="4" w:space="0"/>
              <w:left w:val="single" w:color="auto" w:sz="4" w:space="0"/>
              <w:bottom w:val="single" w:color="auto" w:sz="4" w:space="0"/>
            </w:tcBorders>
            <w:vAlign w:val="center"/>
          </w:tcPr>
          <w:p w14:paraId="2D0C2D75">
            <w:pPr>
              <w:shd w:val="clear" w:color="auto" w:fill="FFFFFF"/>
              <w:spacing w:line="480" w:lineRule="exact"/>
              <w:ind w:firstLine="422" w:firstLineChars="200"/>
              <w:jc w:val="center"/>
              <w:rPr>
                <w:rFonts w:ascii="宋体"/>
                <w:b/>
                <w:bCs/>
              </w:rPr>
            </w:pPr>
            <w:r>
              <w:rPr>
                <w:rFonts w:ascii="宋体"/>
                <w:b/>
                <w:bCs/>
              </w:rPr>
              <w:t> </w:t>
            </w:r>
          </w:p>
        </w:tc>
      </w:tr>
      <w:tr w14:paraId="39915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25" w:type="dxa"/>
            <w:tcBorders>
              <w:top w:val="single" w:color="auto" w:sz="4" w:space="0"/>
              <w:bottom w:val="single" w:color="auto" w:sz="4" w:space="0"/>
              <w:right w:val="single" w:color="auto" w:sz="4" w:space="0"/>
            </w:tcBorders>
            <w:vAlign w:val="center"/>
          </w:tcPr>
          <w:p w14:paraId="5ACEBCCB">
            <w:pPr>
              <w:shd w:val="clear" w:color="auto" w:fill="FFFFFF"/>
              <w:spacing w:line="480" w:lineRule="exact"/>
              <w:ind w:firstLine="315" w:firstLineChars="150"/>
              <w:rPr>
                <w:rFonts w:ascii="宋体"/>
              </w:rPr>
            </w:pPr>
            <w:r>
              <w:rPr>
                <w:rFonts w:hint="eastAsia" w:ascii="宋体" w:hAnsi="宋体" w:cs="宋体"/>
              </w:rPr>
              <w:t>5</w:t>
            </w:r>
          </w:p>
        </w:tc>
        <w:tc>
          <w:tcPr>
            <w:tcW w:w="1985" w:type="dxa"/>
            <w:tcBorders>
              <w:top w:val="single" w:color="auto" w:sz="4" w:space="0"/>
              <w:left w:val="single" w:color="auto" w:sz="4" w:space="0"/>
              <w:bottom w:val="single" w:color="auto" w:sz="4" w:space="0"/>
              <w:right w:val="single" w:color="auto" w:sz="4" w:space="0"/>
            </w:tcBorders>
            <w:vAlign w:val="center"/>
          </w:tcPr>
          <w:p w14:paraId="0EA45FE9">
            <w:pPr>
              <w:spacing w:line="276" w:lineRule="auto"/>
              <w:jc w:val="center"/>
              <w:rPr>
                <w:rFonts w:ascii="宋体"/>
              </w:rPr>
            </w:pPr>
            <w:r>
              <w:rPr>
                <w:rFonts w:hint="eastAsia" w:ascii="宋体" w:hAnsi="宋体" w:cs="宋体"/>
              </w:rPr>
              <w:t>交货期</w:t>
            </w:r>
          </w:p>
        </w:tc>
        <w:tc>
          <w:tcPr>
            <w:tcW w:w="5032" w:type="dxa"/>
            <w:tcBorders>
              <w:top w:val="single" w:color="auto" w:sz="4" w:space="0"/>
              <w:left w:val="single" w:color="auto" w:sz="4" w:space="0"/>
              <w:bottom w:val="single" w:color="auto" w:sz="4" w:space="0"/>
              <w:right w:val="single" w:color="auto" w:sz="4" w:space="0"/>
            </w:tcBorders>
            <w:vAlign w:val="center"/>
          </w:tcPr>
          <w:p w14:paraId="294B3AEB">
            <w:pPr>
              <w:spacing w:line="276" w:lineRule="auto"/>
              <w:rPr>
                <w:rFonts w:ascii="宋体"/>
              </w:rPr>
            </w:pPr>
            <w:r>
              <w:rPr>
                <w:rFonts w:hint="eastAsia" w:ascii="宋体" w:hAnsi="宋体" w:cs="宋体"/>
              </w:rPr>
              <w:t>是否满足招标文件要求</w:t>
            </w:r>
          </w:p>
        </w:tc>
        <w:tc>
          <w:tcPr>
            <w:tcW w:w="1268" w:type="dxa"/>
            <w:tcBorders>
              <w:top w:val="single" w:color="auto" w:sz="4" w:space="0"/>
              <w:left w:val="single" w:color="auto" w:sz="4" w:space="0"/>
              <w:bottom w:val="single" w:color="auto" w:sz="4" w:space="0"/>
            </w:tcBorders>
            <w:vAlign w:val="center"/>
          </w:tcPr>
          <w:p w14:paraId="06159AC0">
            <w:pPr>
              <w:shd w:val="clear" w:color="auto" w:fill="FFFFFF"/>
              <w:spacing w:line="480" w:lineRule="exact"/>
              <w:ind w:firstLine="422" w:firstLineChars="200"/>
              <w:jc w:val="center"/>
              <w:rPr>
                <w:rFonts w:ascii="宋体"/>
                <w:b/>
                <w:bCs/>
              </w:rPr>
            </w:pPr>
            <w:r>
              <w:rPr>
                <w:rFonts w:ascii="宋体"/>
                <w:b/>
                <w:bCs/>
              </w:rPr>
              <w:t> </w:t>
            </w:r>
          </w:p>
        </w:tc>
      </w:tr>
      <w:tr w14:paraId="16C79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25" w:type="dxa"/>
            <w:tcBorders>
              <w:top w:val="single" w:color="auto" w:sz="4" w:space="0"/>
              <w:bottom w:val="single" w:color="auto" w:sz="4" w:space="0"/>
              <w:right w:val="single" w:color="auto" w:sz="4" w:space="0"/>
            </w:tcBorders>
            <w:vAlign w:val="center"/>
          </w:tcPr>
          <w:p w14:paraId="00890123">
            <w:pPr>
              <w:shd w:val="clear" w:color="auto" w:fill="FFFFFF"/>
              <w:spacing w:line="480" w:lineRule="exact"/>
              <w:ind w:firstLine="315" w:firstLineChars="150"/>
              <w:rPr>
                <w:rFonts w:ascii="宋体"/>
              </w:rPr>
            </w:pPr>
            <w:r>
              <w:rPr>
                <w:rFonts w:hint="eastAsia" w:ascii="宋体" w:hAnsi="宋体" w:cs="宋体"/>
              </w:rPr>
              <w:t>6</w:t>
            </w:r>
          </w:p>
        </w:tc>
        <w:tc>
          <w:tcPr>
            <w:tcW w:w="1985" w:type="dxa"/>
            <w:tcBorders>
              <w:top w:val="single" w:color="auto" w:sz="4" w:space="0"/>
              <w:left w:val="single" w:color="auto" w:sz="4" w:space="0"/>
              <w:bottom w:val="single" w:color="auto" w:sz="4" w:space="0"/>
              <w:right w:val="single" w:color="auto" w:sz="4" w:space="0"/>
            </w:tcBorders>
            <w:vAlign w:val="center"/>
          </w:tcPr>
          <w:p w14:paraId="1CC893E5">
            <w:pPr>
              <w:spacing w:line="276" w:lineRule="auto"/>
              <w:jc w:val="center"/>
              <w:rPr>
                <w:rFonts w:ascii="宋体"/>
              </w:rPr>
            </w:pPr>
            <w:r>
              <w:rPr>
                <w:rFonts w:hint="eastAsia" w:ascii="宋体" w:hAnsi="宋体" w:cs="宋体"/>
              </w:rPr>
              <w:t>其他</w:t>
            </w:r>
          </w:p>
        </w:tc>
        <w:tc>
          <w:tcPr>
            <w:tcW w:w="5032" w:type="dxa"/>
            <w:tcBorders>
              <w:top w:val="single" w:color="auto" w:sz="4" w:space="0"/>
              <w:left w:val="single" w:color="auto" w:sz="4" w:space="0"/>
              <w:bottom w:val="single" w:color="auto" w:sz="4" w:space="0"/>
              <w:right w:val="single" w:color="auto" w:sz="4" w:space="0"/>
            </w:tcBorders>
            <w:vAlign w:val="center"/>
          </w:tcPr>
          <w:p w14:paraId="04388545">
            <w:pPr>
              <w:rPr>
                <w:rFonts w:ascii="宋体"/>
              </w:rPr>
            </w:pPr>
            <w:r>
              <w:rPr>
                <w:rFonts w:hint="eastAsia" w:ascii="宋体" w:hAnsi="宋体" w:cs="宋体"/>
              </w:rPr>
              <w:t>无其他无效投标认定条件</w:t>
            </w:r>
          </w:p>
        </w:tc>
        <w:tc>
          <w:tcPr>
            <w:tcW w:w="1268" w:type="dxa"/>
            <w:tcBorders>
              <w:top w:val="single" w:color="auto" w:sz="4" w:space="0"/>
              <w:left w:val="single" w:color="auto" w:sz="4" w:space="0"/>
              <w:bottom w:val="single" w:color="auto" w:sz="4" w:space="0"/>
            </w:tcBorders>
            <w:vAlign w:val="center"/>
          </w:tcPr>
          <w:p w14:paraId="3348230A">
            <w:pPr>
              <w:shd w:val="clear" w:color="auto" w:fill="FFFFFF"/>
              <w:spacing w:line="480" w:lineRule="exact"/>
              <w:ind w:firstLine="422" w:firstLineChars="200"/>
              <w:jc w:val="center"/>
              <w:rPr>
                <w:rFonts w:ascii="宋体"/>
                <w:b/>
                <w:bCs/>
              </w:rPr>
            </w:pPr>
          </w:p>
        </w:tc>
      </w:tr>
      <w:tr w14:paraId="1A17C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942" w:type="dxa"/>
            <w:gridSpan w:val="3"/>
            <w:tcBorders>
              <w:top w:val="single" w:color="auto" w:sz="4" w:space="0"/>
              <w:bottom w:val="single" w:color="auto" w:sz="4" w:space="0"/>
              <w:right w:val="single" w:color="auto" w:sz="4" w:space="0"/>
            </w:tcBorders>
            <w:vAlign w:val="center"/>
          </w:tcPr>
          <w:p w14:paraId="5BF83638">
            <w:pPr>
              <w:shd w:val="clear" w:color="auto" w:fill="FFFFFF"/>
              <w:spacing w:line="480" w:lineRule="exact"/>
              <w:ind w:firstLine="422" w:firstLineChars="200"/>
              <w:jc w:val="center"/>
              <w:rPr>
                <w:rFonts w:ascii="宋体"/>
              </w:rPr>
            </w:pPr>
            <w:r>
              <w:rPr>
                <w:rFonts w:hint="eastAsia" w:ascii="宋体" w:hAnsi="宋体" w:cs="宋体"/>
                <w:b/>
                <w:bCs/>
              </w:rPr>
              <w:t>结论</w:t>
            </w:r>
          </w:p>
        </w:tc>
        <w:tc>
          <w:tcPr>
            <w:tcW w:w="1268" w:type="dxa"/>
            <w:tcBorders>
              <w:top w:val="single" w:color="auto" w:sz="4" w:space="0"/>
              <w:left w:val="single" w:color="auto" w:sz="4" w:space="0"/>
              <w:bottom w:val="single" w:color="auto" w:sz="4" w:space="0"/>
            </w:tcBorders>
            <w:vAlign w:val="center"/>
          </w:tcPr>
          <w:p w14:paraId="46852DBA">
            <w:pPr>
              <w:shd w:val="clear" w:color="auto" w:fill="FFFFFF"/>
              <w:spacing w:line="480" w:lineRule="exact"/>
              <w:ind w:firstLine="422" w:firstLineChars="200"/>
              <w:jc w:val="center"/>
              <w:rPr>
                <w:rFonts w:ascii="宋体"/>
                <w:b/>
                <w:bCs/>
              </w:rPr>
            </w:pPr>
            <w:r>
              <w:rPr>
                <w:rFonts w:ascii="宋体"/>
                <w:b/>
                <w:bCs/>
              </w:rPr>
              <w:t> </w:t>
            </w:r>
          </w:p>
        </w:tc>
      </w:tr>
    </w:tbl>
    <w:p w14:paraId="209BE4EF">
      <w:pPr>
        <w:shd w:val="clear" w:color="auto" w:fill="FFFFFF"/>
        <w:spacing w:line="360" w:lineRule="auto"/>
        <w:ind w:firstLine="480" w:firstLineChars="200"/>
        <w:rPr>
          <w:rFonts w:ascii="宋体"/>
          <w:sz w:val="24"/>
          <w:szCs w:val="24"/>
        </w:rPr>
      </w:pPr>
    </w:p>
    <w:p w14:paraId="49DA3EEC">
      <w:pPr>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、在表中的各项只需填写“√</w:t>
      </w:r>
      <w:r>
        <w:rPr>
          <w:rFonts w:ascii="宋体" w:hAnsi="宋体" w:cs="宋体"/>
          <w:sz w:val="24"/>
          <w:szCs w:val="24"/>
        </w:rPr>
        <w:t>/</w:t>
      </w:r>
      <w:r>
        <w:rPr>
          <w:rFonts w:hint="eastAsia" w:ascii="宋体" w:hAnsi="宋体" w:cs="宋体"/>
          <w:sz w:val="24"/>
          <w:szCs w:val="24"/>
        </w:rPr>
        <w:t>通过”或“×</w:t>
      </w:r>
      <w:r>
        <w:rPr>
          <w:rFonts w:ascii="宋体" w:hAnsi="宋体" w:cs="宋体"/>
          <w:sz w:val="24"/>
          <w:szCs w:val="24"/>
        </w:rPr>
        <w:t>/</w:t>
      </w:r>
      <w:r>
        <w:rPr>
          <w:rFonts w:hint="eastAsia" w:ascii="宋体" w:hAnsi="宋体" w:cs="宋体"/>
          <w:sz w:val="24"/>
          <w:szCs w:val="24"/>
        </w:rPr>
        <w:t>不通过”。</w:t>
      </w:r>
    </w:p>
    <w:p w14:paraId="0F1ED6CB">
      <w:pPr>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、在结论中按“一项否决”的原则，只有全部是√</w:t>
      </w:r>
      <w:r>
        <w:rPr>
          <w:rFonts w:ascii="宋体" w:hAnsi="宋体" w:cs="宋体"/>
          <w:sz w:val="24"/>
          <w:szCs w:val="24"/>
        </w:rPr>
        <w:t>/</w:t>
      </w:r>
      <w:r>
        <w:rPr>
          <w:rFonts w:hint="eastAsia" w:ascii="宋体" w:hAnsi="宋体" w:cs="宋体"/>
          <w:sz w:val="24"/>
          <w:szCs w:val="24"/>
        </w:rPr>
        <w:t>通过的，填写“合格”；只要其中有一项是×</w:t>
      </w:r>
      <w:r>
        <w:rPr>
          <w:rFonts w:ascii="宋体" w:hAnsi="宋体" w:cs="宋体"/>
          <w:sz w:val="24"/>
          <w:szCs w:val="24"/>
        </w:rPr>
        <w:t>/</w:t>
      </w:r>
      <w:r>
        <w:rPr>
          <w:rFonts w:hint="eastAsia" w:ascii="宋体" w:hAnsi="宋体" w:cs="宋体"/>
          <w:sz w:val="24"/>
          <w:szCs w:val="24"/>
        </w:rPr>
        <w:t>不通过的，填写“不合格”。</w:t>
      </w:r>
    </w:p>
    <w:p w14:paraId="0C369CEF">
      <w:pPr>
        <w:tabs>
          <w:tab w:val="left" w:pos="1030"/>
        </w:tabs>
        <w:spacing w:line="3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、结论是合格的，才能进入下一轮；不合格的被淘汰。</w:t>
      </w:r>
    </w:p>
    <w:p w14:paraId="66570D40">
      <w:pPr>
        <w:jc w:val="center"/>
        <w:outlineLvl w:val="2"/>
        <w:rPr>
          <w:rFonts w:hint="eastAsia" w:ascii="宋体" w:hAnsi="宋体" w:cs="宋体"/>
          <w:b/>
          <w:bCs/>
          <w:sz w:val="28"/>
          <w:szCs w:val="28"/>
        </w:rPr>
      </w:pPr>
      <w:r>
        <w:br w:type="page"/>
      </w:r>
      <w:bookmarkStart w:id="180" w:name="_Toc17812995"/>
      <w:bookmarkStart w:id="181" w:name="_Toc513536777"/>
      <w:bookmarkStart w:id="182" w:name="_Toc25787001"/>
      <w:bookmarkStart w:id="183" w:name="_Toc17890116"/>
      <w:bookmarkStart w:id="184" w:name="_Toc18482160"/>
      <w:bookmarkStart w:id="185" w:name="_Toc8050"/>
      <w:bookmarkStart w:id="186" w:name="_Toc483396442"/>
      <w:bookmarkStart w:id="187" w:name="_Toc483396354"/>
      <w:r>
        <w:rPr>
          <w:rFonts w:hint="eastAsia" w:ascii="宋体" w:hAnsi="宋体" w:cs="宋体"/>
          <w:b/>
          <w:bCs/>
          <w:sz w:val="28"/>
          <w:szCs w:val="28"/>
        </w:rPr>
        <w:t>技术、商务评分表</w:t>
      </w:r>
      <w:bookmarkEnd w:id="180"/>
      <w:bookmarkEnd w:id="181"/>
      <w:bookmarkEnd w:id="182"/>
      <w:bookmarkEnd w:id="183"/>
      <w:bookmarkEnd w:id="184"/>
      <w:bookmarkStart w:id="188" w:name="_Toc532163382"/>
      <w:r>
        <w:rPr>
          <w:rFonts w:hint="eastAsia" w:ascii="宋体" w:hAnsi="宋体" w:cs="宋体"/>
          <w:b/>
          <w:bCs/>
          <w:sz w:val="28"/>
          <w:szCs w:val="28"/>
        </w:rPr>
        <w:t>（A包）</w:t>
      </w:r>
      <w:bookmarkEnd w:id="185"/>
    </w:p>
    <w:bookmarkEnd w:id="186"/>
    <w:bookmarkEnd w:id="187"/>
    <w:bookmarkEnd w:id="188"/>
    <w:tbl>
      <w:tblPr>
        <w:tblStyle w:val="35"/>
        <w:tblW w:w="10632" w:type="dxa"/>
        <w:jc w:val="center"/>
        <w:tblLayout w:type="fixed"/>
        <w:tblCellMar>
          <w:top w:w="0" w:type="dxa"/>
          <w:left w:w="108" w:type="dxa"/>
          <w:bottom w:w="0" w:type="dxa"/>
          <w:right w:w="108" w:type="dxa"/>
        </w:tblCellMar>
      </w:tblPr>
      <w:tblGrid>
        <w:gridCol w:w="1155"/>
        <w:gridCol w:w="1230"/>
        <w:gridCol w:w="7287"/>
        <w:gridCol w:w="960"/>
      </w:tblGrid>
      <w:tr w14:paraId="1D64B2B0">
        <w:tblPrEx>
          <w:tblCellMar>
            <w:top w:w="0" w:type="dxa"/>
            <w:left w:w="108" w:type="dxa"/>
            <w:bottom w:w="0" w:type="dxa"/>
            <w:right w:w="108" w:type="dxa"/>
          </w:tblCellMar>
        </w:tblPrEx>
        <w:trPr>
          <w:trHeight w:val="395"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4A447D6">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商务评审</w:t>
            </w:r>
          </w:p>
        </w:tc>
      </w:tr>
      <w:tr w14:paraId="432EDD46">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B27CA87">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091668D">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517E9F7">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1779227">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519DD8AB">
        <w:tblPrEx>
          <w:tblCellMar>
            <w:top w:w="0" w:type="dxa"/>
            <w:left w:w="108" w:type="dxa"/>
            <w:bottom w:w="0" w:type="dxa"/>
            <w:right w:w="108" w:type="dxa"/>
          </w:tblCellMar>
        </w:tblPrEx>
        <w:trPr>
          <w:trHeight w:val="220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7EBB0FA">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7F14BE6">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采购需求响应情况</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EF991BD">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供应商对A包用户需求的技术要求内容逐一响应 ，完全满足或优于用户需求的得31分；</w:t>
            </w:r>
          </w:p>
          <w:p w14:paraId="77590208">
            <w:pPr>
              <w:numPr>
                <w:ilvl w:val="0"/>
                <w:numId w:val="6"/>
              </w:num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 xml:space="preserve">一般性参数条款31分，完全满足或优于用户需求得31分，每有一项负偏离扣1分（共计31条），若负偏离≥16项，得0分；  </w:t>
            </w:r>
          </w:p>
          <w:p w14:paraId="2CAFEF35">
            <w:pPr>
              <w:jc w:val="both"/>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注：供应商须对所投产品技术参数的真实性负责，提供虚假参数，伪造、变更或虚假响应者按废标处理，并上报政府采购主管部门进行严肃处理。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478994B">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31</w:t>
            </w:r>
          </w:p>
        </w:tc>
      </w:tr>
      <w:tr w14:paraId="3FC65901">
        <w:tblPrEx>
          <w:tblCellMar>
            <w:top w:w="0" w:type="dxa"/>
            <w:left w:w="108" w:type="dxa"/>
            <w:bottom w:w="0" w:type="dxa"/>
            <w:right w:w="108" w:type="dxa"/>
          </w:tblCellMar>
        </w:tblPrEx>
        <w:trPr>
          <w:trHeight w:val="124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F8DECDE">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2C4C4D5">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类似业绩</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01C00476">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投标人提供</w:t>
            </w:r>
            <w:r>
              <w:rPr>
                <w:rFonts w:hint="eastAsia" w:asciiTheme="minorEastAsia" w:hAnsiTheme="minorEastAsia" w:cstheme="minorEastAsia"/>
                <w:color w:val="333333"/>
                <w:lang w:bidi="ar"/>
              </w:rPr>
              <w:t>2021</w:t>
            </w:r>
            <w:r>
              <w:rPr>
                <w:rFonts w:hint="eastAsia" w:asciiTheme="minorEastAsia" w:hAnsiTheme="minorEastAsia" w:eastAsiaTheme="minorEastAsia" w:cstheme="minorEastAsia"/>
                <w:color w:val="333333"/>
                <w:lang w:bidi="ar"/>
              </w:rPr>
              <w:t>年</w:t>
            </w:r>
            <w:r>
              <w:rPr>
                <w:rFonts w:hint="eastAsia" w:asciiTheme="minorEastAsia" w:hAnsiTheme="minorEastAsia" w:cstheme="minorEastAsia"/>
                <w:color w:val="333333"/>
                <w:lang w:bidi="ar"/>
              </w:rPr>
              <w:t>1</w:t>
            </w:r>
            <w:r>
              <w:rPr>
                <w:rFonts w:hint="eastAsia" w:asciiTheme="minorEastAsia" w:hAnsiTheme="minorEastAsia" w:eastAsiaTheme="minorEastAsia" w:cstheme="minorEastAsia"/>
                <w:color w:val="333333"/>
                <w:lang w:bidi="ar"/>
              </w:rPr>
              <w:t>月</w:t>
            </w:r>
            <w:r>
              <w:rPr>
                <w:rFonts w:hint="eastAsia" w:asciiTheme="minorEastAsia" w:hAnsiTheme="minorEastAsia" w:cstheme="minorEastAsia"/>
                <w:color w:val="333333"/>
                <w:lang w:bidi="ar"/>
              </w:rPr>
              <w:t>1日</w:t>
            </w:r>
            <w:r>
              <w:rPr>
                <w:rFonts w:hint="eastAsia" w:asciiTheme="minorEastAsia" w:hAnsiTheme="minorEastAsia" w:eastAsiaTheme="minorEastAsia" w:cstheme="minorEastAsia"/>
                <w:color w:val="333333"/>
                <w:lang w:bidi="ar"/>
              </w:rPr>
              <w:t>至今以来</w:t>
            </w:r>
            <w:r>
              <w:rPr>
                <w:rFonts w:hint="eastAsia" w:asciiTheme="minorEastAsia" w:hAnsiTheme="minorEastAsia" w:eastAsiaTheme="minorEastAsia" w:cstheme="minorEastAsia"/>
                <w:b/>
                <w:bCs/>
                <w:color w:val="333333"/>
                <w:lang w:bidi="ar"/>
              </w:rPr>
              <w:t>(近三年)</w:t>
            </w:r>
            <w:r>
              <w:rPr>
                <w:rFonts w:hint="eastAsia" w:asciiTheme="minorEastAsia" w:hAnsiTheme="minorEastAsia" w:eastAsiaTheme="minorEastAsia" w:cstheme="minorEastAsia"/>
                <w:color w:val="333333"/>
                <w:lang w:bidi="ar"/>
              </w:rPr>
              <w:t>承接过的类似业绩 ，提供1份业绩得2分 ，满分10分 。</w:t>
            </w:r>
          </w:p>
          <w:p w14:paraId="3E77D7B1">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证明材料：通知书或合同关键页复印件加盖公章 ，未提供证明材料不得分。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69A7D51">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10</w:t>
            </w:r>
          </w:p>
        </w:tc>
      </w:tr>
      <w:tr w14:paraId="4427D59E">
        <w:tblPrEx>
          <w:tblCellMar>
            <w:top w:w="0" w:type="dxa"/>
            <w:left w:w="108" w:type="dxa"/>
            <w:bottom w:w="0" w:type="dxa"/>
            <w:right w:w="108" w:type="dxa"/>
          </w:tblCellMar>
        </w:tblPrEx>
        <w:trPr>
          <w:trHeight w:val="380"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7514744">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技术评审</w:t>
            </w:r>
          </w:p>
        </w:tc>
      </w:tr>
      <w:tr w14:paraId="6EEEFD98">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73AE70A">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9BE3FE7">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52A64F84">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145698C">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1568CE60">
        <w:tblPrEx>
          <w:tblCellMar>
            <w:top w:w="0" w:type="dxa"/>
            <w:left w:w="108" w:type="dxa"/>
            <w:bottom w:w="0" w:type="dxa"/>
            <w:right w:w="108" w:type="dxa"/>
          </w:tblCellMar>
        </w:tblPrEx>
        <w:trPr>
          <w:trHeight w:val="88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18392F9">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FAA43E2">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实施方案</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11FAFE6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方案必须包括但不限于：到货安装、调试校验、备品备件情况、对使用和维护人员的规范技术培训、对验收标准和验收方式等内容。 </w:t>
            </w:r>
          </w:p>
          <w:p w14:paraId="64FDC1C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（1）方案详细、完整，服务体系完善，培训针对性强，完全满足得15分； </w:t>
            </w:r>
          </w:p>
          <w:p w14:paraId="7600CB4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（2）有基本的方案内容且内容无缺漏，服务体系、培训具有一定针对性，满足得10分； </w:t>
            </w:r>
          </w:p>
          <w:p w14:paraId="1782918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（3）方案内容存在缺漏或欠合理，不能满足得6分；</w:t>
            </w:r>
          </w:p>
          <w:p w14:paraId="07148BFB">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（4）未提供方案得0分。 </w:t>
            </w:r>
          </w:p>
          <w:p w14:paraId="3A4AE3AA">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 ，存在不适用本项目实际情况的情形（与项目实际不匹配、不符合项目特点）、凭空捏造、逻辑漏洞、科学原理错误或不可实现的夸大情形等。</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60CD589">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15</w:t>
            </w:r>
          </w:p>
        </w:tc>
      </w:tr>
      <w:tr w14:paraId="469220A2">
        <w:tblPrEx>
          <w:tblCellMar>
            <w:top w:w="0" w:type="dxa"/>
            <w:left w:w="108" w:type="dxa"/>
            <w:bottom w:w="0" w:type="dxa"/>
            <w:right w:w="108" w:type="dxa"/>
          </w:tblCellMar>
        </w:tblPrEx>
        <w:trPr>
          <w:trHeight w:val="18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0C1F809">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C557631">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售后服务</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55A418A1">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售后</w:t>
            </w:r>
            <w:r>
              <w:rPr>
                <w:rFonts w:hint="eastAsia" w:asciiTheme="minorEastAsia" w:hAnsiTheme="minorEastAsia" w:eastAsiaTheme="minorEastAsia" w:cstheme="minorEastAsia"/>
              </w:rPr>
              <w:t xml:space="preserve">包括但不限于：质保期内的承诺、设备出现故障和缺陷后的解决方案和响应时间、质保期满后的相关服务、生产厂家的技术支持等内容。 </w:t>
            </w:r>
          </w:p>
          <w:p w14:paraId="1351C8B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（1）方案详细、完整，切实可行，完全满足项目质量保证保修需要的得14分； </w:t>
            </w:r>
          </w:p>
          <w:p w14:paraId="438E8B8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 具有可行性，满足项目质量保证保修需要的得9分； </w:t>
            </w:r>
          </w:p>
          <w:p w14:paraId="4E8B422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（3）方案内容存在缺漏或欠合理，不能满足项目质量保证保修需要的得6分</w:t>
            </w:r>
          </w:p>
          <w:p w14:paraId="4F7503DE">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（4）未提供方案得0分。</w:t>
            </w:r>
          </w:p>
          <w:p w14:paraId="57223C9B">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内容缺陷指不满足本项目采购需求，存在不适用本项目实际情况的 情形（与项目实际不匹配、不符合项目特点）、凭空捏造、逻辑漏洞、科学原理错误或不可实现的夸大情形等</w:t>
            </w:r>
            <w:r>
              <w:rPr>
                <w:rFonts w:hint="eastAsia" w:asciiTheme="minorEastAsia" w:hAnsiTheme="minorEastAsia" w:cstheme="minorEastAsia"/>
                <w:color w:val="333333"/>
                <w:lang w:bidi="ar"/>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77BE1CC">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14</w:t>
            </w:r>
          </w:p>
        </w:tc>
      </w:tr>
      <w:tr w14:paraId="1D3819FE">
        <w:tblPrEx>
          <w:tblCellMar>
            <w:top w:w="0" w:type="dxa"/>
            <w:left w:w="108" w:type="dxa"/>
            <w:bottom w:w="0" w:type="dxa"/>
            <w:right w:w="108" w:type="dxa"/>
          </w:tblCellMar>
        </w:tblPrEx>
        <w:trPr>
          <w:trHeight w:val="712"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EFAB24D">
            <w:pPr>
              <w:rPr>
                <w:rFonts w:hint="eastAsia"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价格评审</w:t>
            </w:r>
          </w:p>
          <w:p w14:paraId="229730CE">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 </w:t>
            </w:r>
          </w:p>
        </w:tc>
      </w:tr>
      <w:tr w14:paraId="4C836F81">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C49DFDF">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91E2324">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436C73C">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4863A9D">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75B00B96">
        <w:tblPrEx>
          <w:tblCellMar>
            <w:top w:w="0" w:type="dxa"/>
            <w:left w:w="108" w:type="dxa"/>
            <w:bottom w:w="0" w:type="dxa"/>
            <w:right w:w="108" w:type="dxa"/>
          </w:tblCellMar>
        </w:tblPrEx>
        <w:trPr>
          <w:trHeight w:val="9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95972DD">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79881AC">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报价得分</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20B360DA">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报价得分=（评标基准价/价格扣除后的投标报价）*100*报价分值权重；评标基准价等于有效投标单</w:t>
            </w:r>
            <w:r>
              <w:rPr>
                <w:rStyle w:val="194"/>
                <w:rFonts w:asciiTheme="minorEastAsia" w:hAnsiTheme="minorEastAsia" w:eastAsiaTheme="minorEastAsia" w:cstheme="minorEastAsia"/>
                <w:lang w:bidi="ar"/>
              </w:rPr>
              <w:t xml:space="preserve"> 位中价格扣除后报价的最小值。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C975BF8">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30</w:t>
            </w:r>
          </w:p>
        </w:tc>
      </w:tr>
    </w:tbl>
    <w:p w14:paraId="7DB9792B">
      <w:pPr>
        <w:jc w:val="center"/>
        <w:outlineLvl w:val="2"/>
        <w:rPr>
          <w:rFonts w:hint="eastAsia" w:ascii="宋体" w:hAnsi="宋体" w:cs="宋体"/>
          <w:b/>
          <w:bCs/>
          <w:sz w:val="28"/>
          <w:szCs w:val="28"/>
        </w:rPr>
      </w:pPr>
      <w:r>
        <w:rPr>
          <w:rFonts w:hint="eastAsia" w:ascii="宋体" w:hAnsi="宋体" w:cs="宋体"/>
          <w:b/>
          <w:bCs/>
          <w:sz w:val="28"/>
          <w:szCs w:val="28"/>
        </w:rPr>
        <w:br w:type="page"/>
      </w:r>
      <w:bookmarkStart w:id="189" w:name="_Toc29322"/>
      <w:r>
        <w:rPr>
          <w:rFonts w:hint="eastAsia" w:ascii="宋体" w:hAnsi="宋体" w:cs="宋体"/>
          <w:b/>
          <w:bCs/>
          <w:sz w:val="28"/>
          <w:szCs w:val="28"/>
        </w:rPr>
        <w:t>技术、商务评分表（B包）</w:t>
      </w:r>
      <w:bookmarkEnd w:id="189"/>
    </w:p>
    <w:tbl>
      <w:tblPr>
        <w:tblStyle w:val="35"/>
        <w:tblW w:w="10632" w:type="dxa"/>
        <w:jc w:val="center"/>
        <w:tblLayout w:type="fixed"/>
        <w:tblCellMar>
          <w:top w:w="0" w:type="dxa"/>
          <w:left w:w="108" w:type="dxa"/>
          <w:bottom w:w="0" w:type="dxa"/>
          <w:right w:w="108" w:type="dxa"/>
        </w:tblCellMar>
      </w:tblPr>
      <w:tblGrid>
        <w:gridCol w:w="1155"/>
        <w:gridCol w:w="1230"/>
        <w:gridCol w:w="7287"/>
        <w:gridCol w:w="960"/>
      </w:tblGrid>
      <w:tr w14:paraId="3D2E9E79">
        <w:tblPrEx>
          <w:tblCellMar>
            <w:top w:w="0" w:type="dxa"/>
            <w:left w:w="108" w:type="dxa"/>
            <w:bottom w:w="0" w:type="dxa"/>
            <w:right w:w="108" w:type="dxa"/>
          </w:tblCellMar>
        </w:tblPrEx>
        <w:trPr>
          <w:trHeight w:val="395"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F6A543E">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商务评审</w:t>
            </w:r>
          </w:p>
        </w:tc>
      </w:tr>
      <w:tr w14:paraId="7CAD9F73">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0825A87">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3D7CD53">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8ECD2A6">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05A20EA">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3D350544">
        <w:tblPrEx>
          <w:tblCellMar>
            <w:top w:w="0" w:type="dxa"/>
            <w:left w:w="108" w:type="dxa"/>
            <w:bottom w:w="0" w:type="dxa"/>
            <w:right w:w="108" w:type="dxa"/>
          </w:tblCellMar>
        </w:tblPrEx>
        <w:trPr>
          <w:trHeight w:val="252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BCAF4F1">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4238643">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采购需求响应情况</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01E28179">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供应商对B包用户需求的技术要求内容逐一响应 ，完全满足或优于用户需求的得46分；</w:t>
            </w:r>
          </w:p>
          <w:p w14:paraId="698DBD38">
            <w:pPr>
              <w:numPr>
                <w:ilvl w:val="0"/>
                <w:numId w:val="6"/>
              </w:num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 xml:space="preserve">一般性参数条款46分，完全满足或优于用户需求得46分，每有一项负偏离扣2分（共计23条），若负偏离≥12项，得0分；  </w:t>
            </w:r>
          </w:p>
          <w:p w14:paraId="7DA10B5F">
            <w:pPr>
              <w:jc w:val="both"/>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注：供应商须对所投产品技术参数的真实性负责，提供虚假参数，伪造、变更或虚假响应者按废标处理，并上报政府采购主管部门进行严肃处理。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63E4049">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46</w:t>
            </w:r>
          </w:p>
        </w:tc>
      </w:tr>
      <w:tr w14:paraId="3EB7A099">
        <w:tblPrEx>
          <w:tblCellMar>
            <w:top w:w="0" w:type="dxa"/>
            <w:left w:w="108" w:type="dxa"/>
            <w:bottom w:w="0" w:type="dxa"/>
            <w:right w:w="108" w:type="dxa"/>
          </w:tblCellMar>
        </w:tblPrEx>
        <w:trPr>
          <w:trHeight w:val="124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617C5E4">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90F7A8B">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类似业绩</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71DD019B">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投标人提供</w:t>
            </w:r>
            <w:r>
              <w:rPr>
                <w:rFonts w:hint="eastAsia" w:asciiTheme="minorEastAsia" w:hAnsiTheme="minorEastAsia" w:cstheme="minorEastAsia"/>
                <w:color w:val="333333"/>
                <w:lang w:bidi="ar"/>
              </w:rPr>
              <w:t>2021</w:t>
            </w:r>
            <w:r>
              <w:rPr>
                <w:rFonts w:hint="eastAsia" w:asciiTheme="minorEastAsia" w:hAnsiTheme="minorEastAsia" w:eastAsiaTheme="minorEastAsia" w:cstheme="minorEastAsia"/>
                <w:color w:val="333333"/>
                <w:lang w:bidi="ar"/>
              </w:rPr>
              <w:t>年</w:t>
            </w:r>
            <w:r>
              <w:rPr>
                <w:rFonts w:hint="eastAsia" w:asciiTheme="minorEastAsia" w:hAnsiTheme="minorEastAsia" w:cstheme="minorEastAsia"/>
                <w:color w:val="333333"/>
                <w:lang w:bidi="ar"/>
              </w:rPr>
              <w:t>1</w:t>
            </w:r>
            <w:r>
              <w:rPr>
                <w:rFonts w:hint="eastAsia" w:asciiTheme="minorEastAsia" w:hAnsiTheme="minorEastAsia" w:eastAsiaTheme="minorEastAsia" w:cstheme="minorEastAsia"/>
                <w:color w:val="333333"/>
                <w:lang w:bidi="ar"/>
              </w:rPr>
              <w:t>月</w:t>
            </w:r>
            <w:r>
              <w:rPr>
                <w:rFonts w:hint="eastAsia" w:asciiTheme="minorEastAsia" w:hAnsiTheme="minorEastAsia" w:cstheme="minorEastAsia"/>
                <w:color w:val="333333"/>
                <w:lang w:bidi="ar"/>
              </w:rPr>
              <w:t>1日</w:t>
            </w:r>
            <w:r>
              <w:rPr>
                <w:rFonts w:hint="eastAsia" w:asciiTheme="minorEastAsia" w:hAnsiTheme="minorEastAsia" w:eastAsiaTheme="minorEastAsia" w:cstheme="minorEastAsia"/>
                <w:color w:val="333333"/>
                <w:lang w:bidi="ar"/>
              </w:rPr>
              <w:t>至今以来</w:t>
            </w:r>
            <w:r>
              <w:rPr>
                <w:rFonts w:hint="eastAsia" w:asciiTheme="minorEastAsia" w:hAnsiTheme="minorEastAsia" w:eastAsiaTheme="minorEastAsia" w:cstheme="minorEastAsia"/>
                <w:b/>
                <w:bCs/>
                <w:color w:val="333333"/>
                <w:lang w:bidi="ar"/>
              </w:rPr>
              <w:t>(近三年)</w:t>
            </w:r>
            <w:r>
              <w:rPr>
                <w:rFonts w:hint="eastAsia" w:asciiTheme="minorEastAsia" w:hAnsiTheme="minorEastAsia" w:eastAsiaTheme="minorEastAsia" w:cstheme="minorEastAsia"/>
                <w:color w:val="333333"/>
                <w:lang w:bidi="ar"/>
              </w:rPr>
              <w:t>承接过的类似业绩 ，提供1份业绩得1分 ，满分5分 。</w:t>
            </w:r>
          </w:p>
          <w:p w14:paraId="469392B7">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证明材料：通知书或合同关键页复印件加盖公章 ，未提供证明材料不得分。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670569E">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5</w:t>
            </w:r>
          </w:p>
        </w:tc>
      </w:tr>
      <w:tr w14:paraId="75BF2E3B">
        <w:tblPrEx>
          <w:tblCellMar>
            <w:top w:w="0" w:type="dxa"/>
            <w:left w:w="108" w:type="dxa"/>
            <w:bottom w:w="0" w:type="dxa"/>
            <w:right w:w="108" w:type="dxa"/>
          </w:tblCellMar>
        </w:tblPrEx>
        <w:trPr>
          <w:trHeight w:val="380"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598E613">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技术评审</w:t>
            </w:r>
          </w:p>
        </w:tc>
      </w:tr>
      <w:tr w14:paraId="3ABC2F37">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25D8AA4">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99C7D23">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23796D1A">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45B3991">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709EB4D2">
        <w:tblPrEx>
          <w:tblCellMar>
            <w:top w:w="0" w:type="dxa"/>
            <w:left w:w="108" w:type="dxa"/>
            <w:bottom w:w="0" w:type="dxa"/>
            <w:right w:w="108" w:type="dxa"/>
          </w:tblCellMar>
        </w:tblPrEx>
        <w:trPr>
          <w:trHeight w:val="88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06C2C04">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0E189E5">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实施方案</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5773D40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方案必须包括但不限于：到货安装、调试校验、备品备件情况、对使用和维护人员的规范技术培训、对验收标准和验收方式等内容。 </w:t>
            </w:r>
          </w:p>
          <w:p w14:paraId="119924F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（1）方案详细、完整，服务体系完善，培训针对性强，完全满足得10分； </w:t>
            </w:r>
          </w:p>
          <w:p w14:paraId="3B2B380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（2）有基本的方案内容且内容无缺漏，服务体系、培训具有一定针对性，满足得6分； </w:t>
            </w:r>
          </w:p>
          <w:p w14:paraId="0411FFE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（3）方案内容存在缺漏或欠合理，不能满足得3分；</w:t>
            </w:r>
          </w:p>
          <w:p w14:paraId="4193D93A">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（4）未提供方案得0分。 </w:t>
            </w:r>
          </w:p>
          <w:p w14:paraId="60014D67">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 ，存在不适用本项目实际情况的情形（与项目实际不匹配、不符合项目特点）、凭空捏造、逻辑漏洞、科学原理错误或不可实现的夸大情形等。</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D033F43">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10</w:t>
            </w:r>
          </w:p>
        </w:tc>
      </w:tr>
      <w:tr w14:paraId="2F0938FC">
        <w:tblPrEx>
          <w:tblCellMar>
            <w:top w:w="0" w:type="dxa"/>
            <w:left w:w="108" w:type="dxa"/>
            <w:bottom w:w="0" w:type="dxa"/>
            <w:right w:w="108" w:type="dxa"/>
          </w:tblCellMar>
        </w:tblPrEx>
        <w:trPr>
          <w:trHeight w:val="18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38BC112">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37A8EDA">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售后服务</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3FC72DB1">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售后</w:t>
            </w:r>
            <w:r>
              <w:rPr>
                <w:rFonts w:hint="eastAsia" w:asciiTheme="minorEastAsia" w:hAnsiTheme="minorEastAsia" w:eastAsiaTheme="minorEastAsia" w:cstheme="minorEastAsia"/>
              </w:rPr>
              <w:t xml:space="preserve">包括但不限于：质保期内的承诺、设备出现故障和缺陷后的解决方案和响应时间、质保期满后的相关服务、生产厂家的技术支持等内容。 </w:t>
            </w:r>
          </w:p>
          <w:p w14:paraId="5730B9B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（1）方案详细、完整，切实可行，完全满足项目质量保证保修需要的得9分； </w:t>
            </w:r>
          </w:p>
          <w:p w14:paraId="03526AB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 具有可行性，满足项目质量保证保修需要的得6分； </w:t>
            </w:r>
          </w:p>
          <w:p w14:paraId="0BD4CD4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（3）方案内容存在缺漏或欠合理，不能满足项目质量保证保修需要的得3分</w:t>
            </w:r>
          </w:p>
          <w:p w14:paraId="7DD37AED">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（4）未提供方案得0分。</w:t>
            </w:r>
          </w:p>
          <w:p w14:paraId="351FC309">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内容缺陷指不满足本项目采购需求，存在不适用本项目实际情况的 情形（与项目实际不匹配、不符合项目特点）、凭空捏造、逻辑漏洞、科学原理错误或不可实现的夸大情形等</w:t>
            </w:r>
            <w:r>
              <w:rPr>
                <w:rFonts w:hint="eastAsia" w:asciiTheme="minorEastAsia" w:hAnsiTheme="minorEastAsia" w:cstheme="minorEastAsia"/>
                <w:color w:val="333333"/>
                <w:lang w:bidi="ar"/>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E89FF06">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9</w:t>
            </w:r>
          </w:p>
        </w:tc>
      </w:tr>
      <w:tr w14:paraId="359B50F2">
        <w:tblPrEx>
          <w:tblCellMar>
            <w:top w:w="0" w:type="dxa"/>
            <w:left w:w="108" w:type="dxa"/>
            <w:bottom w:w="0" w:type="dxa"/>
            <w:right w:w="108" w:type="dxa"/>
          </w:tblCellMar>
        </w:tblPrEx>
        <w:trPr>
          <w:trHeight w:val="375"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FDBF10B">
            <w:pPr>
              <w:rPr>
                <w:rFonts w:hint="eastAsia"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价格评审</w:t>
            </w:r>
          </w:p>
          <w:p w14:paraId="03BAF024">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 </w:t>
            </w:r>
          </w:p>
        </w:tc>
      </w:tr>
      <w:tr w14:paraId="12A7ADFD">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27D32C7">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811AE1F">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1951AD16">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D69E5F4">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093B7682">
        <w:tblPrEx>
          <w:tblCellMar>
            <w:top w:w="0" w:type="dxa"/>
            <w:left w:w="108" w:type="dxa"/>
            <w:bottom w:w="0" w:type="dxa"/>
            <w:right w:w="108" w:type="dxa"/>
          </w:tblCellMar>
        </w:tblPrEx>
        <w:trPr>
          <w:trHeight w:val="9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5CA8F90">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6F25A30">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报价得分</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1A7A92DF">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报价得分=（评标基准价/价格扣除后的投标报价）*100*报价分值权重；评标基准价等于有效投标单</w:t>
            </w:r>
            <w:r>
              <w:rPr>
                <w:rStyle w:val="194"/>
                <w:rFonts w:asciiTheme="minorEastAsia" w:hAnsiTheme="minorEastAsia" w:eastAsiaTheme="minorEastAsia" w:cstheme="minorEastAsia"/>
                <w:lang w:bidi="ar"/>
              </w:rPr>
              <w:t xml:space="preserve"> 位中价格扣除后报价的最小值。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B6127A9">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30</w:t>
            </w:r>
          </w:p>
        </w:tc>
      </w:tr>
    </w:tbl>
    <w:p w14:paraId="493E134C">
      <w:pPr>
        <w:jc w:val="center"/>
        <w:outlineLvl w:val="2"/>
        <w:rPr>
          <w:rFonts w:hint="eastAsia" w:ascii="宋体" w:hAnsi="宋体" w:cs="宋体"/>
          <w:b/>
          <w:bCs/>
          <w:sz w:val="28"/>
          <w:szCs w:val="28"/>
        </w:rPr>
      </w:pPr>
      <w:r>
        <w:rPr>
          <w:rFonts w:hint="eastAsia" w:ascii="宋体" w:hAnsi="宋体" w:cs="宋体"/>
          <w:b/>
          <w:bCs/>
          <w:sz w:val="28"/>
          <w:szCs w:val="28"/>
        </w:rPr>
        <w:br w:type="page"/>
      </w:r>
      <w:bookmarkStart w:id="190" w:name="_Toc20292"/>
      <w:r>
        <w:rPr>
          <w:rFonts w:hint="eastAsia" w:ascii="宋体" w:hAnsi="宋体" w:cs="宋体"/>
          <w:b/>
          <w:bCs/>
          <w:sz w:val="28"/>
          <w:szCs w:val="28"/>
        </w:rPr>
        <w:t>技术、商务评分表（C包）</w:t>
      </w:r>
      <w:bookmarkEnd w:id="190"/>
    </w:p>
    <w:tbl>
      <w:tblPr>
        <w:tblStyle w:val="35"/>
        <w:tblW w:w="10632" w:type="dxa"/>
        <w:jc w:val="center"/>
        <w:tblLayout w:type="fixed"/>
        <w:tblCellMar>
          <w:top w:w="0" w:type="dxa"/>
          <w:left w:w="108" w:type="dxa"/>
          <w:bottom w:w="0" w:type="dxa"/>
          <w:right w:w="108" w:type="dxa"/>
        </w:tblCellMar>
      </w:tblPr>
      <w:tblGrid>
        <w:gridCol w:w="1155"/>
        <w:gridCol w:w="1230"/>
        <w:gridCol w:w="7287"/>
        <w:gridCol w:w="960"/>
      </w:tblGrid>
      <w:tr w14:paraId="0D6DD095">
        <w:tblPrEx>
          <w:tblCellMar>
            <w:top w:w="0" w:type="dxa"/>
            <w:left w:w="108" w:type="dxa"/>
            <w:bottom w:w="0" w:type="dxa"/>
            <w:right w:w="108" w:type="dxa"/>
          </w:tblCellMar>
        </w:tblPrEx>
        <w:trPr>
          <w:trHeight w:val="395"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D771BAE">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商务评审</w:t>
            </w:r>
          </w:p>
        </w:tc>
      </w:tr>
      <w:tr w14:paraId="03F9ECA6">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8E7AD09">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AE601FD">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4E7514D">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926E3B2">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4365CC4A">
        <w:tblPrEx>
          <w:tblCellMar>
            <w:top w:w="0" w:type="dxa"/>
            <w:left w:w="108" w:type="dxa"/>
            <w:bottom w:w="0" w:type="dxa"/>
            <w:right w:w="108" w:type="dxa"/>
          </w:tblCellMar>
        </w:tblPrEx>
        <w:trPr>
          <w:trHeight w:val="252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5F84CA3">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1A0C2C3">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采购需求响应情况</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4F5C797F">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供应商对C包用户需求的技术要求内容逐一响应 ，完全满足或优于用户需求的得32分；</w:t>
            </w:r>
          </w:p>
          <w:p w14:paraId="29ADE1FE">
            <w:pPr>
              <w:numPr>
                <w:ilvl w:val="0"/>
                <w:numId w:val="6"/>
              </w:num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 xml:space="preserve">一般性参数条款32分，完全满足或优于用户需求得32分，每有一项负偏离扣2分（共计16条），若负偏离≥8项，得0分；  </w:t>
            </w:r>
          </w:p>
          <w:p w14:paraId="0EC3937C">
            <w:pPr>
              <w:jc w:val="both"/>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注：供应商须对所投产品技术参数的真实性负责，提供虚假参数，伪造、变更或虚假响应者按废标处理，并上报政府采购主管部门进行严肃处理。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FFDB716">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32</w:t>
            </w:r>
          </w:p>
        </w:tc>
      </w:tr>
      <w:tr w14:paraId="417F698A">
        <w:tblPrEx>
          <w:tblCellMar>
            <w:top w:w="0" w:type="dxa"/>
            <w:left w:w="108" w:type="dxa"/>
            <w:bottom w:w="0" w:type="dxa"/>
            <w:right w:w="108" w:type="dxa"/>
          </w:tblCellMar>
        </w:tblPrEx>
        <w:trPr>
          <w:trHeight w:val="124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35B121E">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7D2DD91">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类似业绩</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7F8AE740">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投标人提供</w:t>
            </w:r>
            <w:r>
              <w:rPr>
                <w:rFonts w:hint="eastAsia" w:asciiTheme="minorEastAsia" w:hAnsiTheme="minorEastAsia" w:cstheme="minorEastAsia"/>
                <w:color w:val="333333"/>
                <w:lang w:bidi="ar"/>
              </w:rPr>
              <w:t>2021</w:t>
            </w:r>
            <w:r>
              <w:rPr>
                <w:rFonts w:hint="eastAsia" w:asciiTheme="minorEastAsia" w:hAnsiTheme="minorEastAsia" w:eastAsiaTheme="minorEastAsia" w:cstheme="minorEastAsia"/>
                <w:color w:val="333333"/>
                <w:lang w:bidi="ar"/>
              </w:rPr>
              <w:t>年</w:t>
            </w:r>
            <w:r>
              <w:rPr>
                <w:rFonts w:hint="eastAsia" w:asciiTheme="minorEastAsia" w:hAnsiTheme="minorEastAsia" w:cstheme="minorEastAsia"/>
                <w:color w:val="333333"/>
                <w:lang w:bidi="ar"/>
              </w:rPr>
              <w:t>1</w:t>
            </w:r>
            <w:r>
              <w:rPr>
                <w:rFonts w:hint="eastAsia" w:asciiTheme="minorEastAsia" w:hAnsiTheme="minorEastAsia" w:eastAsiaTheme="minorEastAsia" w:cstheme="minorEastAsia"/>
                <w:color w:val="333333"/>
                <w:lang w:bidi="ar"/>
              </w:rPr>
              <w:t>月</w:t>
            </w:r>
            <w:r>
              <w:rPr>
                <w:rFonts w:hint="eastAsia" w:asciiTheme="minorEastAsia" w:hAnsiTheme="minorEastAsia" w:cstheme="minorEastAsia"/>
                <w:color w:val="333333"/>
                <w:lang w:bidi="ar"/>
              </w:rPr>
              <w:t>1日</w:t>
            </w:r>
            <w:r>
              <w:rPr>
                <w:rFonts w:hint="eastAsia" w:asciiTheme="minorEastAsia" w:hAnsiTheme="minorEastAsia" w:eastAsiaTheme="minorEastAsia" w:cstheme="minorEastAsia"/>
                <w:color w:val="333333"/>
                <w:lang w:bidi="ar"/>
              </w:rPr>
              <w:t>至今以来</w:t>
            </w:r>
            <w:r>
              <w:rPr>
                <w:rFonts w:hint="eastAsia" w:asciiTheme="minorEastAsia" w:hAnsiTheme="minorEastAsia" w:eastAsiaTheme="minorEastAsia" w:cstheme="minorEastAsia"/>
                <w:b/>
                <w:bCs/>
                <w:color w:val="333333"/>
                <w:lang w:bidi="ar"/>
              </w:rPr>
              <w:t>(近三年)</w:t>
            </w:r>
            <w:r>
              <w:rPr>
                <w:rFonts w:hint="eastAsia" w:asciiTheme="minorEastAsia" w:hAnsiTheme="minorEastAsia" w:eastAsiaTheme="minorEastAsia" w:cstheme="minorEastAsia"/>
                <w:color w:val="333333"/>
                <w:lang w:bidi="ar"/>
              </w:rPr>
              <w:t>承接过的类似业绩 ，提供1份业绩得2分 ，满分10分 。</w:t>
            </w:r>
          </w:p>
          <w:p w14:paraId="0ED691D1">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证明材料：通知书或合同关键页复印件加盖公章 ，未提供证明材料不得分。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8A4B34D">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10</w:t>
            </w:r>
          </w:p>
        </w:tc>
      </w:tr>
      <w:tr w14:paraId="433DF20C">
        <w:tblPrEx>
          <w:tblCellMar>
            <w:top w:w="0" w:type="dxa"/>
            <w:left w:w="108" w:type="dxa"/>
            <w:bottom w:w="0" w:type="dxa"/>
            <w:right w:w="108" w:type="dxa"/>
          </w:tblCellMar>
        </w:tblPrEx>
        <w:trPr>
          <w:trHeight w:val="380"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000A16F">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技术评审</w:t>
            </w:r>
          </w:p>
        </w:tc>
      </w:tr>
      <w:tr w14:paraId="474FA4C7">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A7B7E37">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EA5E53D">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2D582629">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9BCB3EF">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58391CE5">
        <w:tblPrEx>
          <w:tblCellMar>
            <w:top w:w="0" w:type="dxa"/>
            <w:left w:w="108" w:type="dxa"/>
            <w:bottom w:w="0" w:type="dxa"/>
            <w:right w:w="108" w:type="dxa"/>
          </w:tblCellMar>
        </w:tblPrEx>
        <w:trPr>
          <w:trHeight w:val="88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5712EAC">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2186827">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实施方案</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2D60A10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方案必须包括但不限于：到货安装、调试校验、备品备件情况、对使用和维护人员的规范技术培训、对验收标准和验收方式等内容。 </w:t>
            </w:r>
          </w:p>
          <w:p w14:paraId="6F0F0D0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（1）方案详细、完整，服务体系完善，培训针对性强，完全满足得15分； </w:t>
            </w:r>
          </w:p>
          <w:p w14:paraId="2F73537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（2）有基本的方案内容且内容无缺漏，服务体系、培训具有一定针对性，满足得10分； </w:t>
            </w:r>
          </w:p>
          <w:p w14:paraId="7656676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（3）方案内容存在缺漏或欠合理，不能满足得7分；</w:t>
            </w:r>
          </w:p>
          <w:p w14:paraId="6BCAC751">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（4）未提供方案得0分。 </w:t>
            </w:r>
          </w:p>
          <w:p w14:paraId="5D4D5F0B">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 ，存在不适用本项目实际情况的情形（与项目实际不匹配、不符合项目特点）、凭空捏造、逻辑漏洞、科学原理错误或不可实现的夸大情形等。</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C440322">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15</w:t>
            </w:r>
          </w:p>
        </w:tc>
      </w:tr>
      <w:tr w14:paraId="27980665">
        <w:tblPrEx>
          <w:tblCellMar>
            <w:top w:w="0" w:type="dxa"/>
            <w:left w:w="108" w:type="dxa"/>
            <w:bottom w:w="0" w:type="dxa"/>
            <w:right w:w="108" w:type="dxa"/>
          </w:tblCellMar>
        </w:tblPrEx>
        <w:trPr>
          <w:trHeight w:val="18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2166C9D">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1517A55">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售后服务</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3DCEEAAB">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售后</w:t>
            </w:r>
            <w:r>
              <w:rPr>
                <w:rFonts w:hint="eastAsia" w:asciiTheme="minorEastAsia" w:hAnsiTheme="minorEastAsia" w:eastAsiaTheme="minorEastAsia" w:cstheme="minorEastAsia"/>
              </w:rPr>
              <w:t xml:space="preserve">包括但不限于：质保期内的承诺、设备出现故障和缺陷后的解决方案和响应时间、质保期满后的相关服务、生产厂家的技术支持等内容。 </w:t>
            </w:r>
          </w:p>
          <w:p w14:paraId="460D692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（1）方案详细、完整，切实可行，完全满足项目质量保证保修需要的得13分； </w:t>
            </w:r>
          </w:p>
          <w:p w14:paraId="0B87DE8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 具有可行性，满足项目质量保证保修需要的得9分； </w:t>
            </w:r>
          </w:p>
          <w:p w14:paraId="766FAC7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（3）方案内容存在缺漏或欠合理，不能满足项目质量保证保修需要的得6分</w:t>
            </w:r>
          </w:p>
          <w:p w14:paraId="35383483">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（4）未提供方案得0分。</w:t>
            </w:r>
          </w:p>
          <w:p w14:paraId="484352FE">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内容缺陷指不满足本项目采购需求，存在不适用本项目实际情况的 情形（与项目实际不匹配、不符合项目特点）、凭空捏造、逻辑漏洞、科学原理错误或不可实现的夸大情形等</w:t>
            </w:r>
            <w:r>
              <w:rPr>
                <w:rFonts w:hint="eastAsia" w:asciiTheme="minorEastAsia" w:hAnsiTheme="minorEastAsia" w:cstheme="minorEastAsia"/>
                <w:color w:val="333333"/>
                <w:lang w:bidi="ar"/>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9D3A61A">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13</w:t>
            </w:r>
          </w:p>
        </w:tc>
      </w:tr>
      <w:tr w14:paraId="1644B360">
        <w:tblPrEx>
          <w:tblCellMar>
            <w:top w:w="0" w:type="dxa"/>
            <w:left w:w="108" w:type="dxa"/>
            <w:bottom w:w="0" w:type="dxa"/>
            <w:right w:w="108" w:type="dxa"/>
          </w:tblCellMar>
        </w:tblPrEx>
        <w:trPr>
          <w:trHeight w:val="712"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3A0718">
            <w:pPr>
              <w:rPr>
                <w:rFonts w:hint="eastAsia"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价格评审</w:t>
            </w:r>
          </w:p>
          <w:p w14:paraId="632ED23F">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 </w:t>
            </w:r>
          </w:p>
        </w:tc>
      </w:tr>
      <w:tr w14:paraId="53DF21EF">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4A22059">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ABFD232">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BEF9629">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160A678">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7D6A0CB6">
        <w:tblPrEx>
          <w:tblCellMar>
            <w:top w:w="0" w:type="dxa"/>
            <w:left w:w="108" w:type="dxa"/>
            <w:bottom w:w="0" w:type="dxa"/>
            <w:right w:w="108" w:type="dxa"/>
          </w:tblCellMar>
        </w:tblPrEx>
        <w:trPr>
          <w:trHeight w:val="9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225AD95">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A810C36">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报价得分</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73BE60B6">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报价得分=（评标基准价/价格扣除后的投标报价）*100*报价分值权重；评标基准价等于有效投标单</w:t>
            </w:r>
            <w:r>
              <w:rPr>
                <w:rStyle w:val="194"/>
                <w:rFonts w:asciiTheme="minorEastAsia" w:hAnsiTheme="minorEastAsia" w:eastAsiaTheme="minorEastAsia" w:cstheme="minorEastAsia"/>
                <w:lang w:bidi="ar"/>
              </w:rPr>
              <w:t xml:space="preserve"> 位中价格扣除后报价的最小值。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99111F0">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30</w:t>
            </w:r>
          </w:p>
        </w:tc>
      </w:tr>
    </w:tbl>
    <w:p w14:paraId="68768ADD">
      <w:pPr>
        <w:jc w:val="center"/>
        <w:outlineLvl w:val="2"/>
        <w:rPr>
          <w:rFonts w:hint="eastAsia" w:ascii="宋体" w:hAnsi="宋体" w:cs="宋体"/>
          <w:b/>
          <w:bCs/>
          <w:sz w:val="28"/>
          <w:szCs w:val="28"/>
        </w:rPr>
      </w:pPr>
      <w:r>
        <w:rPr>
          <w:rFonts w:hint="eastAsia" w:ascii="宋体" w:hAnsi="宋体" w:cs="宋体"/>
          <w:b/>
          <w:bCs/>
          <w:sz w:val="28"/>
          <w:szCs w:val="28"/>
        </w:rPr>
        <w:br w:type="page"/>
      </w:r>
      <w:bookmarkStart w:id="191" w:name="_Toc14144"/>
      <w:r>
        <w:rPr>
          <w:rFonts w:hint="eastAsia" w:ascii="宋体" w:hAnsi="宋体" w:cs="宋体"/>
          <w:b/>
          <w:bCs/>
          <w:sz w:val="28"/>
          <w:szCs w:val="28"/>
        </w:rPr>
        <w:t>技术、商务评分表（D包）</w:t>
      </w:r>
      <w:bookmarkEnd w:id="191"/>
    </w:p>
    <w:tbl>
      <w:tblPr>
        <w:tblStyle w:val="35"/>
        <w:tblW w:w="10632" w:type="dxa"/>
        <w:jc w:val="center"/>
        <w:tblLayout w:type="fixed"/>
        <w:tblCellMar>
          <w:top w:w="0" w:type="dxa"/>
          <w:left w:w="108" w:type="dxa"/>
          <w:bottom w:w="0" w:type="dxa"/>
          <w:right w:w="108" w:type="dxa"/>
        </w:tblCellMar>
      </w:tblPr>
      <w:tblGrid>
        <w:gridCol w:w="1155"/>
        <w:gridCol w:w="1230"/>
        <w:gridCol w:w="7287"/>
        <w:gridCol w:w="960"/>
      </w:tblGrid>
      <w:tr w14:paraId="51ECD138">
        <w:tblPrEx>
          <w:tblCellMar>
            <w:top w:w="0" w:type="dxa"/>
            <w:left w:w="108" w:type="dxa"/>
            <w:bottom w:w="0" w:type="dxa"/>
            <w:right w:w="108" w:type="dxa"/>
          </w:tblCellMar>
        </w:tblPrEx>
        <w:trPr>
          <w:trHeight w:val="395"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6BA3E17">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商务评审</w:t>
            </w:r>
          </w:p>
        </w:tc>
      </w:tr>
      <w:tr w14:paraId="02C1DF84">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5233B85">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3AF1F8E">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05A53F0">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45317BA">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63E488D6">
        <w:tblPrEx>
          <w:tblCellMar>
            <w:top w:w="0" w:type="dxa"/>
            <w:left w:w="108" w:type="dxa"/>
            <w:bottom w:w="0" w:type="dxa"/>
            <w:right w:w="108" w:type="dxa"/>
          </w:tblCellMar>
        </w:tblPrEx>
        <w:trPr>
          <w:trHeight w:val="252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2A86D1E">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26F1182">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采购需求响应情况</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29FF9181">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供应商对D包用户需求的技术要求内容逐一响应 ，完全满足或优于用户需求的得35分；</w:t>
            </w:r>
          </w:p>
          <w:p w14:paraId="4C7DBD48">
            <w:pPr>
              <w:numPr>
                <w:ilvl w:val="0"/>
                <w:numId w:val="6"/>
              </w:num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 xml:space="preserve">一般性参数条款20分，完全满足或优于用户需求得20分，每有一项负偏离扣1分（共计20条），若负偏离≥10项，得0分；  </w:t>
            </w:r>
          </w:p>
          <w:p w14:paraId="0ED34E92">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 ▲ ”号重要技术参数条款15分，完全满足或优于用户需求得15分，每有一项负偏离扣3分（共计5条），若负偏离≥3项，得0分。</w:t>
            </w:r>
          </w:p>
          <w:p w14:paraId="5B7A0197">
            <w:pPr>
              <w:jc w:val="both"/>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注：供应商须对所投产品技术参数的真实性负责，提供虚假参数，伪造、变更或虚假响应者按废标处理，并上报政府采购主管部门进行严肃处理。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29BF3CA">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35</w:t>
            </w:r>
          </w:p>
        </w:tc>
      </w:tr>
      <w:tr w14:paraId="6FA55E13">
        <w:tblPrEx>
          <w:tblCellMar>
            <w:top w:w="0" w:type="dxa"/>
            <w:left w:w="108" w:type="dxa"/>
            <w:bottom w:w="0" w:type="dxa"/>
            <w:right w:w="108" w:type="dxa"/>
          </w:tblCellMar>
        </w:tblPrEx>
        <w:trPr>
          <w:trHeight w:val="124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1626EB4">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83DDDFC">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类似业绩</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0879EA49">
            <w:pPr>
              <w:textAlignment w:val="center"/>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bidi="ar"/>
              </w:rPr>
              <w:t>投标人提供</w:t>
            </w:r>
            <w:r>
              <w:rPr>
                <w:rFonts w:hint="eastAsia" w:asciiTheme="minorEastAsia" w:hAnsiTheme="minorEastAsia" w:cstheme="minorEastAsia"/>
                <w:color w:val="333333"/>
                <w:lang w:bidi="ar"/>
              </w:rPr>
              <w:t>2021</w:t>
            </w:r>
            <w:r>
              <w:rPr>
                <w:rFonts w:hint="eastAsia" w:asciiTheme="minorEastAsia" w:hAnsiTheme="minorEastAsia" w:eastAsiaTheme="minorEastAsia" w:cstheme="minorEastAsia"/>
                <w:color w:val="333333"/>
                <w:lang w:bidi="ar"/>
              </w:rPr>
              <w:t>年</w:t>
            </w:r>
            <w:r>
              <w:rPr>
                <w:rFonts w:hint="eastAsia" w:asciiTheme="minorEastAsia" w:hAnsiTheme="minorEastAsia" w:cstheme="minorEastAsia"/>
                <w:color w:val="333333"/>
                <w:lang w:bidi="ar"/>
              </w:rPr>
              <w:t>1</w:t>
            </w:r>
            <w:r>
              <w:rPr>
                <w:rFonts w:hint="eastAsia" w:asciiTheme="minorEastAsia" w:hAnsiTheme="minorEastAsia" w:eastAsiaTheme="minorEastAsia" w:cstheme="minorEastAsia"/>
                <w:color w:val="333333"/>
                <w:lang w:bidi="ar"/>
              </w:rPr>
              <w:t>月</w:t>
            </w:r>
            <w:r>
              <w:rPr>
                <w:rFonts w:hint="eastAsia" w:asciiTheme="minorEastAsia" w:hAnsiTheme="minorEastAsia" w:cstheme="minorEastAsia"/>
                <w:color w:val="333333"/>
                <w:lang w:bidi="ar"/>
              </w:rPr>
              <w:t>1日</w:t>
            </w:r>
            <w:r>
              <w:rPr>
                <w:rFonts w:hint="eastAsia" w:asciiTheme="minorEastAsia" w:hAnsiTheme="minorEastAsia" w:eastAsiaTheme="minorEastAsia" w:cstheme="minorEastAsia"/>
                <w:color w:val="333333"/>
                <w:lang w:bidi="ar"/>
              </w:rPr>
              <w:t>至今以来</w:t>
            </w:r>
            <w:r>
              <w:rPr>
                <w:rFonts w:hint="eastAsia" w:asciiTheme="minorEastAsia" w:hAnsiTheme="minorEastAsia" w:eastAsiaTheme="minorEastAsia" w:cstheme="minorEastAsia"/>
                <w:b/>
                <w:bCs/>
                <w:color w:val="333333"/>
                <w:lang w:bidi="ar"/>
              </w:rPr>
              <w:t>(近三年)</w:t>
            </w:r>
            <w:r>
              <w:rPr>
                <w:rFonts w:hint="eastAsia" w:asciiTheme="minorEastAsia" w:hAnsiTheme="minorEastAsia" w:eastAsiaTheme="minorEastAsia" w:cstheme="minorEastAsia"/>
                <w:color w:val="333333"/>
                <w:lang w:bidi="ar"/>
              </w:rPr>
              <w:t>承接过的类似业绩 ，提供1份业绩得2分 ，满分10分 。</w:t>
            </w:r>
          </w:p>
          <w:p w14:paraId="481DAEE9">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证明材料：通知书或合同关键页复印件加盖公章 ，未提供证明材料不得分。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5CC09EB">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10</w:t>
            </w:r>
          </w:p>
        </w:tc>
      </w:tr>
      <w:tr w14:paraId="2A7689DE">
        <w:tblPrEx>
          <w:tblCellMar>
            <w:top w:w="0" w:type="dxa"/>
            <w:left w:w="108" w:type="dxa"/>
            <w:bottom w:w="0" w:type="dxa"/>
            <w:right w:w="108" w:type="dxa"/>
          </w:tblCellMar>
        </w:tblPrEx>
        <w:trPr>
          <w:trHeight w:val="380"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616F9B6">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技术评审</w:t>
            </w:r>
          </w:p>
        </w:tc>
      </w:tr>
      <w:tr w14:paraId="5AEF19AB">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093DFD1">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3FE2A6B">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28AE2E61">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D35FB1B">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484CA069">
        <w:tblPrEx>
          <w:tblCellMar>
            <w:top w:w="0" w:type="dxa"/>
            <w:left w:w="108" w:type="dxa"/>
            <w:bottom w:w="0" w:type="dxa"/>
            <w:right w:w="108" w:type="dxa"/>
          </w:tblCellMar>
        </w:tblPrEx>
        <w:trPr>
          <w:trHeight w:val="88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1B88D50">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01207E2">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实施方案</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0EC5506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方案必须包括但不限于：到货安装、调试校验、备品备件情况、对使用和维护人员的规范技术培训、对验收标准和验收方式等内容。 </w:t>
            </w:r>
          </w:p>
          <w:p w14:paraId="42AB51F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（1）方案详细、完整，服务体系完善，培训针对性强，完全满足得15分； </w:t>
            </w:r>
          </w:p>
          <w:p w14:paraId="41737D6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（2）有基本的方案内容且内容无缺漏，服务体系、培训具有一定针对性，满足得10分； </w:t>
            </w:r>
          </w:p>
          <w:p w14:paraId="069F36C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（3）方案内容存在缺漏或欠合理，不能满足得7分；</w:t>
            </w:r>
          </w:p>
          <w:p w14:paraId="25065ADF">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（4）未提供方案得0分。 </w:t>
            </w:r>
          </w:p>
          <w:p w14:paraId="7FD8F546">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 ，存在不适用本项目实际情况的情形（与项目实际不匹配、不符合项目特点）、凭空捏造、逻辑漏洞、科学原理错误或不可实现的夸大情形等。</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1467D95">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rPr>
              <w:t>15</w:t>
            </w:r>
          </w:p>
        </w:tc>
      </w:tr>
      <w:tr w14:paraId="6DE06D54">
        <w:tblPrEx>
          <w:tblCellMar>
            <w:top w:w="0" w:type="dxa"/>
            <w:left w:w="108" w:type="dxa"/>
            <w:bottom w:w="0" w:type="dxa"/>
            <w:right w:w="108" w:type="dxa"/>
          </w:tblCellMar>
        </w:tblPrEx>
        <w:trPr>
          <w:trHeight w:val="18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EB2A979">
            <w:pPr>
              <w:jc w:val="cente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71C4BD0">
            <w:pPr>
              <w:textAlignment w:val="center"/>
              <w:rPr>
                <w:rFonts w:hint="eastAsia" w:asciiTheme="minorEastAsia" w:hAnsiTheme="minorEastAsia" w:eastAsiaTheme="minorEastAsia" w:cstheme="minorEastAsia"/>
                <w:color w:val="333333"/>
              </w:rPr>
            </w:pPr>
            <w:r>
              <w:rPr>
                <w:rFonts w:hint="eastAsia" w:asciiTheme="minorEastAsia" w:hAnsiTheme="minorEastAsia" w:eastAsiaTheme="minorEastAsia" w:cstheme="minorEastAsia"/>
                <w:color w:val="333333"/>
                <w:lang w:bidi="ar"/>
              </w:rPr>
              <w:t>售后服务</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439567FE">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售后</w:t>
            </w:r>
            <w:r>
              <w:rPr>
                <w:rFonts w:hint="eastAsia" w:asciiTheme="minorEastAsia" w:hAnsiTheme="minorEastAsia" w:eastAsiaTheme="minorEastAsia" w:cstheme="minorEastAsia"/>
              </w:rPr>
              <w:t xml:space="preserve">包括但不限于：质保期内的承诺、设备出现故障和缺陷后的解决方案和响应时间、质保期满后的相关服务、生产厂家的技术支持等内容。 </w:t>
            </w:r>
          </w:p>
          <w:p w14:paraId="55C357A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（1）方案详细、完整，切实可行，完全满足项目质量保证保修需要的得10分； </w:t>
            </w:r>
          </w:p>
          <w:p w14:paraId="4206C6C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（2）有基本的方案内容且内容无缺漏， 具有可行性，满足项目质量保证保修需要的得6分； </w:t>
            </w:r>
          </w:p>
          <w:p w14:paraId="1905D9E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（3）方案内容存在缺漏或欠合理，不能满足项目质量保证保修需要的得3分</w:t>
            </w:r>
          </w:p>
          <w:p w14:paraId="10863410">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（4）未提供方案得0分。</w:t>
            </w:r>
          </w:p>
          <w:p w14:paraId="078810EC">
            <w:pP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lang w:bidi="ar"/>
              </w:rPr>
              <w:t xml:space="preserve"> 注： 内容缺陷指不满足本项目采购需求，存在不适用本项目实际情况的 情形（与项目实际不匹配、不符合项目特点）、凭空捏造、逻辑漏洞、科学原理错误或不可实现的夸大情形等</w:t>
            </w:r>
            <w:r>
              <w:rPr>
                <w:rFonts w:hint="eastAsia" w:asciiTheme="minorEastAsia" w:hAnsiTheme="minorEastAsia" w:cstheme="minorEastAsia"/>
                <w:color w:val="333333"/>
                <w:lang w:bidi="ar"/>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9FDEFAD">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w:t>
            </w:r>
          </w:p>
        </w:tc>
      </w:tr>
      <w:tr w14:paraId="3F3E03BE">
        <w:tblPrEx>
          <w:tblCellMar>
            <w:top w:w="0" w:type="dxa"/>
            <w:left w:w="108" w:type="dxa"/>
            <w:bottom w:w="0" w:type="dxa"/>
            <w:right w:w="108" w:type="dxa"/>
          </w:tblCellMar>
        </w:tblPrEx>
        <w:trPr>
          <w:trHeight w:val="712" w:hRule="atLeast"/>
          <w:jc w:val="center"/>
        </w:trPr>
        <w:tc>
          <w:tcPr>
            <w:tcW w:w="106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5CF132B">
            <w:pPr>
              <w:rPr>
                <w:rFonts w:hint="eastAsia"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价格评审</w:t>
            </w:r>
          </w:p>
          <w:p w14:paraId="041F48F1">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 </w:t>
            </w:r>
          </w:p>
        </w:tc>
      </w:tr>
      <w:tr w14:paraId="677E041B">
        <w:tblPrEx>
          <w:tblCellMar>
            <w:top w:w="0" w:type="dxa"/>
            <w:left w:w="108" w:type="dxa"/>
            <w:bottom w:w="0" w:type="dxa"/>
            <w:right w:w="108" w:type="dxa"/>
          </w:tblCellMar>
        </w:tblPrEx>
        <w:trPr>
          <w:trHeight w:val="315"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92260B9">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序号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6E564BC">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评审因素</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69565DBB">
            <w:pPr>
              <w:jc w:val="cente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评审标准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156BC2E">
            <w:pPr>
              <w:textAlignment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分值</w:t>
            </w:r>
          </w:p>
        </w:tc>
      </w:tr>
      <w:tr w14:paraId="6346CB96">
        <w:tblPrEx>
          <w:tblCellMar>
            <w:top w:w="0" w:type="dxa"/>
            <w:left w:w="108" w:type="dxa"/>
            <w:bottom w:w="0" w:type="dxa"/>
            <w:right w:w="108" w:type="dxa"/>
          </w:tblCellMar>
        </w:tblPrEx>
        <w:trPr>
          <w:trHeight w:val="90"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8706004">
            <w:pPr>
              <w:jc w:val="center"/>
              <w:textAlignment w:val="center"/>
              <w:rPr>
                <w:rFonts w:hint="eastAsia" w:asciiTheme="minorEastAsia" w:hAnsiTheme="minorEastAsia" w:eastAsiaTheme="minorEastAsia" w:cstheme="minorEastAsia"/>
                <w:b w:val="0"/>
                <w:bCs w:val="0"/>
                <w:color w:val="333333"/>
              </w:rPr>
            </w:pPr>
            <w:r>
              <w:rPr>
                <w:rFonts w:hint="eastAsia" w:asciiTheme="minorEastAsia" w:hAnsiTheme="minorEastAsia" w:eastAsiaTheme="minorEastAsia" w:cstheme="minorEastAsia"/>
                <w:b w:val="0"/>
                <w:bCs w:val="0"/>
                <w:color w:val="333333"/>
                <w:lang w:bidi="ar"/>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A205BFC">
            <w:pPr>
              <w:textAlignment w:val="center"/>
              <w:rPr>
                <w:rFonts w:hint="eastAsia" w:asciiTheme="minorEastAsia" w:hAnsiTheme="minorEastAsia" w:eastAsiaTheme="minorEastAsia" w:cstheme="minorEastAsia"/>
                <w:b w:val="0"/>
                <w:bCs w:val="0"/>
                <w:color w:val="333333"/>
              </w:rPr>
            </w:pPr>
            <w:r>
              <w:rPr>
                <w:rFonts w:hint="eastAsia" w:asciiTheme="minorEastAsia" w:hAnsiTheme="minorEastAsia" w:eastAsiaTheme="minorEastAsia" w:cstheme="minorEastAsia"/>
                <w:b w:val="0"/>
                <w:bCs w:val="0"/>
                <w:color w:val="333333"/>
                <w:lang w:bidi="ar"/>
              </w:rPr>
              <w:t>报价得分</w:t>
            </w:r>
          </w:p>
        </w:tc>
        <w:tc>
          <w:tcPr>
            <w:tcW w:w="7287" w:type="dxa"/>
            <w:tcBorders>
              <w:top w:val="single" w:color="auto" w:sz="4" w:space="0"/>
              <w:left w:val="single" w:color="auto" w:sz="4" w:space="0"/>
              <w:bottom w:val="single" w:color="auto" w:sz="4" w:space="0"/>
              <w:right w:val="single" w:color="auto" w:sz="4" w:space="0"/>
            </w:tcBorders>
            <w:shd w:val="clear" w:color="auto" w:fill="auto"/>
            <w:vAlign w:val="center"/>
          </w:tcPr>
          <w:p w14:paraId="0675A6EC">
            <w:pPr>
              <w:textAlignment w:val="center"/>
              <w:rPr>
                <w:rFonts w:hint="eastAsia" w:asciiTheme="minorEastAsia" w:hAnsiTheme="minorEastAsia" w:eastAsiaTheme="minorEastAsia" w:cstheme="minorEastAsia"/>
                <w:b w:val="0"/>
                <w:bCs w:val="0"/>
                <w:color w:val="333333"/>
              </w:rPr>
            </w:pPr>
            <w:r>
              <w:rPr>
                <w:rFonts w:hint="eastAsia" w:asciiTheme="minorEastAsia" w:hAnsiTheme="minorEastAsia" w:eastAsiaTheme="minorEastAsia" w:cstheme="minorEastAsia"/>
                <w:b w:val="0"/>
                <w:bCs w:val="0"/>
                <w:color w:val="333333"/>
                <w:lang w:bidi="ar"/>
              </w:rPr>
              <w:t>报价得分=（评标基准价/价格扣除后的投标报价）*100*报价分值权重；评标基准价等于有效投标单</w:t>
            </w:r>
            <w:r>
              <w:rPr>
                <w:rStyle w:val="194"/>
                <w:rFonts w:asciiTheme="minorEastAsia" w:hAnsiTheme="minorEastAsia" w:eastAsiaTheme="minorEastAsia" w:cstheme="minorEastAsia"/>
                <w:b w:val="0"/>
                <w:bCs w:val="0"/>
                <w:lang w:bidi="ar"/>
              </w:rPr>
              <w:t xml:space="preserve"> 位中价格扣除后报价的最小值。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A914D13">
            <w:pPr>
              <w:jc w:val="center"/>
              <w:textAlignment w:val="center"/>
              <w:rPr>
                <w:rFonts w:hint="eastAsia" w:asciiTheme="minorEastAsia" w:hAnsiTheme="minorEastAsia" w:eastAsiaTheme="minorEastAsia" w:cstheme="minorEastAsia"/>
                <w:b w:val="0"/>
                <w:bCs w:val="0"/>
                <w:color w:val="333333"/>
              </w:rPr>
            </w:pPr>
            <w:r>
              <w:rPr>
                <w:rFonts w:hint="eastAsia" w:asciiTheme="minorEastAsia" w:hAnsiTheme="minorEastAsia" w:eastAsiaTheme="minorEastAsia" w:cstheme="minorEastAsia"/>
                <w:b w:val="0"/>
                <w:bCs w:val="0"/>
                <w:color w:val="333333"/>
                <w:lang w:bidi="ar"/>
              </w:rPr>
              <w:t>30</w:t>
            </w:r>
          </w:p>
        </w:tc>
      </w:tr>
    </w:tbl>
    <w:p w14:paraId="2DFD12BC">
      <w:pPr>
        <w:tabs>
          <w:tab w:val="left" w:pos="180"/>
          <w:tab w:val="left" w:pos="720"/>
        </w:tabs>
        <w:jc w:val="both"/>
      </w:pPr>
    </w:p>
    <w:p w14:paraId="18E90A72">
      <w:pPr>
        <w:jc w:val="center"/>
        <w:outlineLvl w:val="2"/>
      </w:pPr>
    </w:p>
    <w:sectPr>
      <w:footerReference r:id="rId7" w:type="default"/>
      <w:pgSz w:w="11907" w:h="16840"/>
      <w:pgMar w:top="1418" w:right="1134" w:bottom="1361" w:left="1134" w:header="794" w:footer="794" w:gutter="0"/>
      <w:cols w:space="708"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Î¢ï¿½ï¿½ï¿½Åºï¿½">
    <w:altName w:val="Segoe Print"/>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榛戜綋">
    <w:altName w:val="宋体"/>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33D7">
    <w:pPr>
      <w:pStyle w:val="25"/>
      <w:jc w:val="center"/>
    </w:pPr>
  </w:p>
  <w:p w14:paraId="566DC36C">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AE29">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66072">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69D2E3D">
                          <w:pPr>
                            <w:pStyle w:val="25"/>
                          </w:pPr>
                          <w:r>
                            <w:fldChar w:fldCharType="begin"/>
                          </w:r>
                          <w:r>
                            <w:instrText xml:space="preserve"> PAGE  \* MERGEFORMAT </w:instrText>
                          </w:r>
                          <w:r>
                            <w:fldChar w:fldCharType="separate"/>
                          </w:r>
                          <w:r>
                            <w:t>39</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i5+RzAEAAJkDAAAOAAAAAAAAAAEAIAAAAB4BAABkcnMvZTJv&#10;RG9jLnhtbFBLBQYAAAAABgAGAFkBAABcBQAAAAA=&#10;">
              <v:fill on="f" focussize="0,0"/>
              <v:stroke on="f"/>
              <v:imagedata o:title=""/>
              <o:lock v:ext="edit" aspectratio="f"/>
              <v:textbox inset="0mm,0mm,0mm,0mm" style="mso-fit-shape-to-text:t;">
                <w:txbxContent>
                  <w:p w14:paraId="669D2E3D">
                    <w:pPr>
                      <w:pStyle w:val="2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E132">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3140865">
                          <w:pPr>
                            <w:pStyle w:val="25"/>
                            <w:rPr>
                              <w:rStyle w:val="102"/>
                            </w:rPr>
                          </w:pPr>
                          <w:r>
                            <w:fldChar w:fldCharType="begin"/>
                          </w:r>
                          <w:r>
                            <w:rPr>
                              <w:rStyle w:val="102"/>
                            </w:rPr>
                            <w:instrText xml:space="preserve">PAGE  </w:instrText>
                          </w:r>
                          <w:r>
                            <w:fldChar w:fldCharType="separate"/>
                          </w:r>
                          <w:r>
                            <w:rPr>
                              <w:rStyle w:val="102"/>
                            </w:rPr>
                            <w:t>56</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14:paraId="73140865">
                    <w:pPr>
                      <w:pStyle w:val="25"/>
                      <w:rPr>
                        <w:rStyle w:val="102"/>
                      </w:rPr>
                    </w:pPr>
                    <w:r>
                      <w:fldChar w:fldCharType="begin"/>
                    </w:r>
                    <w:r>
                      <w:rPr>
                        <w:rStyle w:val="102"/>
                      </w:rPr>
                      <w:instrText xml:space="preserve">PAGE  </w:instrText>
                    </w:r>
                    <w:r>
                      <w:fldChar w:fldCharType="separate"/>
                    </w:r>
                    <w:r>
                      <w:rPr>
                        <w:rStyle w:val="102"/>
                      </w:rP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308A4">
    <w:pPr>
      <w:spacing w:line="360" w:lineRule="auto"/>
      <w:ind w:left="-359" w:leftChars="-171" w:right="-328" w:rightChars="-156" w:firstLine="420" w:firstLineChars="200"/>
      <w:rPr>
        <w:rFonts w:ascii="宋体"/>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F9327"/>
    <w:multiLevelType w:val="singleLevel"/>
    <w:tmpl w:val="88CF9327"/>
    <w:lvl w:ilvl="0" w:tentative="0">
      <w:start w:val="1"/>
      <w:numFmt w:val="decimal"/>
      <w:suff w:val="nothing"/>
      <w:lvlText w:val="%1、"/>
      <w:lvlJc w:val="left"/>
    </w:lvl>
  </w:abstractNum>
  <w:abstractNum w:abstractNumId="1">
    <w:nsid w:val="E62211E8"/>
    <w:multiLevelType w:val="singleLevel"/>
    <w:tmpl w:val="E62211E8"/>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0"/>
      <w:numFmt w:val="bullet"/>
      <w:pStyle w:val="182"/>
      <w:lvlText w:val="●"/>
      <w:lvlJc w:val="left"/>
      <w:pPr>
        <w:tabs>
          <w:tab w:val="left" w:pos="780"/>
        </w:tabs>
        <w:ind w:left="780" w:hanging="360"/>
      </w:pPr>
      <w:rPr>
        <w:rFonts w:hint="eastAsia" w:ascii="PMingLiU" w:hAnsi="PMingLiU" w:eastAsia="PMingLiU" w:cs="Times New Roman"/>
        <w:sz w:val="18"/>
        <w:szCs w:val="22"/>
      </w:rPr>
    </w:lvl>
    <w:lvl w:ilvl="1" w:tentative="0">
      <w:start w:val="1"/>
      <w:numFmt w:val="bullet"/>
      <w:lvlText w:val=""/>
      <w:lvlJc w:val="left"/>
      <w:pPr>
        <w:tabs>
          <w:tab w:val="left" w:pos="1380"/>
        </w:tabs>
        <w:ind w:left="1380" w:hanging="480"/>
      </w:pPr>
      <w:rPr>
        <w:rFonts w:hint="default" w:ascii="Wingdings" w:hAnsi="Wingdings"/>
      </w:rPr>
    </w:lvl>
    <w:lvl w:ilvl="2" w:tentative="0">
      <w:start w:val="1"/>
      <w:numFmt w:val="bullet"/>
      <w:lvlText w:val=""/>
      <w:lvlJc w:val="left"/>
      <w:pPr>
        <w:tabs>
          <w:tab w:val="left" w:pos="1860"/>
        </w:tabs>
        <w:ind w:left="1860" w:hanging="480"/>
      </w:pPr>
      <w:rPr>
        <w:rFonts w:hint="default" w:ascii="Wingdings" w:hAnsi="Wingdings"/>
      </w:rPr>
    </w:lvl>
    <w:lvl w:ilvl="3" w:tentative="0">
      <w:start w:val="1"/>
      <w:numFmt w:val="bullet"/>
      <w:lvlText w:val=""/>
      <w:lvlJc w:val="left"/>
      <w:pPr>
        <w:tabs>
          <w:tab w:val="left" w:pos="2340"/>
        </w:tabs>
        <w:ind w:left="2340" w:hanging="480"/>
      </w:pPr>
      <w:rPr>
        <w:rFonts w:hint="default" w:ascii="Wingdings" w:hAnsi="Wingdings"/>
      </w:rPr>
    </w:lvl>
    <w:lvl w:ilvl="4" w:tentative="0">
      <w:start w:val="1"/>
      <w:numFmt w:val="bullet"/>
      <w:lvlText w:val=""/>
      <w:lvlJc w:val="left"/>
      <w:pPr>
        <w:tabs>
          <w:tab w:val="left" w:pos="2820"/>
        </w:tabs>
        <w:ind w:left="2820" w:hanging="480"/>
      </w:pPr>
      <w:rPr>
        <w:rFonts w:hint="default" w:ascii="Wingdings" w:hAnsi="Wingdings"/>
      </w:rPr>
    </w:lvl>
    <w:lvl w:ilvl="5" w:tentative="0">
      <w:start w:val="1"/>
      <w:numFmt w:val="bullet"/>
      <w:lvlText w:val=""/>
      <w:lvlJc w:val="left"/>
      <w:pPr>
        <w:tabs>
          <w:tab w:val="left" w:pos="3300"/>
        </w:tabs>
        <w:ind w:left="3300" w:hanging="480"/>
      </w:pPr>
      <w:rPr>
        <w:rFonts w:hint="default" w:ascii="Wingdings" w:hAnsi="Wingdings"/>
      </w:rPr>
    </w:lvl>
    <w:lvl w:ilvl="6" w:tentative="0">
      <w:start w:val="1"/>
      <w:numFmt w:val="bullet"/>
      <w:lvlText w:val=""/>
      <w:lvlJc w:val="left"/>
      <w:pPr>
        <w:tabs>
          <w:tab w:val="left" w:pos="3780"/>
        </w:tabs>
        <w:ind w:left="3780" w:hanging="480"/>
      </w:pPr>
      <w:rPr>
        <w:rFonts w:hint="default" w:ascii="Wingdings" w:hAnsi="Wingdings"/>
      </w:rPr>
    </w:lvl>
    <w:lvl w:ilvl="7" w:tentative="0">
      <w:start w:val="1"/>
      <w:numFmt w:val="bullet"/>
      <w:lvlText w:val=""/>
      <w:lvlJc w:val="left"/>
      <w:pPr>
        <w:tabs>
          <w:tab w:val="left" w:pos="4260"/>
        </w:tabs>
        <w:ind w:left="4260" w:hanging="480"/>
      </w:pPr>
      <w:rPr>
        <w:rFonts w:hint="default" w:ascii="Wingdings" w:hAnsi="Wingdings"/>
      </w:rPr>
    </w:lvl>
    <w:lvl w:ilvl="8" w:tentative="0">
      <w:start w:val="1"/>
      <w:numFmt w:val="bullet"/>
      <w:lvlText w:val=""/>
      <w:lvlJc w:val="left"/>
      <w:pPr>
        <w:tabs>
          <w:tab w:val="left" w:pos="4740"/>
        </w:tabs>
        <w:ind w:left="4740" w:hanging="480"/>
      </w:pPr>
      <w:rPr>
        <w:rFonts w:hint="default" w:ascii="Wingdings" w:hAnsi="Wingdings"/>
      </w:rPr>
    </w:lvl>
  </w:abstractNum>
  <w:abstractNum w:abstractNumId="3">
    <w:nsid w:val="18EC5130"/>
    <w:multiLevelType w:val="multilevel"/>
    <w:tmpl w:val="18EC5130"/>
    <w:lvl w:ilvl="0" w:tentative="0">
      <w:start w:val="1"/>
      <w:numFmt w:val="decimal"/>
      <w:lvlText w:val="%1."/>
      <w:lvlJc w:val="left"/>
      <w:pPr>
        <w:ind w:left="360" w:hanging="360"/>
      </w:pPr>
      <w:rPr>
        <w:u w:val="none"/>
      </w:rPr>
    </w:lvl>
    <w:lvl w:ilvl="1" w:tentative="0">
      <w:start w:val="1"/>
      <w:numFmt w:val="lowerLetter"/>
      <w:lvlText w:val="%2)"/>
      <w:lvlJc w:val="left"/>
      <w:pPr>
        <w:ind w:left="840" w:hanging="420"/>
      </w:pPr>
      <w:rPr>
        <w:u w:val="none"/>
      </w:rPr>
    </w:lvl>
    <w:lvl w:ilvl="2" w:tentative="0">
      <w:start w:val="1"/>
      <w:numFmt w:val="lowerRoman"/>
      <w:lvlText w:val="%3."/>
      <w:lvlJc w:val="right"/>
      <w:pPr>
        <w:ind w:left="1260" w:hanging="420"/>
      </w:pPr>
      <w:rPr>
        <w:u w:val="none"/>
      </w:rPr>
    </w:lvl>
    <w:lvl w:ilvl="3" w:tentative="0">
      <w:start w:val="1"/>
      <w:numFmt w:val="decimal"/>
      <w:lvlText w:val="%4."/>
      <w:lvlJc w:val="left"/>
      <w:pPr>
        <w:ind w:left="1680" w:hanging="420"/>
      </w:pPr>
      <w:rPr>
        <w:u w:val="none"/>
      </w:rPr>
    </w:lvl>
    <w:lvl w:ilvl="4" w:tentative="0">
      <w:start w:val="1"/>
      <w:numFmt w:val="lowerLetter"/>
      <w:lvlText w:val="%5)"/>
      <w:lvlJc w:val="left"/>
      <w:pPr>
        <w:ind w:left="2100" w:hanging="420"/>
      </w:pPr>
      <w:rPr>
        <w:u w:val="none"/>
      </w:rPr>
    </w:lvl>
    <w:lvl w:ilvl="5" w:tentative="0">
      <w:start w:val="1"/>
      <w:numFmt w:val="lowerRoman"/>
      <w:lvlText w:val="%6."/>
      <w:lvlJc w:val="right"/>
      <w:pPr>
        <w:ind w:left="2520" w:hanging="420"/>
      </w:pPr>
      <w:rPr>
        <w:u w:val="none"/>
      </w:rPr>
    </w:lvl>
    <w:lvl w:ilvl="6" w:tentative="0">
      <w:start w:val="1"/>
      <w:numFmt w:val="decimal"/>
      <w:lvlText w:val="%7."/>
      <w:lvlJc w:val="left"/>
      <w:pPr>
        <w:ind w:left="2940" w:hanging="420"/>
      </w:pPr>
      <w:rPr>
        <w:u w:val="none"/>
      </w:rPr>
    </w:lvl>
    <w:lvl w:ilvl="7" w:tentative="0">
      <w:start w:val="1"/>
      <w:numFmt w:val="lowerLetter"/>
      <w:lvlText w:val="%8)"/>
      <w:lvlJc w:val="left"/>
      <w:pPr>
        <w:ind w:left="3360" w:hanging="420"/>
      </w:pPr>
      <w:rPr>
        <w:u w:val="none"/>
      </w:rPr>
    </w:lvl>
    <w:lvl w:ilvl="8" w:tentative="0">
      <w:start w:val="1"/>
      <w:numFmt w:val="lowerRoman"/>
      <w:lvlText w:val="%9."/>
      <w:lvlJc w:val="right"/>
      <w:pPr>
        <w:ind w:left="3780" w:hanging="420"/>
      </w:pPr>
      <w:rPr>
        <w:u w:val="none"/>
      </w:rPr>
    </w:lvl>
  </w:abstractNum>
  <w:abstractNum w:abstractNumId="4">
    <w:nsid w:val="5306F45B"/>
    <w:multiLevelType w:val="singleLevel"/>
    <w:tmpl w:val="5306F45B"/>
    <w:lvl w:ilvl="0" w:tentative="0">
      <w:start w:val="6"/>
      <w:numFmt w:val="chineseCounting"/>
      <w:suff w:val="nothing"/>
      <w:lvlText w:val="%1、"/>
      <w:lvlJc w:val="left"/>
      <w:rPr>
        <w:rFonts w:hint="eastAsia"/>
      </w:rPr>
    </w:lvl>
  </w:abstractNum>
  <w:abstractNum w:abstractNumId="5">
    <w:nsid w:val="5424AA16"/>
    <w:multiLevelType w:val="singleLevel"/>
    <w:tmpl w:val="5424AA16"/>
    <w:lvl w:ilvl="0" w:tentative="0">
      <w:start w:val="5"/>
      <w:numFmt w:val="decimal"/>
      <w:lvlText w:val="%1."/>
      <w:lvlJc w:val="left"/>
      <w:pPr>
        <w:tabs>
          <w:tab w:val="left" w:pos="312"/>
        </w:tabs>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4NWQxYTI3NzIzZDEzNzRmYzkzZDk0YzliYjMyYWQifQ=="/>
  </w:docVars>
  <w:rsids>
    <w:rsidRoot w:val="004C789A"/>
    <w:rsid w:val="00003448"/>
    <w:rsid w:val="000E0E9A"/>
    <w:rsid w:val="00445664"/>
    <w:rsid w:val="004C789A"/>
    <w:rsid w:val="005838FF"/>
    <w:rsid w:val="00844723"/>
    <w:rsid w:val="008B2FA5"/>
    <w:rsid w:val="00903D1C"/>
    <w:rsid w:val="00977B8D"/>
    <w:rsid w:val="00993B37"/>
    <w:rsid w:val="009A1934"/>
    <w:rsid w:val="0CFB3759"/>
    <w:rsid w:val="13304929"/>
    <w:rsid w:val="172C3A3D"/>
    <w:rsid w:val="17C417C9"/>
    <w:rsid w:val="1A0758B3"/>
    <w:rsid w:val="208D08C0"/>
    <w:rsid w:val="223D1055"/>
    <w:rsid w:val="31366B27"/>
    <w:rsid w:val="315E3BB3"/>
    <w:rsid w:val="335D369A"/>
    <w:rsid w:val="3BCA7141"/>
    <w:rsid w:val="44346B4C"/>
    <w:rsid w:val="4705223E"/>
    <w:rsid w:val="55024235"/>
    <w:rsid w:val="5B187A2B"/>
    <w:rsid w:val="5FC225C0"/>
    <w:rsid w:val="6C6B3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1"/>
      <w:lang w:val="en-US" w:eastAsia="zh-CN" w:bidi="ar-SA"/>
    </w:rPr>
  </w:style>
  <w:style w:type="paragraph" w:styleId="2">
    <w:name w:val="heading 1"/>
    <w:basedOn w:val="1"/>
    <w:next w:val="1"/>
    <w:link w:val="45"/>
    <w:qFormat/>
    <w:uiPriority w:val="0"/>
    <w:pPr>
      <w:keepNext/>
      <w:keepLines/>
      <w:widowControl w:val="0"/>
      <w:spacing w:before="340" w:after="330" w:line="576" w:lineRule="auto"/>
      <w:jc w:val="both"/>
      <w:outlineLvl w:val="0"/>
    </w:pPr>
    <w:rPr>
      <w:b/>
      <w:bCs/>
      <w:kern w:val="44"/>
      <w:sz w:val="28"/>
      <w:szCs w:val="44"/>
    </w:rPr>
  </w:style>
  <w:style w:type="paragraph" w:styleId="3">
    <w:name w:val="heading 2"/>
    <w:basedOn w:val="1"/>
    <w:next w:val="1"/>
    <w:link w:val="46"/>
    <w:qFormat/>
    <w:uiPriority w:val="0"/>
    <w:pPr>
      <w:keepNext/>
      <w:keepLines/>
      <w:widowControl w:val="0"/>
      <w:spacing w:before="260" w:after="260" w:line="413" w:lineRule="auto"/>
      <w:jc w:val="both"/>
      <w:outlineLvl w:val="1"/>
    </w:pPr>
    <w:rPr>
      <w:rFonts w:ascii="Arial" w:hAnsi="Arial"/>
      <w:b/>
      <w:bCs/>
      <w:sz w:val="30"/>
      <w:szCs w:val="32"/>
    </w:rPr>
  </w:style>
  <w:style w:type="paragraph" w:styleId="4">
    <w:name w:val="heading 3"/>
    <w:basedOn w:val="1"/>
    <w:next w:val="1"/>
    <w:link w:val="47"/>
    <w:qFormat/>
    <w:uiPriority w:val="0"/>
    <w:pPr>
      <w:keepNext/>
      <w:keepLines/>
      <w:widowControl w:val="0"/>
      <w:spacing w:before="260" w:after="260" w:line="413" w:lineRule="auto"/>
      <w:jc w:val="both"/>
      <w:outlineLvl w:val="2"/>
    </w:pPr>
    <w:rPr>
      <w:b/>
      <w:bCs/>
      <w:sz w:val="28"/>
      <w:szCs w:val="32"/>
    </w:rPr>
  </w:style>
  <w:style w:type="paragraph" w:styleId="5">
    <w:name w:val="heading 4"/>
    <w:basedOn w:val="1"/>
    <w:next w:val="1"/>
    <w:link w:val="48"/>
    <w:qFormat/>
    <w:uiPriority w:val="0"/>
    <w:pPr>
      <w:keepNext/>
      <w:keepLines/>
      <w:widowControl w:val="0"/>
      <w:spacing w:before="280" w:after="290" w:line="372" w:lineRule="auto"/>
      <w:jc w:val="both"/>
      <w:outlineLvl w:val="3"/>
    </w:pPr>
    <w:rPr>
      <w:rFonts w:ascii="Arial" w:hAnsi="Arial"/>
      <w:b/>
      <w:bCs/>
      <w:sz w:val="24"/>
      <w:szCs w:val="28"/>
    </w:rPr>
  </w:style>
  <w:style w:type="paragraph" w:styleId="6">
    <w:name w:val="heading 5"/>
    <w:basedOn w:val="1"/>
    <w:next w:val="1"/>
    <w:link w:val="49"/>
    <w:qFormat/>
    <w:uiPriority w:val="0"/>
    <w:pPr>
      <w:keepNext/>
      <w:keepLines/>
      <w:widowControl w:val="0"/>
      <w:tabs>
        <w:tab w:val="left" w:pos="2520"/>
      </w:tabs>
      <w:spacing w:before="120" w:line="360" w:lineRule="auto"/>
      <w:ind w:left="2520" w:hanging="420"/>
      <w:jc w:val="both"/>
      <w:outlineLvl w:val="4"/>
    </w:pPr>
    <w:rPr>
      <w:sz w:val="44"/>
      <w:szCs w:val="44"/>
    </w:rPr>
  </w:style>
  <w:style w:type="paragraph" w:styleId="7">
    <w:name w:val="heading 6"/>
    <w:basedOn w:val="1"/>
    <w:next w:val="1"/>
    <w:link w:val="50"/>
    <w:qFormat/>
    <w:uiPriority w:val="0"/>
    <w:pPr>
      <w:keepNext/>
      <w:keepLines/>
      <w:widowControl w:val="0"/>
      <w:tabs>
        <w:tab w:val="left" w:pos="2940"/>
      </w:tabs>
      <w:spacing w:before="120" w:line="360" w:lineRule="auto"/>
      <w:ind w:left="2940" w:hanging="420"/>
      <w:jc w:val="both"/>
      <w:outlineLvl w:val="5"/>
    </w:pPr>
    <w:rPr>
      <w:rFonts w:ascii="Arial" w:hAnsi="Arial"/>
      <w:sz w:val="44"/>
      <w:szCs w:val="44"/>
    </w:rPr>
  </w:style>
  <w:style w:type="paragraph" w:styleId="8">
    <w:name w:val="heading 7"/>
    <w:basedOn w:val="1"/>
    <w:next w:val="1"/>
    <w:link w:val="51"/>
    <w:qFormat/>
    <w:uiPriority w:val="0"/>
    <w:pPr>
      <w:keepNext/>
      <w:keepLines/>
      <w:widowControl w:val="0"/>
      <w:tabs>
        <w:tab w:val="left" w:pos="3360"/>
      </w:tabs>
      <w:spacing w:before="120" w:line="360" w:lineRule="auto"/>
      <w:ind w:left="3360" w:hanging="420"/>
      <w:jc w:val="both"/>
      <w:outlineLvl w:val="6"/>
    </w:pPr>
    <w:rPr>
      <w:sz w:val="44"/>
      <w:szCs w:val="44"/>
    </w:rPr>
  </w:style>
  <w:style w:type="paragraph" w:styleId="9">
    <w:name w:val="heading 8"/>
    <w:basedOn w:val="1"/>
    <w:next w:val="1"/>
    <w:link w:val="52"/>
    <w:qFormat/>
    <w:uiPriority w:val="0"/>
    <w:pPr>
      <w:keepNext/>
      <w:keepLines/>
      <w:widowControl w:val="0"/>
      <w:tabs>
        <w:tab w:val="left" w:pos="420"/>
      </w:tabs>
      <w:spacing w:before="240" w:after="64" w:line="317" w:lineRule="auto"/>
      <w:ind w:left="420" w:hanging="420"/>
      <w:jc w:val="both"/>
      <w:outlineLvl w:val="7"/>
    </w:pPr>
    <w:rPr>
      <w:sz w:val="44"/>
      <w:szCs w:val="44"/>
    </w:rPr>
  </w:style>
  <w:style w:type="paragraph" w:styleId="10">
    <w:name w:val="heading 9"/>
    <w:basedOn w:val="1"/>
    <w:next w:val="1"/>
    <w:link w:val="53"/>
    <w:qFormat/>
    <w:uiPriority w:val="0"/>
    <w:pPr>
      <w:keepNext/>
      <w:keepLines/>
      <w:widowControl w:val="0"/>
      <w:tabs>
        <w:tab w:val="left" w:pos="4200"/>
      </w:tabs>
      <w:spacing w:before="120" w:line="360" w:lineRule="auto"/>
      <w:ind w:left="4200" w:hanging="420"/>
      <w:jc w:val="both"/>
      <w:outlineLvl w:val="8"/>
    </w:pPr>
    <w:rPr>
      <w:rFonts w:ascii="Arial" w:hAnsi="Arial"/>
      <w:sz w:val="44"/>
      <w:szCs w:val="4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pPr>
    <w:rPr>
      <w:rFonts w:ascii="Calibri" w:hAnsi="Calibri" w:cs="Calibri"/>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pPr>
      <w:widowControl w:val="0"/>
      <w:spacing w:before="152" w:after="160"/>
      <w:jc w:val="both"/>
    </w:pPr>
    <w:rPr>
      <w:rFonts w:ascii="Arial" w:hAnsi="Arial" w:eastAsia="黑体" w:cs="Arial"/>
      <w:kern w:val="2"/>
      <w:sz w:val="20"/>
      <w:szCs w:val="20"/>
    </w:rPr>
  </w:style>
  <w:style w:type="paragraph" w:styleId="14">
    <w:name w:val="toa heading"/>
    <w:basedOn w:val="1"/>
    <w:next w:val="1"/>
    <w:unhideWhenUsed/>
    <w:qFormat/>
    <w:uiPriority w:val="0"/>
    <w:pPr>
      <w:spacing w:before="120"/>
    </w:pPr>
    <w:rPr>
      <w:rFonts w:ascii="Arial" w:hAnsi="Arial"/>
      <w:sz w:val="24"/>
      <w:szCs w:val="24"/>
    </w:rPr>
  </w:style>
  <w:style w:type="paragraph" w:styleId="15">
    <w:name w:val="annotation text"/>
    <w:basedOn w:val="1"/>
    <w:link w:val="54"/>
    <w:qFormat/>
    <w:uiPriority w:val="0"/>
    <w:pPr>
      <w:widowControl w:val="0"/>
      <w:spacing w:line="360" w:lineRule="auto"/>
      <w:ind w:firstLine="200" w:firstLineChars="200"/>
    </w:pPr>
    <w:rPr>
      <w:rFonts w:eastAsia="仿宋"/>
      <w:sz w:val="32"/>
      <w:szCs w:val="32"/>
    </w:rPr>
  </w:style>
  <w:style w:type="paragraph" w:styleId="16">
    <w:name w:val="Body Text"/>
    <w:basedOn w:val="1"/>
    <w:next w:val="1"/>
    <w:link w:val="44"/>
    <w:qFormat/>
    <w:uiPriority w:val="0"/>
    <w:pPr>
      <w:spacing w:after="120"/>
    </w:pPr>
  </w:style>
  <w:style w:type="paragraph" w:styleId="17">
    <w:name w:val="Body Text Indent"/>
    <w:basedOn w:val="1"/>
    <w:next w:val="18"/>
    <w:qFormat/>
    <w:uiPriority w:val="0"/>
    <w:pPr>
      <w:snapToGrid w:val="0"/>
      <w:spacing w:line="360" w:lineRule="auto"/>
      <w:ind w:firstLine="538" w:firstLineChars="192"/>
    </w:pPr>
    <w:rPr>
      <w:rFonts w:ascii="仿宋_GB2312" w:eastAsia="仿宋_GB2312"/>
      <w:bCs/>
      <w:sz w:val="28"/>
      <w:szCs w:val="28"/>
    </w:rPr>
  </w:style>
  <w:style w:type="paragraph" w:styleId="18">
    <w:name w:val="Body Text First Indent 2"/>
    <w:basedOn w:val="17"/>
    <w:next w:val="16"/>
    <w:unhideWhenUsed/>
    <w:qFormat/>
    <w:uiPriority w:val="0"/>
    <w:pPr>
      <w:spacing w:after="120" w:line="240" w:lineRule="auto"/>
      <w:ind w:left="420" w:leftChars="200" w:firstLine="420" w:firstLineChars="200"/>
    </w:pPr>
    <w:rPr>
      <w:sz w:val="21"/>
      <w:szCs w:val="21"/>
    </w:rPr>
  </w:style>
  <w:style w:type="paragraph" w:styleId="19">
    <w:name w:val="Block Text"/>
    <w:basedOn w:val="1"/>
    <w:qFormat/>
    <w:uiPriority w:val="99"/>
    <w:pPr>
      <w:spacing w:after="120"/>
      <w:ind w:left="1440" w:leftChars="700" w:right="1440" w:rightChars="700"/>
    </w:pPr>
  </w:style>
  <w:style w:type="paragraph" w:styleId="20">
    <w:name w:val="toc 5"/>
    <w:basedOn w:val="1"/>
    <w:next w:val="1"/>
    <w:qFormat/>
    <w:uiPriority w:val="0"/>
    <w:pPr>
      <w:ind w:left="840"/>
    </w:pPr>
    <w:rPr>
      <w:rFonts w:ascii="Calibri" w:hAnsi="Calibri" w:cs="Calibri"/>
      <w:sz w:val="18"/>
      <w:szCs w:val="18"/>
    </w:rPr>
  </w:style>
  <w:style w:type="paragraph" w:styleId="21">
    <w:name w:val="toc 3"/>
    <w:basedOn w:val="1"/>
    <w:next w:val="1"/>
    <w:qFormat/>
    <w:uiPriority w:val="0"/>
    <w:pPr>
      <w:ind w:left="420"/>
    </w:pPr>
    <w:rPr>
      <w:rFonts w:ascii="Calibri" w:hAnsi="Calibri" w:cs="Calibri"/>
      <w:i/>
      <w:iCs/>
      <w:sz w:val="20"/>
      <w:szCs w:val="20"/>
    </w:rPr>
  </w:style>
  <w:style w:type="paragraph" w:styleId="22">
    <w:name w:val="Plain Text"/>
    <w:basedOn w:val="1"/>
    <w:unhideWhenUsed/>
    <w:qFormat/>
    <w:uiPriority w:val="0"/>
    <w:rPr>
      <w:rFonts w:ascii="宋体" w:hAnsi="Courier New"/>
    </w:rPr>
  </w:style>
  <w:style w:type="paragraph" w:styleId="23">
    <w:name w:val="toc 8"/>
    <w:basedOn w:val="1"/>
    <w:next w:val="1"/>
    <w:qFormat/>
    <w:uiPriority w:val="0"/>
    <w:pPr>
      <w:ind w:left="1470"/>
    </w:pPr>
    <w:rPr>
      <w:rFonts w:ascii="Calibri" w:hAnsi="Calibri" w:cs="Calibri"/>
      <w:sz w:val="18"/>
      <w:szCs w:val="18"/>
    </w:rPr>
  </w:style>
  <w:style w:type="paragraph" w:styleId="24">
    <w:name w:val="Balloon Text"/>
    <w:basedOn w:val="1"/>
    <w:link w:val="55"/>
    <w:qFormat/>
    <w:uiPriority w:val="0"/>
    <w:pPr>
      <w:widowControl w:val="0"/>
      <w:ind w:firstLine="200" w:firstLineChars="200"/>
    </w:pPr>
    <w:rPr>
      <w:rFonts w:eastAsia="仿宋"/>
      <w:sz w:val="18"/>
      <w:szCs w:val="18"/>
    </w:rPr>
  </w:style>
  <w:style w:type="paragraph" w:styleId="25">
    <w:name w:val="footer"/>
    <w:basedOn w:val="1"/>
    <w:link w:val="56"/>
    <w:qFormat/>
    <w:uiPriority w:val="0"/>
    <w:pPr>
      <w:tabs>
        <w:tab w:val="center" w:pos="4153"/>
        <w:tab w:val="right" w:pos="8306"/>
      </w:tabs>
      <w:snapToGrid w:val="0"/>
    </w:pPr>
    <w:rPr>
      <w:sz w:val="18"/>
      <w:szCs w:val="18"/>
    </w:rPr>
  </w:style>
  <w:style w:type="paragraph" w:styleId="26">
    <w:name w:val="header"/>
    <w:basedOn w:val="1"/>
    <w:next w:val="13"/>
    <w:link w:val="57"/>
    <w:qFormat/>
    <w:uiPriority w:val="0"/>
    <w:pPr>
      <w:pBdr>
        <w:bottom w:val="single" w:color="auto" w:sz="6" w:space="1"/>
      </w:pBdr>
      <w:tabs>
        <w:tab w:val="center" w:pos="4153"/>
        <w:tab w:val="right" w:pos="8306"/>
      </w:tabs>
      <w:snapToGrid w:val="0"/>
      <w:jc w:val="center"/>
    </w:pPr>
  </w:style>
  <w:style w:type="paragraph" w:styleId="27">
    <w:name w:val="toc 1"/>
    <w:basedOn w:val="1"/>
    <w:next w:val="1"/>
    <w:qFormat/>
    <w:uiPriority w:val="0"/>
    <w:pPr>
      <w:spacing w:before="120" w:after="120"/>
    </w:pPr>
    <w:rPr>
      <w:rFonts w:ascii="Calibri" w:hAnsi="Calibri" w:cs="Calibri"/>
      <w:b/>
      <w:bCs/>
      <w:caps/>
      <w:sz w:val="20"/>
      <w:szCs w:val="20"/>
    </w:rPr>
  </w:style>
  <w:style w:type="paragraph" w:styleId="28">
    <w:name w:val="toc 4"/>
    <w:basedOn w:val="1"/>
    <w:next w:val="1"/>
    <w:qFormat/>
    <w:uiPriority w:val="0"/>
    <w:pPr>
      <w:ind w:left="630"/>
    </w:pPr>
    <w:rPr>
      <w:rFonts w:ascii="Calibri" w:hAnsi="Calibri" w:cs="Calibri"/>
      <w:sz w:val="18"/>
      <w:szCs w:val="18"/>
    </w:rPr>
  </w:style>
  <w:style w:type="paragraph" w:styleId="29">
    <w:name w:val="Subtitle"/>
    <w:basedOn w:val="1"/>
    <w:next w:val="1"/>
    <w:link w:val="58"/>
    <w:qFormat/>
    <w:uiPriority w:val="0"/>
    <w:pPr>
      <w:spacing w:before="40" w:after="40"/>
      <w:jc w:val="center"/>
    </w:pPr>
    <w:rPr>
      <w:rFonts w:eastAsia="幼圆"/>
      <w:b/>
      <w:bCs/>
      <w:sz w:val="28"/>
      <w:szCs w:val="28"/>
    </w:rPr>
  </w:style>
  <w:style w:type="paragraph" w:styleId="30">
    <w:name w:val="toc 6"/>
    <w:basedOn w:val="1"/>
    <w:next w:val="1"/>
    <w:qFormat/>
    <w:uiPriority w:val="0"/>
    <w:pPr>
      <w:ind w:left="1050"/>
    </w:pPr>
    <w:rPr>
      <w:rFonts w:ascii="Calibri" w:hAnsi="Calibri" w:cs="Calibri"/>
      <w:sz w:val="18"/>
      <w:szCs w:val="18"/>
    </w:rPr>
  </w:style>
  <w:style w:type="paragraph" w:styleId="31">
    <w:name w:val="toc 2"/>
    <w:basedOn w:val="1"/>
    <w:next w:val="1"/>
    <w:qFormat/>
    <w:uiPriority w:val="0"/>
    <w:pPr>
      <w:ind w:left="210"/>
    </w:pPr>
    <w:rPr>
      <w:rFonts w:ascii="Calibri" w:hAnsi="Calibri" w:cs="Calibri"/>
      <w:smallCaps/>
      <w:sz w:val="20"/>
      <w:szCs w:val="20"/>
    </w:rPr>
  </w:style>
  <w:style w:type="paragraph" w:styleId="32">
    <w:name w:val="toc 9"/>
    <w:basedOn w:val="1"/>
    <w:next w:val="1"/>
    <w:qFormat/>
    <w:uiPriority w:val="0"/>
    <w:pPr>
      <w:ind w:left="1680"/>
    </w:pPr>
    <w:rPr>
      <w:rFonts w:ascii="Calibri" w:hAnsi="Calibri" w:cs="Calibri"/>
      <w:sz w:val="18"/>
      <w:szCs w:val="18"/>
    </w:rPr>
  </w:style>
  <w:style w:type="paragraph" w:styleId="33">
    <w:name w:val="Normal (Web)"/>
    <w:basedOn w:val="1"/>
    <w:qFormat/>
    <w:uiPriority w:val="0"/>
    <w:pPr>
      <w:spacing w:before="100" w:beforeAutospacing="1" w:after="100" w:afterAutospacing="1"/>
    </w:pPr>
    <w:rPr>
      <w:sz w:val="24"/>
    </w:rPr>
  </w:style>
  <w:style w:type="paragraph" w:styleId="34">
    <w:name w:val="Title"/>
    <w:basedOn w:val="1"/>
    <w:link w:val="59"/>
    <w:qFormat/>
    <w:uiPriority w:val="0"/>
    <w:pPr>
      <w:spacing w:before="240" w:after="60"/>
      <w:outlineLvl w:val="0"/>
    </w:pPr>
    <w:rPr>
      <w:rFonts w:eastAsia="仿宋"/>
      <w:b/>
      <w:bCs/>
      <w:sz w:val="32"/>
      <w:szCs w:val="32"/>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FollowedHyperlink"/>
    <w:qFormat/>
    <w:uiPriority w:val="0"/>
    <w:rPr>
      <w:color w:val="999999"/>
      <w:u w:val="none"/>
    </w:rPr>
  </w:style>
  <w:style w:type="character" w:styleId="40">
    <w:name w:val="Emphasis"/>
    <w:qFormat/>
    <w:uiPriority w:val="0"/>
    <w:rPr>
      <w:i/>
      <w:iCs/>
    </w:rPr>
  </w:style>
  <w:style w:type="character" w:styleId="41">
    <w:name w:val="Hyperlink"/>
    <w:qFormat/>
    <w:uiPriority w:val="0"/>
    <w:rPr>
      <w:color w:val="999999"/>
      <w:u w:val="none"/>
    </w:rPr>
  </w:style>
  <w:style w:type="character" w:styleId="42">
    <w:name w:val="annotation reference"/>
    <w:basedOn w:val="37"/>
    <w:qFormat/>
    <w:uiPriority w:val="0"/>
    <w:rPr>
      <w:sz w:val="21"/>
      <w:szCs w:val="21"/>
    </w:rPr>
  </w:style>
  <w:style w:type="paragraph" w:customStyle="1" w:styleId="43">
    <w:name w:val="表格文字"/>
    <w:basedOn w:val="1"/>
    <w:qFormat/>
    <w:uiPriority w:val="0"/>
    <w:pPr>
      <w:widowControl w:val="0"/>
      <w:spacing w:before="25" w:after="25"/>
    </w:pPr>
    <w:rPr>
      <w:spacing w:val="10"/>
      <w:sz w:val="24"/>
      <w:szCs w:val="24"/>
    </w:rPr>
  </w:style>
  <w:style w:type="character" w:customStyle="1" w:styleId="44">
    <w:name w:val="正文文本 字符"/>
    <w:link w:val="16"/>
    <w:qFormat/>
    <w:uiPriority w:val="0"/>
  </w:style>
  <w:style w:type="character" w:customStyle="1" w:styleId="45">
    <w:name w:val="标题 1 字符"/>
    <w:link w:val="2"/>
    <w:qFormat/>
    <w:uiPriority w:val="0"/>
    <w:rPr>
      <w:rFonts w:ascii="Times New Roman" w:hAnsi="Times New Roman" w:eastAsia="宋体" w:cs="Times New Roman"/>
      <w:b/>
      <w:bCs/>
      <w:kern w:val="44"/>
      <w:sz w:val="32"/>
      <w:szCs w:val="44"/>
    </w:rPr>
  </w:style>
  <w:style w:type="character" w:customStyle="1" w:styleId="46">
    <w:name w:val="标题 2 字符"/>
    <w:link w:val="3"/>
    <w:qFormat/>
    <w:uiPriority w:val="0"/>
    <w:rPr>
      <w:rFonts w:ascii="Arial" w:hAnsi="Arial" w:eastAsia="宋体" w:cs="Arial"/>
      <w:b/>
      <w:bCs/>
      <w:sz w:val="30"/>
      <w:szCs w:val="32"/>
    </w:rPr>
  </w:style>
  <w:style w:type="character" w:customStyle="1" w:styleId="47">
    <w:name w:val="标题 3 字符"/>
    <w:link w:val="4"/>
    <w:qFormat/>
    <w:uiPriority w:val="0"/>
    <w:rPr>
      <w:rFonts w:ascii="Times New Roman" w:hAnsi="Times New Roman" w:eastAsia="宋体" w:cs="Times New Roman"/>
      <w:b/>
      <w:bCs/>
      <w:sz w:val="28"/>
      <w:szCs w:val="32"/>
    </w:rPr>
  </w:style>
  <w:style w:type="character" w:customStyle="1" w:styleId="48">
    <w:name w:val="标题 4 字符"/>
    <w:link w:val="5"/>
    <w:qFormat/>
    <w:uiPriority w:val="0"/>
    <w:rPr>
      <w:rFonts w:ascii="Arial" w:hAnsi="Arial" w:eastAsia="宋体" w:cs="Arial"/>
      <w:b/>
      <w:bCs/>
      <w:sz w:val="24"/>
      <w:szCs w:val="28"/>
    </w:rPr>
  </w:style>
  <w:style w:type="character" w:customStyle="1" w:styleId="49">
    <w:name w:val="标题 5 字符"/>
    <w:link w:val="6"/>
    <w:qFormat/>
    <w:uiPriority w:val="0"/>
    <w:rPr>
      <w:rFonts w:ascii="Times New Roman" w:hAnsi="Times New Roman" w:eastAsia="宋体" w:cs="Times New Roman"/>
      <w:sz w:val="44"/>
      <w:szCs w:val="44"/>
    </w:rPr>
  </w:style>
  <w:style w:type="character" w:customStyle="1" w:styleId="50">
    <w:name w:val="标题 6 字符"/>
    <w:link w:val="7"/>
    <w:qFormat/>
    <w:uiPriority w:val="0"/>
    <w:rPr>
      <w:rFonts w:ascii="Arial" w:hAnsi="Arial" w:eastAsia="宋体" w:cs="Arial"/>
      <w:sz w:val="44"/>
      <w:szCs w:val="44"/>
    </w:rPr>
  </w:style>
  <w:style w:type="character" w:customStyle="1" w:styleId="51">
    <w:name w:val="标题 7 字符"/>
    <w:link w:val="8"/>
    <w:qFormat/>
    <w:uiPriority w:val="0"/>
    <w:rPr>
      <w:rFonts w:ascii="Times New Roman" w:hAnsi="Times New Roman" w:eastAsia="宋体" w:cs="Times New Roman"/>
      <w:sz w:val="44"/>
      <w:szCs w:val="44"/>
    </w:rPr>
  </w:style>
  <w:style w:type="character" w:customStyle="1" w:styleId="52">
    <w:name w:val="标题 8 字符"/>
    <w:link w:val="9"/>
    <w:qFormat/>
    <w:uiPriority w:val="0"/>
    <w:rPr>
      <w:rFonts w:ascii="Times New Roman" w:hAnsi="Times New Roman" w:eastAsia="宋体" w:cs="Times New Roman"/>
      <w:sz w:val="44"/>
      <w:szCs w:val="44"/>
    </w:rPr>
  </w:style>
  <w:style w:type="character" w:customStyle="1" w:styleId="53">
    <w:name w:val="标题 9 字符"/>
    <w:link w:val="10"/>
    <w:qFormat/>
    <w:uiPriority w:val="0"/>
    <w:rPr>
      <w:rFonts w:ascii="Arial" w:hAnsi="Arial" w:eastAsia="宋体" w:cs="Arial"/>
      <w:sz w:val="44"/>
      <w:szCs w:val="44"/>
    </w:rPr>
  </w:style>
  <w:style w:type="character" w:customStyle="1" w:styleId="54">
    <w:name w:val="批注文字 字符"/>
    <w:link w:val="15"/>
    <w:qFormat/>
    <w:uiPriority w:val="0"/>
    <w:rPr>
      <w:rFonts w:eastAsia="仿宋"/>
      <w:sz w:val="32"/>
      <w:szCs w:val="32"/>
    </w:rPr>
  </w:style>
  <w:style w:type="character" w:customStyle="1" w:styleId="55">
    <w:name w:val="批注框文本 字符"/>
    <w:link w:val="24"/>
    <w:qFormat/>
    <w:uiPriority w:val="0"/>
    <w:rPr>
      <w:rFonts w:eastAsia="仿宋"/>
      <w:sz w:val="18"/>
      <w:szCs w:val="18"/>
    </w:rPr>
  </w:style>
  <w:style w:type="character" w:customStyle="1" w:styleId="56">
    <w:name w:val="页脚 字符"/>
    <w:link w:val="25"/>
    <w:qFormat/>
    <w:uiPriority w:val="0"/>
    <w:rPr>
      <w:sz w:val="18"/>
      <w:szCs w:val="18"/>
    </w:rPr>
  </w:style>
  <w:style w:type="character" w:customStyle="1" w:styleId="57">
    <w:name w:val="页眉 字符"/>
    <w:link w:val="26"/>
    <w:qFormat/>
    <w:uiPriority w:val="0"/>
    <w:rPr>
      <w:sz w:val="21"/>
      <w:szCs w:val="21"/>
    </w:rPr>
  </w:style>
  <w:style w:type="character" w:customStyle="1" w:styleId="58">
    <w:name w:val="副标题 字符"/>
    <w:link w:val="29"/>
    <w:qFormat/>
    <w:uiPriority w:val="0"/>
    <w:rPr>
      <w:rFonts w:eastAsia="幼圆"/>
      <w:b/>
      <w:bCs/>
      <w:sz w:val="28"/>
      <w:szCs w:val="28"/>
    </w:rPr>
  </w:style>
  <w:style w:type="character" w:customStyle="1" w:styleId="59">
    <w:name w:val="标题 字符"/>
    <w:link w:val="34"/>
    <w:qFormat/>
    <w:uiPriority w:val="0"/>
    <w:rPr>
      <w:rFonts w:eastAsia="仿宋"/>
      <w:b/>
      <w:bCs/>
      <w:sz w:val="32"/>
      <w:szCs w:val="32"/>
    </w:rPr>
  </w:style>
  <w:style w:type="character" w:customStyle="1" w:styleId="60">
    <w:name w:val="表格字 Char Char"/>
    <w:link w:val="61"/>
    <w:qFormat/>
    <w:uiPriority w:val="0"/>
    <w:rPr>
      <w:lang w:val="en-US" w:eastAsia="zh-CN" w:bidi="ar-SA"/>
    </w:rPr>
  </w:style>
  <w:style w:type="paragraph" w:customStyle="1" w:styleId="61">
    <w:name w:val="表格字"/>
    <w:link w:val="60"/>
    <w:qFormat/>
    <w:uiPriority w:val="0"/>
    <w:rPr>
      <w:rFonts w:ascii="Times New Roman" w:hAnsi="Times New Roman" w:eastAsia="宋体" w:cs="Times New Roman"/>
      <w:lang w:val="en-US" w:eastAsia="zh-CN" w:bidi="ar-SA"/>
    </w:rPr>
  </w:style>
  <w:style w:type="character" w:customStyle="1" w:styleId="62">
    <w:name w:val="标题 Char1"/>
    <w:qFormat/>
    <w:uiPriority w:val="0"/>
    <w:rPr>
      <w:rFonts w:ascii="Cambria" w:hAnsi="Cambria" w:eastAsia="宋体" w:cs="Cambria"/>
      <w:b/>
      <w:bCs/>
      <w:kern w:val="0"/>
      <w:sz w:val="32"/>
      <w:szCs w:val="32"/>
    </w:rPr>
  </w:style>
  <w:style w:type="character" w:customStyle="1" w:styleId="63">
    <w:name w:val="apple-converted-space"/>
    <w:qFormat/>
    <w:uiPriority w:val="0"/>
  </w:style>
  <w:style w:type="character" w:customStyle="1" w:styleId="64">
    <w:name w:val="正文文本缩进 2 Char"/>
    <w:link w:val="65"/>
    <w:qFormat/>
    <w:uiPriority w:val="0"/>
    <w:rPr>
      <w:rFonts w:ascii="宋体" w:hAnsi="Times New Roman" w:eastAsia="宋体" w:cs="宋体"/>
      <w:sz w:val="20"/>
      <w:szCs w:val="20"/>
    </w:rPr>
  </w:style>
  <w:style w:type="paragraph" w:customStyle="1" w:styleId="65">
    <w:name w:val="正文文本缩进 21"/>
    <w:basedOn w:val="1"/>
    <w:link w:val="64"/>
    <w:qFormat/>
    <w:uiPriority w:val="0"/>
    <w:pPr>
      <w:widowControl w:val="0"/>
      <w:spacing w:line="360" w:lineRule="auto"/>
      <w:ind w:firstLine="360"/>
      <w:jc w:val="both"/>
    </w:pPr>
    <w:rPr>
      <w:rFonts w:ascii="宋体"/>
      <w:sz w:val="20"/>
      <w:szCs w:val="20"/>
    </w:rPr>
  </w:style>
  <w:style w:type="character" w:customStyle="1" w:styleId="66">
    <w:name w:val="bord3"/>
    <w:qFormat/>
    <w:uiPriority w:val="0"/>
  </w:style>
  <w:style w:type="character" w:customStyle="1" w:styleId="67">
    <w:name w:val="!标题3 Ctrl+3 Char Char"/>
    <w:link w:val="68"/>
    <w:qFormat/>
    <w:uiPriority w:val="0"/>
    <w:rPr>
      <w:rFonts w:ascii="宋体" w:eastAsia="宋体" w:cs="宋体"/>
      <w:b/>
      <w:bCs/>
      <w:sz w:val="28"/>
      <w:szCs w:val="28"/>
    </w:rPr>
  </w:style>
  <w:style w:type="paragraph" w:customStyle="1" w:styleId="68">
    <w:name w:val="!标题3 Ctrl+3"/>
    <w:basedOn w:val="4"/>
    <w:next w:val="1"/>
    <w:link w:val="67"/>
    <w:qFormat/>
    <w:uiPriority w:val="0"/>
    <w:pPr>
      <w:keepNext w:val="0"/>
      <w:keepLines w:val="0"/>
      <w:tabs>
        <w:tab w:val="left" w:pos="1028"/>
      </w:tabs>
      <w:adjustRightInd w:val="0"/>
      <w:snapToGrid w:val="0"/>
      <w:spacing w:before="156" w:beforeLines="50" w:after="0" w:line="360" w:lineRule="auto"/>
      <w:ind w:left="720" w:hanging="720"/>
    </w:pPr>
    <w:rPr>
      <w:rFonts w:ascii="宋体" w:hAnsi="Calibri"/>
      <w:szCs w:val="28"/>
    </w:rPr>
  </w:style>
  <w:style w:type="character" w:customStyle="1" w:styleId="69">
    <w:name w:val="正文文本缩进 3 Char"/>
    <w:link w:val="70"/>
    <w:qFormat/>
    <w:uiPriority w:val="0"/>
    <w:rPr>
      <w:rFonts w:ascii="Times New Roman" w:hAnsi="Times New Roman" w:eastAsia="宋体" w:cs="Times New Roman"/>
      <w:sz w:val="24"/>
      <w:szCs w:val="24"/>
    </w:rPr>
  </w:style>
  <w:style w:type="paragraph" w:customStyle="1" w:styleId="70">
    <w:name w:val="正文文本缩进 31"/>
    <w:basedOn w:val="1"/>
    <w:link w:val="69"/>
    <w:qFormat/>
    <w:uiPriority w:val="0"/>
    <w:pPr>
      <w:widowControl w:val="0"/>
      <w:spacing w:line="360" w:lineRule="exact"/>
      <w:ind w:firstLine="420" w:firstLineChars="200"/>
      <w:jc w:val="both"/>
    </w:pPr>
    <w:rPr>
      <w:sz w:val="24"/>
      <w:szCs w:val="24"/>
    </w:rPr>
  </w:style>
  <w:style w:type="character" w:customStyle="1" w:styleId="71">
    <w:name w:val="签名 Char"/>
    <w:link w:val="72"/>
    <w:qFormat/>
    <w:uiPriority w:val="0"/>
    <w:rPr>
      <w:sz w:val="21"/>
      <w:szCs w:val="21"/>
    </w:rPr>
  </w:style>
  <w:style w:type="paragraph" w:customStyle="1" w:styleId="72">
    <w:name w:val="签名1"/>
    <w:basedOn w:val="1"/>
    <w:link w:val="71"/>
    <w:qFormat/>
    <w:uiPriority w:val="0"/>
    <w:pPr>
      <w:jc w:val="right"/>
    </w:pPr>
  </w:style>
  <w:style w:type="character" w:customStyle="1" w:styleId="73">
    <w:name w:val="页眉 Char1"/>
    <w:qFormat/>
    <w:uiPriority w:val="0"/>
    <w:rPr>
      <w:sz w:val="18"/>
      <w:szCs w:val="18"/>
    </w:rPr>
  </w:style>
  <w:style w:type="character" w:customStyle="1" w:styleId="74">
    <w:name w:val="正文粗体 Char Char"/>
    <w:link w:val="75"/>
    <w:qFormat/>
    <w:uiPriority w:val="0"/>
    <w:rPr>
      <w:rFonts w:eastAsia="仿宋"/>
      <w:b/>
      <w:bCs/>
      <w:sz w:val="32"/>
      <w:szCs w:val="32"/>
    </w:rPr>
  </w:style>
  <w:style w:type="paragraph" w:customStyle="1" w:styleId="75">
    <w:name w:val="正文粗体"/>
    <w:basedOn w:val="1"/>
    <w:link w:val="74"/>
    <w:qFormat/>
    <w:uiPriority w:val="0"/>
    <w:pPr>
      <w:widowControl w:val="0"/>
      <w:spacing w:line="360" w:lineRule="auto"/>
      <w:ind w:firstLine="560" w:firstLineChars="200"/>
    </w:pPr>
    <w:rPr>
      <w:rFonts w:eastAsia="仿宋"/>
      <w:b/>
      <w:bCs/>
      <w:sz w:val="32"/>
      <w:szCs w:val="32"/>
    </w:rPr>
  </w:style>
  <w:style w:type="character" w:customStyle="1" w:styleId="76">
    <w:name w:val="Heading 4 Char_b45af9ad-61b3-4c07-a437-190cba7e48c4"/>
    <w:qFormat/>
    <w:uiPriority w:val="0"/>
    <w:rPr>
      <w:rFonts w:eastAsia="仿宋"/>
      <w:b/>
      <w:bCs/>
      <w:kern w:val="44"/>
      <w:sz w:val="32"/>
      <w:szCs w:val="32"/>
      <w:lang w:val="en-US" w:eastAsia="zh-CN"/>
    </w:rPr>
  </w:style>
  <w:style w:type="character" w:customStyle="1" w:styleId="77">
    <w:name w:val="标题 3 Char2"/>
    <w:qFormat/>
    <w:uiPriority w:val="0"/>
    <w:rPr>
      <w:b/>
      <w:bCs/>
      <w:kern w:val="2"/>
      <w:sz w:val="32"/>
      <w:szCs w:val="32"/>
    </w:rPr>
  </w:style>
  <w:style w:type="character" w:customStyle="1" w:styleId="78">
    <w:name w:val="正文文本 (2) + 间距 1 pt"/>
    <w:qFormat/>
    <w:uiPriority w:val="0"/>
    <w:rPr>
      <w:rFonts w:ascii="宋体" w:eastAsia="宋体" w:cs="宋体"/>
      <w:color w:val="000000"/>
      <w:spacing w:val="30"/>
      <w:w w:val="100"/>
      <w:position w:val="0"/>
      <w:shd w:val="clear" w:color="auto" w:fill="FFFFFF"/>
      <w:lang w:val="zh-CN" w:eastAsia="zh-CN"/>
    </w:rPr>
  </w:style>
  <w:style w:type="character" w:customStyle="1" w:styleId="79">
    <w:name w:val="正文文本 (2)_"/>
    <w:link w:val="80"/>
    <w:qFormat/>
    <w:uiPriority w:val="0"/>
    <w:rPr>
      <w:rFonts w:ascii="宋体" w:eastAsia="宋体" w:cs="宋体"/>
      <w:shd w:val="clear" w:color="auto" w:fill="FFFFFF"/>
    </w:rPr>
  </w:style>
  <w:style w:type="paragraph" w:customStyle="1" w:styleId="80">
    <w:name w:val="正文文本 (2)"/>
    <w:basedOn w:val="1"/>
    <w:link w:val="79"/>
    <w:qFormat/>
    <w:uiPriority w:val="0"/>
    <w:pPr>
      <w:widowControl w:val="0"/>
      <w:shd w:val="clear" w:color="auto" w:fill="FFFFFF"/>
      <w:spacing w:before="660" w:line="312" w:lineRule="exact"/>
      <w:ind w:hanging="420"/>
      <w:jc w:val="distribute"/>
    </w:pPr>
    <w:rPr>
      <w:rFonts w:ascii="宋体"/>
      <w:sz w:val="20"/>
      <w:szCs w:val="20"/>
      <w:shd w:val="clear" w:color="auto" w:fill="FFFFFF"/>
    </w:rPr>
  </w:style>
  <w:style w:type="character" w:customStyle="1" w:styleId="81">
    <w:name w:val="Normal Indent Char Char"/>
    <w:qFormat/>
    <w:uiPriority w:val="0"/>
    <w:rPr>
      <w:rFonts w:eastAsia="宋体"/>
      <w:sz w:val="24"/>
      <w:szCs w:val="24"/>
      <w:lang w:val="en-US" w:eastAsia="zh-CN"/>
    </w:rPr>
  </w:style>
  <w:style w:type="character" w:customStyle="1" w:styleId="82">
    <w:name w:val="Normal 字元"/>
    <w:link w:val="83"/>
    <w:qFormat/>
    <w:uiPriority w:val="0"/>
    <w:rPr>
      <w:rFonts w:ascii="宋体" w:cs="宋体"/>
      <w:sz w:val="34"/>
      <w:szCs w:val="34"/>
      <w:lang w:val="en-US" w:eastAsia="zh-CN" w:bidi="ar-SA"/>
    </w:rPr>
  </w:style>
  <w:style w:type="paragraph" w:customStyle="1" w:styleId="83">
    <w:name w:val="正文1"/>
    <w:link w:val="82"/>
    <w:qFormat/>
    <w:uiPriority w:val="0"/>
    <w:pPr>
      <w:widowControl w:val="0"/>
      <w:adjustRightInd w:val="0"/>
      <w:spacing w:line="312" w:lineRule="atLeast"/>
      <w:jc w:val="both"/>
    </w:pPr>
    <w:rPr>
      <w:rFonts w:ascii="宋体" w:hAnsi="Times New Roman" w:eastAsia="宋体" w:cs="宋体"/>
      <w:sz w:val="34"/>
      <w:szCs w:val="34"/>
      <w:lang w:val="en-US" w:eastAsia="zh-CN" w:bidi="ar-SA"/>
    </w:rPr>
  </w:style>
  <w:style w:type="character" w:customStyle="1" w:styleId="84">
    <w:name w:val="Char Char13"/>
    <w:qFormat/>
    <w:uiPriority w:val="0"/>
    <w:rPr>
      <w:rFonts w:eastAsia="仿宋"/>
      <w:b/>
      <w:bCs/>
      <w:kern w:val="44"/>
      <w:sz w:val="32"/>
      <w:szCs w:val="32"/>
      <w:lang w:val="en-US" w:eastAsia="zh-CN"/>
    </w:rPr>
  </w:style>
  <w:style w:type="character" w:customStyle="1" w:styleId="85">
    <w:name w:val="页脚 Char1"/>
    <w:qFormat/>
    <w:uiPriority w:val="0"/>
    <w:rPr>
      <w:sz w:val="18"/>
      <w:szCs w:val="18"/>
    </w:rPr>
  </w:style>
  <w:style w:type="character" w:customStyle="1" w:styleId="86">
    <w:name w:val="纯文本 Char1"/>
    <w:qFormat/>
    <w:uiPriority w:val="0"/>
    <w:rPr>
      <w:rFonts w:ascii="宋体" w:hAnsi="Courier New" w:eastAsia="宋体" w:cs="宋体"/>
      <w:kern w:val="2"/>
      <w:sz w:val="21"/>
      <w:szCs w:val="21"/>
      <w:lang w:val="en-US" w:eastAsia="zh-CN"/>
    </w:rPr>
  </w:style>
  <w:style w:type="character" w:customStyle="1" w:styleId="87">
    <w:name w:val="Char Char16"/>
    <w:qFormat/>
    <w:uiPriority w:val="0"/>
    <w:rPr>
      <w:rFonts w:eastAsia="仿宋"/>
      <w:b/>
      <w:bCs/>
      <w:kern w:val="44"/>
      <w:sz w:val="32"/>
      <w:szCs w:val="32"/>
      <w:lang w:val="en-US" w:eastAsia="zh-CN"/>
    </w:rPr>
  </w:style>
  <w:style w:type="character" w:customStyle="1" w:styleId="88">
    <w:name w:val="Message Header Label"/>
    <w:qFormat/>
    <w:uiPriority w:val="0"/>
    <w:rPr>
      <w:rFonts w:ascii="Arial Black" w:hAnsi="Arial Black" w:eastAsia="宋体" w:cs="Arial Black"/>
      <w:sz w:val="18"/>
      <w:szCs w:val="18"/>
    </w:rPr>
  </w:style>
  <w:style w:type="character" w:customStyle="1" w:styleId="89">
    <w:name w:val="Char Char12"/>
    <w:qFormat/>
    <w:uiPriority w:val="0"/>
    <w:rPr>
      <w:rFonts w:eastAsia="仿宋"/>
      <w:b/>
      <w:bCs/>
      <w:kern w:val="44"/>
      <w:sz w:val="32"/>
      <w:szCs w:val="32"/>
      <w:lang w:val="en-US" w:eastAsia="zh-CN"/>
    </w:rPr>
  </w:style>
  <w:style w:type="character" w:customStyle="1" w:styleId="90">
    <w:name w:val="Comment Subject Char"/>
    <w:qFormat/>
    <w:uiPriority w:val="0"/>
    <w:rPr>
      <w:rFonts w:ascii="Times New Roman" w:hAnsi="Times New Roman" w:eastAsia="宋体" w:cs="Times New Roman"/>
      <w:b/>
      <w:bCs/>
      <w:kern w:val="0"/>
      <w:sz w:val="20"/>
      <w:szCs w:val="20"/>
    </w:rPr>
  </w:style>
  <w:style w:type="character" w:customStyle="1" w:styleId="91">
    <w:name w:val="正文缩进 Char"/>
    <w:link w:val="92"/>
    <w:qFormat/>
    <w:uiPriority w:val="0"/>
    <w:rPr>
      <w:rFonts w:ascii="宋体" w:cs="宋体"/>
    </w:rPr>
  </w:style>
  <w:style w:type="paragraph" w:customStyle="1" w:styleId="92">
    <w:name w:val="正文缩进1"/>
    <w:basedOn w:val="1"/>
    <w:link w:val="91"/>
    <w:qFormat/>
    <w:uiPriority w:val="0"/>
    <w:pPr>
      <w:spacing w:line="360" w:lineRule="auto"/>
      <w:ind w:firstLine="420"/>
    </w:pPr>
    <w:rPr>
      <w:rFonts w:ascii="宋体"/>
      <w:sz w:val="20"/>
      <w:szCs w:val="20"/>
    </w:rPr>
  </w:style>
  <w:style w:type="character" w:customStyle="1" w:styleId="93">
    <w:name w:val="!我的正文 Ctr+Q Char Char"/>
    <w:link w:val="94"/>
    <w:qFormat/>
    <w:uiPriority w:val="0"/>
    <w:rPr>
      <w:rFonts w:ascii="Arial" w:hAnsi="Arial" w:cs="Arial"/>
      <w:sz w:val="21"/>
      <w:szCs w:val="21"/>
    </w:rPr>
  </w:style>
  <w:style w:type="paragraph" w:customStyle="1" w:styleId="94">
    <w:name w:val="!我的正文 Ctr+Q"/>
    <w:basedOn w:val="1"/>
    <w:link w:val="93"/>
    <w:qFormat/>
    <w:uiPriority w:val="0"/>
    <w:pPr>
      <w:widowControl w:val="0"/>
      <w:adjustRightInd w:val="0"/>
      <w:snapToGrid w:val="0"/>
      <w:spacing w:line="360" w:lineRule="auto"/>
      <w:ind w:firstLine="480" w:firstLineChars="200"/>
      <w:jc w:val="both"/>
    </w:pPr>
    <w:rPr>
      <w:rFonts w:ascii="Arial" w:hAnsi="Arial"/>
    </w:rPr>
  </w:style>
  <w:style w:type="character" w:customStyle="1" w:styleId="95">
    <w:name w:val="f12"/>
    <w:qFormat/>
    <w:uiPriority w:val="0"/>
  </w:style>
  <w:style w:type="character" w:customStyle="1" w:styleId="96">
    <w:name w:val="正文文本 (2) + Times New Roman"/>
    <w:qFormat/>
    <w:uiPriority w:val="0"/>
    <w:rPr>
      <w:rFonts w:ascii="Times New Roman" w:hAnsi="Times New Roman" w:cs="Times New Roman"/>
      <w:color w:val="000000"/>
      <w:spacing w:val="0"/>
      <w:w w:val="100"/>
      <w:position w:val="0"/>
      <w:sz w:val="19"/>
      <w:szCs w:val="19"/>
      <w:shd w:val="clear" w:color="auto" w:fill="FFFFFF"/>
      <w:lang w:val="en-US" w:eastAsia="en-US"/>
    </w:rPr>
  </w:style>
  <w:style w:type="character" w:customStyle="1" w:styleId="97">
    <w:name w:val="Emphasis1"/>
    <w:qFormat/>
    <w:uiPriority w:val="0"/>
    <w:rPr>
      <w:rFonts w:ascii="Arial Black" w:hAnsi="Arial Black" w:eastAsia="宋体" w:cs="Arial Black"/>
      <w:sz w:val="18"/>
      <w:szCs w:val="18"/>
    </w:rPr>
  </w:style>
  <w:style w:type="character" w:customStyle="1" w:styleId="98">
    <w:name w:val="批注框文本 Char1"/>
    <w:qFormat/>
    <w:uiPriority w:val="0"/>
    <w:rPr>
      <w:rFonts w:ascii="Times New Roman" w:hAnsi="Times New Roman" w:eastAsia="宋体" w:cs="Times New Roman"/>
      <w:kern w:val="0"/>
      <w:sz w:val="18"/>
      <w:szCs w:val="18"/>
    </w:rPr>
  </w:style>
  <w:style w:type="character" w:customStyle="1" w:styleId="99">
    <w:name w:val="信息标题 Char"/>
    <w:link w:val="100"/>
    <w:qFormat/>
    <w:uiPriority w:val="0"/>
    <w:rPr>
      <w:rFonts w:ascii="Arial" w:hAnsi="Arial" w:cs="Arial"/>
      <w:spacing w:val="-5"/>
      <w:sz w:val="20"/>
      <w:szCs w:val="20"/>
    </w:rPr>
  </w:style>
  <w:style w:type="paragraph" w:customStyle="1" w:styleId="100">
    <w:name w:val="信息标题1"/>
    <w:basedOn w:val="16"/>
    <w:link w:val="99"/>
    <w:qFormat/>
    <w:uiPriority w:val="0"/>
    <w:pPr>
      <w:keepLines/>
      <w:pBdr>
        <w:bottom w:val="single" w:color="auto" w:sz="6" w:space="2"/>
        <w:between w:val="single" w:color="auto" w:sz="6" w:space="2"/>
      </w:pBdr>
      <w:tabs>
        <w:tab w:val="left" w:pos="720"/>
        <w:tab w:val="left" w:pos="4320"/>
        <w:tab w:val="left" w:pos="5040"/>
        <w:tab w:val="right" w:pos="8640"/>
      </w:tabs>
      <w:overflowPunct w:val="0"/>
      <w:autoSpaceDE w:val="0"/>
      <w:autoSpaceDN w:val="0"/>
      <w:adjustRightInd w:val="0"/>
      <w:spacing w:after="0" w:line="440" w:lineRule="atLeast"/>
      <w:ind w:left="720" w:hanging="720"/>
      <w:textAlignment w:val="baseline"/>
    </w:pPr>
    <w:rPr>
      <w:rFonts w:ascii="Arial" w:hAnsi="Arial"/>
      <w:spacing w:val="-5"/>
      <w:sz w:val="20"/>
      <w:szCs w:val="20"/>
    </w:rPr>
  </w:style>
  <w:style w:type="character" w:customStyle="1" w:styleId="101">
    <w:name w:val="Heading 2 Char_3683ad14-66db-4fcf-9bf9-502927ec9f48"/>
    <w:qFormat/>
    <w:uiPriority w:val="0"/>
    <w:rPr>
      <w:rFonts w:eastAsia="仿宋"/>
      <w:b/>
      <w:bCs/>
      <w:kern w:val="44"/>
      <w:sz w:val="32"/>
      <w:szCs w:val="32"/>
      <w:lang w:val="en-US" w:eastAsia="zh-CN"/>
    </w:rPr>
  </w:style>
  <w:style w:type="character" w:customStyle="1" w:styleId="102">
    <w:name w:val="页码1"/>
    <w:qFormat/>
    <w:uiPriority w:val="0"/>
  </w:style>
  <w:style w:type="character" w:customStyle="1" w:styleId="103">
    <w:name w:val="正文文本缩进 Char"/>
    <w:link w:val="104"/>
    <w:qFormat/>
    <w:uiPriority w:val="0"/>
  </w:style>
  <w:style w:type="paragraph" w:customStyle="1" w:styleId="104">
    <w:name w:val="正文文本缩进1"/>
    <w:basedOn w:val="1"/>
    <w:link w:val="103"/>
    <w:qFormat/>
    <w:uiPriority w:val="0"/>
    <w:pPr>
      <w:spacing w:after="120"/>
      <w:ind w:left="420" w:leftChars="200"/>
    </w:pPr>
  </w:style>
  <w:style w:type="character" w:customStyle="1" w:styleId="105">
    <w:name w:val="批注文字 Char1"/>
    <w:qFormat/>
    <w:uiPriority w:val="0"/>
    <w:rPr>
      <w:rFonts w:ascii="Times New Roman" w:hAnsi="Times New Roman" w:eastAsia="宋体" w:cs="Times New Roman"/>
      <w:kern w:val="0"/>
      <w:sz w:val="20"/>
      <w:szCs w:val="20"/>
    </w:rPr>
  </w:style>
  <w:style w:type="character" w:customStyle="1" w:styleId="106">
    <w:name w:val="正文首行缩进 Char"/>
    <w:link w:val="107"/>
    <w:qFormat/>
    <w:uiPriority w:val="0"/>
    <w:rPr>
      <w:rFonts w:ascii="Times New Roman" w:hAnsi="Times New Roman" w:eastAsia="宋体" w:cs="Times New Roman"/>
      <w:kern w:val="0"/>
      <w:sz w:val="44"/>
      <w:szCs w:val="44"/>
    </w:rPr>
  </w:style>
  <w:style w:type="paragraph" w:customStyle="1" w:styleId="107">
    <w:name w:val="正文首行缩进1"/>
    <w:basedOn w:val="1"/>
    <w:link w:val="106"/>
    <w:qFormat/>
    <w:uiPriority w:val="0"/>
    <w:pPr>
      <w:widowControl w:val="0"/>
      <w:adjustRightInd w:val="0"/>
      <w:snapToGrid w:val="0"/>
      <w:spacing w:after="120" w:line="400" w:lineRule="exact"/>
      <w:ind w:firstLine="510"/>
      <w:jc w:val="both"/>
    </w:pPr>
    <w:rPr>
      <w:sz w:val="44"/>
      <w:szCs w:val="44"/>
    </w:rPr>
  </w:style>
  <w:style w:type="character" w:customStyle="1" w:styleId="108">
    <w:name w:val="明显强调1"/>
    <w:qFormat/>
    <w:uiPriority w:val="0"/>
    <w:rPr>
      <w:b/>
      <w:bCs/>
      <w:i/>
      <w:iCs/>
      <w:color w:val="auto"/>
    </w:rPr>
  </w:style>
  <w:style w:type="character" w:customStyle="1" w:styleId="109">
    <w:name w:val="文档结构图 Char1"/>
    <w:qFormat/>
    <w:uiPriority w:val="0"/>
    <w:rPr>
      <w:rFonts w:ascii="宋体" w:hAnsi="Times New Roman" w:eastAsia="宋体" w:cs="宋体"/>
      <w:kern w:val="0"/>
      <w:sz w:val="18"/>
      <w:szCs w:val="18"/>
    </w:rPr>
  </w:style>
  <w:style w:type="character" w:customStyle="1" w:styleId="110">
    <w:name w:val="表哥标题居左 Char Char"/>
    <w:link w:val="111"/>
    <w:qFormat/>
    <w:uiPriority w:val="0"/>
    <w:rPr>
      <w:b/>
      <w:bCs/>
      <w:sz w:val="21"/>
      <w:szCs w:val="21"/>
    </w:rPr>
  </w:style>
  <w:style w:type="paragraph" w:customStyle="1" w:styleId="111">
    <w:name w:val="表哥标题居左"/>
    <w:basedOn w:val="112"/>
    <w:link w:val="110"/>
    <w:qFormat/>
    <w:uiPriority w:val="0"/>
    <w:pPr>
      <w:jc w:val="left"/>
    </w:pPr>
    <w:rPr>
      <w:sz w:val="21"/>
      <w:szCs w:val="21"/>
    </w:rPr>
  </w:style>
  <w:style w:type="paragraph" w:customStyle="1" w:styleId="112">
    <w:name w:val="表格标题"/>
    <w:link w:val="113"/>
    <w:qFormat/>
    <w:uiPriority w:val="0"/>
    <w:pPr>
      <w:jc w:val="center"/>
    </w:pPr>
    <w:rPr>
      <w:rFonts w:ascii="Times New Roman" w:hAnsi="Times New Roman" w:eastAsia="宋体" w:cs="Times New Roman"/>
      <w:b/>
      <w:bCs/>
      <w:sz w:val="22"/>
      <w:szCs w:val="22"/>
      <w:lang w:val="en-US" w:eastAsia="zh-CN" w:bidi="ar-SA"/>
    </w:rPr>
  </w:style>
  <w:style w:type="character" w:customStyle="1" w:styleId="113">
    <w:name w:val="表格标题 Char Char"/>
    <w:link w:val="112"/>
    <w:qFormat/>
    <w:uiPriority w:val="0"/>
    <w:rPr>
      <w:b/>
      <w:bCs/>
      <w:sz w:val="22"/>
      <w:szCs w:val="22"/>
      <w:lang w:val="en-US" w:eastAsia="zh-CN" w:bidi="ar-SA"/>
    </w:rPr>
  </w:style>
  <w:style w:type="character" w:customStyle="1" w:styleId="114">
    <w:name w:val="clh15"/>
    <w:qFormat/>
    <w:uiPriority w:val="0"/>
  </w:style>
  <w:style w:type="character" w:customStyle="1" w:styleId="115">
    <w:name w:val="文档结构图 Char"/>
    <w:link w:val="116"/>
    <w:qFormat/>
    <w:uiPriority w:val="0"/>
    <w:rPr>
      <w:shd w:val="clear" w:color="auto" w:fill="000080"/>
    </w:rPr>
  </w:style>
  <w:style w:type="paragraph" w:customStyle="1" w:styleId="116">
    <w:name w:val="文档结构图1"/>
    <w:basedOn w:val="1"/>
    <w:link w:val="115"/>
    <w:qFormat/>
    <w:uiPriority w:val="0"/>
    <w:pPr>
      <w:shd w:val="clear" w:color="auto" w:fill="000080"/>
    </w:pPr>
    <w:rPr>
      <w:sz w:val="20"/>
      <w:szCs w:val="20"/>
      <w:shd w:val="clear" w:color="auto" w:fill="000080"/>
    </w:rPr>
  </w:style>
  <w:style w:type="character" w:customStyle="1" w:styleId="117">
    <w:name w:val="Char Char11"/>
    <w:qFormat/>
    <w:uiPriority w:val="0"/>
    <w:rPr>
      <w:rFonts w:eastAsia="宋体"/>
      <w:b/>
      <w:bCs/>
      <w:kern w:val="2"/>
      <w:sz w:val="24"/>
      <w:szCs w:val="24"/>
      <w:lang w:val="en-US" w:eastAsia="zh-CN"/>
    </w:rPr>
  </w:style>
  <w:style w:type="character" w:customStyle="1" w:styleId="118">
    <w:name w:val="正文文本 Char1"/>
    <w:qFormat/>
    <w:uiPriority w:val="0"/>
    <w:rPr>
      <w:rFonts w:ascii="Times New Roman" w:hAnsi="Times New Roman" w:eastAsia="宋体" w:cs="Times New Roman"/>
      <w:kern w:val="0"/>
      <w:sz w:val="20"/>
      <w:szCs w:val="20"/>
    </w:rPr>
  </w:style>
  <w:style w:type="character" w:customStyle="1" w:styleId="119">
    <w:name w:val="Char Char15"/>
    <w:qFormat/>
    <w:uiPriority w:val="0"/>
    <w:rPr>
      <w:rFonts w:eastAsia="仿宋"/>
      <w:b/>
      <w:bCs/>
      <w:kern w:val="44"/>
      <w:sz w:val="32"/>
      <w:szCs w:val="32"/>
      <w:lang w:val="en-US" w:eastAsia="zh-CN"/>
    </w:rPr>
  </w:style>
  <w:style w:type="character" w:customStyle="1" w:styleId="120">
    <w:name w:val="抬头 Char Char"/>
    <w:link w:val="121"/>
    <w:qFormat/>
    <w:uiPriority w:val="0"/>
    <w:rPr>
      <w:rFonts w:eastAsia="楷体" w:cs="Calibri"/>
      <w:b/>
      <w:bCs/>
      <w:kern w:val="2"/>
      <w:sz w:val="24"/>
      <w:szCs w:val="24"/>
      <w:lang w:val="en-US" w:eastAsia="zh-CN" w:bidi="ar-SA"/>
    </w:rPr>
  </w:style>
  <w:style w:type="paragraph" w:customStyle="1" w:styleId="121">
    <w:name w:val="抬头"/>
    <w:link w:val="120"/>
    <w:qFormat/>
    <w:uiPriority w:val="0"/>
    <w:rPr>
      <w:rFonts w:ascii="Times New Roman" w:hAnsi="Times New Roman" w:eastAsia="楷体" w:cs="Calibri"/>
      <w:b/>
      <w:bCs/>
      <w:kern w:val="2"/>
      <w:sz w:val="24"/>
      <w:szCs w:val="24"/>
      <w:lang w:val="en-US" w:eastAsia="zh-CN" w:bidi="ar-SA"/>
    </w:rPr>
  </w:style>
  <w:style w:type="character" w:customStyle="1" w:styleId="122">
    <w:name w:val="ca-2"/>
    <w:qFormat/>
    <w:uiPriority w:val="0"/>
  </w:style>
  <w:style w:type="character" w:customStyle="1" w:styleId="123">
    <w:name w:val="正文文本缩进 Char1"/>
    <w:qFormat/>
    <w:uiPriority w:val="0"/>
    <w:rPr>
      <w:rFonts w:ascii="Times New Roman" w:hAnsi="Times New Roman" w:eastAsia="宋体" w:cs="Times New Roman"/>
      <w:kern w:val="0"/>
      <w:sz w:val="20"/>
      <w:szCs w:val="20"/>
    </w:rPr>
  </w:style>
  <w:style w:type="character" w:customStyle="1" w:styleId="124">
    <w:name w:val="正文文本 2 Char"/>
    <w:link w:val="125"/>
    <w:qFormat/>
    <w:uiPriority w:val="0"/>
    <w:rPr>
      <w:rFonts w:ascii="仿宋_GB2312" w:hAnsi="Times New Roman" w:eastAsia="仿宋_GB2312" w:cs="仿宋_GB2312"/>
      <w:sz w:val="24"/>
      <w:szCs w:val="24"/>
    </w:rPr>
  </w:style>
  <w:style w:type="paragraph" w:customStyle="1" w:styleId="125">
    <w:name w:val="正文文本 21"/>
    <w:basedOn w:val="1"/>
    <w:link w:val="124"/>
    <w:qFormat/>
    <w:uiPriority w:val="0"/>
    <w:pPr>
      <w:widowControl w:val="0"/>
      <w:spacing w:line="280" w:lineRule="exact"/>
      <w:jc w:val="both"/>
    </w:pPr>
    <w:rPr>
      <w:rFonts w:ascii="仿宋_GB2312" w:eastAsia="仿宋_GB2312"/>
      <w:sz w:val="24"/>
      <w:szCs w:val="24"/>
    </w:rPr>
  </w:style>
  <w:style w:type="character" w:customStyle="1" w:styleId="126">
    <w:name w:val="样式 宋体 小四"/>
    <w:qFormat/>
    <w:uiPriority w:val="0"/>
    <w:rPr>
      <w:rFonts w:ascii="宋体" w:eastAsia="宋体" w:cs="宋体"/>
      <w:sz w:val="24"/>
      <w:szCs w:val="24"/>
    </w:rPr>
  </w:style>
  <w:style w:type="character" w:customStyle="1" w:styleId="127">
    <w:name w:val="批注引用1"/>
    <w:qFormat/>
    <w:uiPriority w:val="0"/>
    <w:rPr>
      <w:sz w:val="21"/>
      <w:szCs w:val="21"/>
    </w:rPr>
  </w:style>
  <w:style w:type="character" w:customStyle="1" w:styleId="128">
    <w:name w:val="表格字居中 Char Char"/>
    <w:link w:val="129"/>
    <w:qFormat/>
    <w:uiPriority w:val="0"/>
    <w:rPr>
      <w:kern w:val="2"/>
      <w:sz w:val="24"/>
      <w:szCs w:val="24"/>
      <w:lang w:val="en-US" w:eastAsia="zh-CN"/>
    </w:rPr>
  </w:style>
  <w:style w:type="paragraph" w:customStyle="1" w:styleId="129">
    <w:name w:val="表格字居中"/>
    <w:basedOn w:val="61"/>
    <w:link w:val="128"/>
    <w:qFormat/>
    <w:uiPriority w:val="0"/>
    <w:pPr>
      <w:jc w:val="center"/>
    </w:pPr>
    <w:rPr>
      <w:kern w:val="2"/>
      <w:sz w:val="24"/>
      <w:szCs w:val="24"/>
    </w:rPr>
  </w:style>
  <w:style w:type="character" w:customStyle="1" w:styleId="130">
    <w:name w:val="p141"/>
    <w:qFormat/>
    <w:uiPriority w:val="0"/>
    <w:rPr>
      <w:sz w:val="21"/>
      <w:szCs w:val="21"/>
    </w:rPr>
  </w:style>
  <w:style w:type="character" w:customStyle="1" w:styleId="131">
    <w:name w:val="Char Char14"/>
    <w:qFormat/>
    <w:uiPriority w:val="0"/>
    <w:rPr>
      <w:rFonts w:eastAsia="仿宋"/>
      <w:b/>
      <w:bCs/>
      <w:kern w:val="44"/>
      <w:sz w:val="32"/>
      <w:szCs w:val="32"/>
      <w:lang w:val="en-US" w:eastAsia="zh-CN"/>
    </w:rPr>
  </w:style>
  <w:style w:type="character" w:customStyle="1" w:styleId="132">
    <w:name w:val="Heading 3 Char_d6a06fb9-51b8-4523-863e-8589eb22a58b"/>
    <w:qFormat/>
    <w:uiPriority w:val="0"/>
    <w:rPr>
      <w:rFonts w:eastAsia="仿宋"/>
      <w:b/>
      <w:bCs/>
      <w:kern w:val="44"/>
      <w:sz w:val="32"/>
      <w:szCs w:val="32"/>
      <w:lang w:val="en-US" w:eastAsia="zh-CN"/>
    </w:rPr>
  </w:style>
  <w:style w:type="character" w:customStyle="1" w:styleId="133">
    <w:name w:val="批注主题 Char"/>
    <w:link w:val="134"/>
    <w:qFormat/>
    <w:uiPriority w:val="0"/>
    <w:rPr>
      <w:rFonts w:eastAsia="仿宋"/>
      <w:b/>
      <w:bCs/>
      <w:sz w:val="32"/>
      <w:szCs w:val="32"/>
    </w:rPr>
  </w:style>
  <w:style w:type="paragraph" w:customStyle="1" w:styleId="134">
    <w:name w:val="批注主题1"/>
    <w:basedOn w:val="15"/>
    <w:next w:val="15"/>
    <w:link w:val="133"/>
    <w:qFormat/>
    <w:uiPriority w:val="0"/>
    <w:rPr>
      <w:b/>
      <w:bCs/>
    </w:rPr>
  </w:style>
  <w:style w:type="character" w:customStyle="1" w:styleId="135">
    <w:name w:val="纯文本 Char"/>
    <w:link w:val="136"/>
    <w:qFormat/>
    <w:uiPriority w:val="0"/>
    <w:rPr>
      <w:rFonts w:ascii="宋体" w:hAnsi="Courier New" w:eastAsia="宋体" w:cs="宋体"/>
      <w:sz w:val="21"/>
      <w:szCs w:val="21"/>
    </w:rPr>
  </w:style>
  <w:style w:type="paragraph" w:customStyle="1" w:styleId="136">
    <w:name w:val="纯文本1"/>
    <w:basedOn w:val="1"/>
    <w:link w:val="135"/>
    <w:qFormat/>
    <w:uiPriority w:val="0"/>
    <w:pPr>
      <w:widowControl w:val="0"/>
      <w:jc w:val="both"/>
    </w:pPr>
    <w:rPr>
      <w:rFonts w:ascii="宋体" w:hAnsi="Courier New"/>
    </w:rPr>
  </w:style>
  <w:style w:type="character" w:customStyle="1" w:styleId="137">
    <w:name w:val="Hyperlink.0"/>
    <w:qFormat/>
    <w:uiPriority w:val="0"/>
    <w:rPr>
      <w:rFonts w:ascii="微软雅黑" w:hAnsi="微软雅黑" w:eastAsia="微软雅黑" w:cs="微软雅黑"/>
      <w:sz w:val="24"/>
      <w:szCs w:val="24"/>
      <w:lang w:val="zh-TW" w:eastAsia="zh-TW"/>
    </w:rPr>
  </w:style>
  <w:style w:type="character" w:customStyle="1" w:styleId="138">
    <w:name w:val="副标题 Char1"/>
    <w:qFormat/>
    <w:uiPriority w:val="0"/>
    <w:rPr>
      <w:rFonts w:ascii="Cambria" w:hAnsi="Cambria" w:eastAsia="宋体" w:cs="Cambria"/>
      <w:b/>
      <w:bCs/>
      <w:kern w:val="28"/>
      <w:sz w:val="32"/>
      <w:szCs w:val="32"/>
    </w:rPr>
  </w:style>
  <w:style w:type="character" w:customStyle="1" w:styleId="139">
    <w:name w:val="日期 Char"/>
    <w:link w:val="140"/>
    <w:qFormat/>
    <w:uiPriority w:val="0"/>
    <w:rPr>
      <w:rFonts w:ascii="Times New Roman" w:hAnsi="Times New Roman" w:eastAsia="宋体" w:cs="Times New Roman"/>
      <w:kern w:val="0"/>
      <w:sz w:val="20"/>
      <w:szCs w:val="20"/>
    </w:rPr>
  </w:style>
  <w:style w:type="paragraph" w:customStyle="1" w:styleId="140">
    <w:name w:val="日期1"/>
    <w:basedOn w:val="1"/>
    <w:next w:val="1"/>
    <w:link w:val="139"/>
    <w:qFormat/>
    <w:uiPriority w:val="0"/>
    <w:pPr>
      <w:ind w:left="100" w:leftChars="2500"/>
    </w:pPr>
    <w:rPr>
      <w:sz w:val="20"/>
      <w:szCs w:val="20"/>
    </w:rPr>
  </w:style>
  <w:style w:type="character" w:customStyle="1" w:styleId="141">
    <w:name w:val="签名 Char1"/>
    <w:qFormat/>
    <w:uiPriority w:val="0"/>
    <w:rPr>
      <w:rFonts w:ascii="Times New Roman" w:hAnsi="Times New Roman" w:eastAsia="宋体" w:cs="Times New Roman"/>
      <w:kern w:val="0"/>
      <w:sz w:val="20"/>
      <w:szCs w:val="20"/>
    </w:rPr>
  </w:style>
  <w:style w:type="character" w:customStyle="1" w:styleId="142">
    <w:name w:val="样式 (符号) 宋体 加粗 下划线"/>
    <w:qFormat/>
    <w:uiPriority w:val="0"/>
    <w:rPr>
      <w:b/>
      <w:bCs/>
      <w:u w:val="single"/>
    </w:rPr>
  </w:style>
  <w:style w:type="paragraph" w:customStyle="1" w:styleId="143">
    <w:name w:val="reader-word-layer reader-word-s3-1"/>
    <w:basedOn w:val="1"/>
    <w:qFormat/>
    <w:uiPriority w:val="0"/>
    <w:pPr>
      <w:spacing w:before="100" w:beforeAutospacing="1" w:after="100" w:afterAutospacing="1"/>
    </w:pPr>
    <w:rPr>
      <w:rFonts w:ascii="宋体" w:hAnsi="宋体" w:cs="宋体"/>
      <w:sz w:val="24"/>
      <w:szCs w:val="24"/>
    </w:rPr>
  </w:style>
  <w:style w:type="paragraph" w:customStyle="1" w:styleId="144">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45">
    <w:name w:val="题注1"/>
    <w:basedOn w:val="1"/>
    <w:next w:val="1"/>
    <w:qFormat/>
    <w:uiPriority w:val="0"/>
    <w:rPr>
      <w:rFonts w:ascii="Arial" w:hAnsi="Arial" w:eastAsia="黑体"/>
      <w:sz w:val="20"/>
    </w:rPr>
  </w:style>
  <w:style w:type="paragraph" w:customStyle="1" w:styleId="146">
    <w:name w:val="2册标题4"/>
    <w:basedOn w:val="1"/>
    <w:next w:val="1"/>
    <w:qFormat/>
    <w:uiPriority w:val="0"/>
    <w:pPr>
      <w:widowControl w:val="0"/>
      <w:spacing w:before="156" w:beforeLines="50" w:after="156" w:afterLines="50" w:line="300" w:lineRule="auto"/>
      <w:ind w:left="420" w:leftChars="200"/>
      <w:jc w:val="both"/>
      <w:outlineLvl w:val="3"/>
    </w:pPr>
    <w:rPr>
      <w:rFonts w:ascii="Arial" w:hAnsi="Arial" w:eastAsia="幼圆" w:cs="Arial"/>
      <w:b/>
      <w:bCs/>
      <w:kern w:val="2"/>
      <w:sz w:val="24"/>
      <w:szCs w:val="24"/>
    </w:rPr>
  </w:style>
  <w:style w:type="paragraph" w:customStyle="1" w:styleId="147">
    <w:name w:val="普通(网站)1"/>
    <w:basedOn w:val="1"/>
    <w:qFormat/>
    <w:uiPriority w:val="0"/>
    <w:pPr>
      <w:spacing w:before="100" w:beforeAutospacing="1" w:after="100" w:afterAutospacing="1"/>
    </w:pPr>
    <w:rPr>
      <w:rFonts w:ascii="宋体" w:hAnsi="宋体" w:cs="宋体"/>
      <w:sz w:val="24"/>
      <w:szCs w:val="24"/>
    </w:rPr>
  </w:style>
  <w:style w:type="paragraph" w:customStyle="1" w:styleId="148">
    <w:name w:val="封面标题"/>
    <w:qFormat/>
    <w:uiPriority w:val="0"/>
    <w:pPr>
      <w:spacing w:line="360" w:lineRule="auto"/>
      <w:jc w:val="center"/>
    </w:pPr>
    <w:rPr>
      <w:rFonts w:ascii="Times New Roman" w:hAnsi="Times New Roman" w:eastAsia="幼圆" w:cs="Times New Roman"/>
      <w:b/>
      <w:bCs/>
      <w:kern w:val="2"/>
      <w:sz w:val="48"/>
      <w:szCs w:val="48"/>
      <w:lang w:val="en-US" w:eastAsia="zh-CN" w:bidi="ar-SA"/>
    </w:rPr>
  </w:style>
  <w:style w:type="paragraph" w:customStyle="1" w:styleId="149">
    <w:name w:val="reader-word-layer reader-word-s3-5"/>
    <w:basedOn w:val="1"/>
    <w:qFormat/>
    <w:uiPriority w:val="0"/>
    <w:pPr>
      <w:spacing w:before="100" w:beforeAutospacing="1" w:after="100" w:afterAutospacing="1"/>
    </w:pPr>
    <w:rPr>
      <w:rFonts w:ascii="宋体" w:hAnsi="宋体" w:cs="宋体"/>
      <w:sz w:val="24"/>
      <w:szCs w:val="24"/>
    </w:rPr>
  </w:style>
  <w:style w:type="paragraph" w:customStyle="1" w:styleId="150">
    <w:name w:val="列出段落1"/>
    <w:basedOn w:val="1"/>
    <w:qFormat/>
    <w:uiPriority w:val="0"/>
    <w:pPr>
      <w:widowControl w:val="0"/>
      <w:ind w:firstLine="420" w:firstLineChars="200"/>
      <w:jc w:val="both"/>
    </w:pPr>
    <w:rPr>
      <w:rFonts w:ascii="Calibri" w:hAnsi="Calibri" w:cs="Calibri"/>
      <w:kern w:val="2"/>
    </w:rPr>
  </w:style>
  <w:style w:type="paragraph" w:customStyle="1" w:styleId="151">
    <w:name w:val="Char Char Char Char"/>
    <w:basedOn w:val="1"/>
    <w:qFormat/>
    <w:uiPriority w:val="0"/>
    <w:pPr>
      <w:spacing w:after="160" w:line="240" w:lineRule="exact"/>
    </w:pPr>
    <w:rPr>
      <w:rFonts w:ascii="Verdana" w:hAnsi="Verdana" w:cs="Verdana"/>
      <w:sz w:val="20"/>
      <w:szCs w:val="20"/>
      <w:lang w:eastAsia="en-US"/>
    </w:rPr>
  </w:style>
  <w:style w:type="paragraph" w:customStyle="1" w:styleId="152">
    <w:name w:val="p0"/>
    <w:basedOn w:val="1"/>
    <w:qFormat/>
    <w:uiPriority w:val="0"/>
    <w:pPr>
      <w:jc w:val="both"/>
    </w:pPr>
  </w:style>
  <w:style w:type="paragraph" w:customStyle="1" w:styleId="153">
    <w:name w:val="Default"/>
    <w:qFormat/>
    <w:uiPriority w:val="0"/>
    <w:pPr>
      <w:widowControl w:val="0"/>
      <w:autoSpaceDE w:val="0"/>
      <w:autoSpaceDN w:val="0"/>
      <w:adjustRightInd w:val="0"/>
    </w:pPr>
    <w:rPr>
      <w:rFonts w:ascii="宋体" w:hAnsi="Times New Roman" w:eastAsia="宋体" w:cs="Times New Roman"/>
      <w:sz w:val="21"/>
      <w:szCs w:val="22"/>
      <w:lang w:val="en-US" w:eastAsia="zh-CN" w:bidi="ar-SA"/>
    </w:rPr>
  </w:style>
  <w:style w:type="paragraph" w:customStyle="1" w:styleId="154">
    <w:name w:val="--规划正文"/>
    <w:basedOn w:val="1"/>
    <w:qFormat/>
    <w:uiPriority w:val="0"/>
    <w:pPr>
      <w:widowControl w:val="0"/>
      <w:spacing w:line="360" w:lineRule="auto"/>
      <w:ind w:firstLine="200" w:firstLineChars="200"/>
      <w:jc w:val="both"/>
    </w:pPr>
    <w:rPr>
      <w:kern w:val="2"/>
    </w:rPr>
  </w:style>
  <w:style w:type="paragraph" w:customStyle="1" w:styleId="155">
    <w:name w:val="Char"/>
    <w:basedOn w:val="1"/>
    <w:qFormat/>
    <w:uiPriority w:val="0"/>
    <w:pPr>
      <w:spacing w:after="160" w:line="240" w:lineRule="exact"/>
    </w:pPr>
    <w:rPr>
      <w:rFonts w:ascii="Verdana" w:hAnsi="Verdana" w:cs="Verdana"/>
      <w:sz w:val="20"/>
      <w:szCs w:val="20"/>
      <w:lang w:eastAsia="en-US"/>
    </w:rPr>
  </w:style>
  <w:style w:type="paragraph" w:customStyle="1" w:styleId="156">
    <w:name w:val="Char Char Char"/>
    <w:basedOn w:val="1"/>
    <w:qFormat/>
    <w:uiPriority w:val="0"/>
    <w:pPr>
      <w:spacing w:after="160" w:line="240" w:lineRule="exact"/>
    </w:pPr>
    <w:rPr>
      <w:rFonts w:ascii="Verdana" w:hAnsi="Verdana" w:cs="Verdana"/>
      <w:lang w:eastAsia="en-US"/>
    </w:rPr>
  </w:style>
  <w:style w:type="paragraph" w:customStyle="1" w:styleId="157">
    <w:name w:val="reader-word-layer reader-word-s3-17"/>
    <w:basedOn w:val="1"/>
    <w:qFormat/>
    <w:uiPriority w:val="0"/>
    <w:pPr>
      <w:spacing w:before="100" w:beforeAutospacing="1" w:after="100" w:afterAutospacing="1"/>
    </w:pPr>
    <w:rPr>
      <w:rFonts w:ascii="宋体" w:hAnsi="宋体" w:cs="宋体"/>
      <w:sz w:val="24"/>
      <w:szCs w:val="24"/>
    </w:rPr>
  </w:style>
  <w:style w:type="paragraph" w:customStyle="1" w:styleId="158">
    <w:name w:val="reader-word-layer reader-word-s3-4"/>
    <w:basedOn w:val="1"/>
    <w:qFormat/>
    <w:uiPriority w:val="0"/>
    <w:pPr>
      <w:spacing w:before="100" w:beforeAutospacing="1" w:after="100" w:afterAutospacing="1"/>
    </w:pPr>
    <w:rPr>
      <w:rFonts w:ascii="宋体" w:hAnsi="宋体" w:cs="宋体"/>
      <w:sz w:val="24"/>
      <w:szCs w:val="24"/>
    </w:rPr>
  </w:style>
  <w:style w:type="paragraph" w:customStyle="1" w:styleId="159">
    <w:name w:val="样式1"/>
    <w:basedOn w:val="1"/>
    <w:qFormat/>
    <w:uiPriority w:val="0"/>
    <w:pPr>
      <w:widowControl w:val="0"/>
      <w:tabs>
        <w:tab w:val="left" w:pos="709"/>
      </w:tabs>
      <w:adjustRightInd w:val="0"/>
      <w:ind w:left="709" w:hanging="709"/>
      <w:jc w:val="both"/>
      <w:textAlignment w:val="baseline"/>
    </w:pPr>
    <w:rPr>
      <w:rFonts w:ascii="宋体" w:hAnsi="宋体" w:cs="宋体"/>
    </w:rPr>
  </w:style>
  <w:style w:type="paragraph" w:customStyle="1" w:styleId="160">
    <w:name w:val="TOC 标题1"/>
    <w:basedOn w:val="2"/>
    <w:next w:val="1"/>
    <w:qFormat/>
    <w:uiPriority w:val="0"/>
    <w:pPr>
      <w:widowControl/>
      <w:spacing w:before="480" w:after="0" w:line="276" w:lineRule="auto"/>
      <w:jc w:val="left"/>
      <w:outlineLvl w:val="9"/>
    </w:pPr>
    <w:rPr>
      <w:rFonts w:ascii="Cambria" w:hAnsi="Cambria" w:cs="Cambria"/>
      <w:color w:val="365F91"/>
      <w:kern w:val="0"/>
      <w:szCs w:val="28"/>
    </w:rPr>
  </w:style>
  <w:style w:type="paragraph" w:customStyle="1" w:styleId="161">
    <w:name w:val="Char Char Char Char Char Char Char"/>
    <w:basedOn w:val="116"/>
    <w:qFormat/>
    <w:uiPriority w:val="0"/>
    <w:pPr>
      <w:widowControl w:val="0"/>
      <w:jc w:val="both"/>
    </w:pPr>
    <w:rPr>
      <w:rFonts w:ascii="Tahoma" w:hAnsi="Tahoma" w:cs="Tahoma"/>
      <w:sz w:val="24"/>
      <w:szCs w:val="24"/>
    </w:rPr>
  </w:style>
  <w:style w:type="paragraph" w:customStyle="1" w:styleId="162">
    <w:name w:val="正文加黑"/>
    <w:basedOn w:val="1"/>
    <w:qFormat/>
    <w:uiPriority w:val="0"/>
    <w:pPr>
      <w:widowControl w:val="0"/>
      <w:jc w:val="both"/>
    </w:pPr>
    <w:rPr>
      <w:b/>
      <w:bCs/>
      <w:kern w:val="2"/>
    </w:rPr>
  </w:style>
  <w:style w:type="paragraph" w:customStyle="1" w:styleId="163">
    <w:name w:val="此正文"/>
    <w:basedOn w:val="1"/>
    <w:qFormat/>
    <w:uiPriority w:val="0"/>
    <w:pPr>
      <w:widowControl w:val="0"/>
      <w:spacing w:line="360" w:lineRule="auto"/>
      <w:ind w:firstLine="200" w:firstLineChars="200"/>
      <w:jc w:val="both"/>
    </w:pPr>
    <w:rPr>
      <w:kern w:val="2"/>
      <w:sz w:val="24"/>
      <w:szCs w:val="24"/>
    </w:rPr>
  </w:style>
  <w:style w:type="paragraph" w:customStyle="1" w:styleId="164">
    <w:name w:val="正文2"/>
    <w:qFormat/>
    <w:uiPriority w:val="0"/>
    <w:pPr>
      <w:spacing w:line="360" w:lineRule="auto"/>
      <w:jc w:val="both"/>
    </w:pPr>
    <w:rPr>
      <w:rFonts w:ascii="Times New Roman" w:hAnsi="Times New Roman" w:eastAsia="宋体" w:cs="Calibri"/>
      <w:kern w:val="2"/>
      <w:sz w:val="24"/>
      <w:szCs w:val="21"/>
      <w:lang w:val="en-US" w:eastAsia="zh-CN" w:bidi="ar-SA"/>
    </w:rPr>
  </w:style>
  <w:style w:type="paragraph" w:customStyle="1" w:styleId="165">
    <w:name w:val="页眉1"/>
    <w:basedOn w:val="1"/>
    <w:next w:val="145"/>
    <w:qFormat/>
    <w:uiPriority w:val="0"/>
    <w:pPr>
      <w:pBdr>
        <w:bottom w:val="single" w:color="000000" w:sz="6" w:space="1"/>
      </w:pBdr>
      <w:tabs>
        <w:tab w:val="center" w:pos="4153"/>
        <w:tab w:val="right" w:pos="8306"/>
      </w:tabs>
      <w:snapToGrid w:val="0"/>
      <w:jc w:val="center"/>
    </w:pPr>
    <w:rPr>
      <w:rFonts w:ascii="Arial Unicode MS" w:hAnsi="Arial Unicode MS"/>
      <w:color w:val="000000"/>
      <w:sz w:val="18"/>
      <w:szCs w:val="18"/>
    </w:rPr>
  </w:style>
  <w:style w:type="paragraph" w:customStyle="1" w:styleId="166">
    <w:name w:val="样式2"/>
    <w:basedOn w:val="1"/>
    <w:qFormat/>
    <w:uiPriority w:val="0"/>
    <w:pPr>
      <w:widowControl w:val="0"/>
      <w:tabs>
        <w:tab w:val="left" w:pos="720"/>
      </w:tabs>
      <w:ind w:left="760" w:firstLine="200"/>
      <w:jc w:val="both"/>
    </w:pPr>
    <w:rPr>
      <w:kern w:val="2"/>
    </w:rPr>
  </w:style>
  <w:style w:type="paragraph" w:customStyle="1" w:styleId="167">
    <w:name w:val="列项——（一级）"/>
    <w:qFormat/>
    <w:uiPriority w:val="0"/>
    <w:pPr>
      <w:widowControl w:val="0"/>
      <w:tabs>
        <w:tab w:val="left" w:pos="854"/>
      </w:tabs>
      <w:ind w:left="200" w:leftChars="200" w:hanging="200" w:hangingChars="200"/>
      <w:jc w:val="both"/>
    </w:pPr>
    <w:rPr>
      <w:rFonts w:ascii="宋体" w:hAnsi="Times New Roman" w:eastAsia="宋体" w:cs="宋体"/>
      <w:sz w:val="21"/>
      <w:szCs w:val="21"/>
      <w:lang w:val="en-US" w:eastAsia="zh-CN" w:bidi="ar-SA"/>
    </w:rPr>
  </w:style>
  <w:style w:type="paragraph" w:customStyle="1" w:styleId="168">
    <w:name w:val="样式 左侧:  2 字符"/>
    <w:basedOn w:val="1"/>
    <w:qFormat/>
    <w:uiPriority w:val="0"/>
    <w:pPr>
      <w:widowControl w:val="0"/>
      <w:ind w:firstLine="200" w:firstLineChars="200"/>
      <w:jc w:val="both"/>
    </w:pPr>
    <w:rPr>
      <w:kern w:val="2"/>
    </w:rPr>
  </w:style>
  <w:style w:type="paragraph" w:customStyle="1" w:styleId="169">
    <w:name w:val="题注4"/>
    <w:basedOn w:val="1"/>
    <w:next w:val="13"/>
    <w:qFormat/>
    <w:uiPriority w:val="0"/>
    <w:pPr>
      <w:widowControl w:val="0"/>
      <w:ind w:left="-40" w:leftChars="-41" w:right="-107" w:rightChars="-51" w:hanging="46"/>
      <w:jc w:val="center"/>
    </w:pPr>
    <w:rPr>
      <w:b/>
      <w:bCs/>
      <w:color w:val="000000"/>
      <w:kern w:val="2"/>
      <w:sz w:val="18"/>
      <w:szCs w:val="18"/>
    </w:rPr>
  </w:style>
  <w:style w:type="paragraph" w:customStyle="1" w:styleId="170">
    <w:name w:val="Char1"/>
    <w:basedOn w:val="1"/>
    <w:qFormat/>
    <w:uiPriority w:val="0"/>
    <w:pPr>
      <w:spacing w:after="160" w:line="240" w:lineRule="exact"/>
    </w:pPr>
    <w:rPr>
      <w:rFonts w:ascii="Verdana" w:hAnsi="Verdana" w:cs="Verdana"/>
      <w:sz w:val="20"/>
      <w:szCs w:val="20"/>
      <w:lang w:eastAsia="en-US"/>
    </w:rPr>
  </w:style>
  <w:style w:type="paragraph" w:customStyle="1" w:styleId="171">
    <w:name w:val="List Paragraph1"/>
    <w:basedOn w:val="1"/>
    <w:qFormat/>
    <w:uiPriority w:val="0"/>
    <w:pPr>
      <w:widowControl w:val="0"/>
      <w:ind w:firstLine="420" w:firstLineChars="200"/>
      <w:jc w:val="both"/>
    </w:pPr>
    <w:rPr>
      <w:kern w:val="2"/>
    </w:rPr>
  </w:style>
  <w:style w:type="paragraph" w:customStyle="1" w:styleId="172">
    <w:name w:val="样式 样式 样式 小四 行距: 1.5 倍行距 + 加粗 + 首行缩进:  2 字符"/>
    <w:basedOn w:val="1"/>
    <w:qFormat/>
    <w:uiPriority w:val="0"/>
    <w:pPr>
      <w:widowControl w:val="0"/>
      <w:ind w:firstLine="482"/>
      <w:jc w:val="both"/>
    </w:pPr>
    <w:rPr>
      <w:b/>
      <w:bCs/>
      <w:kern w:val="2"/>
      <w:sz w:val="24"/>
      <w:szCs w:val="24"/>
    </w:rPr>
  </w:style>
  <w:style w:type="paragraph" w:customStyle="1" w:styleId="173">
    <w:name w:val="正文 A A"/>
    <w:qFormat/>
    <w:uiPriority w:val="0"/>
    <w:pPr>
      <w:spacing w:line="360" w:lineRule="auto"/>
      <w:ind w:firstLine="480"/>
      <w:jc w:val="both"/>
    </w:pPr>
    <w:rPr>
      <w:rFonts w:ascii="Times New Roman" w:hAnsi="Times New Roman" w:eastAsia="宋体" w:cs="Times New Roman"/>
      <w:color w:val="000000"/>
      <w:sz w:val="24"/>
      <w:szCs w:val="24"/>
      <w:lang w:val="en-US" w:eastAsia="zh-CN" w:bidi="ar-SA"/>
    </w:rPr>
  </w:style>
  <w:style w:type="paragraph" w:customStyle="1" w:styleId="174">
    <w:name w:val="表格"/>
    <w:basedOn w:val="1"/>
    <w:qFormat/>
    <w:uiPriority w:val="0"/>
    <w:pPr>
      <w:widowControl w:val="0"/>
      <w:jc w:val="both"/>
    </w:pPr>
    <w:rPr>
      <w:kern w:val="2"/>
    </w:rPr>
  </w:style>
  <w:style w:type="paragraph" w:customStyle="1" w:styleId="175">
    <w:name w:val="正文图标题"/>
    <w:next w:val="144"/>
    <w:qFormat/>
    <w:uiPriority w:val="0"/>
    <w:pPr>
      <w:jc w:val="center"/>
    </w:pPr>
    <w:rPr>
      <w:rFonts w:ascii="黑体" w:hAnsi="Times New Roman" w:eastAsia="黑体" w:cs="黑体"/>
      <w:sz w:val="21"/>
      <w:szCs w:val="21"/>
      <w:lang w:val="en-US" w:eastAsia="zh-CN" w:bidi="ar-SA"/>
    </w:rPr>
  </w:style>
  <w:style w:type="paragraph" w:customStyle="1" w:styleId="176">
    <w:name w:val="默认段落字体 Para Char Char Char Char Char Char Char"/>
    <w:basedOn w:val="1"/>
    <w:qFormat/>
    <w:uiPriority w:val="0"/>
    <w:pPr>
      <w:widowControl w:val="0"/>
      <w:jc w:val="both"/>
    </w:pPr>
    <w:rPr>
      <w:rFonts w:eastAsia="仿宋_GB2312"/>
      <w:kern w:val="2"/>
      <w:sz w:val="28"/>
      <w:szCs w:val="28"/>
    </w:rPr>
  </w:style>
  <w:style w:type="paragraph" w:customStyle="1" w:styleId="177">
    <w:name w:val="Char1 Char Char Char Char Char Char1"/>
    <w:basedOn w:val="1"/>
    <w:qFormat/>
    <w:uiPriority w:val="0"/>
    <w:pPr>
      <w:spacing w:after="160" w:line="240" w:lineRule="exact"/>
    </w:pPr>
    <w:rPr>
      <w:rFonts w:ascii="Verdana" w:hAnsi="Verdana" w:cs="Verdana"/>
      <w:sz w:val="20"/>
      <w:szCs w:val="20"/>
      <w:lang w:eastAsia="en-US"/>
    </w:rPr>
  </w:style>
  <w:style w:type="paragraph" w:customStyle="1" w:styleId="178">
    <w:name w:val="列出段落2"/>
    <w:basedOn w:val="1"/>
    <w:qFormat/>
    <w:uiPriority w:val="0"/>
    <w:pPr>
      <w:ind w:firstLine="420" w:firstLineChars="200"/>
    </w:pPr>
  </w:style>
  <w:style w:type="paragraph" w:customStyle="1" w:styleId="179">
    <w:name w:val="Message Header First"/>
    <w:basedOn w:val="100"/>
    <w:next w:val="100"/>
    <w:qFormat/>
    <w:uiPriority w:val="0"/>
  </w:style>
  <w:style w:type="paragraph" w:customStyle="1" w:styleId="180">
    <w:name w:val="百姓X"/>
    <w:basedOn w:val="1"/>
    <w:qFormat/>
    <w:uiPriority w:val="0"/>
    <w:pPr>
      <w:spacing w:before="120" w:after="120" w:line="360" w:lineRule="auto"/>
      <w:ind w:firstLine="539"/>
    </w:pPr>
    <w:rPr>
      <w:rFonts w:ascii="Calibri" w:hAnsi="Calibri"/>
      <w:sz w:val="24"/>
    </w:rPr>
  </w:style>
  <w:style w:type="paragraph" w:customStyle="1" w:styleId="181">
    <w:name w:val="黑体标题"/>
    <w:basedOn w:val="1"/>
    <w:qFormat/>
    <w:uiPriority w:val="0"/>
    <w:pPr>
      <w:widowControl w:val="0"/>
      <w:ind w:firstLine="200" w:firstLineChars="200"/>
      <w:jc w:val="both"/>
    </w:pPr>
    <w:rPr>
      <w:rFonts w:eastAsia="黑体"/>
      <w:b/>
      <w:bCs/>
      <w:kern w:val="2"/>
    </w:rPr>
  </w:style>
  <w:style w:type="paragraph" w:customStyle="1" w:styleId="182">
    <w:name w:val="內文 + SimSun"/>
    <w:basedOn w:val="1"/>
    <w:qFormat/>
    <w:uiPriority w:val="0"/>
    <w:pPr>
      <w:numPr>
        <w:ilvl w:val="0"/>
        <w:numId w:val="1"/>
      </w:numPr>
      <w:spacing w:line="400" w:lineRule="exact"/>
    </w:pPr>
    <w:rPr>
      <w:rFonts w:ascii="宋体" w:hAnsi="宋体" w:cs="黑体"/>
      <w:b/>
      <w:sz w:val="22"/>
      <w:szCs w:val="22"/>
      <w:lang w:eastAsia="zh-TW"/>
    </w:rPr>
  </w:style>
  <w:style w:type="paragraph" w:customStyle="1" w:styleId="183">
    <w:name w:val="Char1 Char Char Char Char Char Char11"/>
    <w:basedOn w:val="1"/>
    <w:qFormat/>
    <w:uiPriority w:val="0"/>
    <w:pPr>
      <w:spacing w:after="160" w:line="240" w:lineRule="exact"/>
    </w:pPr>
    <w:rPr>
      <w:rFonts w:ascii="Verdana" w:hAnsi="Verdana" w:cs="Verdana"/>
      <w:sz w:val="20"/>
      <w:szCs w:val="20"/>
      <w:lang w:eastAsia="en-US"/>
    </w:rPr>
  </w:style>
  <w:style w:type="paragraph" w:customStyle="1" w:styleId="184">
    <w:name w:val="表格注释"/>
    <w:basedOn w:val="1"/>
    <w:qFormat/>
    <w:uiPriority w:val="0"/>
    <w:pPr>
      <w:widowControl w:val="0"/>
      <w:jc w:val="both"/>
    </w:pPr>
    <w:rPr>
      <w:kern w:val="2"/>
    </w:rPr>
  </w:style>
  <w:style w:type="paragraph" w:customStyle="1" w:styleId="185">
    <w:name w:val="前面加点"/>
    <w:basedOn w:val="1"/>
    <w:qFormat/>
    <w:uiPriority w:val="0"/>
    <w:pPr>
      <w:widowControl w:val="0"/>
      <w:tabs>
        <w:tab w:val="left" w:pos="720"/>
      </w:tabs>
      <w:ind w:left="760" w:firstLine="200"/>
      <w:jc w:val="both"/>
    </w:pPr>
    <w:rPr>
      <w:kern w:val="2"/>
    </w:rPr>
  </w:style>
  <w:style w:type="paragraph" w:customStyle="1" w:styleId="186">
    <w:name w:val="样式 (西文) 宋体 小四 首行缩进:  0.95 厘米 段前: 5 磅 段后: 5 磅 行距: 1.5 倍行距"/>
    <w:basedOn w:val="1"/>
    <w:qFormat/>
    <w:uiPriority w:val="0"/>
    <w:pPr>
      <w:spacing w:before="100" w:after="100" w:line="360" w:lineRule="auto"/>
      <w:ind w:firstLine="540"/>
    </w:pPr>
    <w:rPr>
      <w:rFonts w:ascii="宋体" w:hAnsi="宋体" w:cs="宋体"/>
      <w:sz w:val="24"/>
      <w:szCs w:val="24"/>
    </w:rPr>
  </w:style>
  <w:style w:type="character" w:customStyle="1" w:styleId="187">
    <w:name w:val="hui"/>
    <w:qFormat/>
    <w:uiPriority w:val="0"/>
    <w:rPr>
      <w:color w:val="999999"/>
    </w:rPr>
  </w:style>
  <w:style w:type="character" w:customStyle="1" w:styleId="188">
    <w:name w:val="hui1"/>
    <w:qFormat/>
    <w:uiPriority w:val="0"/>
    <w:rPr>
      <w:color w:val="999999"/>
    </w:rPr>
  </w:style>
  <w:style w:type="character" w:customStyle="1" w:styleId="189">
    <w:name w:val="zt-lm1-r-t-xz"/>
    <w:qFormat/>
    <w:uiPriority w:val="0"/>
    <w:rPr>
      <w:shd w:val="clear" w:color="auto" w:fill="0359A6"/>
    </w:rPr>
  </w:style>
  <w:style w:type="character" w:customStyle="1" w:styleId="190">
    <w:name w:val="zt-lm1-r-t-xz1"/>
    <w:qFormat/>
    <w:uiPriority w:val="0"/>
  </w:style>
  <w:style w:type="character" w:customStyle="1" w:styleId="191">
    <w:name w:val="zt-lm1-r-t-xz2"/>
    <w:qFormat/>
    <w:uiPriority w:val="0"/>
  </w:style>
  <w:style w:type="character" w:customStyle="1" w:styleId="192">
    <w:name w:val="zx-xuan1"/>
    <w:qFormat/>
    <w:uiPriority w:val="0"/>
    <w:rPr>
      <w:rFonts w:ascii="Î¢ï¿½ï¿½ï¿½Åºï¿½" w:hAnsi="Î¢ï¿½ï¿½ï¿½Åºï¿½" w:eastAsia="Î¢ï¿½ï¿½ï¿½Åºï¿½" w:cs="Î¢ï¿½ï¿½ï¿½Åºï¿½"/>
      <w:color w:val="FFFFFF"/>
      <w:sz w:val="27"/>
      <w:szCs w:val="27"/>
      <w:shd w:val="clear" w:color="auto" w:fill="3F6ECF"/>
    </w:rPr>
  </w:style>
  <w:style w:type="character" w:customStyle="1" w:styleId="193">
    <w:name w:val="long_text"/>
    <w:qFormat/>
    <w:uiPriority w:val="0"/>
  </w:style>
  <w:style w:type="character" w:customStyle="1" w:styleId="194">
    <w:name w:val="font31"/>
    <w:qFormat/>
    <w:uiPriority w:val="0"/>
    <w:rPr>
      <w:rFonts w:hint="eastAsia" w:ascii="宋体" w:hAnsi="宋体" w:eastAsia="宋体" w:cs="宋体"/>
      <w:color w:val="000000"/>
      <w:sz w:val="24"/>
      <w:szCs w:val="24"/>
      <w:u w:val="none"/>
    </w:rPr>
  </w:style>
  <w:style w:type="paragraph" w:customStyle="1" w:styleId="195">
    <w:name w:val="列出段落3"/>
    <w:basedOn w:val="1"/>
    <w:qFormat/>
    <w:uiPriority w:val="34"/>
    <w:pPr>
      <w:spacing w:line="360" w:lineRule="auto"/>
      <w:ind w:firstLine="420" w:firstLineChars="200"/>
    </w:pPr>
    <w:rPr>
      <w:rFonts w:ascii="Calibri" w:hAnsi="Calibri"/>
    </w:rPr>
  </w:style>
  <w:style w:type="character" w:customStyle="1" w:styleId="196">
    <w:name w:val="标题 1 Char"/>
    <w:qFormat/>
    <w:uiPriority w:val="0"/>
    <w:rPr>
      <w:rFonts w:eastAsia="宋体"/>
      <w:b/>
      <w:bCs/>
      <w:kern w:val="44"/>
      <w:sz w:val="28"/>
      <w:szCs w:val="44"/>
    </w:rPr>
  </w:style>
  <w:style w:type="character" w:customStyle="1" w:styleId="197">
    <w:name w:val="font11"/>
    <w:basedOn w:val="37"/>
    <w:qFormat/>
    <w:uiPriority w:val="0"/>
    <w:rPr>
      <w:rFonts w:hint="eastAsia" w:ascii="宋体" w:hAnsi="宋体" w:eastAsia="宋体" w:cs="宋体"/>
      <w:b/>
      <w:bCs/>
      <w:color w:val="000000"/>
      <w:sz w:val="24"/>
      <w:szCs w:val="24"/>
      <w:u w:val="none"/>
    </w:rPr>
  </w:style>
  <w:style w:type="character" w:customStyle="1" w:styleId="198">
    <w:name w:val="NormalCharacter"/>
    <w:semiHidden/>
    <w:qFormat/>
    <w:uiPriority w:val="99"/>
  </w:style>
  <w:style w:type="character" w:customStyle="1" w:styleId="199">
    <w:name w:val="UserStyle_2"/>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90</Pages>
  <Words>37132</Words>
  <Characters>39428</Characters>
  <Lines>322</Lines>
  <Paragraphs>90</Paragraphs>
  <TotalTime>44</TotalTime>
  <ScaleCrop>false</ScaleCrop>
  <LinksUpToDate>false</LinksUpToDate>
  <CharactersWithSpaces>40563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2024-08-10T06:13:00Z</dcterms:created>
  <dc:creator>微软用户</dc:creator>
  <cp:lastModifiedBy>苏里南</cp:lastModifiedBy>
  <cp:lastPrinted>2020-09-01T16:43:00Z</cp:lastPrinted>
  <dcterms:modified xsi:type="dcterms:W3CDTF">2024-09-03T07:12:00Z</dcterms:modified>
  <dc:title>海南省人民医院门诊楼及内科楼物业管理项目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E27D7A26BED544B7A3FE9BD3CE8ACA54_13</vt:lpwstr>
  </property>
  <property fmtid="{D5CDD505-2E9C-101B-9397-08002B2CF9AE}" pid="3" name="KSOProductBuildVer">
    <vt:lpwstr>2052-12.1.0.17827</vt:lpwstr>
  </property>
</Properties>
</file>