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2C7F2">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第三章 采购需求</w:t>
      </w:r>
    </w:p>
    <w:p w14:paraId="128D7620">
      <w:pPr>
        <w:keepNext w:val="0"/>
        <w:keepLines w:val="0"/>
        <w:widowControl/>
        <w:suppressLineNumbers w:val="0"/>
        <w:jc w:val="left"/>
        <w:rPr>
          <w:rFonts w:hint="eastAsia" w:ascii="仿宋" w:hAnsi="仿宋" w:eastAsia="仿宋" w:cs="仿宋"/>
        </w:rPr>
      </w:pPr>
      <w:r>
        <w:rPr>
          <w:rFonts w:hint="eastAsia" w:ascii="仿宋" w:hAnsi="仿宋" w:eastAsia="仿宋" w:cs="仿宋"/>
          <w:b/>
          <w:bCs/>
          <w:color w:val="000000"/>
          <w:kern w:val="0"/>
          <w:sz w:val="28"/>
          <w:szCs w:val="28"/>
          <w:lang w:val="en-US" w:eastAsia="zh-CN" w:bidi="ar"/>
        </w:rPr>
        <w:t>一、项目概况</w:t>
      </w:r>
      <w:r>
        <w:rPr>
          <w:rFonts w:hint="eastAsia" w:ascii="仿宋" w:hAnsi="仿宋" w:eastAsia="仿宋" w:cs="仿宋"/>
          <w:b/>
          <w:bCs/>
          <w:color w:val="000000"/>
          <w:kern w:val="0"/>
          <w:sz w:val="20"/>
          <w:szCs w:val="20"/>
          <w:lang w:val="en-US" w:eastAsia="zh-CN" w:bidi="ar"/>
        </w:rPr>
        <w:t xml:space="preserve"> </w:t>
      </w:r>
    </w:p>
    <w:p w14:paraId="0D6E6473">
      <w:pPr>
        <w:keepNext w:val="0"/>
        <w:keepLines w:val="0"/>
        <w:widowControl/>
        <w:suppressLineNumbers w:val="0"/>
        <w:ind w:right="-733" w:rightChars="-349"/>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1、项目名称：海南省2024年铜鼓岭国家级自然保护区补助(第二批)  </w:t>
      </w:r>
    </w:p>
    <w:p w14:paraId="5E2B144B">
      <w:pPr>
        <w:keepNext w:val="0"/>
        <w:keepLines w:val="0"/>
        <w:widowControl/>
        <w:suppressLineNumbers w:val="0"/>
        <w:ind w:right="-733" w:rightChars="-349"/>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2、预算金额（最高限价）：本项目采购预算总额为1433.27万元。</w:t>
      </w:r>
    </w:p>
    <w:p w14:paraId="4A53ECBB">
      <w:pPr>
        <w:keepNext w:val="0"/>
        <w:keepLines w:val="0"/>
        <w:widowControl/>
        <w:suppressLineNumbers w:val="0"/>
        <w:ind w:right="-733" w:rightChars="-349"/>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其中A包：珊瑚礁生态系统修复; 最高限价：3170000.00元</w:t>
      </w:r>
    </w:p>
    <w:p w14:paraId="5879C534">
      <w:pPr>
        <w:keepNext w:val="0"/>
        <w:keepLines w:val="0"/>
        <w:widowControl/>
        <w:suppressLineNumbers w:val="0"/>
        <w:ind w:right="-733" w:rightChars="-349"/>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    B包：修复施工设计方案编制; 最高限价：330000.00元</w:t>
      </w:r>
    </w:p>
    <w:p w14:paraId="582D6958">
      <w:pPr>
        <w:keepNext w:val="0"/>
        <w:keepLines w:val="0"/>
        <w:widowControl/>
        <w:suppressLineNumbers w:val="0"/>
        <w:ind w:right="-733" w:rightChars="-349"/>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    C包：第三方监督、监测、效果后评估; 最高限价：600000.00元 </w:t>
      </w:r>
    </w:p>
    <w:p w14:paraId="4B6FE519">
      <w:pPr>
        <w:keepNext w:val="0"/>
        <w:keepLines w:val="0"/>
        <w:widowControl/>
        <w:suppressLineNumbers w:val="0"/>
        <w:ind w:right="-733" w:rightChars="-349"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D包：国家重点保护兽类现状调查; 最高限价：382700.00元</w:t>
      </w:r>
    </w:p>
    <w:p w14:paraId="288F3F0D">
      <w:pPr>
        <w:keepNext w:val="0"/>
        <w:keepLines w:val="0"/>
        <w:widowControl/>
        <w:suppressLineNumbers w:val="0"/>
        <w:ind w:right="-733" w:rightChars="-349"/>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    E包：陆生植物资源调查; 最高限价：1320000.00元</w:t>
      </w:r>
    </w:p>
    <w:p w14:paraId="7F7A3A0D">
      <w:pPr>
        <w:keepNext w:val="0"/>
        <w:keepLines w:val="0"/>
        <w:widowControl/>
        <w:suppressLineNumbers w:val="0"/>
        <w:ind w:right="-733" w:rightChars="-349" w:firstLine="56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F包：碳汇本底资源调查与监测; 最高限价：1650000.00元    </w:t>
      </w:r>
    </w:p>
    <w:p w14:paraId="5D0FD489">
      <w:pPr>
        <w:keepNext w:val="0"/>
        <w:keepLines w:val="0"/>
        <w:widowControl/>
        <w:suppressLineNumbers w:val="0"/>
        <w:ind w:right="-733" w:rightChars="-349" w:firstLine="56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G包：海洋生境及海洋生物资源调查; 最高限价：4020000.00元</w:t>
      </w:r>
    </w:p>
    <w:p w14:paraId="51A10CDF">
      <w:pPr>
        <w:keepNext w:val="0"/>
        <w:keepLines w:val="0"/>
        <w:widowControl/>
        <w:suppressLineNumbers w:val="0"/>
        <w:ind w:right="-733" w:rightChars="-349"/>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    H包：海洋生态系统监测; 最高限价：2860000.00元</w:t>
      </w:r>
    </w:p>
    <w:p w14:paraId="7643A90F">
      <w:pPr>
        <w:keepNext w:val="0"/>
        <w:keepLines w:val="0"/>
        <w:widowControl/>
        <w:suppressLineNumbers w:val="0"/>
        <w:ind w:right="-733" w:rightChars="-349"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各包投标价不能超过采购预算，超过视为无效投标。</w:t>
      </w:r>
    </w:p>
    <w:p w14:paraId="04FA87F5">
      <w:pPr>
        <w:keepNext w:val="0"/>
        <w:keepLines w:val="0"/>
        <w:widowControl/>
        <w:suppressLineNumbers w:val="0"/>
        <w:ind w:right="-733" w:rightChars="-349"/>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3、招标方式：公开招标</w:t>
      </w:r>
    </w:p>
    <w:p w14:paraId="7CA50F78">
      <w:pPr>
        <w:keepNext w:val="0"/>
        <w:keepLines w:val="0"/>
        <w:widowControl/>
        <w:suppressLineNumbers w:val="0"/>
        <w:ind w:right="-733" w:rightChars="-349"/>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4、工作内容：</w:t>
      </w:r>
    </w:p>
    <w:p w14:paraId="27F932CE">
      <w:pPr>
        <w:keepNext w:val="0"/>
        <w:keepLines w:val="0"/>
        <w:widowControl/>
        <w:suppressLineNumbers w:val="0"/>
        <w:ind w:right="-733" w:rightChars="-349"/>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A包：珊瑚礁生态系统修复主要实施内容：</w:t>
      </w:r>
    </w:p>
    <w:p w14:paraId="1306C91D">
      <w:pPr>
        <w:keepNext w:val="0"/>
        <w:keepLines w:val="0"/>
        <w:widowControl/>
        <w:suppressLineNumbers w:val="0"/>
        <w:ind w:right="-733" w:rightChars="-349"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①野外珊瑚及麒麟菜苗床区。用于培育救助的珊瑚断肢和脱落的麒麟菜，培养至一定规格且状态稳定后移植至修复区。计划投放50个苗床；②珊瑚和麒麟菜修复，人工移植珊瑚种苗3000株（面积不低于0.8公顷）、琼枝和耳突卡帕藻麒麟菜共2000斤；③管理和维护，对驯养区和修复区进行管理和维护，每季度进行1次，恶劣天气过后进行1次，计划对驯养区和修复区进行至少4次维护。具体修复施工方案需严格按照B包中标单位所编制修复施工设计方案进行。</w:t>
      </w:r>
    </w:p>
    <w:tbl>
      <w:tblPr>
        <w:tblStyle w:val="3"/>
        <w:tblW w:w="8332" w:type="dxa"/>
        <w:jc w:val="center"/>
        <w:tblLayout w:type="fixed"/>
        <w:tblCellMar>
          <w:top w:w="0" w:type="dxa"/>
          <w:left w:w="108" w:type="dxa"/>
          <w:bottom w:w="0" w:type="dxa"/>
          <w:right w:w="108" w:type="dxa"/>
        </w:tblCellMar>
      </w:tblPr>
      <w:tblGrid>
        <w:gridCol w:w="807"/>
        <w:gridCol w:w="1616"/>
        <w:gridCol w:w="1038"/>
        <w:gridCol w:w="833"/>
        <w:gridCol w:w="4038"/>
      </w:tblGrid>
      <w:tr w14:paraId="47421EF2">
        <w:tblPrEx>
          <w:tblCellMar>
            <w:top w:w="0" w:type="dxa"/>
            <w:left w:w="108" w:type="dxa"/>
            <w:bottom w:w="0" w:type="dxa"/>
            <w:right w:w="108" w:type="dxa"/>
          </w:tblCellMar>
        </w:tblPrEx>
        <w:trPr>
          <w:trHeight w:val="937" w:hRule="atLeast"/>
          <w:tblHeader/>
          <w:jc w:val="center"/>
        </w:trPr>
        <w:tc>
          <w:tcPr>
            <w:tcW w:w="8332" w:type="dxa"/>
            <w:gridSpan w:val="5"/>
            <w:tcBorders>
              <w:top w:val="single" w:color="000000" w:sz="4" w:space="0"/>
              <w:left w:val="single" w:color="000000" w:sz="4" w:space="0"/>
              <w:bottom w:val="single" w:color="000000" w:sz="4" w:space="0"/>
              <w:right w:val="single" w:color="000000" w:sz="4" w:space="0"/>
            </w:tcBorders>
            <w:noWrap/>
            <w:vAlign w:val="center"/>
          </w:tcPr>
          <w:p w14:paraId="2CD4FDFE">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8"/>
                <w:szCs w:val="28"/>
                <w:lang w:val="en-US" w:eastAsia="zh-CN" w:bidi="ar"/>
              </w:rPr>
              <w:t>A包：珊瑚礁生态系统修复主要实施内容</w:t>
            </w:r>
          </w:p>
        </w:tc>
      </w:tr>
      <w:tr w14:paraId="20C2F4D7">
        <w:tblPrEx>
          <w:tblCellMar>
            <w:top w:w="0" w:type="dxa"/>
            <w:left w:w="108" w:type="dxa"/>
            <w:bottom w:w="0" w:type="dxa"/>
            <w:right w:w="108" w:type="dxa"/>
          </w:tblCellMar>
        </w:tblPrEx>
        <w:trPr>
          <w:trHeight w:val="937" w:hRule="atLeast"/>
          <w:tblHeader/>
          <w:jc w:val="center"/>
        </w:trPr>
        <w:tc>
          <w:tcPr>
            <w:tcW w:w="807" w:type="dxa"/>
            <w:tcBorders>
              <w:top w:val="single" w:color="000000" w:sz="4" w:space="0"/>
              <w:left w:val="single" w:color="000000" w:sz="4" w:space="0"/>
              <w:bottom w:val="single" w:color="000000" w:sz="4" w:space="0"/>
              <w:right w:val="single" w:color="000000" w:sz="4" w:space="0"/>
            </w:tcBorders>
            <w:noWrap/>
            <w:vAlign w:val="center"/>
          </w:tcPr>
          <w:p w14:paraId="03E2D16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序号</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180F663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4862E21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单位</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2B8BE2D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数量</w:t>
            </w:r>
          </w:p>
        </w:tc>
        <w:tc>
          <w:tcPr>
            <w:tcW w:w="4038" w:type="dxa"/>
            <w:tcBorders>
              <w:top w:val="single" w:color="000000" w:sz="4" w:space="0"/>
              <w:left w:val="single" w:color="000000" w:sz="4" w:space="0"/>
              <w:bottom w:val="single" w:color="000000" w:sz="4" w:space="0"/>
              <w:right w:val="single" w:color="000000" w:sz="4" w:space="0"/>
            </w:tcBorders>
            <w:noWrap/>
            <w:vAlign w:val="center"/>
          </w:tcPr>
          <w:p w14:paraId="3E6AD59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备注</w:t>
            </w:r>
          </w:p>
        </w:tc>
      </w:tr>
      <w:tr w14:paraId="417BC4D6">
        <w:tblPrEx>
          <w:tblCellMar>
            <w:top w:w="0" w:type="dxa"/>
            <w:left w:w="108" w:type="dxa"/>
            <w:bottom w:w="0" w:type="dxa"/>
            <w:right w:w="108" w:type="dxa"/>
          </w:tblCellMar>
        </w:tblPrEx>
        <w:trPr>
          <w:trHeight w:val="1245" w:hRule="atLeast"/>
          <w:jc w:val="center"/>
        </w:trPr>
        <w:tc>
          <w:tcPr>
            <w:tcW w:w="807" w:type="dxa"/>
            <w:tcBorders>
              <w:top w:val="single" w:color="000000" w:sz="4" w:space="0"/>
              <w:left w:val="single" w:color="000000" w:sz="4" w:space="0"/>
              <w:bottom w:val="single" w:color="000000" w:sz="4" w:space="0"/>
              <w:right w:val="single" w:color="000000" w:sz="4" w:space="0"/>
            </w:tcBorders>
            <w:noWrap/>
            <w:vAlign w:val="center"/>
          </w:tcPr>
          <w:p w14:paraId="26AA671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386BADB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珊瑚和麒麟菜苗床制作及安装</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065FC4C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个</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7359B01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50</w:t>
            </w:r>
          </w:p>
        </w:tc>
        <w:tc>
          <w:tcPr>
            <w:tcW w:w="4038" w:type="dxa"/>
            <w:tcBorders>
              <w:top w:val="single" w:color="000000" w:sz="4" w:space="0"/>
              <w:left w:val="single" w:color="000000" w:sz="4" w:space="0"/>
              <w:bottom w:val="single" w:color="000000" w:sz="4" w:space="0"/>
              <w:right w:val="single" w:color="000000" w:sz="4" w:space="0"/>
            </w:tcBorders>
            <w:noWrap/>
            <w:vAlign w:val="center"/>
          </w:tcPr>
          <w:p w14:paraId="1200FE6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制作苗床50个</w:t>
            </w:r>
          </w:p>
        </w:tc>
      </w:tr>
      <w:tr w14:paraId="6610B416">
        <w:tblPrEx>
          <w:tblCellMar>
            <w:top w:w="0" w:type="dxa"/>
            <w:left w:w="108" w:type="dxa"/>
            <w:bottom w:w="0" w:type="dxa"/>
            <w:right w:w="108" w:type="dxa"/>
          </w:tblCellMar>
        </w:tblPrEx>
        <w:trPr>
          <w:trHeight w:val="937" w:hRule="atLeast"/>
          <w:jc w:val="center"/>
        </w:trPr>
        <w:tc>
          <w:tcPr>
            <w:tcW w:w="807" w:type="dxa"/>
            <w:tcBorders>
              <w:top w:val="single" w:color="000000" w:sz="4" w:space="0"/>
              <w:left w:val="single" w:color="000000" w:sz="4" w:space="0"/>
              <w:bottom w:val="single" w:color="000000" w:sz="4" w:space="0"/>
              <w:right w:val="single" w:color="000000" w:sz="4" w:space="0"/>
            </w:tcBorders>
            <w:noWrap/>
            <w:vAlign w:val="center"/>
          </w:tcPr>
          <w:p w14:paraId="6AF3490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1657BD1E">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珊瑚人工礁制作及投放</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015085CF">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个</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1684AF3E">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100</w:t>
            </w:r>
          </w:p>
        </w:tc>
        <w:tc>
          <w:tcPr>
            <w:tcW w:w="4038" w:type="dxa"/>
            <w:tcBorders>
              <w:top w:val="single" w:color="000000" w:sz="4" w:space="0"/>
              <w:left w:val="single" w:color="000000" w:sz="4" w:space="0"/>
              <w:bottom w:val="single" w:color="000000" w:sz="4" w:space="0"/>
              <w:right w:val="single" w:color="000000" w:sz="4" w:space="0"/>
            </w:tcBorders>
            <w:noWrap/>
            <w:vAlign w:val="center"/>
          </w:tcPr>
          <w:p w14:paraId="5B1487A2">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制作珊瑚人工礁100个</w:t>
            </w:r>
          </w:p>
        </w:tc>
      </w:tr>
      <w:tr w14:paraId="579FED36">
        <w:tblPrEx>
          <w:tblCellMar>
            <w:top w:w="0" w:type="dxa"/>
            <w:left w:w="108" w:type="dxa"/>
            <w:bottom w:w="0" w:type="dxa"/>
            <w:right w:w="108" w:type="dxa"/>
          </w:tblCellMar>
        </w:tblPrEx>
        <w:trPr>
          <w:trHeight w:val="937" w:hRule="atLeast"/>
          <w:jc w:val="center"/>
        </w:trPr>
        <w:tc>
          <w:tcPr>
            <w:tcW w:w="807" w:type="dxa"/>
            <w:tcBorders>
              <w:top w:val="single" w:color="000000" w:sz="4" w:space="0"/>
              <w:left w:val="single" w:color="000000" w:sz="4" w:space="0"/>
              <w:bottom w:val="single" w:color="000000" w:sz="4" w:space="0"/>
              <w:right w:val="single" w:color="000000" w:sz="4" w:space="0"/>
            </w:tcBorders>
            <w:noWrap/>
            <w:vAlign w:val="center"/>
          </w:tcPr>
          <w:p w14:paraId="71EC860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3</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0AE2E18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麒麟菜人工礁制作及投放</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009854F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个</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337EC5C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2000</w:t>
            </w:r>
          </w:p>
        </w:tc>
        <w:tc>
          <w:tcPr>
            <w:tcW w:w="4038" w:type="dxa"/>
            <w:tcBorders>
              <w:top w:val="single" w:color="000000" w:sz="4" w:space="0"/>
              <w:left w:val="single" w:color="000000" w:sz="4" w:space="0"/>
              <w:bottom w:val="single" w:color="000000" w:sz="4" w:space="0"/>
              <w:right w:val="single" w:color="000000" w:sz="4" w:space="0"/>
            </w:tcBorders>
            <w:noWrap/>
            <w:vAlign w:val="center"/>
          </w:tcPr>
          <w:p w14:paraId="5ADCCB6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制作麒麟菜人工礁2000个</w:t>
            </w:r>
          </w:p>
        </w:tc>
      </w:tr>
      <w:tr w14:paraId="761B5BE6">
        <w:tblPrEx>
          <w:tblCellMar>
            <w:top w:w="0" w:type="dxa"/>
            <w:left w:w="108" w:type="dxa"/>
            <w:bottom w:w="0" w:type="dxa"/>
            <w:right w:w="108" w:type="dxa"/>
          </w:tblCellMar>
        </w:tblPrEx>
        <w:trPr>
          <w:trHeight w:val="1861" w:hRule="atLeast"/>
          <w:jc w:val="center"/>
        </w:trPr>
        <w:tc>
          <w:tcPr>
            <w:tcW w:w="807" w:type="dxa"/>
            <w:tcBorders>
              <w:top w:val="single" w:color="000000" w:sz="4" w:space="0"/>
              <w:left w:val="single" w:color="000000" w:sz="4" w:space="0"/>
              <w:bottom w:val="single" w:color="000000" w:sz="4" w:space="0"/>
              <w:right w:val="single" w:color="000000" w:sz="4" w:space="0"/>
            </w:tcBorders>
            <w:noWrap/>
            <w:vAlign w:val="center"/>
          </w:tcPr>
          <w:p w14:paraId="595DC0E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4</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6388B79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珊瑚移植修复（原位+人工礁）</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269979F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5F88D04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4038" w:type="dxa"/>
            <w:tcBorders>
              <w:top w:val="single" w:color="000000" w:sz="4" w:space="0"/>
              <w:left w:val="single" w:color="000000" w:sz="4" w:space="0"/>
              <w:bottom w:val="single" w:color="000000" w:sz="4" w:space="0"/>
              <w:right w:val="single" w:color="000000" w:sz="4" w:space="0"/>
            </w:tcBorders>
            <w:noWrap/>
            <w:vAlign w:val="center"/>
          </w:tcPr>
          <w:p w14:paraId="083135E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潜水人工及设备费</w:t>
            </w:r>
          </w:p>
        </w:tc>
      </w:tr>
      <w:tr w14:paraId="3CCE8441">
        <w:tblPrEx>
          <w:tblCellMar>
            <w:top w:w="0" w:type="dxa"/>
            <w:left w:w="108" w:type="dxa"/>
            <w:bottom w:w="0" w:type="dxa"/>
            <w:right w:w="108" w:type="dxa"/>
          </w:tblCellMar>
        </w:tblPrEx>
        <w:trPr>
          <w:trHeight w:val="1601" w:hRule="atLeast"/>
          <w:jc w:val="center"/>
        </w:trPr>
        <w:tc>
          <w:tcPr>
            <w:tcW w:w="807" w:type="dxa"/>
            <w:tcBorders>
              <w:top w:val="single" w:color="000000" w:sz="4" w:space="0"/>
              <w:left w:val="single" w:color="000000" w:sz="4" w:space="0"/>
              <w:bottom w:val="single" w:color="000000" w:sz="4" w:space="0"/>
              <w:right w:val="single" w:color="000000" w:sz="4" w:space="0"/>
            </w:tcBorders>
            <w:noWrap/>
            <w:vAlign w:val="center"/>
          </w:tcPr>
          <w:p w14:paraId="44CBAB5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5</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7D978E2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麒麟菜移植修复</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0C25BEE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7B66A0F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4038" w:type="dxa"/>
            <w:tcBorders>
              <w:top w:val="single" w:color="000000" w:sz="4" w:space="0"/>
              <w:left w:val="single" w:color="000000" w:sz="4" w:space="0"/>
              <w:bottom w:val="single" w:color="000000" w:sz="4" w:space="0"/>
              <w:right w:val="single" w:color="000000" w:sz="4" w:space="0"/>
            </w:tcBorders>
            <w:noWrap/>
            <w:vAlign w:val="center"/>
          </w:tcPr>
          <w:p w14:paraId="37F5501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潜水人工及设备费</w:t>
            </w:r>
          </w:p>
        </w:tc>
      </w:tr>
      <w:tr w14:paraId="7D8F77B4">
        <w:tblPrEx>
          <w:tblCellMar>
            <w:top w:w="0" w:type="dxa"/>
            <w:left w:w="108" w:type="dxa"/>
            <w:bottom w:w="0" w:type="dxa"/>
            <w:right w:w="108" w:type="dxa"/>
          </w:tblCellMar>
        </w:tblPrEx>
        <w:trPr>
          <w:trHeight w:val="1844" w:hRule="atLeast"/>
          <w:jc w:val="center"/>
        </w:trPr>
        <w:tc>
          <w:tcPr>
            <w:tcW w:w="807" w:type="dxa"/>
            <w:tcBorders>
              <w:top w:val="single" w:color="000000" w:sz="4" w:space="0"/>
              <w:left w:val="single" w:color="000000" w:sz="4" w:space="0"/>
              <w:bottom w:val="single" w:color="000000" w:sz="4" w:space="0"/>
              <w:right w:val="single" w:color="000000" w:sz="4" w:space="0"/>
            </w:tcBorders>
            <w:noWrap/>
            <w:vAlign w:val="center"/>
          </w:tcPr>
          <w:p w14:paraId="3B3923D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6</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4141697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管理和维护</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3A317CD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次</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6C0519F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4</w:t>
            </w:r>
          </w:p>
        </w:tc>
        <w:tc>
          <w:tcPr>
            <w:tcW w:w="4038" w:type="dxa"/>
            <w:tcBorders>
              <w:top w:val="single" w:color="000000" w:sz="4" w:space="0"/>
              <w:left w:val="single" w:color="000000" w:sz="4" w:space="0"/>
              <w:bottom w:val="single" w:color="000000" w:sz="4" w:space="0"/>
              <w:right w:val="single" w:color="000000" w:sz="4" w:space="0"/>
            </w:tcBorders>
            <w:noWrap/>
            <w:vAlign w:val="center"/>
          </w:tcPr>
          <w:p w14:paraId="55437B7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在种苗投放后实施单位每季度对麒麟菜修复区进行维护1航次，主要工作为水下垃圾、大型海藻的清理和固定装置的维护</w:t>
            </w:r>
          </w:p>
        </w:tc>
      </w:tr>
      <w:tr w14:paraId="023EAEC2">
        <w:tblPrEx>
          <w:tblCellMar>
            <w:top w:w="0" w:type="dxa"/>
            <w:left w:w="108" w:type="dxa"/>
            <w:bottom w:w="0" w:type="dxa"/>
            <w:right w:w="108" w:type="dxa"/>
          </w:tblCellMar>
        </w:tblPrEx>
        <w:trPr>
          <w:trHeight w:val="628" w:hRule="atLeast"/>
          <w:jc w:val="center"/>
        </w:trPr>
        <w:tc>
          <w:tcPr>
            <w:tcW w:w="807" w:type="dxa"/>
            <w:tcBorders>
              <w:top w:val="single" w:color="000000" w:sz="4" w:space="0"/>
              <w:left w:val="single" w:color="000000" w:sz="4" w:space="0"/>
              <w:bottom w:val="single" w:color="000000" w:sz="4" w:space="0"/>
              <w:right w:val="single" w:color="000000" w:sz="4" w:space="0"/>
            </w:tcBorders>
            <w:noWrap/>
            <w:vAlign w:val="center"/>
          </w:tcPr>
          <w:p w14:paraId="73AEAC4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7</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6C287A0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浮标警示牌设置</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0086F24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个</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2F7E7A1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12</w:t>
            </w:r>
          </w:p>
        </w:tc>
        <w:tc>
          <w:tcPr>
            <w:tcW w:w="4038" w:type="dxa"/>
            <w:tcBorders>
              <w:top w:val="single" w:color="000000" w:sz="4" w:space="0"/>
              <w:left w:val="single" w:color="000000" w:sz="4" w:space="0"/>
              <w:bottom w:val="single" w:color="000000" w:sz="4" w:space="0"/>
              <w:right w:val="single" w:color="000000" w:sz="4" w:space="0"/>
            </w:tcBorders>
            <w:noWrap/>
            <w:vAlign w:val="center"/>
          </w:tcPr>
          <w:p w14:paraId="51E7371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设置12个小型浮标警示牌</w:t>
            </w:r>
          </w:p>
        </w:tc>
      </w:tr>
    </w:tbl>
    <w:p w14:paraId="3E9DD9DB">
      <w:pPr>
        <w:keepNext w:val="0"/>
        <w:keepLines w:val="0"/>
        <w:widowControl/>
        <w:suppressLineNumbers w:val="0"/>
        <w:ind w:right="-733" w:rightChars="-349" w:firstLine="560" w:firstLineChars="200"/>
        <w:jc w:val="left"/>
        <w:rPr>
          <w:rFonts w:hint="default" w:ascii="仿宋" w:hAnsi="仿宋" w:eastAsia="仿宋" w:cs="仿宋"/>
          <w:color w:val="000000"/>
          <w:kern w:val="0"/>
          <w:sz w:val="28"/>
          <w:szCs w:val="28"/>
          <w:lang w:val="en-US" w:eastAsia="zh-CN" w:bidi="ar"/>
        </w:rPr>
      </w:pPr>
    </w:p>
    <w:p w14:paraId="0DFF0A6E">
      <w:pPr>
        <w:pStyle w:val="2"/>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B包：修复施工设计方案编制主要实施内容：</w:t>
      </w:r>
    </w:p>
    <w:p w14:paraId="3C62B790">
      <w:pPr>
        <w:pStyle w:val="2"/>
        <w:ind w:firstLine="560" w:firstLineChars="2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由第三方编制珊瑚礁生态系统修复施工设计方案。</w:t>
      </w:r>
    </w:p>
    <w:tbl>
      <w:tblPr>
        <w:tblStyle w:val="3"/>
        <w:tblW w:w="8332" w:type="dxa"/>
        <w:jc w:val="center"/>
        <w:tblLayout w:type="fixed"/>
        <w:tblCellMar>
          <w:top w:w="0" w:type="dxa"/>
          <w:left w:w="108" w:type="dxa"/>
          <w:bottom w:w="0" w:type="dxa"/>
          <w:right w:w="108" w:type="dxa"/>
        </w:tblCellMar>
      </w:tblPr>
      <w:tblGrid>
        <w:gridCol w:w="807"/>
        <w:gridCol w:w="1616"/>
        <w:gridCol w:w="1038"/>
        <w:gridCol w:w="833"/>
        <w:gridCol w:w="4038"/>
      </w:tblGrid>
      <w:tr w14:paraId="018AF2BC">
        <w:tblPrEx>
          <w:tblCellMar>
            <w:top w:w="0" w:type="dxa"/>
            <w:left w:w="108" w:type="dxa"/>
            <w:bottom w:w="0" w:type="dxa"/>
            <w:right w:w="108" w:type="dxa"/>
          </w:tblCellMar>
        </w:tblPrEx>
        <w:trPr>
          <w:trHeight w:val="711" w:hRule="atLeast"/>
          <w:jc w:val="center"/>
        </w:trPr>
        <w:tc>
          <w:tcPr>
            <w:tcW w:w="8332" w:type="dxa"/>
            <w:gridSpan w:val="5"/>
            <w:tcBorders>
              <w:top w:val="single" w:color="000000" w:sz="4" w:space="0"/>
              <w:left w:val="single" w:color="000000" w:sz="4" w:space="0"/>
              <w:bottom w:val="single" w:color="000000" w:sz="4" w:space="0"/>
              <w:right w:val="single" w:color="000000" w:sz="4" w:space="0"/>
            </w:tcBorders>
            <w:shd w:val="clear"/>
            <w:noWrap/>
            <w:vAlign w:val="center"/>
          </w:tcPr>
          <w:p w14:paraId="1A885588">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8"/>
                <w:szCs w:val="28"/>
                <w:lang w:val="en-US" w:eastAsia="zh-CN" w:bidi="ar"/>
              </w:rPr>
              <w:t>B包：修复施工设计方案编制主要实施内容</w:t>
            </w:r>
          </w:p>
        </w:tc>
      </w:tr>
      <w:tr w14:paraId="3A06FBF1">
        <w:tblPrEx>
          <w:tblCellMar>
            <w:top w:w="0" w:type="dxa"/>
            <w:left w:w="108" w:type="dxa"/>
            <w:bottom w:w="0" w:type="dxa"/>
            <w:right w:w="108" w:type="dxa"/>
          </w:tblCellMar>
        </w:tblPrEx>
        <w:trPr>
          <w:trHeight w:val="711" w:hRule="atLeast"/>
          <w:jc w:val="center"/>
        </w:trPr>
        <w:tc>
          <w:tcPr>
            <w:tcW w:w="807" w:type="dxa"/>
            <w:tcBorders>
              <w:top w:val="single" w:color="000000" w:sz="4" w:space="0"/>
              <w:left w:val="single" w:color="000000" w:sz="4" w:space="0"/>
              <w:bottom w:val="single" w:color="000000" w:sz="4" w:space="0"/>
              <w:right w:val="single" w:color="000000" w:sz="4" w:space="0"/>
            </w:tcBorders>
            <w:shd w:val="clear"/>
            <w:noWrap/>
            <w:vAlign w:val="center"/>
          </w:tcPr>
          <w:p w14:paraId="0768588C">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rPr>
              <w:t>序号</w:t>
            </w:r>
          </w:p>
        </w:tc>
        <w:tc>
          <w:tcPr>
            <w:tcW w:w="1616" w:type="dxa"/>
            <w:tcBorders>
              <w:top w:val="single" w:color="000000" w:sz="4" w:space="0"/>
              <w:left w:val="single" w:color="000000" w:sz="4" w:space="0"/>
              <w:bottom w:val="single" w:color="000000" w:sz="4" w:space="0"/>
              <w:right w:val="single" w:color="000000" w:sz="4" w:space="0"/>
            </w:tcBorders>
            <w:shd w:val="clear"/>
            <w:noWrap/>
            <w:vAlign w:val="center"/>
          </w:tcPr>
          <w:p w14:paraId="12125606">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rPr>
              <w:t>项目</w:t>
            </w:r>
          </w:p>
        </w:tc>
        <w:tc>
          <w:tcPr>
            <w:tcW w:w="1038" w:type="dxa"/>
            <w:tcBorders>
              <w:top w:val="single" w:color="000000" w:sz="4" w:space="0"/>
              <w:left w:val="single" w:color="000000" w:sz="4" w:space="0"/>
              <w:bottom w:val="single" w:color="000000" w:sz="4" w:space="0"/>
              <w:right w:val="single" w:color="000000" w:sz="4" w:space="0"/>
            </w:tcBorders>
            <w:shd w:val="clear"/>
            <w:noWrap/>
            <w:vAlign w:val="center"/>
          </w:tcPr>
          <w:p w14:paraId="28224ECD">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rPr>
              <w:t>单位</w:t>
            </w:r>
          </w:p>
        </w:tc>
        <w:tc>
          <w:tcPr>
            <w:tcW w:w="833" w:type="dxa"/>
            <w:tcBorders>
              <w:top w:val="single" w:color="000000" w:sz="4" w:space="0"/>
              <w:left w:val="single" w:color="000000" w:sz="4" w:space="0"/>
              <w:bottom w:val="single" w:color="000000" w:sz="4" w:space="0"/>
              <w:right w:val="single" w:color="000000" w:sz="4" w:space="0"/>
            </w:tcBorders>
            <w:shd w:val="clear"/>
            <w:noWrap/>
            <w:vAlign w:val="center"/>
          </w:tcPr>
          <w:p w14:paraId="6D74E243">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rPr>
              <w:t>数量</w:t>
            </w:r>
          </w:p>
        </w:tc>
        <w:tc>
          <w:tcPr>
            <w:tcW w:w="4038" w:type="dxa"/>
            <w:tcBorders>
              <w:top w:val="single" w:color="000000" w:sz="4" w:space="0"/>
              <w:left w:val="single" w:color="000000" w:sz="4" w:space="0"/>
              <w:bottom w:val="single" w:color="000000" w:sz="4" w:space="0"/>
              <w:right w:val="single" w:color="000000" w:sz="4" w:space="0"/>
            </w:tcBorders>
            <w:shd w:val="clear"/>
            <w:noWrap/>
            <w:vAlign w:val="center"/>
          </w:tcPr>
          <w:p w14:paraId="3B180769">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rPr>
              <w:t>备注</w:t>
            </w:r>
          </w:p>
        </w:tc>
      </w:tr>
      <w:tr w14:paraId="14F61F83">
        <w:tblPrEx>
          <w:tblCellMar>
            <w:top w:w="0" w:type="dxa"/>
            <w:left w:w="108" w:type="dxa"/>
            <w:bottom w:w="0" w:type="dxa"/>
            <w:right w:w="108" w:type="dxa"/>
          </w:tblCellMar>
        </w:tblPrEx>
        <w:trPr>
          <w:trHeight w:val="711" w:hRule="atLeast"/>
          <w:jc w:val="center"/>
        </w:trPr>
        <w:tc>
          <w:tcPr>
            <w:tcW w:w="807" w:type="dxa"/>
            <w:tcBorders>
              <w:top w:val="single" w:color="000000" w:sz="4" w:space="0"/>
              <w:left w:val="single" w:color="000000" w:sz="4" w:space="0"/>
              <w:bottom w:val="single" w:color="000000" w:sz="4" w:space="0"/>
              <w:right w:val="single" w:color="000000" w:sz="4" w:space="0"/>
            </w:tcBorders>
            <w:noWrap/>
            <w:vAlign w:val="center"/>
          </w:tcPr>
          <w:p w14:paraId="0F25745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7DD5025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修复施工设计方案编制</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0777ADF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6F08DA5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4038" w:type="dxa"/>
            <w:tcBorders>
              <w:top w:val="single" w:color="000000" w:sz="4" w:space="0"/>
              <w:left w:val="single" w:color="000000" w:sz="4" w:space="0"/>
              <w:bottom w:val="single" w:color="000000" w:sz="4" w:space="0"/>
              <w:right w:val="single" w:color="000000" w:sz="4" w:space="0"/>
            </w:tcBorders>
            <w:noWrap/>
            <w:vAlign w:val="center"/>
          </w:tcPr>
          <w:p w14:paraId="5F65BB4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参照《工程勘察设计收费标准（2002年修订本）》。</w:t>
            </w:r>
          </w:p>
        </w:tc>
      </w:tr>
    </w:tbl>
    <w:p w14:paraId="6197395B">
      <w:pPr>
        <w:pStyle w:val="2"/>
        <w:ind w:firstLine="560" w:firstLineChars="200"/>
        <w:rPr>
          <w:rFonts w:hint="eastAsia" w:ascii="仿宋" w:hAnsi="仿宋" w:eastAsia="仿宋" w:cs="仿宋"/>
          <w:color w:val="000000"/>
          <w:kern w:val="0"/>
          <w:sz w:val="28"/>
          <w:szCs w:val="28"/>
          <w:lang w:val="en-US" w:eastAsia="zh-CN" w:bidi="ar"/>
        </w:rPr>
      </w:pPr>
    </w:p>
    <w:p w14:paraId="02E82357">
      <w:pPr>
        <w:pStyle w:val="2"/>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C包：第三方监督、监测、效果后评估主要实施内容：</w:t>
      </w:r>
    </w:p>
    <w:p w14:paraId="49FF43D8">
      <w:pPr>
        <w:pStyle w:val="2"/>
        <w:ind w:firstLine="560" w:firstLineChars="2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由第三方对珊瑚礁生态系统修复过程进行全程监督并形成记录，修复工作后每季度对修复区域进行监测并上报管理部门，对生态修复的效果进行评估。</w:t>
      </w:r>
    </w:p>
    <w:tbl>
      <w:tblPr>
        <w:tblStyle w:val="3"/>
        <w:tblW w:w="8332" w:type="dxa"/>
        <w:jc w:val="center"/>
        <w:tblLayout w:type="fixed"/>
        <w:tblCellMar>
          <w:top w:w="0" w:type="dxa"/>
          <w:left w:w="108" w:type="dxa"/>
          <w:bottom w:w="0" w:type="dxa"/>
          <w:right w:w="108" w:type="dxa"/>
        </w:tblCellMar>
      </w:tblPr>
      <w:tblGrid>
        <w:gridCol w:w="807"/>
        <w:gridCol w:w="1616"/>
        <w:gridCol w:w="1038"/>
        <w:gridCol w:w="833"/>
        <w:gridCol w:w="4038"/>
      </w:tblGrid>
      <w:tr w14:paraId="13353637">
        <w:trPr>
          <w:trHeight w:val="711" w:hRule="atLeast"/>
          <w:jc w:val="center"/>
        </w:trPr>
        <w:tc>
          <w:tcPr>
            <w:tcW w:w="83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11ACA">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8"/>
                <w:szCs w:val="28"/>
                <w:lang w:val="en-US" w:eastAsia="zh-CN" w:bidi="ar"/>
              </w:rPr>
              <w:t>C包：第三方监督、监测、效果后评估主要实施内容</w:t>
            </w:r>
          </w:p>
        </w:tc>
      </w:tr>
      <w:tr w14:paraId="646BB038">
        <w:tblPrEx>
          <w:tblCellMar>
            <w:top w:w="0" w:type="dxa"/>
            <w:left w:w="108" w:type="dxa"/>
            <w:bottom w:w="0" w:type="dxa"/>
            <w:right w:w="108" w:type="dxa"/>
          </w:tblCellMar>
        </w:tblPrEx>
        <w:trPr>
          <w:trHeight w:val="711"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1FD7C">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rPr>
              <w:t>序号</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AF4B1">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rPr>
              <w:t>项目</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8D71F">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rPr>
              <w:t>单位</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585A4">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rPr>
              <w:t>数量</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DDE1">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rPr>
              <w:t>备注</w:t>
            </w:r>
          </w:p>
        </w:tc>
      </w:tr>
      <w:tr w14:paraId="57A962E5">
        <w:tblPrEx>
          <w:tblCellMar>
            <w:top w:w="0" w:type="dxa"/>
            <w:left w:w="108" w:type="dxa"/>
            <w:bottom w:w="0" w:type="dxa"/>
            <w:right w:w="108" w:type="dxa"/>
          </w:tblCellMar>
        </w:tblPrEx>
        <w:trPr>
          <w:trHeight w:val="711" w:hRule="atLeast"/>
          <w:jc w:val="center"/>
        </w:trPr>
        <w:tc>
          <w:tcPr>
            <w:tcW w:w="807" w:type="dxa"/>
            <w:tcBorders>
              <w:top w:val="single" w:color="000000" w:sz="4" w:space="0"/>
              <w:left w:val="single" w:color="000000" w:sz="4" w:space="0"/>
              <w:bottom w:val="single" w:color="000000" w:sz="4" w:space="0"/>
              <w:right w:val="single" w:color="000000" w:sz="4" w:space="0"/>
            </w:tcBorders>
            <w:noWrap/>
            <w:vAlign w:val="center"/>
          </w:tcPr>
          <w:p w14:paraId="41DBAB7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2E8F3CA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第三方监督、监测、效果后评估</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10BBF8C6">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rPr>
              <w:t>次</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52CA2B70">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rPr>
              <w:t>4</w:t>
            </w:r>
          </w:p>
        </w:tc>
        <w:tc>
          <w:tcPr>
            <w:tcW w:w="4038" w:type="dxa"/>
            <w:tcBorders>
              <w:top w:val="single" w:color="000000" w:sz="4" w:space="0"/>
              <w:left w:val="single" w:color="000000" w:sz="4" w:space="0"/>
              <w:bottom w:val="single" w:color="000000" w:sz="4" w:space="0"/>
              <w:right w:val="single" w:color="000000" w:sz="4" w:space="0"/>
            </w:tcBorders>
            <w:noWrap/>
            <w:vAlign w:val="center"/>
          </w:tcPr>
          <w:p w14:paraId="12E4EDD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由第三方对生态修复过程进行全程监督并形成记录，修复工作后每季度对修复区域进行监测并上报管理部门，对生态修复的效果进行评估：监测4航次。</w:t>
            </w:r>
          </w:p>
        </w:tc>
      </w:tr>
    </w:tbl>
    <w:p w14:paraId="0922C68C">
      <w:pPr>
        <w:pStyle w:val="2"/>
        <w:ind w:firstLine="560" w:firstLineChars="200"/>
        <w:rPr>
          <w:rFonts w:hint="eastAsia" w:ascii="仿宋" w:hAnsi="仿宋" w:eastAsia="仿宋" w:cs="仿宋"/>
          <w:color w:val="000000"/>
          <w:kern w:val="0"/>
          <w:sz w:val="28"/>
          <w:szCs w:val="28"/>
          <w:lang w:val="en-US" w:eastAsia="zh-CN" w:bidi="ar"/>
        </w:rPr>
      </w:pPr>
    </w:p>
    <w:p w14:paraId="21E1B362">
      <w:pPr>
        <w:keepNext w:val="0"/>
        <w:keepLines w:val="0"/>
        <w:widowControl/>
        <w:suppressLineNumbers w:val="0"/>
        <w:ind w:right="-733" w:rightChars="-349"/>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D包：国家重点保护兽类现状调查实施内容：</w:t>
      </w:r>
    </w:p>
    <w:p w14:paraId="3EAC3B7A">
      <w:pPr>
        <w:keepNext w:val="0"/>
        <w:keepLines w:val="0"/>
        <w:widowControl/>
        <w:suppressLineNumbers w:val="0"/>
        <w:ind w:right="-733" w:rightChars="-349"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①种群现状调查监测。通过基于公里网格的红外相机监测技术，结合野外样线调查法获得的数据，阐明在铜鼓岭保护区重点保护兽类种群现状；②栖息地现状及受胁因素调查监测。利用红外相机、野外调查法，分析铜鼓岭保护区重点保护兽类栖息地现状与种群关系。</w:t>
      </w:r>
    </w:p>
    <w:tbl>
      <w:tblPr>
        <w:tblStyle w:val="3"/>
        <w:tblW w:w="8332" w:type="dxa"/>
        <w:jc w:val="center"/>
        <w:tblLayout w:type="fixed"/>
        <w:tblCellMar>
          <w:top w:w="0" w:type="dxa"/>
          <w:left w:w="108" w:type="dxa"/>
          <w:bottom w:w="0" w:type="dxa"/>
          <w:right w:w="108" w:type="dxa"/>
        </w:tblCellMar>
      </w:tblPr>
      <w:tblGrid>
        <w:gridCol w:w="807"/>
        <w:gridCol w:w="1616"/>
        <w:gridCol w:w="1038"/>
        <w:gridCol w:w="833"/>
        <w:gridCol w:w="4038"/>
      </w:tblGrid>
      <w:tr w14:paraId="433C5940">
        <w:tblPrEx>
          <w:tblCellMar>
            <w:top w:w="0" w:type="dxa"/>
            <w:left w:w="108" w:type="dxa"/>
            <w:bottom w:w="0" w:type="dxa"/>
            <w:right w:w="108" w:type="dxa"/>
          </w:tblCellMar>
        </w:tblPrEx>
        <w:trPr>
          <w:trHeight w:val="937" w:hRule="atLeast"/>
          <w:tblHeader/>
          <w:jc w:val="center"/>
        </w:trPr>
        <w:tc>
          <w:tcPr>
            <w:tcW w:w="8332" w:type="dxa"/>
            <w:gridSpan w:val="5"/>
            <w:tcBorders>
              <w:top w:val="single" w:color="000000" w:sz="4" w:space="0"/>
              <w:left w:val="single" w:color="000000" w:sz="4" w:space="0"/>
              <w:bottom w:val="single" w:color="000000" w:sz="4" w:space="0"/>
              <w:right w:val="single" w:color="000000" w:sz="4" w:space="0"/>
            </w:tcBorders>
            <w:noWrap/>
            <w:vAlign w:val="center"/>
          </w:tcPr>
          <w:p w14:paraId="335C62A2">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8"/>
                <w:szCs w:val="28"/>
                <w:lang w:val="en-US" w:eastAsia="zh-CN" w:bidi="ar"/>
              </w:rPr>
              <w:t>D包：国家重点保护兽类现状调查实施内容</w:t>
            </w:r>
          </w:p>
        </w:tc>
      </w:tr>
      <w:tr w14:paraId="61E2B404">
        <w:tblPrEx>
          <w:tblCellMar>
            <w:top w:w="0" w:type="dxa"/>
            <w:left w:w="108" w:type="dxa"/>
            <w:bottom w:w="0" w:type="dxa"/>
            <w:right w:w="108" w:type="dxa"/>
          </w:tblCellMar>
        </w:tblPrEx>
        <w:trPr>
          <w:trHeight w:val="937" w:hRule="atLeast"/>
          <w:tblHeader/>
          <w:jc w:val="center"/>
        </w:trPr>
        <w:tc>
          <w:tcPr>
            <w:tcW w:w="807" w:type="dxa"/>
            <w:tcBorders>
              <w:top w:val="single" w:color="000000" w:sz="4" w:space="0"/>
              <w:left w:val="single" w:color="000000" w:sz="4" w:space="0"/>
              <w:bottom w:val="single" w:color="000000" w:sz="4" w:space="0"/>
              <w:right w:val="single" w:color="000000" w:sz="4" w:space="0"/>
            </w:tcBorders>
            <w:noWrap/>
            <w:vAlign w:val="center"/>
          </w:tcPr>
          <w:p w14:paraId="5BA7D34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序号</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61D4A58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09DCF3D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单位</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2A58A91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数量</w:t>
            </w:r>
          </w:p>
        </w:tc>
        <w:tc>
          <w:tcPr>
            <w:tcW w:w="4038" w:type="dxa"/>
            <w:tcBorders>
              <w:top w:val="single" w:color="000000" w:sz="4" w:space="0"/>
              <w:left w:val="single" w:color="000000" w:sz="4" w:space="0"/>
              <w:bottom w:val="single" w:color="000000" w:sz="4" w:space="0"/>
              <w:right w:val="single" w:color="000000" w:sz="4" w:space="0"/>
            </w:tcBorders>
            <w:noWrap/>
            <w:vAlign w:val="center"/>
          </w:tcPr>
          <w:p w14:paraId="4327404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备注</w:t>
            </w:r>
          </w:p>
        </w:tc>
      </w:tr>
      <w:tr w14:paraId="63121434">
        <w:tblPrEx>
          <w:tblCellMar>
            <w:top w:w="0" w:type="dxa"/>
            <w:left w:w="108" w:type="dxa"/>
            <w:bottom w:w="0" w:type="dxa"/>
            <w:right w:w="108" w:type="dxa"/>
          </w:tblCellMar>
        </w:tblPrEx>
        <w:trPr>
          <w:trHeight w:val="1245" w:hRule="atLeast"/>
          <w:jc w:val="center"/>
        </w:trPr>
        <w:tc>
          <w:tcPr>
            <w:tcW w:w="807" w:type="dxa"/>
            <w:tcBorders>
              <w:top w:val="single" w:color="000000" w:sz="4" w:space="0"/>
              <w:left w:val="single" w:color="000000" w:sz="4" w:space="0"/>
              <w:bottom w:val="single" w:color="000000" w:sz="4" w:space="0"/>
              <w:right w:val="single" w:color="000000" w:sz="4" w:space="0"/>
            </w:tcBorders>
            <w:noWrap/>
            <w:vAlign w:val="center"/>
          </w:tcPr>
          <w:p w14:paraId="1930123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1B30B11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红外相机点位选取</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303F61D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个</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2386DEE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80</w:t>
            </w:r>
          </w:p>
        </w:tc>
        <w:tc>
          <w:tcPr>
            <w:tcW w:w="4038" w:type="dxa"/>
            <w:tcBorders>
              <w:top w:val="single" w:color="000000" w:sz="4" w:space="0"/>
              <w:left w:val="single" w:color="000000" w:sz="4" w:space="0"/>
              <w:bottom w:val="single" w:color="000000" w:sz="4" w:space="0"/>
              <w:right w:val="single" w:color="000000" w:sz="4" w:space="0"/>
            </w:tcBorders>
            <w:noWrap/>
            <w:vAlign w:val="center"/>
          </w:tcPr>
          <w:p w14:paraId="64BC2E0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点位选取：80个点位</w:t>
            </w:r>
          </w:p>
        </w:tc>
      </w:tr>
      <w:tr w14:paraId="7A4DEDEA">
        <w:tblPrEx>
          <w:tblCellMar>
            <w:top w:w="0" w:type="dxa"/>
            <w:left w:w="108" w:type="dxa"/>
            <w:bottom w:w="0" w:type="dxa"/>
            <w:right w:w="108" w:type="dxa"/>
          </w:tblCellMar>
        </w:tblPrEx>
        <w:trPr>
          <w:trHeight w:val="937" w:hRule="atLeast"/>
          <w:jc w:val="center"/>
        </w:trPr>
        <w:tc>
          <w:tcPr>
            <w:tcW w:w="807" w:type="dxa"/>
            <w:tcBorders>
              <w:top w:val="single" w:color="000000" w:sz="4" w:space="0"/>
              <w:left w:val="single" w:color="000000" w:sz="4" w:space="0"/>
              <w:bottom w:val="single" w:color="000000" w:sz="4" w:space="0"/>
              <w:right w:val="single" w:color="000000" w:sz="4" w:space="0"/>
            </w:tcBorders>
            <w:noWrap/>
            <w:vAlign w:val="center"/>
          </w:tcPr>
          <w:p w14:paraId="26D0CC9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7E4F7987">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红外相机点位布设</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58B091B1">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台</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1601FCCC">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80</w:t>
            </w:r>
          </w:p>
        </w:tc>
        <w:tc>
          <w:tcPr>
            <w:tcW w:w="4038" w:type="dxa"/>
            <w:tcBorders>
              <w:top w:val="single" w:color="000000" w:sz="4" w:space="0"/>
              <w:left w:val="single" w:color="000000" w:sz="4" w:space="0"/>
              <w:bottom w:val="single" w:color="000000" w:sz="4" w:space="0"/>
              <w:right w:val="single" w:color="000000" w:sz="4" w:space="0"/>
            </w:tcBorders>
            <w:noWrap/>
            <w:vAlign w:val="center"/>
          </w:tcPr>
          <w:p w14:paraId="17EF81D0">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红外相机布设：80台</w:t>
            </w:r>
          </w:p>
        </w:tc>
      </w:tr>
      <w:tr w14:paraId="087EBD40">
        <w:tblPrEx>
          <w:tblCellMar>
            <w:top w:w="0" w:type="dxa"/>
            <w:left w:w="108" w:type="dxa"/>
            <w:bottom w:w="0" w:type="dxa"/>
            <w:right w:w="108" w:type="dxa"/>
          </w:tblCellMar>
        </w:tblPrEx>
        <w:trPr>
          <w:trHeight w:val="937" w:hRule="atLeast"/>
          <w:jc w:val="center"/>
        </w:trPr>
        <w:tc>
          <w:tcPr>
            <w:tcW w:w="807" w:type="dxa"/>
            <w:tcBorders>
              <w:top w:val="single" w:color="000000" w:sz="4" w:space="0"/>
              <w:left w:val="single" w:color="000000" w:sz="4" w:space="0"/>
              <w:bottom w:val="single" w:color="000000" w:sz="4" w:space="0"/>
              <w:right w:val="single" w:color="000000" w:sz="4" w:space="0"/>
            </w:tcBorders>
            <w:noWrap/>
            <w:vAlign w:val="center"/>
          </w:tcPr>
          <w:p w14:paraId="5AD5314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3</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3D1447B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红外相机数据整理（照片整理）</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74414B1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台</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79DDDC5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80</w:t>
            </w:r>
          </w:p>
        </w:tc>
        <w:tc>
          <w:tcPr>
            <w:tcW w:w="4038" w:type="dxa"/>
            <w:tcBorders>
              <w:top w:val="single" w:color="000000" w:sz="4" w:space="0"/>
              <w:left w:val="single" w:color="000000" w:sz="4" w:space="0"/>
              <w:bottom w:val="single" w:color="000000" w:sz="4" w:space="0"/>
              <w:right w:val="single" w:color="000000" w:sz="4" w:space="0"/>
            </w:tcBorders>
            <w:noWrap/>
            <w:vAlign w:val="center"/>
          </w:tcPr>
          <w:p w14:paraId="5A6EBC0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照片数据整理：80台</w:t>
            </w:r>
          </w:p>
        </w:tc>
      </w:tr>
      <w:tr w14:paraId="520EC1EB">
        <w:tblPrEx>
          <w:tblCellMar>
            <w:top w:w="0" w:type="dxa"/>
            <w:left w:w="108" w:type="dxa"/>
            <w:bottom w:w="0" w:type="dxa"/>
            <w:right w:w="108" w:type="dxa"/>
          </w:tblCellMar>
        </w:tblPrEx>
        <w:trPr>
          <w:trHeight w:val="1861" w:hRule="atLeast"/>
          <w:jc w:val="center"/>
        </w:trPr>
        <w:tc>
          <w:tcPr>
            <w:tcW w:w="807" w:type="dxa"/>
            <w:tcBorders>
              <w:top w:val="single" w:color="000000" w:sz="4" w:space="0"/>
              <w:left w:val="single" w:color="000000" w:sz="4" w:space="0"/>
              <w:bottom w:val="single" w:color="000000" w:sz="4" w:space="0"/>
              <w:right w:val="single" w:color="000000" w:sz="4" w:space="0"/>
            </w:tcBorders>
            <w:noWrap/>
            <w:vAlign w:val="center"/>
          </w:tcPr>
          <w:p w14:paraId="2C20FF9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4</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4A65B8D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红外相机数据整理（视频整理）</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4C75E49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台</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00771FE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80</w:t>
            </w:r>
          </w:p>
        </w:tc>
        <w:tc>
          <w:tcPr>
            <w:tcW w:w="4038" w:type="dxa"/>
            <w:tcBorders>
              <w:top w:val="single" w:color="000000" w:sz="4" w:space="0"/>
              <w:left w:val="single" w:color="000000" w:sz="4" w:space="0"/>
              <w:bottom w:val="single" w:color="000000" w:sz="4" w:space="0"/>
              <w:right w:val="single" w:color="000000" w:sz="4" w:space="0"/>
            </w:tcBorders>
            <w:noWrap/>
            <w:vAlign w:val="center"/>
          </w:tcPr>
          <w:p w14:paraId="510D9E9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视频数据整理：80台</w:t>
            </w:r>
          </w:p>
        </w:tc>
      </w:tr>
      <w:tr w14:paraId="4B76860C">
        <w:tblPrEx>
          <w:tblCellMar>
            <w:top w:w="0" w:type="dxa"/>
            <w:left w:w="108" w:type="dxa"/>
            <w:bottom w:w="0" w:type="dxa"/>
            <w:right w:w="108" w:type="dxa"/>
          </w:tblCellMar>
        </w:tblPrEx>
        <w:trPr>
          <w:trHeight w:val="1601" w:hRule="atLeast"/>
          <w:jc w:val="center"/>
        </w:trPr>
        <w:tc>
          <w:tcPr>
            <w:tcW w:w="807" w:type="dxa"/>
            <w:tcBorders>
              <w:top w:val="single" w:color="000000" w:sz="4" w:space="0"/>
              <w:left w:val="single" w:color="000000" w:sz="4" w:space="0"/>
              <w:bottom w:val="single" w:color="000000" w:sz="4" w:space="0"/>
              <w:right w:val="single" w:color="000000" w:sz="4" w:space="0"/>
            </w:tcBorders>
            <w:noWrap/>
            <w:vAlign w:val="center"/>
          </w:tcPr>
          <w:p w14:paraId="6F1C07F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5</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7D7988A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报告撰写</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28370FF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篇</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4B070FD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4038" w:type="dxa"/>
            <w:tcBorders>
              <w:top w:val="single" w:color="000000" w:sz="4" w:space="0"/>
              <w:left w:val="single" w:color="000000" w:sz="4" w:space="0"/>
              <w:bottom w:val="single" w:color="000000" w:sz="4" w:space="0"/>
              <w:right w:val="single" w:color="000000" w:sz="4" w:space="0"/>
            </w:tcBorders>
            <w:noWrap/>
            <w:vAlign w:val="center"/>
          </w:tcPr>
          <w:p w14:paraId="5430453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1篇</w:t>
            </w:r>
          </w:p>
        </w:tc>
      </w:tr>
    </w:tbl>
    <w:p w14:paraId="7029CF28">
      <w:pPr>
        <w:keepNext w:val="0"/>
        <w:keepLines w:val="0"/>
        <w:widowControl/>
        <w:suppressLineNumbers w:val="0"/>
        <w:ind w:right="-733" w:rightChars="-349" w:firstLine="560" w:firstLineChars="200"/>
        <w:jc w:val="left"/>
        <w:rPr>
          <w:rFonts w:hint="eastAsia" w:ascii="仿宋" w:hAnsi="仿宋" w:eastAsia="仿宋" w:cs="仿宋"/>
          <w:color w:val="000000"/>
          <w:kern w:val="0"/>
          <w:sz w:val="28"/>
          <w:szCs w:val="28"/>
          <w:lang w:val="en-US" w:eastAsia="zh-CN" w:bidi="ar"/>
        </w:rPr>
      </w:pPr>
    </w:p>
    <w:p w14:paraId="714BD91F">
      <w:pPr>
        <w:keepNext w:val="0"/>
        <w:keepLines w:val="0"/>
        <w:widowControl/>
        <w:suppressLineNumbers w:val="0"/>
        <w:ind w:right="-733" w:rightChars="-349"/>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 E包：陆域植物资源本底调查主要实施内容：</w:t>
      </w:r>
    </w:p>
    <w:p w14:paraId="61EB8B03">
      <w:pPr>
        <w:keepNext w:val="0"/>
        <w:keepLines w:val="0"/>
        <w:widowControl/>
        <w:suppressLineNumbers w:val="0"/>
        <w:ind w:right="-733" w:rightChars="-349"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铜鼓岭保护区陆域植物调查与监测。调查主要针对调查区域的蕨类植物、裸子植物和被子植物，调查内容包括物种组成、数量、分布、生境和威胁因子等。评估内容包括调查区域内陆生维管束植物物种多样性现状、物种丰富度、物种特有性、珍稀濒危物种状况等；监测主要是以建立固定观测样地为主，对样地内每株植物进行测量及挂牌，并每年或每三年开展复查，以达到监测的目的。</w:t>
      </w:r>
    </w:p>
    <w:tbl>
      <w:tblPr>
        <w:tblStyle w:val="3"/>
        <w:tblW w:w="8332" w:type="dxa"/>
        <w:jc w:val="center"/>
        <w:tblLayout w:type="fixed"/>
        <w:tblCellMar>
          <w:top w:w="0" w:type="dxa"/>
          <w:left w:w="108" w:type="dxa"/>
          <w:bottom w:w="0" w:type="dxa"/>
          <w:right w:w="108" w:type="dxa"/>
        </w:tblCellMar>
      </w:tblPr>
      <w:tblGrid>
        <w:gridCol w:w="807"/>
        <w:gridCol w:w="1616"/>
        <w:gridCol w:w="1038"/>
        <w:gridCol w:w="833"/>
        <w:gridCol w:w="4038"/>
      </w:tblGrid>
      <w:tr w14:paraId="67BC99DC">
        <w:tblPrEx>
          <w:tblCellMar>
            <w:top w:w="0" w:type="dxa"/>
            <w:left w:w="108" w:type="dxa"/>
            <w:bottom w:w="0" w:type="dxa"/>
            <w:right w:w="108" w:type="dxa"/>
          </w:tblCellMar>
        </w:tblPrEx>
        <w:trPr>
          <w:trHeight w:val="937" w:hRule="atLeast"/>
          <w:tblHeader/>
          <w:jc w:val="center"/>
        </w:trPr>
        <w:tc>
          <w:tcPr>
            <w:tcW w:w="8332" w:type="dxa"/>
            <w:gridSpan w:val="5"/>
            <w:tcBorders>
              <w:top w:val="single" w:color="000000" w:sz="4" w:space="0"/>
              <w:left w:val="single" w:color="000000" w:sz="4" w:space="0"/>
              <w:bottom w:val="single" w:color="000000" w:sz="4" w:space="0"/>
              <w:right w:val="single" w:color="000000" w:sz="4" w:space="0"/>
            </w:tcBorders>
            <w:noWrap/>
            <w:vAlign w:val="center"/>
          </w:tcPr>
          <w:p w14:paraId="5B59B1A4">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8"/>
                <w:szCs w:val="28"/>
                <w:lang w:val="en-US" w:eastAsia="zh-CN" w:bidi="ar"/>
              </w:rPr>
              <w:t>E包：陆域植物资源本底调查主要实施内容</w:t>
            </w:r>
          </w:p>
        </w:tc>
      </w:tr>
      <w:tr w14:paraId="670B5E8F">
        <w:tblPrEx>
          <w:tblCellMar>
            <w:top w:w="0" w:type="dxa"/>
            <w:left w:w="108" w:type="dxa"/>
            <w:bottom w:w="0" w:type="dxa"/>
            <w:right w:w="108" w:type="dxa"/>
          </w:tblCellMar>
        </w:tblPrEx>
        <w:trPr>
          <w:trHeight w:val="937" w:hRule="atLeast"/>
          <w:tblHeader/>
          <w:jc w:val="center"/>
        </w:trPr>
        <w:tc>
          <w:tcPr>
            <w:tcW w:w="807" w:type="dxa"/>
            <w:tcBorders>
              <w:top w:val="single" w:color="000000" w:sz="4" w:space="0"/>
              <w:left w:val="single" w:color="000000" w:sz="4" w:space="0"/>
              <w:bottom w:val="single" w:color="000000" w:sz="4" w:space="0"/>
              <w:right w:val="single" w:color="000000" w:sz="4" w:space="0"/>
            </w:tcBorders>
            <w:noWrap/>
            <w:vAlign w:val="center"/>
          </w:tcPr>
          <w:p w14:paraId="398C1A5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序号</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032427E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176CED7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单位</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0D562AB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数量</w:t>
            </w:r>
          </w:p>
        </w:tc>
        <w:tc>
          <w:tcPr>
            <w:tcW w:w="4038" w:type="dxa"/>
            <w:tcBorders>
              <w:top w:val="single" w:color="000000" w:sz="4" w:space="0"/>
              <w:left w:val="single" w:color="000000" w:sz="4" w:space="0"/>
              <w:bottom w:val="single" w:color="000000" w:sz="4" w:space="0"/>
              <w:right w:val="single" w:color="000000" w:sz="4" w:space="0"/>
            </w:tcBorders>
            <w:noWrap/>
            <w:vAlign w:val="center"/>
          </w:tcPr>
          <w:p w14:paraId="151BB35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备注</w:t>
            </w:r>
          </w:p>
        </w:tc>
      </w:tr>
      <w:tr w14:paraId="3653095C">
        <w:tblPrEx>
          <w:tblCellMar>
            <w:top w:w="0" w:type="dxa"/>
            <w:left w:w="108" w:type="dxa"/>
            <w:bottom w:w="0" w:type="dxa"/>
            <w:right w:w="108" w:type="dxa"/>
          </w:tblCellMar>
        </w:tblPrEx>
        <w:trPr>
          <w:trHeight w:val="1245" w:hRule="atLeast"/>
          <w:jc w:val="center"/>
        </w:trPr>
        <w:tc>
          <w:tcPr>
            <w:tcW w:w="807" w:type="dxa"/>
            <w:tcBorders>
              <w:top w:val="single" w:color="000000" w:sz="4" w:space="0"/>
              <w:left w:val="single" w:color="000000" w:sz="4" w:space="0"/>
              <w:bottom w:val="single" w:color="000000" w:sz="4" w:space="0"/>
              <w:right w:val="single" w:color="000000" w:sz="4" w:space="0"/>
            </w:tcBorders>
            <w:noWrap/>
            <w:vAlign w:val="center"/>
          </w:tcPr>
          <w:p w14:paraId="4AD13D0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376AF854">
            <w:pPr>
              <w:rPr>
                <w:rFonts w:ascii="仿宋" w:hAnsi="仿宋" w:eastAsia="仿宋" w:cs="仿宋"/>
                <w:color w:val="000000"/>
                <w:sz w:val="24"/>
              </w:rPr>
            </w:pPr>
            <w:r>
              <w:rPr>
                <w:rFonts w:hint="eastAsia" w:ascii="仿宋" w:hAnsi="仿宋" w:eastAsia="仿宋" w:cs="仿宋"/>
                <w:sz w:val="24"/>
              </w:rPr>
              <w:t>差旅费</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010D82D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天</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5CCAD02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100</w:t>
            </w:r>
          </w:p>
        </w:tc>
        <w:tc>
          <w:tcPr>
            <w:tcW w:w="4038" w:type="dxa"/>
            <w:tcBorders>
              <w:top w:val="single" w:color="000000" w:sz="4" w:space="0"/>
              <w:left w:val="single" w:color="000000" w:sz="4" w:space="0"/>
              <w:bottom w:val="single" w:color="000000" w:sz="4" w:space="0"/>
              <w:right w:val="single" w:color="000000" w:sz="4" w:space="0"/>
            </w:tcBorders>
            <w:noWrap/>
            <w:vAlign w:val="center"/>
          </w:tcPr>
          <w:p w14:paraId="0CE52F54">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人员差旅费</w:t>
            </w:r>
          </w:p>
        </w:tc>
      </w:tr>
      <w:tr w14:paraId="4AFD7A8D">
        <w:tblPrEx>
          <w:tblCellMar>
            <w:top w:w="0" w:type="dxa"/>
            <w:left w:w="108" w:type="dxa"/>
            <w:bottom w:w="0" w:type="dxa"/>
            <w:right w:w="108" w:type="dxa"/>
          </w:tblCellMar>
        </w:tblPrEx>
        <w:trPr>
          <w:trHeight w:val="937" w:hRule="atLeast"/>
          <w:jc w:val="center"/>
        </w:trPr>
        <w:tc>
          <w:tcPr>
            <w:tcW w:w="807" w:type="dxa"/>
            <w:tcBorders>
              <w:top w:val="single" w:color="000000" w:sz="4" w:space="0"/>
              <w:left w:val="single" w:color="000000" w:sz="4" w:space="0"/>
              <w:bottom w:val="single" w:color="000000" w:sz="4" w:space="0"/>
              <w:right w:val="single" w:color="000000" w:sz="4" w:space="0"/>
            </w:tcBorders>
            <w:noWrap/>
            <w:vAlign w:val="center"/>
          </w:tcPr>
          <w:p w14:paraId="18DF9EF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064C1FE1">
            <w:pPr>
              <w:rPr>
                <w:rFonts w:ascii="仿宋" w:hAnsi="仿宋" w:eastAsia="仿宋" w:cs="仿宋"/>
                <w:color w:val="000000"/>
                <w:kern w:val="0"/>
                <w:sz w:val="24"/>
              </w:rPr>
            </w:pPr>
            <w:r>
              <w:rPr>
                <w:rFonts w:hint="eastAsia" w:ascii="仿宋" w:hAnsi="仿宋" w:eastAsia="仿宋" w:cs="仿宋"/>
                <w:sz w:val="24"/>
              </w:rPr>
              <w:t>其他交通费用</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668DDD38">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天</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2A451915">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100</w:t>
            </w:r>
          </w:p>
        </w:tc>
        <w:tc>
          <w:tcPr>
            <w:tcW w:w="4038" w:type="dxa"/>
            <w:tcBorders>
              <w:top w:val="single" w:color="000000" w:sz="4" w:space="0"/>
              <w:left w:val="single" w:color="000000" w:sz="4" w:space="0"/>
              <w:bottom w:val="single" w:color="000000" w:sz="4" w:space="0"/>
              <w:right w:val="single" w:color="000000" w:sz="4" w:space="0"/>
            </w:tcBorders>
            <w:noWrap/>
            <w:vAlign w:val="center"/>
          </w:tcPr>
          <w:p w14:paraId="4A74C033">
            <w:pPr>
              <w:widowControl/>
              <w:jc w:val="center"/>
              <w:textAlignment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交通费</w:t>
            </w:r>
          </w:p>
        </w:tc>
      </w:tr>
      <w:tr w14:paraId="314F3545">
        <w:tblPrEx>
          <w:tblCellMar>
            <w:top w:w="0" w:type="dxa"/>
            <w:left w:w="108" w:type="dxa"/>
            <w:bottom w:w="0" w:type="dxa"/>
            <w:right w:w="108" w:type="dxa"/>
          </w:tblCellMar>
        </w:tblPrEx>
        <w:trPr>
          <w:trHeight w:val="937" w:hRule="atLeast"/>
          <w:jc w:val="center"/>
        </w:trPr>
        <w:tc>
          <w:tcPr>
            <w:tcW w:w="807" w:type="dxa"/>
            <w:tcBorders>
              <w:top w:val="single" w:color="000000" w:sz="4" w:space="0"/>
              <w:left w:val="single" w:color="000000" w:sz="4" w:space="0"/>
              <w:bottom w:val="single" w:color="000000" w:sz="4" w:space="0"/>
              <w:right w:val="single" w:color="000000" w:sz="4" w:space="0"/>
            </w:tcBorders>
            <w:noWrap/>
            <w:vAlign w:val="center"/>
          </w:tcPr>
          <w:p w14:paraId="6F2EA46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3</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24122841">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野外调查劳务费</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02A743E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天</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6BCA05B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100</w:t>
            </w:r>
          </w:p>
        </w:tc>
        <w:tc>
          <w:tcPr>
            <w:tcW w:w="4038" w:type="dxa"/>
            <w:vMerge w:val="restart"/>
            <w:tcBorders>
              <w:top w:val="single" w:color="000000" w:sz="4" w:space="0"/>
              <w:left w:val="single" w:color="000000" w:sz="4" w:space="0"/>
              <w:right w:val="single" w:color="000000" w:sz="4" w:space="0"/>
            </w:tcBorders>
            <w:noWrap/>
            <w:vAlign w:val="center"/>
          </w:tcPr>
          <w:p w14:paraId="34367016">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rPr>
              <w:t>劳务费</w:t>
            </w:r>
          </w:p>
        </w:tc>
      </w:tr>
      <w:tr w14:paraId="2204CF66">
        <w:tblPrEx>
          <w:tblCellMar>
            <w:top w:w="0" w:type="dxa"/>
            <w:left w:w="108" w:type="dxa"/>
            <w:bottom w:w="0" w:type="dxa"/>
            <w:right w:w="108" w:type="dxa"/>
          </w:tblCellMar>
        </w:tblPrEx>
        <w:trPr>
          <w:trHeight w:val="1861" w:hRule="atLeast"/>
          <w:jc w:val="center"/>
        </w:trPr>
        <w:tc>
          <w:tcPr>
            <w:tcW w:w="807" w:type="dxa"/>
            <w:tcBorders>
              <w:top w:val="single" w:color="000000" w:sz="4" w:space="0"/>
              <w:left w:val="single" w:color="000000" w:sz="4" w:space="0"/>
              <w:bottom w:val="single" w:color="000000" w:sz="4" w:space="0"/>
              <w:right w:val="single" w:color="000000" w:sz="4" w:space="0"/>
            </w:tcBorders>
            <w:noWrap/>
            <w:vAlign w:val="center"/>
          </w:tcPr>
          <w:p w14:paraId="7FFE84D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4</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72A9EAEC">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内业数据整理和报告编制劳务费</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4BCB1D8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天</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4745622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30</w:t>
            </w:r>
          </w:p>
        </w:tc>
        <w:tc>
          <w:tcPr>
            <w:tcW w:w="4038" w:type="dxa"/>
            <w:vMerge w:val="continue"/>
            <w:tcBorders>
              <w:left w:val="single" w:color="000000" w:sz="4" w:space="0"/>
              <w:bottom w:val="single" w:color="000000" w:sz="4" w:space="0"/>
              <w:right w:val="single" w:color="000000" w:sz="4" w:space="0"/>
            </w:tcBorders>
            <w:noWrap/>
            <w:vAlign w:val="center"/>
          </w:tcPr>
          <w:p w14:paraId="74DBA77D">
            <w:pPr>
              <w:widowControl/>
              <w:jc w:val="center"/>
              <w:textAlignment w:val="center"/>
              <w:rPr>
                <w:rFonts w:ascii="仿宋" w:hAnsi="仿宋" w:eastAsia="仿宋" w:cs="仿宋"/>
                <w:color w:val="000000"/>
                <w:sz w:val="24"/>
              </w:rPr>
            </w:pPr>
          </w:p>
        </w:tc>
      </w:tr>
      <w:tr w14:paraId="20492463">
        <w:tblPrEx>
          <w:tblCellMar>
            <w:top w:w="0" w:type="dxa"/>
            <w:left w:w="108" w:type="dxa"/>
            <w:bottom w:w="0" w:type="dxa"/>
            <w:right w:w="108" w:type="dxa"/>
          </w:tblCellMar>
        </w:tblPrEx>
        <w:trPr>
          <w:trHeight w:val="1601" w:hRule="atLeast"/>
          <w:jc w:val="center"/>
        </w:trPr>
        <w:tc>
          <w:tcPr>
            <w:tcW w:w="807" w:type="dxa"/>
            <w:tcBorders>
              <w:top w:val="single" w:color="000000" w:sz="4" w:space="0"/>
              <w:left w:val="single" w:color="000000" w:sz="4" w:space="0"/>
              <w:bottom w:val="single" w:color="000000" w:sz="4" w:space="0"/>
              <w:right w:val="single" w:color="000000" w:sz="4" w:space="0"/>
            </w:tcBorders>
            <w:noWrap/>
            <w:vAlign w:val="center"/>
          </w:tcPr>
          <w:p w14:paraId="27B03B7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5</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7882A385">
            <w:pPr>
              <w:rPr>
                <w:rFonts w:ascii="仿宋" w:hAnsi="仿宋" w:eastAsia="仿宋" w:cs="仿宋"/>
                <w:color w:val="000000"/>
                <w:sz w:val="24"/>
              </w:rPr>
            </w:pPr>
            <w:r>
              <w:rPr>
                <w:rFonts w:hint="eastAsia" w:ascii="仿宋" w:hAnsi="仿宋" w:eastAsia="仿宋" w:cs="仿宋"/>
                <w:sz w:val="24"/>
              </w:rPr>
              <w:t>劳务费</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25D0573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天</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2068D0B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100</w:t>
            </w:r>
          </w:p>
        </w:tc>
        <w:tc>
          <w:tcPr>
            <w:tcW w:w="4038" w:type="dxa"/>
            <w:tcBorders>
              <w:top w:val="single" w:color="000000" w:sz="4" w:space="0"/>
              <w:left w:val="single" w:color="000000" w:sz="4" w:space="0"/>
              <w:bottom w:val="single" w:color="000000" w:sz="4" w:space="0"/>
              <w:right w:val="single" w:color="000000" w:sz="4" w:space="0"/>
            </w:tcBorders>
            <w:noWrap/>
            <w:vAlign w:val="center"/>
          </w:tcPr>
          <w:p w14:paraId="133DFC10">
            <w:pPr>
              <w:widowControl/>
              <w:jc w:val="center"/>
              <w:textAlignment w:val="center"/>
              <w:rPr>
                <w:rFonts w:ascii="仿宋" w:hAnsi="仿宋" w:eastAsia="仿宋" w:cs="仿宋"/>
                <w:color w:val="000000"/>
                <w:sz w:val="24"/>
              </w:rPr>
            </w:pPr>
            <w:r>
              <w:rPr>
                <w:rFonts w:hint="eastAsia" w:ascii="仿宋" w:hAnsi="仿宋" w:eastAsia="仿宋" w:cs="仿宋"/>
                <w:bCs/>
                <w:kern w:val="0"/>
                <w:sz w:val="24"/>
              </w:rPr>
              <w:t>野外调查聘请向导</w:t>
            </w:r>
          </w:p>
        </w:tc>
      </w:tr>
      <w:tr w14:paraId="2E4190DE">
        <w:tblPrEx>
          <w:tblCellMar>
            <w:top w:w="0" w:type="dxa"/>
            <w:left w:w="108" w:type="dxa"/>
            <w:bottom w:w="0" w:type="dxa"/>
            <w:right w:w="108" w:type="dxa"/>
          </w:tblCellMar>
        </w:tblPrEx>
        <w:trPr>
          <w:trHeight w:val="1844" w:hRule="atLeast"/>
          <w:jc w:val="center"/>
        </w:trPr>
        <w:tc>
          <w:tcPr>
            <w:tcW w:w="807" w:type="dxa"/>
            <w:tcBorders>
              <w:top w:val="single" w:color="000000" w:sz="4" w:space="0"/>
              <w:left w:val="single" w:color="000000" w:sz="4" w:space="0"/>
              <w:bottom w:val="single" w:color="000000" w:sz="4" w:space="0"/>
              <w:right w:val="single" w:color="000000" w:sz="4" w:space="0"/>
            </w:tcBorders>
            <w:noWrap/>
            <w:vAlign w:val="center"/>
          </w:tcPr>
          <w:p w14:paraId="7EFC478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6</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4E20B2D4">
            <w:pPr>
              <w:rPr>
                <w:rFonts w:ascii="仿宋" w:hAnsi="仿宋" w:eastAsia="仿宋" w:cs="仿宋"/>
                <w:color w:val="000000"/>
                <w:sz w:val="24"/>
              </w:rPr>
            </w:pPr>
            <w:r>
              <w:rPr>
                <w:rFonts w:hint="eastAsia" w:ascii="仿宋" w:hAnsi="仿宋" w:eastAsia="仿宋" w:cs="仿宋"/>
                <w:sz w:val="24"/>
              </w:rPr>
              <w:t>咨询费</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50C453F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次</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20DD30A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5</w:t>
            </w:r>
          </w:p>
        </w:tc>
        <w:tc>
          <w:tcPr>
            <w:tcW w:w="4038" w:type="dxa"/>
            <w:tcBorders>
              <w:top w:val="single" w:color="000000" w:sz="4" w:space="0"/>
              <w:left w:val="single" w:color="000000" w:sz="4" w:space="0"/>
              <w:bottom w:val="single" w:color="000000" w:sz="4" w:space="0"/>
              <w:right w:val="single" w:color="000000" w:sz="4" w:space="0"/>
            </w:tcBorders>
            <w:noWrap/>
            <w:vAlign w:val="center"/>
          </w:tcPr>
          <w:p w14:paraId="5575268D">
            <w:pPr>
              <w:widowControl/>
              <w:jc w:val="center"/>
              <w:textAlignment w:val="center"/>
              <w:rPr>
                <w:rFonts w:ascii="仿宋" w:hAnsi="仿宋" w:eastAsia="仿宋" w:cs="仿宋"/>
                <w:color w:val="000000"/>
                <w:sz w:val="24"/>
              </w:rPr>
            </w:pPr>
            <w:r>
              <w:rPr>
                <w:rFonts w:hint="eastAsia" w:ascii="仿宋" w:hAnsi="仿宋" w:eastAsia="仿宋" w:cs="仿宋"/>
                <w:sz w:val="24"/>
              </w:rPr>
              <w:t>咨询费</w:t>
            </w:r>
          </w:p>
        </w:tc>
      </w:tr>
      <w:tr w14:paraId="7984FAB6">
        <w:tblPrEx>
          <w:tblCellMar>
            <w:top w:w="0" w:type="dxa"/>
            <w:left w:w="108" w:type="dxa"/>
            <w:bottom w:w="0" w:type="dxa"/>
            <w:right w:w="108" w:type="dxa"/>
          </w:tblCellMar>
        </w:tblPrEx>
        <w:trPr>
          <w:trHeight w:val="628" w:hRule="atLeast"/>
          <w:jc w:val="center"/>
        </w:trPr>
        <w:tc>
          <w:tcPr>
            <w:tcW w:w="807" w:type="dxa"/>
            <w:tcBorders>
              <w:top w:val="single" w:color="000000" w:sz="4" w:space="0"/>
              <w:left w:val="single" w:color="000000" w:sz="4" w:space="0"/>
              <w:bottom w:val="single" w:color="000000" w:sz="4" w:space="0"/>
              <w:right w:val="single" w:color="000000" w:sz="4" w:space="0"/>
            </w:tcBorders>
            <w:noWrap/>
            <w:vAlign w:val="center"/>
          </w:tcPr>
          <w:p w14:paraId="0186948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7</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1305B9AA">
            <w:pPr>
              <w:rPr>
                <w:rFonts w:ascii="仿宋" w:hAnsi="仿宋" w:eastAsia="仿宋" w:cs="仿宋"/>
                <w:color w:val="000000"/>
                <w:sz w:val="24"/>
              </w:rPr>
            </w:pPr>
            <w:r>
              <w:rPr>
                <w:rFonts w:hint="eastAsia" w:ascii="仿宋" w:hAnsi="仿宋" w:eastAsia="仿宋" w:cs="仿宋"/>
                <w:sz w:val="24"/>
              </w:rPr>
              <w:t>印刷费</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626A32E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份</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02BEB89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50</w:t>
            </w:r>
          </w:p>
        </w:tc>
        <w:tc>
          <w:tcPr>
            <w:tcW w:w="4038" w:type="dxa"/>
            <w:tcBorders>
              <w:top w:val="single" w:color="000000" w:sz="4" w:space="0"/>
              <w:left w:val="single" w:color="000000" w:sz="4" w:space="0"/>
              <w:bottom w:val="single" w:color="000000" w:sz="4" w:space="0"/>
              <w:right w:val="single" w:color="000000" w:sz="4" w:space="0"/>
            </w:tcBorders>
            <w:noWrap/>
            <w:vAlign w:val="center"/>
          </w:tcPr>
          <w:p w14:paraId="1E99D393">
            <w:pPr>
              <w:widowControl/>
              <w:jc w:val="center"/>
              <w:textAlignment w:val="center"/>
              <w:rPr>
                <w:rFonts w:ascii="仿宋" w:hAnsi="仿宋" w:eastAsia="仿宋" w:cs="仿宋"/>
                <w:color w:val="000000"/>
                <w:sz w:val="24"/>
              </w:rPr>
            </w:pPr>
            <w:r>
              <w:rPr>
                <w:rFonts w:hint="eastAsia" w:ascii="仿宋" w:hAnsi="仿宋" w:eastAsia="仿宋" w:cs="仿宋"/>
                <w:bCs/>
                <w:kern w:val="0"/>
                <w:sz w:val="24"/>
              </w:rPr>
              <w:t>实施方案、调查记录表、成果初稿、成果报告图集评审稿等资料打印，预计约50份</w:t>
            </w:r>
          </w:p>
        </w:tc>
      </w:tr>
      <w:tr w14:paraId="2402B0B0">
        <w:tblPrEx>
          <w:tblCellMar>
            <w:top w:w="0" w:type="dxa"/>
            <w:left w:w="108" w:type="dxa"/>
            <w:bottom w:w="0" w:type="dxa"/>
            <w:right w:w="108" w:type="dxa"/>
          </w:tblCellMar>
        </w:tblPrEx>
        <w:trPr>
          <w:trHeight w:val="628" w:hRule="atLeast"/>
          <w:jc w:val="center"/>
        </w:trPr>
        <w:tc>
          <w:tcPr>
            <w:tcW w:w="807" w:type="dxa"/>
            <w:tcBorders>
              <w:top w:val="single" w:color="000000" w:sz="4" w:space="0"/>
              <w:left w:val="single" w:color="000000" w:sz="4" w:space="0"/>
              <w:bottom w:val="single" w:color="000000" w:sz="4" w:space="0"/>
              <w:right w:val="single" w:color="000000" w:sz="4" w:space="0"/>
            </w:tcBorders>
            <w:noWrap/>
            <w:vAlign w:val="center"/>
          </w:tcPr>
          <w:p w14:paraId="1F8E833D">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8</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176948E1">
            <w:pPr>
              <w:rPr>
                <w:rFonts w:hint="eastAsia" w:ascii="仿宋" w:hAnsi="仿宋" w:eastAsia="仿宋" w:cs="仿宋"/>
                <w:color w:val="000000"/>
                <w:kern w:val="0"/>
                <w:sz w:val="24"/>
              </w:rPr>
            </w:pPr>
            <w:r>
              <w:rPr>
                <w:rFonts w:hint="eastAsia" w:ascii="仿宋" w:hAnsi="仿宋" w:eastAsia="仿宋" w:cs="仿宋"/>
                <w:sz w:val="24"/>
              </w:rPr>
              <w:t>专用材料费</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3C1DB688">
            <w:pPr>
              <w:widowControl/>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项</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49CBC202">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4038" w:type="dxa"/>
            <w:tcBorders>
              <w:top w:val="single" w:color="000000" w:sz="4" w:space="0"/>
              <w:left w:val="single" w:color="000000" w:sz="4" w:space="0"/>
              <w:bottom w:val="single" w:color="000000" w:sz="4" w:space="0"/>
              <w:right w:val="single" w:color="000000" w:sz="4" w:space="0"/>
            </w:tcBorders>
            <w:noWrap/>
            <w:vAlign w:val="center"/>
          </w:tcPr>
          <w:p w14:paraId="2808F9E6">
            <w:pPr>
              <w:widowControl/>
              <w:jc w:val="center"/>
              <w:textAlignment w:val="center"/>
              <w:rPr>
                <w:rFonts w:hint="eastAsia" w:ascii="仿宋" w:hAnsi="仿宋" w:eastAsia="仿宋" w:cs="仿宋"/>
                <w:color w:val="000000"/>
                <w:kern w:val="0"/>
                <w:sz w:val="24"/>
              </w:rPr>
            </w:pPr>
            <w:r>
              <w:rPr>
                <w:rFonts w:hint="eastAsia" w:ascii="仿宋" w:hAnsi="仿宋" w:eastAsia="仿宋" w:cs="仿宋"/>
                <w:bCs/>
                <w:kern w:val="0"/>
                <w:sz w:val="24"/>
              </w:rPr>
              <w:t>购买测绳、野外标记牌等野外调查工具以及标本标本夹（干燥剂）等采集和制作用品等</w:t>
            </w:r>
          </w:p>
        </w:tc>
      </w:tr>
      <w:tr w14:paraId="470E8333">
        <w:tblPrEx>
          <w:tblCellMar>
            <w:top w:w="0" w:type="dxa"/>
            <w:left w:w="108" w:type="dxa"/>
            <w:bottom w:w="0" w:type="dxa"/>
            <w:right w:w="108" w:type="dxa"/>
          </w:tblCellMar>
        </w:tblPrEx>
        <w:trPr>
          <w:trHeight w:val="628" w:hRule="atLeast"/>
          <w:jc w:val="center"/>
        </w:trPr>
        <w:tc>
          <w:tcPr>
            <w:tcW w:w="807" w:type="dxa"/>
            <w:tcBorders>
              <w:top w:val="single" w:color="000000" w:sz="4" w:space="0"/>
              <w:left w:val="single" w:color="000000" w:sz="4" w:space="0"/>
              <w:bottom w:val="single" w:color="000000" w:sz="4" w:space="0"/>
              <w:right w:val="single" w:color="000000" w:sz="4" w:space="0"/>
            </w:tcBorders>
            <w:noWrap/>
            <w:vAlign w:val="center"/>
          </w:tcPr>
          <w:p w14:paraId="5CA52EBF">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9</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2E5F3BF6">
            <w:pPr>
              <w:rPr>
                <w:rFonts w:hint="eastAsia" w:ascii="仿宋" w:hAnsi="仿宋" w:eastAsia="仿宋" w:cs="仿宋"/>
                <w:color w:val="000000"/>
                <w:kern w:val="0"/>
                <w:sz w:val="24"/>
              </w:rPr>
            </w:pPr>
            <w:r>
              <w:rPr>
                <w:rFonts w:hint="eastAsia" w:ascii="仿宋" w:hAnsi="仿宋" w:eastAsia="仿宋" w:cs="仿宋"/>
                <w:sz w:val="24"/>
              </w:rPr>
              <w:t>其他支出</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715BD64C">
            <w:pPr>
              <w:widowControl/>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项</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1EA52C9B">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4038" w:type="dxa"/>
            <w:tcBorders>
              <w:top w:val="single" w:color="000000" w:sz="4" w:space="0"/>
              <w:left w:val="single" w:color="000000" w:sz="4" w:space="0"/>
              <w:bottom w:val="single" w:color="000000" w:sz="4" w:space="0"/>
              <w:right w:val="single" w:color="000000" w:sz="4" w:space="0"/>
            </w:tcBorders>
            <w:noWrap/>
            <w:vAlign w:val="center"/>
          </w:tcPr>
          <w:p w14:paraId="5A303CC4">
            <w:pPr>
              <w:widowControl/>
              <w:jc w:val="center"/>
              <w:textAlignment w:val="center"/>
              <w:rPr>
                <w:rFonts w:hint="eastAsia" w:ascii="仿宋" w:hAnsi="仿宋" w:eastAsia="仿宋" w:cs="仿宋"/>
                <w:color w:val="000000"/>
                <w:kern w:val="0"/>
                <w:sz w:val="24"/>
              </w:rPr>
            </w:pPr>
            <w:r>
              <w:rPr>
                <w:rFonts w:hint="eastAsia" w:ascii="仿宋" w:hAnsi="仿宋" w:eastAsia="仿宋" w:cs="仿宋"/>
                <w:bCs/>
                <w:kern w:val="0"/>
                <w:sz w:val="24"/>
              </w:rPr>
              <w:t>主要为上述未列支的项目。如防虫、防中暑药物、保险等</w:t>
            </w:r>
          </w:p>
        </w:tc>
      </w:tr>
    </w:tbl>
    <w:p w14:paraId="59E81E2B">
      <w:pPr>
        <w:keepNext w:val="0"/>
        <w:keepLines w:val="0"/>
        <w:widowControl/>
        <w:suppressLineNumbers w:val="0"/>
        <w:ind w:right="-733" w:rightChars="-349" w:firstLine="560" w:firstLineChars="200"/>
        <w:jc w:val="left"/>
        <w:rPr>
          <w:rFonts w:hint="eastAsia" w:ascii="仿宋" w:hAnsi="仿宋" w:eastAsia="仿宋" w:cs="仿宋"/>
          <w:color w:val="000000"/>
          <w:kern w:val="0"/>
          <w:sz w:val="28"/>
          <w:szCs w:val="28"/>
          <w:lang w:val="en-US" w:eastAsia="zh-CN" w:bidi="ar"/>
        </w:rPr>
      </w:pPr>
    </w:p>
    <w:p w14:paraId="118B8140">
      <w:pPr>
        <w:keepNext w:val="0"/>
        <w:keepLines w:val="0"/>
        <w:widowControl/>
        <w:suppressLineNumbers w:val="0"/>
        <w:ind w:right="-733" w:rightChars="-349" w:firstLine="560" w:firstLineChars="200"/>
        <w:jc w:val="left"/>
        <w:rPr>
          <w:rFonts w:hint="eastAsia" w:ascii="仿宋" w:hAnsi="仿宋" w:eastAsia="仿宋" w:cs="仿宋"/>
          <w:color w:val="000000"/>
          <w:kern w:val="0"/>
          <w:sz w:val="28"/>
          <w:szCs w:val="28"/>
          <w:lang w:val="en-US" w:eastAsia="zh-CN" w:bidi="ar"/>
        </w:rPr>
      </w:pPr>
    </w:p>
    <w:p w14:paraId="686BF737">
      <w:pPr>
        <w:keepNext w:val="0"/>
        <w:keepLines w:val="0"/>
        <w:widowControl/>
        <w:suppressLineNumbers w:val="0"/>
        <w:ind w:right="-733" w:rightChars="-349"/>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F包：碳汇本底资源调查与监测主要实施与内容：</w:t>
      </w:r>
    </w:p>
    <w:p w14:paraId="0D0715D6">
      <w:pPr>
        <w:keepNext w:val="0"/>
        <w:keepLines w:val="0"/>
        <w:widowControl/>
        <w:suppressLineNumbers w:val="0"/>
        <w:ind w:right="-733" w:rightChars="-349" w:firstLine="280" w:firstLineChars="1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①碳库储量的调查；②碳汇的调查；③碳源的调查；④碳汇能力的评价与提升对策研究。</w:t>
      </w:r>
    </w:p>
    <w:tbl>
      <w:tblPr>
        <w:tblStyle w:val="3"/>
        <w:tblW w:w="5163" w:type="pct"/>
        <w:jc w:val="center"/>
        <w:tblLayout w:type="fixed"/>
        <w:tblCellMar>
          <w:top w:w="0" w:type="dxa"/>
          <w:left w:w="108" w:type="dxa"/>
          <w:bottom w:w="0" w:type="dxa"/>
          <w:right w:w="108" w:type="dxa"/>
        </w:tblCellMar>
      </w:tblPr>
      <w:tblGrid>
        <w:gridCol w:w="845"/>
        <w:gridCol w:w="1493"/>
        <w:gridCol w:w="894"/>
        <w:gridCol w:w="1021"/>
        <w:gridCol w:w="4547"/>
      </w:tblGrid>
      <w:tr w14:paraId="26FC7EEC">
        <w:tblPrEx>
          <w:tblCellMar>
            <w:top w:w="0" w:type="dxa"/>
            <w:left w:w="108" w:type="dxa"/>
            <w:bottom w:w="0" w:type="dxa"/>
            <w:right w:w="108" w:type="dxa"/>
          </w:tblCellMar>
        </w:tblPrEx>
        <w:trPr>
          <w:trHeight w:val="1036" w:hRule="atLeast"/>
          <w:tblHeader/>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2665FCC">
            <w:pPr>
              <w:keepNext w:val="0"/>
              <w:keepLines w:val="0"/>
              <w:widowControl/>
              <w:suppressLineNumbers w:val="0"/>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8"/>
                <w:szCs w:val="28"/>
                <w:lang w:val="en-US" w:eastAsia="zh-CN" w:bidi="ar"/>
              </w:rPr>
              <w:t>F包：碳汇本底资源调查与监测主要实施与内容</w:t>
            </w:r>
          </w:p>
        </w:tc>
      </w:tr>
      <w:tr w14:paraId="2757A5B9">
        <w:tblPrEx>
          <w:tblCellMar>
            <w:top w:w="0" w:type="dxa"/>
            <w:left w:w="108" w:type="dxa"/>
            <w:bottom w:w="0" w:type="dxa"/>
            <w:right w:w="108" w:type="dxa"/>
          </w:tblCellMar>
        </w:tblPrEx>
        <w:trPr>
          <w:trHeight w:val="558" w:hRule="atLeast"/>
          <w:tblHeader/>
          <w:jc w:val="center"/>
        </w:trPr>
        <w:tc>
          <w:tcPr>
            <w:tcW w:w="48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E2C611">
            <w:pPr>
              <w:widowControl/>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序号</w:t>
            </w:r>
          </w:p>
        </w:tc>
        <w:tc>
          <w:tcPr>
            <w:tcW w:w="848" w:type="pct"/>
            <w:tcBorders>
              <w:top w:val="single" w:color="auto" w:sz="4" w:space="0"/>
              <w:left w:val="nil"/>
              <w:bottom w:val="single" w:color="auto" w:sz="4" w:space="0"/>
              <w:right w:val="single" w:color="auto" w:sz="4" w:space="0"/>
            </w:tcBorders>
            <w:shd w:val="clear" w:color="auto" w:fill="auto"/>
            <w:noWrap/>
            <w:vAlign w:val="center"/>
          </w:tcPr>
          <w:p w14:paraId="7966FC9D">
            <w:pPr>
              <w:widowControl/>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科目</w:t>
            </w:r>
          </w:p>
        </w:tc>
        <w:tc>
          <w:tcPr>
            <w:tcW w:w="507" w:type="pct"/>
            <w:tcBorders>
              <w:top w:val="single" w:color="auto" w:sz="4" w:space="0"/>
              <w:left w:val="nil"/>
              <w:bottom w:val="single" w:color="auto" w:sz="4" w:space="0"/>
              <w:right w:val="single" w:color="auto" w:sz="4" w:space="0"/>
            </w:tcBorders>
            <w:shd w:val="clear" w:color="auto" w:fill="auto"/>
            <w:noWrap/>
            <w:vAlign w:val="center"/>
          </w:tcPr>
          <w:p w14:paraId="069F31E7">
            <w:pPr>
              <w:keepNext w:val="0"/>
              <w:keepLines w:val="0"/>
              <w:widowControl/>
              <w:suppressLineNumbers w:val="0"/>
              <w:jc w:val="center"/>
              <w:textAlignment w:val="center"/>
              <w:rPr>
                <w:rFonts w:hint="eastAsia" w:ascii="仿宋" w:hAnsi="仿宋" w:eastAsia="仿宋" w:cs="仿宋"/>
                <w:b/>
                <w:color w:val="000000"/>
                <w:kern w:val="0"/>
                <w:sz w:val="24"/>
                <w:szCs w:val="24"/>
              </w:rPr>
            </w:pPr>
            <w:r>
              <w:rPr>
                <w:rFonts w:hint="eastAsia" w:ascii="仿宋" w:hAnsi="仿宋" w:eastAsia="仿宋" w:cs="仿宋"/>
                <w:i w:val="0"/>
                <w:iCs w:val="0"/>
                <w:color w:val="000000"/>
                <w:kern w:val="0"/>
                <w:sz w:val="24"/>
                <w:szCs w:val="24"/>
                <w:u w:val="none"/>
                <w:lang w:val="en-US" w:eastAsia="zh-CN" w:bidi="ar"/>
              </w:rPr>
              <w:t>单位</w:t>
            </w:r>
          </w:p>
        </w:tc>
        <w:tc>
          <w:tcPr>
            <w:tcW w:w="580" w:type="pct"/>
            <w:tcBorders>
              <w:top w:val="single" w:color="auto" w:sz="4" w:space="0"/>
              <w:left w:val="nil"/>
              <w:bottom w:val="single" w:color="auto" w:sz="4" w:space="0"/>
              <w:right w:val="single" w:color="auto" w:sz="4" w:space="0"/>
            </w:tcBorders>
            <w:shd w:val="clear" w:color="auto" w:fill="auto"/>
            <w:noWrap/>
            <w:vAlign w:val="center"/>
          </w:tcPr>
          <w:p w14:paraId="1D885D17">
            <w:pPr>
              <w:keepNext w:val="0"/>
              <w:keepLines w:val="0"/>
              <w:widowControl/>
              <w:suppressLineNumbers w:val="0"/>
              <w:jc w:val="center"/>
              <w:textAlignment w:val="center"/>
              <w:rPr>
                <w:rFonts w:hint="eastAsia" w:ascii="仿宋" w:hAnsi="仿宋" w:eastAsia="仿宋" w:cs="仿宋"/>
                <w:b/>
                <w:color w:val="000000"/>
                <w:kern w:val="0"/>
                <w:sz w:val="24"/>
                <w:szCs w:val="24"/>
              </w:rPr>
            </w:pPr>
            <w:r>
              <w:rPr>
                <w:rFonts w:hint="eastAsia" w:ascii="仿宋" w:hAnsi="仿宋" w:eastAsia="仿宋" w:cs="仿宋"/>
                <w:i w:val="0"/>
                <w:iCs w:val="0"/>
                <w:color w:val="000000"/>
                <w:kern w:val="0"/>
                <w:sz w:val="24"/>
                <w:szCs w:val="24"/>
                <w:u w:val="none"/>
                <w:lang w:val="en-US" w:eastAsia="zh-CN" w:bidi="ar"/>
              </w:rPr>
              <w:t>数量</w:t>
            </w:r>
          </w:p>
        </w:tc>
        <w:tc>
          <w:tcPr>
            <w:tcW w:w="2583" w:type="pct"/>
            <w:tcBorders>
              <w:top w:val="single" w:color="auto" w:sz="4" w:space="0"/>
              <w:left w:val="nil"/>
              <w:bottom w:val="single" w:color="auto" w:sz="4" w:space="0"/>
              <w:right w:val="single" w:color="auto" w:sz="4" w:space="0"/>
            </w:tcBorders>
            <w:shd w:val="clear" w:color="auto" w:fill="auto"/>
            <w:noWrap/>
            <w:vAlign w:val="center"/>
          </w:tcPr>
          <w:p w14:paraId="7B4F216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kern w:val="0"/>
                <w:sz w:val="24"/>
              </w:rPr>
              <w:t>备注</w:t>
            </w:r>
          </w:p>
        </w:tc>
      </w:tr>
      <w:tr w14:paraId="3269DD35">
        <w:tblPrEx>
          <w:tblCellMar>
            <w:top w:w="0" w:type="dxa"/>
            <w:left w:w="108" w:type="dxa"/>
            <w:bottom w:w="0" w:type="dxa"/>
            <w:right w:w="108" w:type="dxa"/>
          </w:tblCellMar>
        </w:tblPrEx>
        <w:trPr>
          <w:trHeight w:val="976" w:hRule="atLeast"/>
          <w:jc w:val="center"/>
        </w:trPr>
        <w:tc>
          <w:tcPr>
            <w:tcW w:w="480" w:type="pct"/>
            <w:tcBorders>
              <w:top w:val="nil"/>
              <w:left w:val="single" w:color="auto" w:sz="4" w:space="0"/>
              <w:bottom w:val="single" w:color="auto" w:sz="4" w:space="0"/>
              <w:right w:val="single" w:color="auto" w:sz="4" w:space="0"/>
            </w:tcBorders>
            <w:shd w:val="clear" w:color="auto" w:fill="auto"/>
            <w:noWrap/>
            <w:vAlign w:val="center"/>
          </w:tcPr>
          <w:p w14:paraId="6EFFCB24">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848" w:type="pct"/>
            <w:tcBorders>
              <w:top w:val="nil"/>
              <w:left w:val="nil"/>
              <w:bottom w:val="single" w:color="auto" w:sz="4" w:space="0"/>
              <w:right w:val="single" w:color="auto" w:sz="4" w:space="0"/>
            </w:tcBorders>
            <w:shd w:val="clear" w:color="auto" w:fill="auto"/>
            <w:noWrap/>
            <w:vAlign w:val="center"/>
          </w:tcPr>
          <w:p w14:paraId="0469B860">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测试化验加工费</w:t>
            </w:r>
          </w:p>
        </w:tc>
        <w:tc>
          <w:tcPr>
            <w:tcW w:w="507" w:type="pct"/>
            <w:tcBorders>
              <w:top w:val="nil"/>
              <w:left w:val="nil"/>
              <w:bottom w:val="single" w:color="auto" w:sz="4" w:space="0"/>
              <w:right w:val="single" w:color="auto" w:sz="4" w:space="0"/>
            </w:tcBorders>
            <w:shd w:val="clear" w:color="auto" w:fill="auto"/>
            <w:noWrap/>
            <w:vAlign w:val="center"/>
          </w:tcPr>
          <w:p w14:paraId="5B0773CA">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项</w:t>
            </w:r>
          </w:p>
        </w:tc>
        <w:tc>
          <w:tcPr>
            <w:tcW w:w="580" w:type="pct"/>
            <w:tcBorders>
              <w:top w:val="nil"/>
              <w:left w:val="nil"/>
              <w:bottom w:val="single" w:color="auto" w:sz="4" w:space="0"/>
              <w:right w:val="single" w:color="auto" w:sz="4" w:space="0"/>
            </w:tcBorders>
            <w:shd w:val="clear" w:color="auto" w:fill="auto"/>
            <w:noWrap/>
            <w:vAlign w:val="center"/>
          </w:tcPr>
          <w:p w14:paraId="660BC0AF">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w:t>
            </w:r>
          </w:p>
        </w:tc>
        <w:tc>
          <w:tcPr>
            <w:tcW w:w="2583" w:type="pct"/>
            <w:tcBorders>
              <w:top w:val="nil"/>
              <w:left w:val="nil"/>
              <w:bottom w:val="single" w:color="auto" w:sz="4" w:space="0"/>
              <w:right w:val="single" w:color="auto" w:sz="4" w:space="0"/>
            </w:tcBorders>
            <w:shd w:val="clear" w:color="auto" w:fill="auto"/>
            <w:noWrap/>
            <w:vAlign w:val="center"/>
          </w:tcPr>
          <w:p w14:paraId="0A41CB7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kern w:val="0"/>
                <w:sz w:val="24"/>
                <w:szCs w:val="24"/>
              </w:rPr>
              <w:t>用于全碳、全氮、全磷等指标测试</w:t>
            </w:r>
          </w:p>
        </w:tc>
      </w:tr>
      <w:tr w14:paraId="4F814F84">
        <w:tblPrEx>
          <w:tblCellMar>
            <w:top w:w="0" w:type="dxa"/>
            <w:left w:w="108" w:type="dxa"/>
            <w:bottom w:w="0" w:type="dxa"/>
            <w:right w:w="108" w:type="dxa"/>
          </w:tblCellMar>
        </w:tblPrEx>
        <w:trPr>
          <w:trHeight w:val="1650" w:hRule="atLeast"/>
          <w:jc w:val="center"/>
        </w:trPr>
        <w:tc>
          <w:tcPr>
            <w:tcW w:w="480" w:type="pct"/>
            <w:tcBorders>
              <w:top w:val="nil"/>
              <w:left w:val="single" w:color="auto" w:sz="4" w:space="0"/>
              <w:bottom w:val="single" w:color="auto" w:sz="4" w:space="0"/>
              <w:right w:val="single" w:color="auto" w:sz="4" w:space="0"/>
            </w:tcBorders>
            <w:shd w:val="clear" w:color="auto" w:fill="auto"/>
            <w:noWrap/>
            <w:vAlign w:val="center"/>
          </w:tcPr>
          <w:p w14:paraId="3DFF5077">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848" w:type="pct"/>
            <w:tcBorders>
              <w:top w:val="nil"/>
              <w:left w:val="nil"/>
              <w:bottom w:val="single" w:color="auto" w:sz="4" w:space="0"/>
              <w:right w:val="single" w:color="auto" w:sz="4" w:space="0"/>
            </w:tcBorders>
            <w:shd w:val="clear" w:color="auto" w:fill="auto"/>
            <w:noWrap/>
            <w:vAlign w:val="center"/>
          </w:tcPr>
          <w:p w14:paraId="16C3C2B3">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材料费</w:t>
            </w:r>
          </w:p>
        </w:tc>
        <w:tc>
          <w:tcPr>
            <w:tcW w:w="507" w:type="pct"/>
            <w:tcBorders>
              <w:top w:val="nil"/>
              <w:left w:val="nil"/>
              <w:bottom w:val="single" w:color="auto" w:sz="4" w:space="0"/>
              <w:right w:val="single" w:color="auto" w:sz="4" w:space="0"/>
            </w:tcBorders>
            <w:shd w:val="clear" w:color="auto" w:fill="auto"/>
            <w:noWrap/>
            <w:vAlign w:val="center"/>
          </w:tcPr>
          <w:p w14:paraId="589DADD2">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批</w:t>
            </w:r>
          </w:p>
        </w:tc>
        <w:tc>
          <w:tcPr>
            <w:tcW w:w="580" w:type="pct"/>
            <w:tcBorders>
              <w:top w:val="nil"/>
              <w:left w:val="nil"/>
              <w:bottom w:val="single" w:color="auto" w:sz="4" w:space="0"/>
              <w:right w:val="single" w:color="auto" w:sz="4" w:space="0"/>
            </w:tcBorders>
            <w:shd w:val="clear" w:color="auto" w:fill="auto"/>
            <w:noWrap/>
            <w:vAlign w:val="center"/>
          </w:tcPr>
          <w:p w14:paraId="5CEE99EE">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w:t>
            </w:r>
          </w:p>
        </w:tc>
        <w:tc>
          <w:tcPr>
            <w:tcW w:w="2583" w:type="pct"/>
            <w:tcBorders>
              <w:top w:val="nil"/>
              <w:left w:val="nil"/>
              <w:bottom w:val="single" w:color="auto" w:sz="4" w:space="0"/>
              <w:right w:val="single" w:color="auto" w:sz="4" w:space="0"/>
            </w:tcBorders>
            <w:shd w:val="clear" w:color="auto" w:fill="auto"/>
            <w:noWrap/>
            <w:vAlign w:val="center"/>
          </w:tcPr>
          <w:p w14:paraId="69BA8F5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kern w:val="0"/>
                <w:sz w:val="24"/>
                <w:szCs w:val="24"/>
              </w:rPr>
              <w:t>用于野外调查试验所需物品</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包括：样品袋、记号笔、铅笔等1批次</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土钻、树高测量仪、 枝剪、砍刀、卷尺、样方绳、帐篷等1批</w:t>
            </w:r>
          </w:p>
        </w:tc>
      </w:tr>
      <w:tr w14:paraId="3F9AEB58">
        <w:tblPrEx>
          <w:tblCellMar>
            <w:top w:w="0" w:type="dxa"/>
            <w:left w:w="108" w:type="dxa"/>
            <w:bottom w:w="0" w:type="dxa"/>
            <w:right w:w="108" w:type="dxa"/>
          </w:tblCellMar>
        </w:tblPrEx>
        <w:trPr>
          <w:trHeight w:val="582" w:hRule="atLeast"/>
          <w:jc w:val="center"/>
        </w:trPr>
        <w:tc>
          <w:tcPr>
            <w:tcW w:w="480" w:type="pct"/>
            <w:tcBorders>
              <w:top w:val="nil"/>
              <w:left w:val="single" w:color="auto" w:sz="4" w:space="0"/>
              <w:bottom w:val="single" w:color="auto" w:sz="4" w:space="0"/>
              <w:right w:val="single" w:color="auto" w:sz="4" w:space="0"/>
            </w:tcBorders>
            <w:shd w:val="clear" w:color="auto" w:fill="auto"/>
            <w:noWrap/>
            <w:vAlign w:val="center"/>
          </w:tcPr>
          <w:p w14:paraId="49C8E42B">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848" w:type="pct"/>
            <w:vMerge w:val="restart"/>
            <w:tcBorders>
              <w:top w:val="nil"/>
              <w:left w:val="nil"/>
              <w:right w:val="single" w:color="auto" w:sz="4" w:space="0"/>
            </w:tcBorders>
            <w:shd w:val="clear" w:color="auto" w:fill="auto"/>
            <w:noWrap/>
            <w:vAlign w:val="center"/>
          </w:tcPr>
          <w:p w14:paraId="7D542272">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外业调研劳务费</w:t>
            </w:r>
          </w:p>
        </w:tc>
        <w:tc>
          <w:tcPr>
            <w:tcW w:w="507" w:type="pct"/>
            <w:tcBorders>
              <w:top w:val="nil"/>
              <w:left w:val="single" w:color="auto" w:sz="4" w:space="0"/>
              <w:bottom w:val="single" w:color="auto" w:sz="4" w:space="0"/>
              <w:right w:val="single" w:color="auto" w:sz="4" w:space="0"/>
            </w:tcBorders>
            <w:shd w:val="clear" w:color="auto" w:fill="auto"/>
            <w:noWrap/>
            <w:vAlign w:val="center"/>
          </w:tcPr>
          <w:p w14:paraId="5303ED47">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工日</w:t>
            </w:r>
          </w:p>
        </w:tc>
        <w:tc>
          <w:tcPr>
            <w:tcW w:w="580" w:type="pct"/>
            <w:tcBorders>
              <w:top w:val="nil"/>
              <w:left w:val="single" w:color="auto" w:sz="4" w:space="0"/>
              <w:bottom w:val="single" w:color="auto" w:sz="4" w:space="0"/>
              <w:right w:val="single" w:color="auto" w:sz="4" w:space="0"/>
            </w:tcBorders>
            <w:shd w:val="clear" w:color="auto" w:fill="auto"/>
            <w:noWrap/>
            <w:vAlign w:val="center"/>
          </w:tcPr>
          <w:p w14:paraId="29DF680B">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360</w:t>
            </w:r>
          </w:p>
        </w:tc>
        <w:tc>
          <w:tcPr>
            <w:tcW w:w="2583" w:type="pct"/>
            <w:tcBorders>
              <w:top w:val="nil"/>
              <w:left w:val="single" w:color="auto" w:sz="4" w:space="0"/>
              <w:bottom w:val="single" w:color="auto" w:sz="4" w:space="0"/>
              <w:right w:val="single" w:color="auto" w:sz="4" w:space="0"/>
            </w:tcBorders>
            <w:shd w:val="clear" w:color="auto" w:fill="auto"/>
            <w:noWrap/>
            <w:vAlign w:val="center"/>
          </w:tcPr>
          <w:p w14:paraId="4437F9E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kern w:val="0"/>
                <w:sz w:val="24"/>
                <w:szCs w:val="24"/>
              </w:rPr>
              <w:t>劳务费</w:t>
            </w:r>
          </w:p>
        </w:tc>
      </w:tr>
      <w:tr w14:paraId="3A6AFC84">
        <w:tblPrEx>
          <w:tblCellMar>
            <w:top w:w="0" w:type="dxa"/>
            <w:left w:w="108" w:type="dxa"/>
            <w:bottom w:w="0" w:type="dxa"/>
            <w:right w:w="108" w:type="dxa"/>
          </w:tblCellMar>
        </w:tblPrEx>
        <w:trPr>
          <w:trHeight w:val="648" w:hRule="atLeast"/>
          <w:jc w:val="center"/>
        </w:trPr>
        <w:tc>
          <w:tcPr>
            <w:tcW w:w="480" w:type="pct"/>
            <w:tcBorders>
              <w:top w:val="nil"/>
              <w:left w:val="single" w:color="auto" w:sz="4" w:space="0"/>
              <w:bottom w:val="single" w:color="auto" w:sz="4" w:space="0"/>
              <w:right w:val="single" w:color="auto" w:sz="4" w:space="0"/>
            </w:tcBorders>
            <w:shd w:val="clear" w:color="auto" w:fill="auto"/>
            <w:noWrap/>
            <w:vAlign w:val="center"/>
          </w:tcPr>
          <w:p w14:paraId="08C94EF4">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848" w:type="pct"/>
            <w:vMerge w:val="continue"/>
            <w:tcBorders>
              <w:left w:val="nil"/>
              <w:bottom w:val="single" w:color="auto" w:sz="4" w:space="0"/>
              <w:right w:val="single" w:color="auto" w:sz="4" w:space="0"/>
            </w:tcBorders>
            <w:shd w:val="clear" w:color="auto" w:fill="auto"/>
            <w:noWrap/>
            <w:vAlign w:val="center"/>
          </w:tcPr>
          <w:p w14:paraId="32DEF5DF">
            <w:pPr>
              <w:widowControl/>
              <w:jc w:val="center"/>
              <w:rPr>
                <w:rFonts w:hint="eastAsia" w:ascii="仿宋" w:hAnsi="仿宋" w:eastAsia="仿宋" w:cs="仿宋"/>
                <w:color w:val="000000"/>
                <w:kern w:val="0"/>
                <w:sz w:val="24"/>
                <w:szCs w:val="24"/>
              </w:rPr>
            </w:pPr>
          </w:p>
        </w:tc>
        <w:tc>
          <w:tcPr>
            <w:tcW w:w="507" w:type="pct"/>
            <w:tcBorders>
              <w:top w:val="nil"/>
              <w:left w:val="single" w:color="auto" w:sz="4" w:space="0"/>
              <w:bottom w:val="single" w:color="auto" w:sz="4" w:space="0"/>
              <w:right w:val="single" w:color="auto" w:sz="4" w:space="0"/>
            </w:tcBorders>
            <w:vAlign w:val="center"/>
          </w:tcPr>
          <w:p w14:paraId="6CE82C16">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工日</w:t>
            </w:r>
          </w:p>
        </w:tc>
        <w:tc>
          <w:tcPr>
            <w:tcW w:w="580" w:type="pct"/>
            <w:tcBorders>
              <w:top w:val="nil"/>
              <w:left w:val="single" w:color="auto" w:sz="4" w:space="0"/>
              <w:bottom w:val="single" w:color="auto" w:sz="4" w:space="0"/>
              <w:right w:val="single" w:color="auto" w:sz="4" w:space="0"/>
            </w:tcBorders>
            <w:vAlign w:val="center"/>
          </w:tcPr>
          <w:p w14:paraId="7D591C7E">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240</w:t>
            </w:r>
          </w:p>
        </w:tc>
        <w:tc>
          <w:tcPr>
            <w:tcW w:w="2583" w:type="pct"/>
            <w:tcBorders>
              <w:top w:val="nil"/>
              <w:left w:val="single" w:color="auto" w:sz="4" w:space="0"/>
              <w:bottom w:val="single" w:color="auto" w:sz="4" w:space="0"/>
              <w:right w:val="single" w:color="auto" w:sz="4" w:space="0"/>
            </w:tcBorders>
            <w:vAlign w:val="center"/>
          </w:tcPr>
          <w:p w14:paraId="47C3714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kern w:val="0"/>
                <w:sz w:val="24"/>
                <w:szCs w:val="24"/>
              </w:rPr>
              <w:t>劳务费</w:t>
            </w:r>
          </w:p>
        </w:tc>
      </w:tr>
      <w:tr w14:paraId="58B0D8E3">
        <w:tblPrEx>
          <w:tblCellMar>
            <w:top w:w="0" w:type="dxa"/>
            <w:left w:w="108" w:type="dxa"/>
            <w:bottom w:w="0" w:type="dxa"/>
            <w:right w:w="108" w:type="dxa"/>
          </w:tblCellMar>
        </w:tblPrEx>
        <w:trPr>
          <w:trHeight w:val="701" w:hRule="atLeast"/>
          <w:jc w:val="center"/>
        </w:trPr>
        <w:tc>
          <w:tcPr>
            <w:tcW w:w="480" w:type="pct"/>
            <w:tcBorders>
              <w:top w:val="nil"/>
              <w:left w:val="single" w:color="auto" w:sz="4" w:space="0"/>
              <w:bottom w:val="single" w:color="auto" w:sz="4" w:space="0"/>
              <w:right w:val="single" w:color="auto" w:sz="4" w:space="0"/>
            </w:tcBorders>
            <w:shd w:val="clear" w:color="auto" w:fill="auto"/>
            <w:noWrap/>
            <w:vAlign w:val="center"/>
          </w:tcPr>
          <w:p w14:paraId="0CE9AB88">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848" w:type="pct"/>
            <w:tcBorders>
              <w:top w:val="nil"/>
              <w:left w:val="nil"/>
              <w:bottom w:val="single" w:color="auto" w:sz="4" w:space="0"/>
              <w:right w:val="single" w:color="auto" w:sz="4" w:space="0"/>
            </w:tcBorders>
            <w:shd w:val="clear" w:color="auto" w:fill="auto"/>
            <w:noWrap/>
            <w:vAlign w:val="center"/>
          </w:tcPr>
          <w:p w14:paraId="1B38CC86">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内业编制</w:t>
            </w:r>
          </w:p>
        </w:tc>
        <w:tc>
          <w:tcPr>
            <w:tcW w:w="507" w:type="pct"/>
            <w:tcBorders>
              <w:top w:val="nil"/>
              <w:left w:val="nil"/>
              <w:bottom w:val="single" w:color="auto" w:sz="4" w:space="0"/>
              <w:right w:val="single" w:color="auto" w:sz="4" w:space="0"/>
            </w:tcBorders>
            <w:shd w:val="clear" w:color="auto" w:fill="auto"/>
            <w:noWrap/>
            <w:vAlign w:val="center"/>
          </w:tcPr>
          <w:p w14:paraId="66281B67">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工日</w:t>
            </w:r>
          </w:p>
        </w:tc>
        <w:tc>
          <w:tcPr>
            <w:tcW w:w="580" w:type="pct"/>
            <w:tcBorders>
              <w:top w:val="nil"/>
              <w:left w:val="nil"/>
              <w:bottom w:val="single" w:color="auto" w:sz="4" w:space="0"/>
              <w:right w:val="single" w:color="auto" w:sz="4" w:space="0"/>
            </w:tcBorders>
            <w:shd w:val="clear" w:color="auto" w:fill="auto"/>
            <w:noWrap/>
            <w:vAlign w:val="center"/>
          </w:tcPr>
          <w:p w14:paraId="63D6F054">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120</w:t>
            </w:r>
          </w:p>
        </w:tc>
        <w:tc>
          <w:tcPr>
            <w:tcW w:w="2583" w:type="pct"/>
            <w:tcBorders>
              <w:top w:val="nil"/>
              <w:left w:val="nil"/>
              <w:bottom w:val="single" w:color="auto" w:sz="4" w:space="0"/>
              <w:right w:val="single" w:color="auto" w:sz="4" w:space="0"/>
            </w:tcBorders>
            <w:shd w:val="clear" w:color="auto" w:fill="auto"/>
            <w:noWrap/>
            <w:vAlign w:val="center"/>
          </w:tcPr>
          <w:p w14:paraId="3371BFA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kern w:val="0"/>
                <w:sz w:val="24"/>
                <w:szCs w:val="24"/>
              </w:rPr>
              <w:t>劳务费</w:t>
            </w:r>
          </w:p>
        </w:tc>
      </w:tr>
      <w:tr w14:paraId="7B65069F">
        <w:tblPrEx>
          <w:tblCellMar>
            <w:top w:w="0" w:type="dxa"/>
            <w:left w:w="108" w:type="dxa"/>
            <w:bottom w:w="0" w:type="dxa"/>
            <w:right w:w="108" w:type="dxa"/>
          </w:tblCellMar>
        </w:tblPrEx>
        <w:trPr>
          <w:trHeight w:val="532" w:hRule="atLeast"/>
          <w:jc w:val="center"/>
        </w:trPr>
        <w:tc>
          <w:tcPr>
            <w:tcW w:w="480" w:type="pct"/>
            <w:tcBorders>
              <w:top w:val="nil"/>
              <w:left w:val="single" w:color="auto" w:sz="4" w:space="0"/>
              <w:bottom w:val="single" w:color="auto" w:sz="4" w:space="0"/>
              <w:right w:val="single" w:color="auto" w:sz="4" w:space="0"/>
            </w:tcBorders>
            <w:shd w:val="clear" w:color="auto" w:fill="auto"/>
            <w:noWrap/>
            <w:vAlign w:val="center"/>
          </w:tcPr>
          <w:p w14:paraId="7B525836">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848" w:type="pct"/>
            <w:tcBorders>
              <w:top w:val="nil"/>
              <w:left w:val="nil"/>
              <w:bottom w:val="single" w:color="auto" w:sz="4" w:space="0"/>
              <w:right w:val="single" w:color="auto" w:sz="4" w:space="0"/>
            </w:tcBorders>
            <w:shd w:val="clear" w:color="auto" w:fill="auto"/>
            <w:noWrap/>
            <w:vAlign w:val="center"/>
          </w:tcPr>
          <w:p w14:paraId="6E61F0C8">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专家咨询费</w:t>
            </w:r>
          </w:p>
        </w:tc>
        <w:tc>
          <w:tcPr>
            <w:tcW w:w="507" w:type="pct"/>
            <w:tcBorders>
              <w:top w:val="nil"/>
              <w:left w:val="nil"/>
              <w:bottom w:val="single" w:color="auto" w:sz="4" w:space="0"/>
              <w:right w:val="single" w:color="auto" w:sz="4" w:space="0"/>
            </w:tcBorders>
            <w:shd w:val="clear" w:color="auto" w:fill="auto"/>
            <w:noWrap/>
            <w:vAlign w:val="center"/>
          </w:tcPr>
          <w:p w14:paraId="65E74FAB">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人</w:t>
            </w:r>
          </w:p>
        </w:tc>
        <w:tc>
          <w:tcPr>
            <w:tcW w:w="580" w:type="pct"/>
            <w:tcBorders>
              <w:top w:val="nil"/>
              <w:left w:val="nil"/>
              <w:bottom w:val="single" w:color="auto" w:sz="4" w:space="0"/>
              <w:right w:val="single" w:color="auto" w:sz="4" w:space="0"/>
            </w:tcBorders>
            <w:shd w:val="clear" w:color="auto" w:fill="auto"/>
            <w:noWrap/>
            <w:vAlign w:val="center"/>
          </w:tcPr>
          <w:p w14:paraId="1CFAB148">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20</w:t>
            </w:r>
          </w:p>
        </w:tc>
        <w:tc>
          <w:tcPr>
            <w:tcW w:w="2583" w:type="pct"/>
            <w:tcBorders>
              <w:top w:val="nil"/>
              <w:left w:val="nil"/>
              <w:bottom w:val="single" w:color="auto" w:sz="4" w:space="0"/>
              <w:right w:val="single" w:color="auto" w:sz="4" w:space="0"/>
            </w:tcBorders>
            <w:shd w:val="clear" w:color="auto" w:fill="auto"/>
            <w:noWrap/>
            <w:vAlign w:val="center"/>
          </w:tcPr>
          <w:p w14:paraId="3CB2D6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kern w:val="0"/>
                <w:sz w:val="24"/>
                <w:szCs w:val="24"/>
              </w:rPr>
              <w:t>劳务费</w:t>
            </w:r>
          </w:p>
        </w:tc>
      </w:tr>
      <w:tr w14:paraId="65ABA1D8">
        <w:tblPrEx>
          <w:tblCellMar>
            <w:top w:w="0" w:type="dxa"/>
            <w:left w:w="108" w:type="dxa"/>
            <w:bottom w:w="0" w:type="dxa"/>
            <w:right w:w="108" w:type="dxa"/>
          </w:tblCellMar>
        </w:tblPrEx>
        <w:trPr>
          <w:trHeight w:val="725" w:hRule="atLeast"/>
          <w:jc w:val="center"/>
        </w:trPr>
        <w:tc>
          <w:tcPr>
            <w:tcW w:w="480" w:type="pct"/>
            <w:tcBorders>
              <w:top w:val="nil"/>
              <w:left w:val="single" w:color="auto" w:sz="4" w:space="0"/>
              <w:bottom w:val="single" w:color="auto" w:sz="4" w:space="0"/>
              <w:right w:val="single" w:color="auto" w:sz="4" w:space="0"/>
            </w:tcBorders>
            <w:shd w:val="clear" w:color="auto" w:fill="auto"/>
            <w:noWrap/>
            <w:vAlign w:val="center"/>
          </w:tcPr>
          <w:p w14:paraId="42549AD5">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848" w:type="pct"/>
            <w:tcBorders>
              <w:top w:val="nil"/>
              <w:left w:val="nil"/>
              <w:bottom w:val="single" w:color="auto" w:sz="4" w:space="0"/>
              <w:right w:val="single" w:color="auto" w:sz="4" w:space="0"/>
            </w:tcBorders>
            <w:shd w:val="clear" w:color="auto" w:fill="auto"/>
            <w:noWrap/>
            <w:vAlign w:val="center"/>
          </w:tcPr>
          <w:p w14:paraId="03CFEB9A">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报告撰写费</w:t>
            </w:r>
          </w:p>
        </w:tc>
        <w:tc>
          <w:tcPr>
            <w:tcW w:w="507" w:type="pct"/>
            <w:tcBorders>
              <w:top w:val="nil"/>
              <w:left w:val="nil"/>
              <w:bottom w:val="single" w:color="auto" w:sz="4" w:space="0"/>
              <w:right w:val="single" w:color="auto" w:sz="4" w:space="0"/>
            </w:tcBorders>
            <w:shd w:val="clear" w:color="auto" w:fill="auto"/>
            <w:noWrap/>
            <w:vAlign w:val="center"/>
          </w:tcPr>
          <w:p w14:paraId="0FFD14E7">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工日</w:t>
            </w:r>
          </w:p>
        </w:tc>
        <w:tc>
          <w:tcPr>
            <w:tcW w:w="580" w:type="pct"/>
            <w:tcBorders>
              <w:top w:val="nil"/>
              <w:left w:val="nil"/>
              <w:bottom w:val="single" w:color="auto" w:sz="4" w:space="0"/>
              <w:right w:val="single" w:color="auto" w:sz="4" w:space="0"/>
            </w:tcBorders>
            <w:shd w:val="clear" w:color="auto" w:fill="auto"/>
            <w:noWrap/>
            <w:vAlign w:val="center"/>
          </w:tcPr>
          <w:p w14:paraId="40E54670">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20</w:t>
            </w:r>
          </w:p>
        </w:tc>
        <w:tc>
          <w:tcPr>
            <w:tcW w:w="2583" w:type="pct"/>
            <w:tcBorders>
              <w:top w:val="nil"/>
              <w:left w:val="nil"/>
              <w:bottom w:val="single" w:color="auto" w:sz="4" w:space="0"/>
              <w:right w:val="single" w:color="auto" w:sz="4" w:space="0"/>
            </w:tcBorders>
            <w:shd w:val="clear" w:color="auto" w:fill="auto"/>
            <w:noWrap/>
            <w:vAlign w:val="center"/>
          </w:tcPr>
          <w:p w14:paraId="7746A23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kern w:val="0"/>
                <w:sz w:val="24"/>
                <w:szCs w:val="24"/>
              </w:rPr>
              <w:t>劳务费</w:t>
            </w:r>
          </w:p>
        </w:tc>
      </w:tr>
      <w:tr w14:paraId="758844EC">
        <w:tblPrEx>
          <w:tblCellMar>
            <w:top w:w="0" w:type="dxa"/>
            <w:left w:w="108" w:type="dxa"/>
            <w:bottom w:w="0" w:type="dxa"/>
            <w:right w:w="108" w:type="dxa"/>
          </w:tblCellMar>
        </w:tblPrEx>
        <w:trPr>
          <w:trHeight w:val="727" w:hRule="atLeast"/>
          <w:jc w:val="center"/>
        </w:trPr>
        <w:tc>
          <w:tcPr>
            <w:tcW w:w="480" w:type="pct"/>
            <w:tcBorders>
              <w:top w:val="nil"/>
              <w:left w:val="single" w:color="auto" w:sz="4" w:space="0"/>
              <w:bottom w:val="single" w:color="auto" w:sz="4" w:space="0"/>
              <w:right w:val="single" w:color="auto" w:sz="4" w:space="0"/>
            </w:tcBorders>
            <w:shd w:val="clear" w:color="auto" w:fill="auto"/>
            <w:noWrap/>
            <w:vAlign w:val="center"/>
          </w:tcPr>
          <w:p w14:paraId="71028493">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848" w:type="pct"/>
            <w:tcBorders>
              <w:top w:val="nil"/>
              <w:left w:val="nil"/>
              <w:bottom w:val="single" w:color="auto" w:sz="4" w:space="0"/>
              <w:right w:val="single" w:color="auto" w:sz="4" w:space="0"/>
            </w:tcBorders>
            <w:shd w:val="clear" w:color="auto" w:fill="auto"/>
            <w:noWrap/>
            <w:vAlign w:val="center"/>
          </w:tcPr>
          <w:p w14:paraId="5AC62DF4">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其他</w:t>
            </w:r>
          </w:p>
        </w:tc>
        <w:tc>
          <w:tcPr>
            <w:tcW w:w="507" w:type="pct"/>
            <w:tcBorders>
              <w:top w:val="nil"/>
              <w:left w:val="nil"/>
              <w:bottom w:val="single" w:color="auto" w:sz="4" w:space="0"/>
              <w:right w:val="single" w:color="auto" w:sz="4" w:space="0"/>
            </w:tcBorders>
            <w:shd w:val="clear" w:color="auto" w:fill="auto"/>
            <w:noWrap/>
            <w:vAlign w:val="center"/>
          </w:tcPr>
          <w:p w14:paraId="357D674D">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项</w:t>
            </w:r>
          </w:p>
        </w:tc>
        <w:tc>
          <w:tcPr>
            <w:tcW w:w="580" w:type="pct"/>
            <w:tcBorders>
              <w:top w:val="nil"/>
              <w:left w:val="nil"/>
              <w:bottom w:val="single" w:color="auto" w:sz="4" w:space="0"/>
              <w:right w:val="single" w:color="auto" w:sz="4" w:space="0"/>
            </w:tcBorders>
            <w:shd w:val="clear" w:color="auto" w:fill="auto"/>
            <w:noWrap/>
            <w:vAlign w:val="center"/>
          </w:tcPr>
          <w:p w14:paraId="083830AD">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w:t>
            </w:r>
          </w:p>
        </w:tc>
        <w:tc>
          <w:tcPr>
            <w:tcW w:w="2583" w:type="pct"/>
            <w:tcBorders>
              <w:top w:val="nil"/>
              <w:left w:val="nil"/>
              <w:bottom w:val="single" w:color="auto" w:sz="4" w:space="0"/>
              <w:right w:val="single" w:color="auto" w:sz="4" w:space="0"/>
            </w:tcBorders>
            <w:shd w:val="clear" w:color="auto" w:fill="auto"/>
            <w:noWrap/>
            <w:vAlign w:val="center"/>
          </w:tcPr>
          <w:p w14:paraId="105F665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kern w:val="0"/>
                <w:sz w:val="24"/>
                <w:szCs w:val="24"/>
              </w:rPr>
              <w:t>车辆</w:t>
            </w:r>
            <w:r>
              <w:rPr>
                <w:rFonts w:hint="eastAsia" w:ascii="仿宋" w:hAnsi="仿宋" w:eastAsia="仿宋" w:cs="仿宋"/>
                <w:color w:val="000000"/>
                <w:kern w:val="0"/>
                <w:sz w:val="24"/>
                <w:szCs w:val="24"/>
                <w:lang w:val="en-US" w:eastAsia="zh-CN"/>
              </w:rPr>
              <w:t>费用</w:t>
            </w:r>
            <w:r>
              <w:rPr>
                <w:rFonts w:hint="eastAsia" w:ascii="仿宋" w:hAnsi="仿宋" w:eastAsia="仿宋" w:cs="仿宋"/>
                <w:color w:val="000000"/>
                <w:kern w:val="0"/>
                <w:sz w:val="24"/>
                <w:szCs w:val="24"/>
              </w:rPr>
              <w:t>、野外工作服购买、野外调查保险费等费用。</w:t>
            </w:r>
          </w:p>
        </w:tc>
      </w:tr>
    </w:tbl>
    <w:p w14:paraId="6F52FA49">
      <w:pPr>
        <w:keepNext w:val="0"/>
        <w:keepLines w:val="0"/>
        <w:widowControl/>
        <w:suppressLineNumbers w:val="0"/>
        <w:ind w:right="-733" w:rightChars="-349"/>
        <w:jc w:val="left"/>
        <w:rPr>
          <w:rFonts w:hint="eastAsia" w:ascii="仿宋" w:hAnsi="仿宋" w:eastAsia="仿宋" w:cs="仿宋"/>
          <w:color w:val="000000"/>
          <w:kern w:val="0"/>
          <w:sz w:val="28"/>
          <w:szCs w:val="28"/>
          <w:lang w:val="en-US" w:eastAsia="zh-CN" w:bidi="ar"/>
        </w:rPr>
      </w:pPr>
    </w:p>
    <w:p w14:paraId="39FA9635">
      <w:pPr>
        <w:keepNext w:val="0"/>
        <w:keepLines w:val="0"/>
        <w:widowControl/>
        <w:suppressLineNumbers w:val="0"/>
        <w:ind w:right="-733" w:rightChars="-349"/>
        <w:jc w:val="left"/>
        <w:rPr>
          <w:rFonts w:hint="eastAsia" w:ascii="仿宋" w:hAnsi="仿宋" w:eastAsia="仿宋" w:cs="仿宋"/>
          <w:color w:val="000000"/>
          <w:kern w:val="0"/>
          <w:sz w:val="28"/>
          <w:szCs w:val="28"/>
          <w:lang w:val="en-US" w:eastAsia="zh-CN" w:bidi="ar"/>
        </w:rPr>
      </w:pPr>
    </w:p>
    <w:p w14:paraId="06CEE13A">
      <w:pPr>
        <w:keepNext w:val="0"/>
        <w:keepLines w:val="0"/>
        <w:widowControl/>
        <w:suppressLineNumbers w:val="0"/>
        <w:ind w:right="-733" w:rightChars="-349"/>
        <w:jc w:val="left"/>
        <w:rPr>
          <w:rFonts w:hint="eastAsia" w:ascii="仿宋" w:hAnsi="仿宋" w:eastAsia="仿宋" w:cs="仿宋"/>
          <w:color w:val="000000"/>
          <w:kern w:val="0"/>
          <w:sz w:val="28"/>
          <w:szCs w:val="28"/>
          <w:lang w:val="en-US" w:eastAsia="zh-CN" w:bidi="ar"/>
        </w:rPr>
      </w:pPr>
    </w:p>
    <w:p w14:paraId="3759B1B2">
      <w:pPr>
        <w:keepNext w:val="0"/>
        <w:keepLines w:val="0"/>
        <w:widowControl/>
        <w:suppressLineNumbers w:val="0"/>
        <w:ind w:right="-733" w:rightChars="-349"/>
        <w:jc w:val="left"/>
        <w:rPr>
          <w:rFonts w:hint="eastAsia" w:ascii="仿宋" w:hAnsi="仿宋" w:eastAsia="仿宋" w:cs="仿宋"/>
          <w:color w:val="000000"/>
          <w:kern w:val="0"/>
          <w:sz w:val="28"/>
          <w:szCs w:val="28"/>
          <w:lang w:val="en-US" w:eastAsia="zh-CN" w:bidi="ar"/>
        </w:rPr>
      </w:pPr>
    </w:p>
    <w:p w14:paraId="539EF1D7">
      <w:pPr>
        <w:keepNext w:val="0"/>
        <w:keepLines w:val="0"/>
        <w:widowControl/>
        <w:suppressLineNumbers w:val="0"/>
        <w:ind w:right="-733" w:rightChars="-349"/>
        <w:jc w:val="left"/>
        <w:rPr>
          <w:rFonts w:hint="eastAsia" w:ascii="仿宋" w:hAnsi="仿宋" w:eastAsia="仿宋" w:cs="仿宋"/>
          <w:color w:val="000000"/>
          <w:kern w:val="0"/>
          <w:sz w:val="28"/>
          <w:szCs w:val="28"/>
          <w:lang w:val="en-US" w:eastAsia="zh-CN" w:bidi="ar"/>
        </w:rPr>
      </w:pPr>
    </w:p>
    <w:p w14:paraId="3449E973">
      <w:pPr>
        <w:keepNext w:val="0"/>
        <w:keepLines w:val="0"/>
        <w:widowControl/>
        <w:suppressLineNumbers w:val="0"/>
        <w:ind w:right="-733" w:rightChars="-349"/>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G包：海洋生境及海洋生物资源调查主要实施内容：</w:t>
      </w:r>
    </w:p>
    <w:p w14:paraId="3A9BA784">
      <w:pPr>
        <w:keepNext w:val="0"/>
        <w:keepLines w:val="0"/>
        <w:widowControl/>
        <w:suppressLineNumbers w:val="0"/>
        <w:ind w:right="-733" w:rightChars="-349"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铜鼓岭保护区海域海洋生物资源本底调查与监测。包括开展海洋物理生境、水质及生物资源调查监测。</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606"/>
        <w:gridCol w:w="1530"/>
        <w:gridCol w:w="2971"/>
        <w:gridCol w:w="865"/>
        <w:gridCol w:w="753"/>
      </w:tblGrid>
      <w:tr w14:paraId="2DBD3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49" w:type="dxa"/>
            <w:noWrap/>
            <w:vAlign w:val="center"/>
          </w:tcPr>
          <w:p w14:paraId="35E75709">
            <w:pPr>
              <w:widowControl/>
              <w:adjustRightInd w:val="0"/>
              <w:snapToGrid w:val="0"/>
              <w:jc w:val="left"/>
              <w:rPr>
                <w:rFonts w:ascii="仿宋" w:hAnsi="仿宋" w:eastAsia="仿宋" w:cs="仿宋"/>
                <w:b/>
                <w:bCs/>
                <w:kern w:val="0"/>
                <w:sz w:val="24"/>
              </w:rPr>
            </w:pPr>
            <w:r>
              <w:rPr>
                <w:rFonts w:hint="eastAsia" w:ascii="仿宋" w:hAnsi="仿宋" w:eastAsia="仿宋" w:cs="仿宋"/>
                <w:b/>
                <w:bCs/>
                <w:kern w:val="0"/>
                <w:sz w:val="24"/>
              </w:rPr>
              <w:t>序号</w:t>
            </w:r>
          </w:p>
        </w:tc>
        <w:tc>
          <w:tcPr>
            <w:tcW w:w="2136" w:type="dxa"/>
            <w:gridSpan w:val="2"/>
            <w:noWrap/>
            <w:vAlign w:val="center"/>
          </w:tcPr>
          <w:p w14:paraId="33010290">
            <w:pPr>
              <w:widowControl/>
              <w:adjustRightInd w:val="0"/>
              <w:snapToGrid w:val="0"/>
              <w:jc w:val="left"/>
              <w:rPr>
                <w:rFonts w:ascii="仿宋" w:hAnsi="仿宋" w:eastAsia="仿宋" w:cs="仿宋"/>
                <w:b/>
                <w:bCs/>
                <w:kern w:val="0"/>
                <w:sz w:val="24"/>
              </w:rPr>
            </w:pPr>
            <w:r>
              <w:rPr>
                <w:rFonts w:hint="eastAsia" w:ascii="仿宋" w:hAnsi="仿宋" w:eastAsia="仿宋" w:cs="仿宋"/>
                <w:b/>
                <w:bCs/>
                <w:kern w:val="0"/>
                <w:sz w:val="24"/>
              </w:rPr>
              <w:t>分项内容</w:t>
            </w:r>
          </w:p>
        </w:tc>
        <w:tc>
          <w:tcPr>
            <w:tcW w:w="2971" w:type="dxa"/>
            <w:noWrap/>
            <w:vAlign w:val="center"/>
          </w:tcPr>
          <w:p w14:paraId="7CABF21E">
            <w:pPr>
              <w:widowControl/>
              <w:adjustRightInd w:val="0"/>
              <w:snapToGrid w:val="0"/>
              <w:jc w:val="left"/>
              <w:rPr>
                <w:rFonts w:ascii="仿宋" w:hAnsi="仿宋" w:eastAsia="仿宋" w:cs="仿宋"/>
                <w:b/>
                <w:bCs/>
                <w:kern w:val="0"/>
                <w:sz w:val="24"/>
              </w:rPr>
            </w:pPr>
            <w:r>
              <w:rPr>
                <w:rFonts w:hint="eastAsia" w:ascii="仿宋" w:hAnsi="仿宋" w:eastAsia="仿宋" w:cs="仿宋"/>
                <w:b/>
                <w:kern w:val="0"/>
                <w:sz w:val="24"/>
              </w:rPr>
              <w:t>工作内容</w:t>
            </w:r>
          </w:p>
        </w:tc>
        <w:tc>
          <w:tcPr>
            <w:tcW w:w="865" w:type="dxa"/>
            <w:noWrap/>
            <w:vAlign w:val="center"/>
          </w:tcPr>
          <w:p w14:paraId="76BC41AA">
            <w:pPr>
              <w:widowControl/>
              <w:adjustRightInd w:val="0"/>
              <w:snapToGrid w:val="0"/>
              <w:jc w:val="left"/>
              <w:rPr>
                <w:rFonts w:ascii="仿宋" w:hAnsi="仿宋" w:eastAsia="仿宋" w:cs="仿宋"/>
                <w:b/>
                <w:kern w:val="0"/>
                <w:sz w:val="24"/>
              </w:rPr>
            </w:pPr>
            <w:r>
              <w:rPr>
                <w:rFonts w:hint="eastAsia" w:ascii="仿宋" w:hAnsi="仿宋" w:eastAsia="仿宋" w:cs="仿宋"/>
                <w:b/>
                <w:kern w:val="0"/>
                <w:sz w:val="24"/>
              </w:rPr>
              <w:t xml:space="preserve">站位数 </w:t>
            </w:r>
          </w:p>
        </w:tc>
        <w:tc>
          <w:tcPr>
            <w:tcW w:w="753" w:type="dxa"/>
            <w:noWrap/>
            <w:vAlign w:val="center"/>
          </w:tcPr>
          <w:p w14:paraId="1FD532FB">
            <w:pPr>
              <w:widowControl/>
              <w:adjustRightInd w:val="0"/>
              <w:snapToGrid w:val="0"/>
              <w:rPr>
                <w:rFonts w:ascii="仿宋" w:hAnsi="仿宋" w:eastAsia="仿宋" w:cs="仿宋"/>
                <w:b/>
                <w:kern w:val="0"/>
                <w:sz w:val="24"/>
              </w:rPr>
            </w:pPr>
            <w:r>
              <w:rPr>
                <w:rFonts w:hint="eastAsia" w:ascii="仿宋" w:hAnsi="仿宋" w:eastAsia="仿宋" w:cs="仿宋"/>
                <w:b/>
                <w:kern w:val="0"/>
                <w:sz w:val="24"/>
              </w:rPr>
              <w:t>频次</w:t>
            </w:r>
          </w:p>
        </w:tc>
      </w:tr>
      <w:tr w14:paraId="5EED8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Merge w:val="restart"/>
            <w:noWrap/>
            <w:vAlign w:val="center"/>
          </w:tcPr>
          <w:p w14:paraId="0E55BBD5">
            <w:pPr>
              <w:widowControl/>
              <w:adjustRightInd w:val="0"/>
              <w:snapToGrid w:val="0"/>
              <w:jc w:val="center"/>
              <w:rPr>
                <w:rFonts w:ascii="仿宋" w:hAnsi="仿宋" w:eastAsia="仿宋" w:cs="仿宋"/>
                <w:b/>
                <w:bCs/>
                <w:kern w:val="0"/>
                <w:sz w:val="24"/>
              </w:rPr>
            </w:pPr>
            <w:r>
              <w:rPr>
                <w:rFonts w:hint="eastAsia" w:ascii="仿宋" w:hAnsi="仿宋" w:eastAsia="仿宋" w:cs="仿宋"/>
                <w:b/>
                <w:bCs/>
                <w:kern w:val="0"/>
                <w:sz w:val="24"/>
              </w:rPr>
              <w:t>1</w:t>
            </w:r>
          </w:p>
        </w:tc>
        <w:tc>
          <w:tcPr>
            <w:tcW w:w="2136" w:type="dxa"/>
            <w:gridSpan w:val="2"/>
            <w:vMerge w:val="restart"/>
            <w:noWrap/>
            <w:vAlign w:val="center"/>
          </w:tcPr>
          <w:p w14:paraId="7EBDDECE">
            <w:pPr>
              <w:widowControl/>
              <w:adjustRightInd w:val="0"/>
              <w:snapToGrid w:val="0"/>
              <w:jc w:val="center"/>
              <w:rPr>
                <w:rFonts w:ascii="仿宋" w:hAnsi="仿宋" w:eastAsia="仿宋" w:cs="仿宋"/>
                <w:b/>
                <w:bCs/>
                <w:kern w:val="0"/>
                <w:sz w:val="24"/>
              </w:rPr>
            </w:pPr>
            <w:r>
              <w:rPr>
                <w:rFonts w:hint="eastAsia" w:ascii="仿宋" w:hAnsi="仿宋" w:eastAsia="仿宋" w:cs="仿宋"/>
                <w:b/>
                <w:bCs/>
                <w:kern w:val="0"/>
                <w:sz w:val="24"/>
              </w:rPr>
              <w:t>物理生境监测</w:t>
            </w:r>
          </w:p>
        </w:tc>
        <w:tc>
          <w:tcPr>
            <w:tcW w:w="2971" w:type="dxa"/>
            <w:noWrap/>
            <w:vAlign w:val="center"/>
          </w:tcPr>
          <w:p w14:paraId="22A5EA70">
            <w:pPr>
              <w:widowControl/>
              <w:adjustRightInd w:val="0"/>
              <w:snapToGrid w:val="0"/>
              <w:jc w:val="left"/>
              <w:rPr>
                <w:rFonts w:ascii="仿宋" w:hAnsi="仿宋" w:eastAsia="仿宋" w:cs="仿宋"/>
                <w:bCs/>
                <w:kern w:val="0"/>
                <w:sz w:val="24"/>
              </w:rPr>
            </w:pPr>
            <w:r>
              <w:rPr>
                <w:rFonts w:hint="eastAsia" w:ascii="仿宋" w:hAnsi="仿宋" w:eastAsia="仿宋" w:cs="仿宋"/>
                <w:bCs/>
                <w:kern w:val="0"/>
                <w:sz w:val="24"/>
              </w:rPr>
              <w:t>根据《海洋监测规范》（GB17378-2007）明确调查站位的底质类型，布设48个调查站位。</w:t>
            </w:r>
          </w:p>
        </w:tc>
        <w:tc>
          <w:tcPr>
            <w:tcW w:w="865" w:type="dxa"/>
            <w:noWrap/>
            <w:vAlign w:val="center"/>
          </w:tcPr>
          <w:p w14:paraId="78B1CDF7">
            <w:pPr>
              <w:widowControl/>
              <w:adjustRightInd w:val="0"/>
              <w:snapToGrid w:val="0"/>
              <w:jc w:val="center"/>
              <w:rPr>
                <w:rFonts w:hint="eastAsia" w:ascii="仿宋" w:hAnsi="仿宋" w:eastAsia="仿宋" w:cs="仿宋"/>
                <w:bCs/>
                <w:kern w:val="0"/>
                <w:sz w:val="24"/>
                <w:lang w:eastAsia="zh-CN"/>
              </w:rPr>
            </w:pPr>
            <w:r>
              <w:rPr>
                <w:rFonts w:hint="eastAsia" w:ascii="仿宋" w:hAnsi="仿宋" w:eastAsia="仿宋" w:cs="仿宋"/>
                <w:bCs/>
                <w:kern w:val="0"/>
                <w:sz w:val="24"/>
              </w:rPr>
              <w:t>4</w:t>
            </w:r>
            <w:r>
              <w:rPr>
                <w:rFonts w:hint="eastAsia" w:ascii="仿宋" w:hAnsi="仿宋" w:eastAsia="仿宋" w:cs="仿宋"/>
                <w:bCs/>
                <w:kern w:val="0"/>
                <w:sz w:val="24"/>
                <w:lang w:val="en-US" w:eastAsia="zh-CN"/>
              </w:rPr>
              <w:t>8</w:t>
            </w:r>
          </w:p>
        </w:tc>
        <w:tc>
          <w:tcPr>
            <w:tcW w:w="753" w:type="dxa"/>
            <w:noWrap/>
            <w:vAlign w:val="center"/>
          </w:tcPr>
          <w:p w14:paraId="6482972C">
            <w:pPr>
              <w:widowControl/>
              <w:adjustRightInd w:val="0"/>
              <w:snapToGrid w:val="0"/>
              <w:jc w:val="center"/>
              <w:rPr>
                <w:rFonts w:ascii="仿宋" w:hAnsi="仿宋" w:eastAsia="仿宋" w:cs="仿宋"/>
                <w:bCs/>
                <w:kern w:val="0"/>
                <w:sz w:val="24"/>
              </w:rPr>
            </w:pPr>
            <w:r>
              <w:rPr>
                <w:rFonts w:hint="eastAsia" w:ascii="仿宋" w:hAnsi="仿宋" w:eastAsia="仿宋" w:cs="仿宋"/>
                <w:bCs/>
                <w:kern w:val="0"/>
                <w:sz w:val="24"/>
              </w:rPr>
              <w:t>2</w:t>
            </w:r>
          </w:p>
        </w:tc>
      </w:tr>
      <w:tr w14:paraId="25C25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Merge w:val="continue"/>
            <w:noWrap/>
            <w:vAlign w:val="center"/>
          </w:tcPr>
          <w:p w14:paraId="5A28D4D4">
            <w:pPr>
              <w:widowControl/>
              <w:adjustRightInd w:val="0"/>
              <w:snapToGrid w:val="0"/>
              <w:jc w:val="center"/>
              <w:rPr>
                <w:rFonts w:ascii="仿宋" w:hAnsi="仿宋" w:eastAsia="仿宋" w:cs="仿宋"/>
                <w:b/>
                <w:bCs/>
                <w:kern w:val="0"/>
                <w:sz w:val="24"/>
              </w:rPr>
            </w:pPr>
          </w:p>
        </w:tc>
        <w:tc>
          <w:tcPr>
            <w:tcW w:w="2136" w:type="dxa"/>
            <w:gridSpan w:val="2"/>
            <w:vMerge w:val="continue"/>
            <w:noWrap/>
            <w:vAlign w:val="center"/>
          </w:tcPr>
          <w:p w14:paraId="4593F806">
            <w:pPr>
              <w:widowControl/>
              <w:adjustRightInd w:val="0"/>
              <w:snapToGrid w:val="0"/>
              <w:jc w:val="center"/>
              <w:rPr>
                <w:rFonts w:ascii="仿宋" w:hAnsi="仿宋" w:eastAsia="仿宋" w:cs="仿宋"/>
                <w:b/>
                <w:bCs/>
                <w:kern w:val="0"/>
                <w:sz w:val="24"/>
              </w:rPr>
            </w:pPr>
          </w:p>
        </w:tc>
        <w:tc>
          <w:tcPr>
            <w:tcW w:w="2971" w:type="dxa"/>
            <w:noWrap/>
            <w:vAlign w:val="center"/>
          </w:tcPr>
          <w:p w14:paraId="1116D2E8">
            <w:pPr>
              <w:widowControl/>
              <w:adjustRightInd w:val="0"/>
              <w:snapToGrid w:val="0"/>
              <w:rPr>
                <w:rFonts w:ascii="仿宋" w:hAnsi="仿宋" w:eastAsia="仿宋" w:cs="仿宋"/>
                <w:kern w:val="0"/>
                <w:sz w:val="24"/>
              </w:rPr>
            </w:pPr>
            <w:r>
              <w:rPr>
                <w:rFonts w:hint="eastAsia" w:ascii="仿宋" w:hAnsi="仿宋" w:eastAsia="仿宋" w:cs="仿宋"/>
                <w:kern w:val="0"/>
                <w:sz w:val="24"/>
              </w:rPr>
              <w:t>根据《海洋调查规范》GB/T 12763-2007相关要求进行连续26h潮流3站同步观测；潮流观测分层采用三层法，即表层（离水面1m范围内），0.6H层，底层（离海底2m范围内）。（H为实时水深），分析水温、潮流、流向、流速等</w:t>
            </w:r>
          </w:p>
        </w:tc>
        <w:tc>
          <w:tcPr>
            <w:tcW w:w="865" w:type="dxa"/>
            <w:noWrap/>
            <w:vAlign w:val="center"/>
          </w:tcPr>
          <w:p w14:paraId="4D75860B">
            <w:pPr>
              <w:widowControl/>
              <w:adjustRightInd w:val="0"/>
              <w:snapToGrid w:val="0"/>
              <w:jc w:val="center"/>
              <w:rPr>
                <w:rFonts w:ascii="仿宋" w:hAnsi="仿宋" w:eastAsia="仿宋" w:cs="仿宋"/>
                <w:bCs/>
                <w:kern w:val="0"/>
                <w:sz w:val="24"/>
              </w:rPr>
            </w:pPr>
            <w:r>
              <w:rPr>
                <w:rFonts w:hint="eastAsia" w:ascii="仿宋" w:hAnsi="仿宋" w:eastAsia="仿宋" w:cs="仿宋"/>
                <w:sz w:val="24"/>
              </w:rPr>
              <w:t>3</w:t>
            </w:r>
          </w:p>
        </w:tc>
        <w:tc>
          <w:tcPr>
            <w:tcW w:w="753" w:type="dxa"/>
            <w:noWrap/>
            <w:vAlign w:val="center"/>
          </w:tcPr>
          <w:p w14:paraId="773C42BB">
            <w:pPr>
              <w:widowControl/>
              <w:adjustRightInd w:val="0"/>
              <w:snapToGrid w:val="0"/>
              <w:jc w:val="center"/>
              <w:rPr>
                <w:rFonts w:ascii="仿宋" w:hAnsi="仿宋" w:eastAsia="仿宋" w:cs="仿宋"/>
                <w:bCs/>
                <w:kern w:val="0"/>
                <w:sz w:val="24"/>
              </w:rPr>
            </w:pPr>
            <w:r>
              <w:rPr>
                <w:rFonts w:hint="eastAsia" w:ascii="仿宋" w:hAnsi="仿宋" w:eastAsia="仿宋" w:cs="仿宋"/>
                <w:bCs/>
                <w:kern w:val="0"/>
                <w:sz w:val="24"/>
              </w:rPr>
              <w:t>2</w:t>
            </w:r>
          </w:p>
        </w:tc>
      </w:tr>
      <w:tr w14:paraId="16616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49" w:type="dxa"/>
            <w:vMerge w:val="restart"/>
            <w:noWrap/>
            <w:vAlign w:val="center"/>
          </w:tcPr>
          <w:p w14:paraId="07DB992A">
            <w:pPr>
              <w:widowControl/>
              <w:adjustRightInd w:val="0"/>
              <w:snapToGrid w:val="0"/>
              <w:jc w:val="center"/>
              <w:rPr>
                <w:rFonts w:ascii="仿宋" w:hAnsi="仿宋" w:eastAsia="仿宋" w:cs="仿宋"/>
                <w:kern w:val="0"/>
                <w:sz w:val="24"/>
              </w:rPr>
            </w:pPr>
            <w:r>
              <w:rPr>
                <w:rFonts w:hint="eastAsia" w:ascii="仿宋" w:hAnsi="仿宋" w:eastAsia="仿宋" w:cs="仿宋"/>
                <w:kern w:val="0"/>
                <w:sz w:val="24"/>
              </w:rPr>
              <w:t>2</w:t>
            </w:r>
          </w:p>
        </w:tc>
        <w:tc>
          <w:tcPr>
            <w:tcW w:w="606" w:type="dxa"/>
            <w:vMerge w:val="restart"/>
            <w:noWrap/>
            <w:vAlign w:val="center"/>
          </w:tcPr>
          <w:p w14:paraId="4DA22F20">
            <w:pPr>
              <w:widowControl/>
              <w:adjustRightInd w:val="0"/>
              <w:snapToGrid w:val="0"/>
              <w:jc w:val="center"/>
              <w:rPr>
                <w:rFonts w:ascii="仿宋" w:hAnsi="仿宋" w:eastAsia="仿宋" w:cs="仿宋"/>
                <w:b/>
                <w:kern w:val="0"/>
                <w:sz w:val="24"/>
              </w:rPr>
            </w:pPr>
            <w:r>
              <w:rPr>
                <w:rFonts w:hint="eastAsia" w:ascii="仿宋" w:hAnsi="仿宋" w:eastAsia="仿宋" w:cs="仿宋"/>
                <w:b/>
                <w:kern w:val="0"/>
                <w:sz w:val="24"/>
              </w:rPr>
              <w:t>环境监测指标</w:t>
            </w:r>
          </w:p>
        </w:tc>
        <w:tc>
          <w:tcPr>
            <w:tcW w:w="1530" w:type="dxa"/>
            <w:noWrap/>
            <w:vAlign w:val="center"/>
          </w:tcPr>
          <w:p w14:paraId="294205D3">
            <w:pPr>
              <w:widowControl/>
              <w:jc w:val="center"/>
              <w:textAlignment w:val="center"/>
              <w:rPr>
                <w:rFonts w:ascii="仿宋" w:hAnsi="仿宋" w:eastAsia="仿宋" w:cs="仿宋"/>
                <w:b/>
                <w:kern w:val="0"/>
                <w:sz w:val="24"/>
              </w:rPr>
            </w:pPr>
            <w:r>
              <w:rPr>
                <w:rFonts w:hint="eastAsia" w:ascii="仿宋" w:hAnsi="仿宋" w:eastAsia="仿宋" w:cs="仿宋"/>
                <w:color w:val="000000"/>
                <w:kern w:val="0"/>
                <w:sz w:val="24"/>
              </w:rPr>
              <w:t>水温</w:t>
            </w:r>
          </w:p>
        </w:tc>
        <w:tc>
          <w:tcPr>
            <w:tcW w:w="2971" w:type="dxa"/>
            <w:vMerge w:val="restart"/>
            <w:noWrap/>
            <w:vAlign w:val="center"/>
          </w:tcPr>
          <w:p w14:paraId="7F7B9FAD">
            <w:pPr>
              <w:widowControl/>
              <w:jc w:val="left"/>
              <w:textAlignment w:val="center"/>
              <w:rPr>
                <w:rFonts w:ascii="仿宋" w:hAnsi="仿宋" w:eastAsia="仿宋" w:cs="仿宋"/>
                <w:kern w:val="0"/>
                <w:sz w:val="24"/>
              </w:rPr>
            </w:pPr>
            <w:r>
              <w:rPr>
                <w:rFonts w:hint="eastAsia" w:ascii="仿宋" w:hAnsi="仿宋" w:eastAsia="仿宋" w:cs="仿宋"/>
                <w:kern w:val="0"/>
                <w:sz w:val="24"/>
              </w:rPr>
              <w:t>根据《海洋监测规范》（GB17378-2007）包括14个监测指标，每个调查站位根据水深不同采样相应的层次的水质样品，并监测分析</w:t>
            </w:r>
          </w:p>
        </w:tc>
        <w:tc>
          <w:tcPr>
            <w:tcW w:w="865" w:type="dxa"/>
            <w:noWrap/>
            <w:vAlign w:val="center"/>
          </w:tcPr>
          <w:p w14:paraId="6CCDFB7C">
            <w:pPr>
              <w:widowControl/>
              <w:adjustRightInd w:val="0"/>
              <w:snapToGrid w:val="0"/>
              <w:jc w:val="center"/>
              <w:rPr>
                <w:rFonts w:ascii="仿宋" w:hAnsi="仿宋" w:eastAsia="仿宋" w:cs="仿宋"/>
                <w:sz w:val="24"/>
              </w:rPr>
            </w:pPr>
            <w:r>
              <w:rPr>
                <w:rFonts w:hint="eastAsia" w:ascii="仿宋" w:hAnsi="仿宋" w:eastAsia="仿宋" w:cs="仿宋"/>
                <w:sz w:val="24"/>
              </w:rPr>
              <w:t>34</w:t>
            </w:r>
          </w:p>
        </w:tc>
        <w:tc>
          <w:tcPr>
            <w:tcW w:w="753" w:type="dxa"/>
            <w:noWrap/>
            <w:vAlign w:val="center"/>
          </w:tcPr>
          <w:p w14:paraId="4849C325">
            <w:pPr>
              <w:widowControl/>
              <w:adjustRightInd w:val="0"/>
              <w:snapToGrid w:val="0"/>
              <w:jc w:val="center"/>
              <w:rPr>
                <w:rFonts w:ascii="仿宋" w:hAnsi="仿宋" w:eastAsia="仿宋" w:cs="仿宋"/>
                <w:sz w:val="24"/>
              </w:rPr>
            </w:pPr>
            <w:r>
              <w:rPr>
                <w:rFonts w:hint="eastAsia" w:ascii="仿宋" w:hAnsi="仿宋" w:eastAsia="仿宋" w:cs="仿宋"/>
                <w:sz w:val="24"/>
              </w:rPr>
              <w:t>2</w:t>
            </w:r>
          </w:p>
        </w:tc>
      </w:tr>
      <w:tr w14:paraId="50A23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49" w:type="dxa"/>
            <w:vMerge w:val="continue"/>
            <w:noWrap/>
            <w:vAlign w:val="center"/>
          </w:tcPr>
          <w:p w14:paraId="464D7578">
            <w:pPr>
              <w:widowControl/>
              <w:adjustRightInd w:val="0"/>
              <w:snapToGrid w:val="0"/>
              <w:jc w:val="center"/>
              <w:rPr>
                <w:rFonts w:ascii="仿宋" w:hAnsi="仿宋" w:eastAsia="仿宋" w:cs="仿宋"/>
                <w:kern w:val="0"/>
                <w:sz w:val="24"/>
              </w:rPr>
            </w:pPr>
          </w:p>
        </w:tc>
        <w:tc>
          <w:tcPr>
            <w:tcW w:w="606" w:type="dxa"/>
            <w:vMerge w:val="continue"/>
            <w:noWrap/>
            <w:vAlign w:val="center"/>
          </w:tcPr>
          <w:p w14:paraId="60CA3F67">
            <w:pPr>
              <w:widowControl/>
              <w:adjustRightInd w:val="0"/>
              <w:snapToGrid w:val="0"/>
              <w:rPr>
                <w:rFonts w:ascii="仿宋" w:hAnsi="仿宋" w:eastAsia="仿宋" w:cs="仿宋"/>
                <w:kern w:val="0"/>
                <w:sz w:val="24"/>
              </w:rPr>
            </w:pPr>
          </w:p>
        </w:tc>
        <w:tc>
          <w:tcPr>
            <w:tcW w:w="1530" w:type="dxa"/>
            <w:noWrap/>
            <w:vAlign w:val="center"/>
          </w:tcPr>
          <w:p w14:paraId="7C2D00EE">
            <w:pPr>
              <w:widowControl/>
              <w:jc w:val="center"/>
              <w:textAlignment w:val="center"/>
              <w:rPr>
                <w:rFonts w:ascii="仿宋" w:hAnsi="仿宋" w:eastAsia="仿宋" w:cs="仿宋"/>
                <w:b/>
                <w:kern w:val="0"/>
                <w:sz w:val="24"/>
              </w:rPr>
            </w:pPr>
            <w:r>
              <w:rPr>
                <w:rFonts w:hint="eastAsia" w:ascii="仿宋" w:hAnsi="仿宋" w:eastAsia="仿宋" w:cs="仿宋"/>
                <w:color w:val="000000"/>
                <w:kern w:val="0"/>
                <w:sz w:val="24"/>
              </w:rPr>
              <w:t>盐度</w:t>
            </w:r>
          </w:p>
        </w:tc>
        <w:tc>
          <w:tcPr>
            <w:tcW w:w="2971" w:type="dxa"/>
            <w:vMerge w:val="continue"/>
            <w:noWrap/>
            <w:vAlign w:val="center"/>
          </w:tcPr>
          <w:p w14:paraId="2869CC7F">
            <w:pPr>
              <w:widowControl/>
              <w:jc w:val="left"/>
              <w:textAlignment w:val="center"/>
              <w:rPr>
                <w:rFonts w:ascii="仿宋" w:hAnsi="仿宋" w:eastAsia="仿宋" w:cs="仿宋"/>
                <w:kern w:val="0"/>
                <w:sz w:val="24"/>
              </w:rPr>
            </w:pPr>
          </w:p>
        </w:tc>
        <w:tc>
          <w:tcPr>
            <w:tcW w:w="865" w:type="dxa"/>
            <w:noWrap/>
            <w:vAlign w:val="center"/>
          </w:tcPr>
          <w:p w14:paraId="5E23DF1E">
            <w:pPr>
              <w:widowControl/>
              <w:adjustRightInd w:val="0"/>
              <w:snapToGrid w:val="0"/>
              <w:jc w:val="center"/>
              <w:rPr>
                <w:rFonts w:ascii="仿宋" w:hAnsi="仿宋" w:eastAsia="仿宋" w:cs="仿宋"/>
                <w:sz w:val="24"/>
              </w:rPr>
            </w:pPr>
            <w:r>
              <w:rPr>
                <w:rFonts w:hint="eastAsia" w:ascii="仿宋" w:hAnsi="仿宋" w:eastAsia="仿宋" w:cs="仿宋"/>
                <w:sz w:val="24"/>
              </w:rPr>
              <w:t>34</w:t>
            </w:r>
          </w:p>
        </w:tc>
        <w:tc>
          <w:tcPr>
            <w:tcW w:w="753" w:type="dxa"/>
            <w:noWrap/>
            <w:vAlign w:val="center"/>
          </w:tcPr>
          <w:p w14:paraId="7866E13F">
            <w:pPr>
              <w:widowControl/>
              <w:adjustRightInd w:val="0"/>
              <w:snapToGrid w:val="0"/>
              <w:jc w:val="center"/>
              <w:rPr>
                <w:rFonts w:ascii="仿宋" w:hAnsi="仿宋" w:eastAsia="仿宋" w:cs="仿宋"/>
                <w:sz w:val="24"/>
              </w:rPr>
            </w:pPr>
            <w:r>
              <w:rPr>
                <w:rFonts w:hint="eastAsia" w:ascii="仿宋" w:hAnsi="仿宋" w:eastAsia="仿宋" w:cs="仿宋"/>
                <w:sz w:val="24"/>
              </w:rPr>
              <w:t>2</w:t>
            </w:r>
          </w:p>
        </w:tc>
      </w:tr>
      <w:tr w14:paraId="0C09B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49" w:type="dxa"/>
            <w:vMerge w:val="continue"/>
            <w:noWrap/>
            <w:vAlign w:val="center"/>
          </w:tcPr>
          <w:p w14:paraId="4712AD3C">
            <w:pPr>
              <w:widowControl/>
              <w:adjustRightInd w:val="0"/>
              <w:snapToGrid w:val="0"/>
              <w:jc w:val="center"/>
              <w:rPr>
                <w:rFonts w:ascii="仿宋" w:hAnsi="仿宋" w:eastAsia="仿宋" w:cs="仿宋"/>
                <w:kern w:val="0"/>
                <w:sz w:val="24"/>
              </w:rPr>
            </w:pPr>
          </w:p>
        </w:tc>
        <w:tc>
          <w:tcPr>
            <w:tcW w:w="606" w:type="dxa"/>
            <w:vMerge w:val="continue"/>
            <w:noWrap/>
            <w:vAlign w:val="center"/>
          </w:tcPr>
          <w:p w14:paraId="20DBA194">
            <w:pPr>
              <w:widowControl/>
              <w:adjustRightInd w:val="0"/>
              <w:snapToGrid w:val="0"/>
              <w:rPr>
                <w:rFonts w:ascii="仿宋" w:hAnsi="仿宋" w:eastAsia="仿宋" w:cs="仿宋"/>
                <w:kern w:val="0"/>
                <w:sz w:val="24"/>
              </w:rPr>
            </w:pPr>
          </w:p>
        </w:tc>
        <w:tc>
          <w:tcPr>
            <w:tcW w:w="1530" w:type="dxa"/>
            <w:noWrap/>
            <w:vAlign w:val="center"/>
          </w:tcPr>
          <w:p w14:paraId="32186E3B">
            <w:pPr>
              <w:widowControl/>
              <w:jc w:val="center"/>
              <w:textAlignment w:val="center"/>
              <w:rPr>
                <w:rFonts w:ascii="仿宋" w:hAnsi="仿宋" w:eastAsia="仿宋" w:cs="仿宋"/>
                <w:b/>
                <w:kern w:val="0"/>
                <w:sz w:val="24"/>
              </w:rPr>
            </w:pPr>
            <w:r>
              <w:rPr>
                <w:rFonts w:hint="eastAsia" w:ascii="仿宋" w:hAnsi="仿宋" w:eastAsia="仿宋" w:cs="仿宋"/>
                <w:color w:val="000000"/>
                <w:kern w:val="0"/>
                <w:sz w:val="24"/>
              </w:rPr>
              <w:t>水深</w:t>
            </w:r>
          </w:p>
        </w:tc>
        <w:tc>
          <w:tcPr>
            <w:tcW w:w="2971" w:type="dxa"/>
            <w:vMerge w:val="continue"/>
            <w:noWrap/>
            <w:vAlign w:val="center"/>
          </w:tcPr>
          <w:p w14:paraId="66BFD279">
            <w:pPr>
              <w:widowControl/>
              <w:jc w:val="left"/>
              <w:textAlignment w:val="center"/>
              <w:rPr>
                <w:rFonts w:ascii="仿宋" w:hAnsi="仿宋" w:eastAsia="仿宋" w:cs="仿宋"/>
                <w:kern w:val="0"/>
                <w:sz w:val="24"/>
              </w:rPr>
            </w:pPr>
          </w:p>
        </w:tc>
        <w:tc>
          <w:tcPr>
            <w:tcW w:w="865" w:type="dxa"/>
            <w:noWrap/>
            <w:vAlign w:val="center"/>
          </w:tcPr>
          <w:p w14:paraId="25469C6B">
            <w:pPr>
              <w:widowControl/>
              <w:adjustRightInd w:val="0"/>
              <w:snapToGrid w:val="0"/>
              <w:jc w:val="center"/>
              <w:rPr>
                <w:rFonts w:ascii="仿宋" w:hAnsi="仿宋" w:eastAsia="仿宋" w:cs="仿宋"/>
                <w:sz w:val="24"/>
              </w:rPr>
            </w:pPr>
            <w:r>
              <w:rPr>
                <w:rFonts w:hint="eastAsia" w:ascii="仿宋" w:hAnsi="仿宋" w:eastAsia="仿宋" w:cs="仿宋"/>
                <w:sz w:val="24"/>
              </w:rPr>
              <w:t>34</w:t>
            </w:r>
          </w:p>
        </w:tc>
        <w:tc>
          <w:tcPr>
            <w:tcW w:w="753" w:type="dxa"/>
            <w:noWrap/>
            <w:vAlign w:val="center"/>
          </w:tcPr>
          <w:p w14:paraId="24B8ED30">
            <w:pPr>
              <w:widowControl/>
              <w:adjustRightInd w:val="0"/>
              <w:snapToGrid w:val="0"/>
              <w:jc w:val="center"/>
              <w:rPr>
                <w:rFonts w:ascii="仿宋" w:hAnsi="仿宋" w:eastAsia="仿宋" w:cs="仿宋"/>
                <w:sz w:val="24"/>
              </w:rPr>
            </w:pPr>
            <w:r>
              <w:rPr>
                <w:rFonts w:hint="eastAsia" w:ascii="仿宋" w:hAnsi="仿宋" w:eastAsia="仿宋" w:cs="仿宋"/>
                <w:sz w:val="24"/>
              </w:rPr>
              <w:t>2</w:t>
            </w:r>
          </w:p>
        </w:tc>
      </w:tr>
      <w:tr w14:paraId="2768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49" w:type="dxa"/>
            <w:vMerge w:val="continue"/>
            <w:noWrap/>
            <w:vAlign w:val="center"/>
          </w:tcPr>
          <w:p w14:paraId="24CBAADA">
            <w:pPr>
              <w:widowControl/>
              <w:adjustRightInd w:val="0"/>
              <w:snapToGrid w:val="0"/>
              <w:jc w:val="center"/>
              <w:rPr>
                <w:rFonts w:ascii="仿宋" w:hAnsi="仿宋" w:eastAsia="仿宋" w:cs="仿宋"/>
                <w:kern w:val="0"/>
                <w:sz w:val="24"/>
              </w:rPr>
            </w:pPr>
          </w:p>
        </w:tc>
        <w:tc>
          <w:tcPr>
            <w:tcW w:w="606" w:type="dxa"/>
            <w:vMerge w:val="continue"/>
            <w:noWrap/>
            <w:vAlign w:val="center"/>
          </w:tcPr>
          <w:p w14:paraId="27DED957">
            <w:pPr>
              <w:widowControl/>
              <w:adjustRightInd w:val="0"/>
              <w:snapToGrid w:val="0"/>
              <w:rPr>
                <w:rFonts w:ascii="仿宋" w:hAnsi="仿宋" w:eastAsia="仿宋" w:cs="仿宋"/>
                <w:kern w:val="0"/>
                <w:sz w:val="24"/>
              </w:rPr>
            </w:pPr>
          </w:p>
        </w:tc>
        <w:tc>
          <w:tcPr>
            <w:tcW w:w="1530" w:type="dxa"/>
            <w:noWrap/>
            <w:vAlign w:val="center"/>
          </w:tcPr>
          <w:p w14:paraId="039BD6D0">
            <w:pPr>
              <w:widowControl/>
              <w:jc w:val="center"/>
              <w:textAlignment w:val="center"/>
              <w:rPr>
                <w:rFonts w:ascii="仿宋" w:hAnsi="仿宋" w:eastAsia="仿宋" w:cs="仿宋"/>
                <w:b/>
                <w:kern w:val="0"/>
                <w:sz w:val="24"/>
              </w:rPr>
            </w:pPr>
            <w:r>
              <w:rPr>
                <w:rFonts w:hint="eastAsia" w:ascii="仿宋" w:hAnsi="仿宋" w:eastAsia="仿宋" w:cs="仿宋"/>
                <w:color w:val="000000"/>
                <w:kern w:val="0"/>
                <w:sz w:val="24"/>
              </w:rPr>
              <w:t>透明度</w:t>
            </w:r>
          </w:p>
        </w:tc>
        <w:tc>
          <w:tcPr>
            <w:tcW w:w="2971" w:type="dxa"/>
            <w:vMerge w:val="continue"/>
            <w:noWrap/>
            <w:vAlign w:val="center"/>
          </w:tcPr>
          <w:p w14:paraId="4A5DD90B">
            <w:pPr>
              <w:widowControl/>
              <w:jc w:val="left"/>
              <w:textAlignment w:val="center"/>
              <w:rPr>
                <w:rFonts w:ascii="仿宋" w:hAnsi="仿宋" w:eastAsia="仿宋" w:cs="仿宋"/>
                <w:kern w:val="0"/>
                <w:sz w:val="24"/>
              </w:rPr>
            </w:pPr>
          </w:p>
        </w:tc>
        <w:tc>
          <w:tcPr>
            <w:tcW w:w="865" w:type="dxa"/>
            <w:noWrap/>
            <w:vAlign w:val="center"/>
          </w:tcPr>
          <w:p w14:paraId="267BC9FB">
            <w:pPr>
              <w:widowControl/>
              <w:adjustRightInd w:val="0"/>
              <w:snapToGrid w:val="0"/>
              <w:jc w:val="center"/>
              <w:rPr>
                <w:rFonts w:ascii="仿宋" w:hAnsi="仿宋" w:eastAsia="仿宋" w:cs="仿宋"/>
                <w:sz w:val="24"/>
              </w:rPr>
            </w:pPr>
            <w:r>
              <w:rPr>
                <w:rFonts w:hint="eastAsia" w:ascii="仿宋" w:hAnsi="仿宋" w:eastAsia="仿宋" w:cs="仿宋"/>
                <w:sz w:val="24"/>
              </w:rPr>
              <w:t>34</w:t>
            </w:r>
          </w:p>
        </w:tc>
        <w:tc>
          <w:tcPr>
            <w:tcW w:w="753" w:type="dxa"/>
            <w:noWrap/>
            <w:vAlign w:val="center"/>
          </w:tcPr>
          <w:p w14:paraId="11FB65B2">
            <w:pPr>
              <w:widowControl/>
              <w:adjustRightInd w:val="0"/>
              <w:snapToGrid w:val="0"/>
              <w:jc w:val="center"/>
              <w:rPr>
                <w:rFonts w:ascii="仿宋" w:hAnsi="仿宋" w:eastAsia="仿宋" w:cs="仿宋"/>
                <w:sz w:val="24"/>
              </w:rPr>
            </w:pPr>
            <w:r>
              <w:rPr>
                <w:rFonts w:hint="eastAsia" w:ascii="仿宋" w:hAnsi="仿宋" w:eastAsia="仿宋" w:cs="仿宋"/>
                <w:sz w:val="24"/>
              </w:rPr>
              <w:t>2</w:t>
            </w:r>
          </w:p>
        </w:tc>
      </w:tr>
      <w:tr w14:paraId="7F193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49" w:type="dxa"/>
            <w:vMerge w:val="continue"/>
            <w:noWrap/>
            <w:vAlign w:val="center"/>
          </w:tcPr>
          <w:p w14:paraId="3065849D">
            <w:pPr>
              <w:widowControl/>
              <w:adjustRightInd w:val="0"/>
              <w:snapToGrid w:val="0"/>
              <w:jc w:val="center"/>
              <w:rPr>
                <w:rFonts w:ascii="仿宋" w:hAnsi="仿宋" w:eastAsia="仿宋" w:cs="仿宋"/>
                <w:kern w:val="0"/>
                <w:sz w:val="24"/>
              </w:rPr>
            </w:pPr>
          </w:p>
        </w:tc>
        <w:tc>
          <w:tcPr>
            <w:tcW w:w="606" w:type="dxa"/>
            <w:vMerge w:val="continue"/>
            <w:noWrap/>
            <w:vAlign w:val="center"/>
          </w:tcPr>
          <w:p w14:paraId="0362AAAF">
            <w:pPr>
              <w:widowControl/>
              <w:adjustRightInd w:val="0"/>
              <w:snapToGrid w:val="0"/>
              <w:rPr>
                <w:rFonts w:ascii="仿宋" w:hAnsi="仿宋" w:eastAsia="仿宋" w:cs="仿宋"/>
                <w:kern w:val="0"/>
                <w:sz w:val="24"/>
              </w:rPr>
            </w:pPr>
          </w:p>
        </w:tc>
        <w:tc>
          <w:tcPr>
            <w:tcW w:w="1530" w:type="dxa"/>
            <w:noWrap/>
            <w:vAlign w:val="center"/>
          </w:tcPr>
          <w:p w14:paraId="4010E9A2">
            <w:pPr>
              <w:widowControl/>
              <w:jc w:val="center"/>
              <w:textAlignment w:val="center"/>
              <w:rPr>
                <w:rFonts w:ascii="仿宋" w:hAnsi="仿宋" w:eastAsia="仿宋" w:cs="仿宋"/>
                <w:b/>
                <w:kern w:val="0"/>
                <w:sz w:val="24"/>
              </w:rPr>
            </w:pPr>
            <w:r>
              <w:rPr>
                <w:rFonts w:hint="eastAsia" w:ascii="仿宋" w:hAnsi="仿宋" w:eastAsia="仿宋" w:cs="仿宋"/>
                <w:color w:val="000000"/>
                <w:kern w:val="0"/>
                <w:sz w:val="24"/>
              </w:rPr>
              <w:t>pH</w:t>
            </w:r>
          </w:p>
        </w:tc>
        <w:tc>
          <w:tcPr>
            <w:tcW w:w="2971" w:type="dxa"/>
            <w:vMerge w:val="continue"/>
            <w:noWrap/>
            <w:vAlign w:val="center"/>
          </w:tcPr>
          <w:p w14:paraId="60064FED">
            <w:pPr>
              <w:widowControl/>
              <w:jc w:val="left"/>
              <w:textAlignment w:val="center"/>
              <w:rPr>
                <w:rFonts w:ascii="仿宋" w:hAnsi="仿宋" w:eastAsia="仿宋" w:cs="仿宋"/>
                <w:kern w:val="0"/>
                <w:sz w:val="24"/>
              </w:rPr>
            </w:pPr>
          </w:p>
        </w:tc>
        <w:tc>
          <w:tcPr>
            <w:tcW w:w="865" w:type="dxa"/>
            <w:noWrap/>
            <w:vAlign w:val="center"/>
          </w:tcPr>
          <w:p w14:paraId="2C5AAFA5">
            <w:pPr>
              <w:widowControl/>
              <w:adjustRightInd w:val="0"/>
              <w:snapToGrid w:val="0"/>
              <w:jc w:val="center"/>
              <w:rPr>
                <w:rFonts w:ascii="仿宋" w:hAnsi="仿宋" w:eastAsia="仿宋" w:cs="仿宋"/>
                <w:sz w:val="24"/>
              </w:rPr>
            </w:pPr>
            <w:r>
              <w:rPr>
                <w:rFonts w:hint="eastAsia" w:ascii="仿宋" w:hAnsi="仿宋" w:eastAsia="仿宋" w:cs="仿宋"/>
                <w:sz w:val="24"/>
              </w:rPr>
              <w:t>34</w:t>
            </w:r>
          </w:p>
        </w:tc>
        <w:tc>
          <w:tcPr>
            <w:tcW w:w="753" w:type="dxa"/>
            <w:noWrap/>
            <w:vAlign w:val="center"/>
          </w:tcPr>
          <w:p w14:paraId="562E0302">
            <w:pPr>
              <w:widowControl/>
              <w:adjustRightInd w:val="0"/>
              <w:snapToGrid w:val="0"/>
              <w:jc w:val="center"/>
              <w:rPr>
                <w:rFonts w:ascii="仿宋" w:hAnsi="仿宋" w:eastAsia="仿宋" w:cs="仿宋"/>
                <w:sz w:val="24"/>
              </w:rPr>
            </w:pPr>
            <w:r>
              <w:rPr>
                <w:rFonts w:hint="eastAsia" w:ascii="仿宋" w:hAnsi="仿宋" w:eastAsia="仿宋" w:cs="仿宋"/>
                <w:sz w:val="24"/>
              </w:rPr>
              <w:t>2</w:t>
            </w:r>
          </w:p>
        </w:tc>
      </w:tr>
      <w:tr w14:paraId="288C7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49" w:type="dxa"/>
            <w:vMerge w:val="continue"/>
            <w:noWrap/>
            <w:vAlign w:val="center"/>
          </w:tcPr>
          <w:p w14:paraId="5195EA2B">
            <w:pPr>
              <w:widowControl/>
              <w:adjustRightInd w:val="0"/>
              <w:snapToGrid w:val="0"/>
              <w:jc w:val="center"/>
              <w:rPr>
                <w:rFonts w:ascii="仿宋" w:hAnsi="仿宋" w:eastAsia="仿宋" w:cs="仿宋"/>
                <w:kern w:val="0"/>
                <w:sz w:val="24"/>
              </w:rPr>
            </w:pPr>
          </w:p>
        </w:tc>
        <w:tc>
          <w:tcPr>
            <w:tcW w:w="606" w:type="dxa"/>
            <w:vMerge w:val="continue"/>
            <w:noWrap/>
            <w:vAlign w:val="center"/>
          </w:tcPr>
          <w:p w14:paraId="474302C4">
            <w:pPr>
              <w:widowControl/>
              <w:adjustRightInd w:val="0"/>
              <w:snapToGrid w:val="0"/>
              <w:rPr>
                <w:rFonts w:ascii="仿宋" w:hAnsi="仿宋" w:eastAsia="仿宋" w:cs="仿宋"/>
                <w:kern w:val="0"/>
                <w:sz w:val="24"/>
              </w:rPr>
            </w:pPr>
          </w:p>
        </w:tc>
        <w:tc>
          <w:tcPr>
            <w:tcW w:w="1530" w:type="dxa"/>
            <w:noWrap/>
            <w:vAlign w:val="center"/>
          </w:tcPr>
          <w:p w14:paraId="4930E62D">
            <w:pPr>
              <w:widowControl/>
              <w:jc w:val="center"/>
              <w:textAlignment w:val="center"/>
              <w:rPr>
                <w:rFonts w:ascii="仿宋" w:hAnsi="仿宋" w:eastAsia="仿宋" w:cs="仿宋"/>
                <w:b/>
                <w:kern w:val="0"/>
                <w:sz w:val="24"/>
              </w:rPr>
            </w:pPr>
            <w:r>
              <w:rPr>
                <w:rFonts w:hint="eastAsia" w:ascii="仿宋" w:hAnsi="仿宋" w:eastAsia="仿宋" w:cs="仿宋"/>
                <w:color w:val="000000"/>
                <w:kern w:val="0"/>
                <w:sz w:val="24"/>
              </w:rPr>
              <w:t>溶解氧</w:t>
            </w:r>
          </w:p>
        </w:tc>
        <w:tc>
          <w:tcPr>
            <w:tcW w:w="2971" w:type="dxa"/>
            <w:vMerge w:val="continue"/>
            <w:noWrap/>
            <w:vAlign w:val="center"/>
          </w:tcPr>
          <w:p w14:paraId="142AC8E9">
            <w:pPr>
              <w:widowControl/>
              <w:jc w:val="left"/>
              <w:textAlignment w:val="center"/>
              <w:rPr>
                <w:rFonts w:ascii="仿宋" w:hAnsi="仿宋" w:eastAsia="仿宋" w:cs="仿宋"/>
                <w:kern w:val="0"/>
                <w:sz w:val="24"/>
              </w:rPr>
            </w:pPr>
          </w:p>
        </w:tc>
        <w:tc>
          <w:tcPr>
            <w:tcW w:w="865" w:type="dxa"/>
            <w:noWrap/>
            <w:vAlign w:val="center"/>
          </w:tcPr>
          <w:p w14:paraId="0DF4D701">
            <w:pPr>
              <w:widowControl/>
              <w:adjustRightInd w:val="0"/>
              <w:snapToGrid w:val="0"/>
              <w:jc w:val="center"/>
              <w:rPr>
                <w:rFonts w:ascii="仿宋" w:hAnsi="仿宋" w:eastAsia="仿宋" w:cs="仿宋"/>
                <w:sz w:val="24"/>
              </w:rPr>
            </w:pPr>
            <w:r>
              <w:rPr>
                <w:rFonts w:hint="eastAsia" w:ascii="仿宋" w:hAnsi="仿宋" w:eastAsia="仿宋" w:cs="仿宋"/>
                <w:sz w:val="24"/>
              </w:rPr>
              <w:t>34</w:t>
            </w:r>
          </w:p>
        </w:tc>
        <w:tc>
          <w:tcPr>
            <w:tcW w:w="753" w:type="dxa"/>
            <w:noWrap/>
            <w:vAlign w:val="center"/>
          </w:tcPr>
          <w:p w14:paraId="7448C0C8">
            <w:pPr>
              <w:widowControl/>
              <w:adjustRightInd w:val="0"/>
              <w:snapToGrid w:val="0"/>
              <w:jc w:val="center"/>
              <w:rPr>
                <w:rFonts w:ascii="仿宋" w:hAnsi="仿宋" w:eastAsia="仿宋" w:cs="仿宋"/>
                <w:sz w:val="24"/>
              </w:rPr>
            </w:pPr>
            <w:r>
              <w:rPr>
                <w:rFonts w:hint="eastAsia" w:ascii="仿宋" w:hAnsi="仿宋" w:eastAsia="仿宋" w:cs="仿宋"/>
                <w:sz w:val="24"/>
              </w:rPr>
              <w:t>2</w:t>
            </w:r>
          </w:p>
        </w:tc>
      </w:tr>
      <w:tr w14:paraId="22D82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49" w:type="dxa"/>
            <w:vMerge w:val="continue"/>
            <w:noWrap/>
            <w:vAlign w:val="center"/>
          </w:tcPr>
          <w:p w14:paraId="41408D1D">
            <w:pPr>
              <w:widowControl/>
              <w:adjustRightInd w:val="0"/>
              <w:snapToGrid w:val="0"/>
              <w:jc w:val="center"/>
              <w:rPr>
                <w:rFonts w:ascii="仿宋" w:hAnsi="仿宋" w:eastAsia="仿宋" w:cs="仿宋"/>
                <w:kern w:val="0"/>
                <w:sz w:val="24"/>
              </w:rPr>
            </w:pPr>
          </w:p>
        </w:tc>
        <w:tc>
          <w:tcPr>
            <w:tcW w:w="606" w:type="dxa"/>
            <w:vMerge w:val="continue"/>
            <w:noWrap/>
            <w:vAlign w:val="center"/>
          </w:tcPr>
          <w:p w14:paraId="25C89148">
            <w:pPr>
              <w:widowControl/>
              <w:adjustRightInd w:val="0"/>
              <w:snapToGrid w:val="0"/>
              <w:rPr>
                <w:rFonts w:ascii="仿宋" w:hAnsi="仿宋" w:eastAsia="仿宋" w:cs="仿宋"/>
                <w:kern w:val="0"/>
                <w:sz w:val="24"/>
              </w:rPr>
            </w:pPr>
          </w:p>
        </w:tc>
        <w:tc>
          <w:tcPr>
            <w:tcW w:w="1530" w:type="dxa"/>
            <w:noWrap/>
            <w:vAlign w:val="center"/>
          </w:tcPr>
          <w:p w14:paraId="520EE41F">
            <w:pPr>
              <w:widowControl/>
              <w:jc w:val="center"/>
              <w:textAlignment w:val="center"/>
              <w:rPr>
                <w:rFonts w:ascii="仿宋" w:hAnsi="仿宋" w:eastAsia="仿宋" w:cs="仿宋"/>
                <w:b/>
                <w:kern w:val="0"/>
                <w:sz w:val="24"/>
              </w:rPr>
            </w:pPr>
            <w:r>
              <w:rPr>
                <w:rFonts w:hint="eastAsia" w:ascii="仿宋" w:hAnsi="仿宋" w:eastAsia="仿宋" w:cs="仿宋"/>
                <w:color w:val="000000"/>
                <w:kern w:val="0"/>
                <w:sz w:val="24"/>
              </w:rPr>
              <w:t>硝酸盐</w:t>
            </w:r>
          </w:p>
        </w:tc>
        <w:tc>
          <w:tcPr>
            <w:tcW w:w="2971" w:type="dxa"/>
            <w:vMerge w:val="continue"/>
            <w:noWrap/>
            <w:vAlign w:val="center"/>
          </w:tcPr>
          <w:p w14:paraId="332CA6D8">
            <w:pPr>
              <w:widowControl/>
              <w:jc w:val="left"/>
              <w:textAlignment w:val="center"/>
              <w:rPr>
                <w:rFonts w:ascii="仿宋" w:hAnsi="仿宋" w:eastAsia="仿宋" w:cs="仿宋"/>
                <w:kern w:val="0"/>
                <w:sz w:val="24"/>
              </w:rPr>
            </w:pPr>
          </w:p>
        </w:tc>
        <w:tc>
          <w:tcPr>
            <w:tcW w:w="865" w:type="dxa"/>
            <w:noWrap/>
            <w:vAlign w:val="center"/>
          </w:tcPr>
          <w:p w14:paraId="2038F5AA">
            <w:pPr>
              <w:widowControl/>
              <w:adjustRightInd w:val="0"/>
              <w:snapToGrid w:val="0"/>
              <w:jc w:val="center"/>
              <w:rPr>
                <w:rFonts w:ascii="仿宋" w:hAnsi="仿宋" w:eastAsia="仿宋" w:cs="仿宋"/>
                <w:sz w:val="24"/>
              </w:rPr>
            </w:pPr>
            <w:r>
              <w:rPr>
                <w:rFonts w:hint="eastAsia" w:ascii="仿宋" w:hAnsi="仿宋" w:eastAsia="仿宋" w:cs="仿宋"/>
                <w:sz w:val="24"/>
              </w:rPr>
              <w:t>34</w:t>
            </w:r>
          </w:p>
        </w:tc>
        <w:tc>
          <w:tcPr>
            <w:tcW w:w="753" w:type="dxa"/>
            <w:noWrap/>
            <w:vAlign w:val="center"/>
          </w:tcPr>
          <w:p w14:paraId="4B761826">
            <w:pPr>
              <w:widowControl/>
              <w:adjustRightInd w:val="0"/>
              <w:snapToGrid w:val="0"/>
              <w:jc w:val="center"/>
              <w:rPr>
                <w:rFonts w:ascii="仿宋" w:hAnsi="仿宋" w:eastAsia="仿宋" w:cs="仿宋"/>
                <w:sz w:val="24"/>
              </w:rPr>
            </w:pPr>
            <w:r>
              <w:rPr>
                <w:rFonts w:hint="eastAsia" w:ascii="仿宋" w:hAnsi="仿宋" w:eastAsia="仿宋" w:cs="仿宋"/>
                <w:sz w:val="24"/>
              </w:rPr>
              <w:t>2</w:t>
            </w:r>
          </w:p>
        </w:tc>
      </w:tr>
      <w:tr w14:paraId="717C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49" w:type="dxa"/>
            <w:vMerge w:val="continue"/>
            <w:noWrap/>
            <w:vAlign w:val="center"/>
          </w:tcPr>
          <w:p w14:paraId="6D023624">
            <w:pPr>
              <w:widowControl/>
              <w:adjustRightInd w:val="0"/>
              <w:snapToGrid w:val="0"/>
              <w:jc w:val="center"/>
              <w:rPr>
                <w:rFonts w:ascii="仿宋" w:hAnsi="仿宋" w:eastAsia="仿宋" w:cs="仿宋"/>
                <w:kern w:val="0"/>
                <w:sz w:val="24"/>
              </w:rPr>
            </w:pPr>
          </w:p>
        </w:tc>
        <w:tc>
          <w:tcPr>
            <w:tcW w:w="606" w:type="dxa"/>
            <w:vMerge w:val="continue"/>
            <w:noWrap/>
            <w:vAlign w:val="center"/>
          </w:tcPr>
          <w:p w14:paraId="265C6F14">
            <w:pPr>
              <w:widowControl/>
              <w:adjustRightInd w:val="0"/>
              <w:snapToGrid w:val="0"/>
              <w:rPr>
                <w:rFonts w:ascii="仿宋" w:hAnsi="仿宋" w:eastAsia="仿宋" w:cs="仿宋"/>
                <w:kern w:val="0"/>
                <w:sz w:val="24"/>
              </w:rPr>
            </w:pPr>
          </w:p>
        </w:tc>
        <w:tc>
          <w:tcPr>
            <w:tcW w:w="1530" w:type="dxa"/>
            <w:noWrap/>
            <w:vAlign w:val="center"/>
          </w:tcPr>
          <w:p w14:paraId="4079ADBF">
            <w:pPr>
              <w:widowControl/>
              <w:jc w:val="center"/>
              <w:textAlignment w:val="center"/>
              <w:rPr>
                <w:rFonts w:ascii="仿宋" w:hAnsi="仿宋" w:eastAsia="仿宋" w:cs="仿宋"/>
                <w:b/>
                <w:kern w:val="0"/>
                <w:sz w:val="24"/>
              </w:rPr>
            </w:pPr>
            <w:r>
              <w:rPr>
                <w:rFonts w:hint="eastAsia" w:ascii="仿宋" w:hAnsi="仿宋" w:eastAsia="仿宋" w:cs="仿宋"/>
                <w:color w:val="000000"/>
                <w:kern w:val="0"/>
                <w:sz w:val="24"/>
              </w:rPr>
              <w:t>亚硝酸盐</w:t>
            </w:r>
          </w:p>
        </w:tc>
        <w:tc>
          <w:tcPr>
            <w:tcW w:w="2971" w:type="dxa"/>
            <w:vMerge w:val="continue"/>
            <w:noWrap/>
            <w:vAlign w:val="center"/>
          </w:tcPr>
          <w:p w14:paraId="48486771">
            <w:pPr>
              <w:widowControl/>
              <w:jc w:val="left"/>
              <w:textAlignment w:val="center"/>
              <w:rPr>
                <w:rFonts w:ascii="仿宋" w:hAnsi="仿宋" w:eastAsia="仿宋" w:cs="仿宋"/>
                <w:kern w:val="0"/>
                <w:sz w:val="24"/>
              </w:rPr>
            </w:pPr>
          </w:p>
        </w:tc>
        <w:tc>
          <w:tcPr>
            <w:tcW w:w="865" w:type="dxa"/>
            <w:noWrap/>
            <w:vAlign w:val="center"/>
          </w:tcPr>
          <w:p w14:paraId="4CB83C8D">
            <w:pPr>
              <w:widowControl/>
              <w:adjustRightInd w:val="0"/>
              <w:snapToGrid w:val="0"/>
              <w:jc w:val="center"/>
              <w:rPr>
                <w:rFonts w:ascii="仿宋" w:hAnsi="仿宋" w:eastAsia="仿宋" w:cs="仿宋"/>
                <w:sz w:val="24"/>
              </w:rPr>
            </w:pPr>
            <w:r>
              <w:rPr>
                <w:rFonts w:hint="eastAsia" w:ascii="仿宋" w:hAnsi="仿宋" w:eastAsia="仿宋" w:cs="仿宋"/>
                <w:sz w:val="24"/>
              </w:rPr>
              <w:t>34</w:t>
            </w:r>
          </w:p>
        </w:tc>
        <w:tc>
          <w:tcPr>
            <w:tcW w:w="753" w:type="dxa"/>
            <w:noWrap/>
            <w:vAlign w:val="center"/>
          </w:tcPr>
          <w:p w14:paraId="79E16613">
            <w:pPr>
              <w:widowControl/>
              <w:adjustRightInd w:val="0"/>
              <w:snapToGrid w:val="0"/>
              <w:jc w:val="center"/>
              <w:rPr>
                <w:rFonts w:ascii="仿宋" w:hAnsi="仿宋" w:eastAsia="仿宋" w:cs="仿宋"/>
                <w:sz w:val="24"/>
              </w:rPr>
            </w:pPr>
            <w:r>
              <w:rPr>
                <w:rFonts w:hint="eastAsia" w:ascii="仿宋" w:hAnsi="仿宋" w:eastAsia="仿宋" w:cs="仿宋"/>
                <w:sz w:val="24"/>
              </w:rPr>
              <w:t>2</w:t>
            </w:r>
          </w:p>
        </w:tc>
      </w:tr>
      <w:tr w14:paraId="7D246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49" w:type="dxa"/>
            <w:vMerge w:val="continue"/>
            <w:noWrap/>
            <w:vAlign w:val="center"/>
          </w:tcPr>
          <w:p w14:paraId="450EAE4F">
            <w:pPr>
              <w:widowControl/>
              <w:adjustRightInd w:val="0"/>
              <w:snapToGrid w:val="0"/>
              <w:jc w:val="center"/>
              <w:rPr>
                <w:rFonts w:ascii="仿宋" w:hAnsi="仿宋" w:eastAsia="仿宋" w:cs="仿宋"/>
                <w:kern w:val="0"/>
                <w:sz w:val="24"/>
              </w:rPr>
            </w:pPr>
          </w:p>
        </w:tc>
        <w:tc>
          <w:tcPr>
            <w:tcW w:w="606" w:type="dxa"/>
            <w:vMerge w:val="continue"/>
            <w:noWrap/>
            <w:vAlign w:val="center"/>
          </w:tcPr>
          <w:p w14:paraId="0349FA42">
            <w:pPr>
              <w:widowControl/>
              <w:adjustRightInd w:val="0"/>
              <w:snapToGrid w:val="0"/>
              <w:rPr>
                <w:rFonts w:ascii="仿宋" w:hAnsi="仿宋" w:eastAsia="仿宋" w:cs="仿宋"/>
                <w:kern w:val="0"/>
                <w:sz w:val="24"/>
              </w:rPr>
            </w:pPr>
          </w:p>
        </w:tc>
        <w:tc>
          <w:tcPr>
            <w:tcW w:w="1530" w:type="dxa"/>
            <w:noWrap/>
            <w:vAlign w:val="center"/>
          </w:tcPr>
          <w:p w14:paraId="01DBEAEB">
            <w:pPr>
              <w:widowControl/>
              <w:jc w:val="center"/>
              <w:textAlignment w:val="center"/>
              <w:rPr>
                <w:rFonts w:ascii="仿宋" w:hAnsi="仿宋" w:eastAsia="仿宋" w:cs="仿宋"/>
                <w:b/>
                <w:kern w:val="0"/>
                <w:sz w:val="24"/>
              </w:rPr>
            </w:pPr>
            <w:r>
              <w:rPr>
                <w:rFonts w:hint="eastAsia" w:ascii="仿宋" w:hAnsi="仿宋" w:eastAsia="仿宋" w:cs="仿宋"/>
                <w:kern w:val="0"/>
                <w:sz w:val="24"/>
              </w:rPr>
              <w:t>氨氮</w:t>
            </w:r>
          </w:p>
        </w:tc>
        <w:tc>
          <w:tcPr>
            <w:tcW w:w="2971" w:type="dxa"/>
            <w:vMerge w:val="continue"/>
            <w:noWrap/>
            <w:vAlign w:val="center"/>
          </w:tcPr>
          <w:p w14:paraId="646BCED5">
            <w:pPr>
              <w:widowControl/>
              <w:jc w:val="left"/>
              <w:textAlignment w:val="center"/>
              <w:rPr>
                <w:rFonts w:ascii="仿宋" w:hAnsi="仿宋" w:eastAsia="仿宋" w:cs="仿宋"/>
                <w:kern w:val="0"/>
                <w:sz w:val="24"/>
              </w:rPr>
            </w:pPr>
          </w:p>
        </w:tc>
        <w:tc>
          <w:tcPr>
            <w:tcW w:w="865" w:type="dxa"/>
            <w:noWrap/>
            <w:vAlign w:val="center"/>
          </w:tcPr>
          <w:p w14:paraId="7CC01E0A">
            <w:pPr>
              <w:widowControl/>
              <w:adjustRightInd w:val="0"/>
              <w:snapToGrid w:val="0"/>
              <w:jc w:val="center"/>
              <w:rPr>
                <w:rFonts w:ascii="仿宋" w:hAnsi="仿宋" w:eastAsia="仿宋" w:cs="仿宋"/>
                <w:sz w:val="24"/>
              </w:rPr>
            </w:pPr>
            <w:r>
              <w:rPr>
                <w:rFonts w:hint="eastAsia" w:ascii="仿宋" w:hAnsi="仿宋" w:eastAsia="仿宋" w:cs="仿宋"/>
                <w:sz w:val="24"/>
              </w:rPr>
              <w:t>34</w:t>
            </w:r>
          </w:p>
        </w:tc>
        <w:tc>
          <w:tcPr>
            <w:tcW w:w="753" w:type="dxa"/>
            <w:noWrap/>
            <w:vAlign w:val="center"/>
          </w:tcPr>
          <w:p w14:paraId="545DC839">
            <w:pPr>
              <w:widowControl/>
              <w:adjustRightInd w:val="0"/>
              <w:snapToGrid w:val="0"/>
              <w:jc w:val="center"/>
              <w:rPr>
                <w:rFonts w:ascii="仿宋" w:hAnsi="仿宋" w:eastAsia="仿宋" w:cs="仿宋"/>
                <w:sz w:val="24"/>
              </w:rPr>
            </w:pPr>
            <w:r>
              <w:rPr>
                <w:rFonts w:hint="eastAsia" w:ascii="仿宋" w:hAnsi="仿宋" w:eastAsia="仿宋" w:cs="仿宋"/>
                <w:sz w:val="24"/>
              </w:rPr>
              <w:t>2</w:t>
            </w:r>
          </w:p>
        </w:tc>
      </w:tr>
      <w:tr w14:paraId="7DD7E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49" w:type="dxa"/>
            <w:vMerge w:val="continue"/>
            <w:noWrap/>
            <w:vAlign w:val="center"/>
          </w:tcPr>
          <w:p w14:paraId="6C15A0A9">
            <w:pPr>
              <w:widowControl/>
              <w:adjustRightInd w:val="0"/>
              <w:snapToGrid w:val="0"/>
              <w:jc w:val="center"/>
              <w:rPr>
                <w:rFonts w:ascii="仿宋" w:hAnsi="仿宋" w:eastAsia="仿宋" w:cs="仿宋"/>
                <w:kern w:val="0"/>
                <w:sz w:val="24"/>
              </w:rPr>
            </w:pPr>
          </w:p>
        </w:tc>
        <w:tc>
          <w:tcPr>
            <w:tcW w:w="606" w:type="dxa"/>
            <w:vMerge w:val="continue"/>
            <w:noWrap/>
            <w:vAlign w:val="center"/>
          </w:tcPr>
          <w:p w14:paraId="48D8F3EA">
            <w:pPr>
              <w:widowControl/>
              <w:adjustRightInd w:val="0"/>
              <w:snapToGrid w:val="0"/>
              <w:rPr>
                <w:rFonts w:ascii="仿宋" w:hAnsi="仿宋" w:eastAsia="仿宋" w:cs="仿宋"/>
                <w:kern w:val="0"/>
                <w:sz w:val="24"/>
              </w:rPr>
            </w:pPr>
          </w:p>
        </w:tc>
        <w:tc>
          <w:tcPr>
            <w:tcW w:w="1530" w:type="dxa"/>
            <w:noWrap/>
            <w:vAlign w:val="center"/>
          </w:tcPr>
          <w:p w14:paraId="705D5393">
            <w:pPr>
              <w:widowControl/>
              <w:jc w:val="center"/>
              <w:textAlignment w:val="center"/>
              <w:rPr>
                <w:rFonts w:ascii="仿宋" w:hAnsi="仿宋" w:eastAsia="仿宋" w:cs="仿宋"/>
                <w:kern w:val="0"/>
                <w:sz w:val="24"/>
              </w:rPr>
            </w:pPr>
            <w:r>
              <w:rPr>
                <w:rFonts w:hint="eastAsia" w:ascii="仿宋" w:hAnsi="仿宋" w:eastAsia="仿宋" w:cs="仿宋"/>
                <w:kern w:val="0"/>
                <w:sz w:val="24"/>
              </w:rPr>
              <w:t>活性磷酸盐</w:t>
            </w:r>
          </w:p>
        </w:tc>
        <w:tc>
          <w:tcPr>
            <w:tcW w:w="2971" w:type="dxa"/>
            <w:vMerge w:val="continue"/>
            <w:noWrap/>
            <w:vAlign w:val="center"/>
          </w:tcPr>
          <w:p w14:paraId="0321A8BA">
            <w:pPr>
              <w:widowControl/>
              <w:jc w:val="left"/>
              <w:textAlignment w:val="center"/>
              <w:rPr>
                <w:rFonts w:ascii="仿宋" w:hAnsi="仿宋" w:eastAsia="仿宋" w:cs="仿宋"/>
                <w:kern w:val="0"/>
                <w:sz w:val="24"/>
              </w:rPr>
            </w:pPr>
          </w:p>
        </w:tc>
        <w:tc>
          <w:tcPr>
            <w:tcW w:w="865" w:type="dxa"/>
            <w:noWrap/>
            <w:vAlign w:val="center"/>
          </w:tcPr>
          <w:p w14:paraId="6A7A390B">
            <w:pPr>
              <w:widowControl/>
              <w:adjustRightInd w:val="0"/>
              <w:snapToGrid w:val="0"/>
              <w:jc w:val="center"/>
              <w:rPr>
                <w:rFonts w:ascii="仿宋" w:hAnsi="仿宋" w:eastAsia="仿宋" w:cs="仿宋"/>
                <w:sz w:val="24"/>
              </w:rPr>
            </w:pPr>
            <w:r>
              <w:rPr>
                <w:rFonts w:hint="eastAsia" w:ascii="仿宋" w:hAnsi="仿宋" w:eastAsia="仿宋" w:cs="仿宋"/>
                <w:sz w:val="24"/>
              </w:rPr>
              <w:t>34</w:t>
            </w:r>
          </w:p>
        </w:tc>
        <w:tc>
          <w:tcPr>
            <w:tcW w:w="753" w:type="dxa"/>
            <w:noWrap/>
            <w:vAlign w:val="center"/>
          </w:tcPr>
          <w:p w14:paraId="51493CA4">
            <w:pPr>
              <w:widowControl/>
              <w:adjustRightInd w:val="0"/>
              <w:snapToGrid w:val="0"/>
              <w:jc w:val="center"/>
              <w:rPr>
                <w:rFonts w:ascii="仿宋" w:hAnsi="仿宋" w:eastAsia="仿宋" w:cs="仿宋"/>
                <w:sz w:val="24"/>
              </w:rPr>
            </w:pPr>
            <w:r>
              <w:rPr>
                <w:rFonts w:hint="eastAsia" w:ascii="仿宋" w:hAnsi="仿宋" w:eastAsia="仿宋" w:cs="仿宋"/>
                <w:sz w:val="24"/>
              </w:rPr>
              <w:t>2</w:t>
            </w:r>
          </w:p>
        </w:tc>
      </w:tr>
      <w:tr w14:paraId="7FE75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49" w:type="dxa"/>
            <w:vMerge w:val="continue"/>
            <w:noWrap/>
            <w:vAlign w:val="center"/>
          </w:tcPr>
          <w:p w14:paraId="7F9F53BA">
            <w:pPr>
              <w:widowControl/>
              <w:adjustRightInd w:val="0"/>
              <w:snapToGrid w:val="0"/>
              <w:jc w:val="center"/>
              <w:rPr>
                <w:rFonts w:ascii="仿宋" w:hAnsi="仿宋" w:eastAsia="仿宋" w:cs="仿宋"/>
                <w:kern w:val="0"/>
                <w:sz w:val="24"/>
              </w:rPr>
            </w:pPr>
          </w:p>
        </w:tc>
        <w:tc>
          <w:tcPr>
            <w:tcW w:w="606" w:type="dxa"/>
            <w:vMerge w:val="continue"/>
            <w:noWrap/>
            <w:vAlign w:val="center"/>
          </w:tcPr>
          <w:p w14:paraId="451B7BEF">
            <w:pPr>
              <w:widowControl/>
              <w:adjustRightInd w:val="0"/>
              <w:snapToGrid w:val="0"/>
              <w:rPr>
                <w:rFonts w:ascii="仿宋" w:hAnsi="仿宋" w:eastAsia="仿宋" w:cs="仿宋"/>
                <w:kern w:val="0"/>
                <w:sz w:val="24"/>
              </w:rPr>
            </w:pPr>
          </w:p>
        </w:tc>
        <w:tc>
          <w:tcPr>
            <w:tcW w:w="1530" w:type="dxa"/>
            <w:noWrap/>
            <w:vAlign w:val="center"/>
          </w:tcPr>
          <w:p w14:paraId="29C5D13F">
            <w:pPr>
              <w:widowControl/>
              <w:jc w:val="center"/>
              <w:textAlignment w:val="center"/>
              <w:rPr>
                <w:rFonts w:ascii="仿宋" w:hAnsi="仿宋" w:eastAsia="仿宋" w:cs="仿宋"/>
                <w:b/>
                <w:kern w:val="0"/>
                <w:sz w:val="24"/>
              </w:rPr>
            </w:pPr>
            <w:r>
              <w:rPr>
                <w:rFonts w:hint="eastAsia" w:ascii="仿宋" w:hAnsi="仿宋" w:eastAsia="仿宋" w:cs="仿宋"/>
                <w:kern w:val="0"/>
                <w:sz w:val="24"/>
              </w:rPr>
              <w:t>化学需氧量</w:t>
            </w:r>
          </w:p>
        </w:tc>
        <w:tc>
          <w:tcPr>
            <w:tcW w:w="2971" w:type="dxa"/>
            <w:vMerge w:val="continue"/>
            <w:noWrap/>
            <w:vAlign w:val="center"/>
          </w:tcPr>
          <w:p w14:paraId="650E8723">
            <w:pPr>
              <w:widowControl/>
              <w:jc w:val="left"/>
              <w:textAlignment w:val="center"/>
              <w:rPr>
                <w:rFonts w:ascii="仿宋" w:hAnsi="仿宋" w:eastAsia="仿宋" w:cs="仿宋"/>
                <w:kern w:val="0"/>
                <w:sz w:val="24"/>
              </w:rPr>
            </w:pPr>
          </w:p>
        </w:tc>
        <w:tc>
          <w:tcPr>
            <w:tcW w:w="865" w:type="dxa"/>
            <w:noWrap/>
            <w:vAlign w:val="center"/>
          </w:tcPr>
          <w:p w14:paraId="329F32FC">
            <w:pPr>
              <w:widowControl/>
              <w:adjustRightInd w:val="0"/>
              <w:snapToGrid w:val="0"/>
              <w:jc w:val="center"/>
              <w:rPr>
                <w:rFonts w:ascii="仿宋" w:hAnsi="仿宋" w:eastAsia="仿宋" w:cs="仿宋"/>
                <w:sz w:val="24"/>
              </w:rPr>
            </w:pPr>
            <w:r>
              <w:rPr>
                <w:rFonts w:hint="eastAsia" w:ascii="仿宋" w:hAnsi="仿宋" w:eastAsia="仿宋" w:cs="仿宋"/>
                <w:sz w:val="24"/>
              </w:rPr>
              <w:t>34</w:t>
            </w:r>
          </w:p>
        </w:tc>
        <w:tc>
          <w:tcPr>
            <w:tcW w:w="753" w:type="dxa"/>
            <w:noWrap/>
            <w:vAlign w:val="center"/>
          </w:tcPr>
          <w:p w14:paraId="3EB22EB3">
            <w:pPr>
              <w:widowControl/>
              <w:adjustRightInd w:val="0"/>
              <w:snapToGrid w:val="0"/>
              <w:jc w:val="center"/>
              <w:rPr>
                <w:rFonts w:ascii="仿宋" w:hAnsi="仿宋" w:eastAsia="仿宋" w:cs="仿宋"/>
                <w:sz w:val="24"/>
              </w:rPr>
            </w:pPr>
            <w:r>
              <w:rPr>
                <w:rFonts w:hint="eastAsia" w:ascii="仿宋" w:hAnsi="仿宋" w:eastAsia="仿宋" w:cs="仿宋"/>
                <w:sz w:val="24"/>
              </w:rPr>
              <w:t>2</w:t>
            </w:r>
          </w:p>
        </w:tc>
      </w:tr>
      <w:tr w14:paraId="619E8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49" w:type="dxa"/>
            <w:vMerge w:val="continue"/>
            <w:noWrap/>
            <w:vAlign w:val="center"/>
          </w:tcPr>
          <w:p w14:paraId="14FB2488">
            <w:pPr>
              <w:widowControl/>
              <w:adjustRightInd w:val="0"/>
              <w:snapToGrid w:val="0"/>
              <w:jc w:val="center"/>
              <w:rPr>
                <w:rFonts w:ascii="仿宋" w:hAnsi="仿宋" w:eastAsia="仿宋" w:cs="仿宋"/>
                <w:kern w:val="0"/>
                <w:sz w:val="24"/>
              </w:rPr>
            </w:pPr>
          </w:p>
        </w:tc>
        <w:tc>
          <w:tcPr>
            <w:tcW w:w="606" w:type="dxa"/>
            <w:vMerge w:val="continue"/>
            <w:noWrap/>
            <w:vAlign w:val="center"/>
          </w:tcPr>
          <w:p w14:paraId="5A936069">
            <w:pPr>
              <w:widowControl/>
              <w:adjustRightInd w:val="0"/>
              <w:snapToGrid w:val="0"/>
              <w:rPr>
                <w:rFonts w:ascii="仿宋" w:hAnsi="仿宋" w:eastAsia="仿宋" w:cs="仿宋"/>
                <w:kern w:val="0"/>
                <w:sz w:val="24"/>
              </w:rPr>
            </w:pPr>
          </w:p>
        </w:tc>
        <w:tc>
          <w:tcPr>
            <w:tcW w:w="1530" w:type="dxa"/>
            <w:noWrap/>
            <w:vAlign w:val="center"/>
          </w:tcPr>
          <w:p w14:paraId="58E3DFE7">
            <w:pPr>
              <w:widowControl/>
              <w:jc w:val="center"/>
              <w:textAlignment w:val="center"/>
              <w:rPr>
                <w:rFonts w:ascii="仿宋" w:hAnsi="仿宋" w:eastAsia="仿宋" w:cs="仿宋"/>
                <w:b/>
                <w:kern w:val="0"/>
                <w:sz w:val="24"/>
              </w:rPr>
            </w:pPr>
            <w:r>
              <w:rPr>
                <w:rFonts w:hint="eastAsia" w:ascii="仿宋" w:hAnsi="仿宋" w:eastAsia="仿宋" w:cs="仿宋"/>
                <w:color w:val="000000"/>
                <w:kern w:val="0"/>
                <w:sz w:val="24"/>
              </w:rPr>
              <w:t>悬浮物</w:t>
            </w:r>
          </w:p>
        </w:tc>
        <w:tc>
          <w:tcPr>
            <w:tcW w:w="2971" w:type="dxa"/>
            <w:vMerge w:val="continue"/>
            <w:noWrap/>
            <w:vAlign w:val="center"/>
          </w:tcPr>
          <w:p w14:paraId="124248C5">
            <w:pPr>
              <w:widowControl/>
              <w:jc w:val="left"/>
              <w:textAlignment w:val="center"/>
              <w:rPr>
                <w:rFonts w:ascii="仿宋" w:hAnsi="仿宋" w:eastAsia="仿宋" w:cs="仿宋"/>
                <w:kern w:val="0"/>
                <w:sz w:val="24"/>
              </w:rPr>
            </w:pPr>
          </w:p>
        </w:tc>
        <w:tc>
          <w:tcPr>
            <w:tcW w:w="865" w:type="dxa"/>
            <w:noWrap/>
            <w:vAlign w:val="center"/>
          </w:tcPr>
          <w:p w14:paraId="09BE60C2">
            <w:pPr>
              <w:widowControl/>
              <w:adjustRightInd w:val="0"/>
              <w:snapToGrid w:val="0"/>
              <w:jc w:val="center"/>
              <w:rPr>
                <w:rFonts w:ascii="仿宋" w:hAnsi="仿宋" w:eastAsia="仿宋" w:cs="仿宋"/>
                <w:sz w:val="24"/>
              </w:rPr>
            </w:pPr>
            <w:r>
              <w:rPr>
                <w:rFonts w:hint="eastAsia" w:ascii="仿宋" w:hAnsi="仿宋" w:eastAsia="仿宋" w:cs="仿宋"/>
                <w:sz w:val="24"/>
              </w:rPr>
              <w:t>34</w:t>
            </w:r>
          </w:p>
        </w:tc>
        <w:tc>
          <w:tcPr>
            <w:tcW w:w="753" w:type="dxa"/>
            <w:noWrap/>
            <w:vAlign w:val="center"/>
          </w:tcPr>
          <w:p w14:paraId="086CF237">
            <w:pPr>
              <w:widowControl/>
              <w:adjustRightInd w:val="0"/>
              <w:snapToGrid w:val="0"/>
              <w:jc w:val="center"/>
              <w:rPr>
                <w:rFonts w:ascii="仿宋" w:hAnsi="仿宋" w:eastAsia="仿宋" w:cs="仿宋"/>
                <w:sz w:val="24"/>
              </w:rPr>
            </w:pPr>
            <w:r>
              <w:rPr>
                <w:rFonts w:hint="eastAsia" w:ascii="仿宋" w:hAnsi="仿宋" w:eastAsia="仿宋" w:cs="仿宋"/>
                <w:sz w:val="24"/>
              </w:rPr>
              <w:t>2</w:t>
            </w:r>
          </w:p>
        </w:tc>
      </w:tr>
      <w:tr w14:paraId="66C96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49" w:type="dxa"/>
            <w:vMerge w:val="continue"/>
            <w:noWrap/>
            <w:vAlign w:val="center"/>
          </w:tcPr>
          <w:p w14:paraId="43D3D141">
            <w:pPr>
              <w:widowControl/>
              <w:adjustRightInd w:val="0"/>
              <w:snapToGrid w:val="0"/>
              <w:jc w:val="center"/>
              <w:rPr>
                <w:rFonts w:ascii="仿宋" w:hAnsi="仿宋" w:eastAsia="仿宋" w:cs="仿宋"/>
                <w:kern w:val="0"/>
                <w:sz w:val="24"/>
              </w:rPr>
            </w:pPr>
          </w:p>
        </w:tc>
        <w:tc>
          <w:tcPr>
            <w:tcW w:w="606" w:type="dxa"/>
            <w:vMerge w:val="continue"/>
            <w:noWrap/>
            <w:vAlign w:val="center"/>
          </w:tcPr>
          <w:p w14:paraId="4F0C0A01">
            <w:pPr>
              <w:widowControl/>
              <w:adjustRightInd w:val="0"/>
              <w:snapToGrid w:val="0"/>
              <w:rPr>
                <w:rFonts w:ascii="仿宋" w:hAnsi="仿宋" w:eastAsia="仿宋" w:cs="仿宋"/>
                <w:kern w:val="0"/>
                <w:sz w:val="24"/>
              </w:rPr>
            </w:pPr>
          </w:p>
        </w:tc>
        <w:tc>
          <w:tcPr>
            <w:tcW w:w="1530" w:type="dxa"/>
            <w:noWrap/>
            <w:vAlign w:val="center"/>
          </w:tcPr>
          <w:p w14:paraId="277E8F2D">
            <w:pPr>
              <w:widowControl/>
              <w:jc w:val="center"/>
              <w:textAlignment w:val="center"/>
              <w:rPr>
                <w:rFonts w:ascii="仿宋" w:hAnsi="仿宋" w:eastAsia="仿宋" w:cs="仿宋"/>
                <w:b/>
                <w:kern w:val="0"/>
                <w:sz w:val="24"/>
              </w:rPr>
            </w:pPr>
            <w:r>
              <w:rPr>
                <w:rFonts w:hint="eastAsia" w:ascii="仿宋" w:hAnsi="仿宋" w:eastAsia="仿宋" w:cs="仿宋"/>
                <w:color w:val="000000"/>
                <w:kern w:val="0"/>
                <w:sz w:val="24"/>
              </w:rPr>
              <w:t>叶绿素</w:t>
            </w:r>
            <w:r>
              <w:rPr>
                <w:rStyle w:val="6"/>
                <w:rFonts w:hint="default" w:ascii="仿宋" w:hAnsi="仿宋" w:eastAsia="仿宋" w:cs="仿宋"/>
              </w:rPr>
              <w:t>a</w:t>
            </w:r>
          </w:p>
        </w:tc>
        <w:tc>
          <w:tcPr>
            <w:tcW w:w="2971" w:type="dxa"/>
            <w:vMerge w:val="continue"/>
            <w:noWrap/>
            <w:vAlign w:val="center"/>
          </w:tcPr>
          <w:p w14:paraId="444F0D05">
            <w:pPr>
              <w:widowControl/>
              <w:jc w:val="left"/>
              <w:textAlignment w:val="center"/>
              <w:rPr>
                <w:rFonts w:ascii="仿宋" w:hAnsi="仿宋" w:eastAsia="仿宋" w:cs="仿宋"/>
                <w:kern w:val="0"/>
                <w:sz w:val="24"/>
              </w:rPr>
            </w:pPr>
          </w:p>
        </w:tc>
        <w:tc>
          <w:tcPr>
            <w:tcW w:w="865" w:type="dxa"/>
            <w:noWrap/>
            <w:vAlign w:val="center"/>
          </w:tcPr>
          <w:p w14:paraId="6C706CF4">
            <w:pPr>
              <w:widowControl/>
              <w:adjustRightInd w:val="0"/>
              <w:snapToGrid w:val="0"/>
              <w:jc w:val="center"/>
              <w:rPr>
                <w:rFonts w:ascii="仿宋" w:hAnsi="仿宋" w:eastAsia="仿宋" w:cs="仿宋"/>
                <w:sz w:val="24"/>
              </w:rPr>
            </w:pPr>
            <w:r>
              <w:rPr>
                <w:rFonts w:hint="eastAsia" w:ascii="仿宋" w:hAnsi="仿宋" w:eastAsia="仿宋" w:cs="仿宋"/>
                <w:sz w:val="24"/>
              </w:rPr>
              <w:t>34</w:t>
            </w:r>
          </w:p>
        </w:tc>
        <w:tc>
          <w:tcPr>
            <w:tcW w:w="753" w:type="dxa"/>
            <w:noWrap/>
            <w:vAlign w:val="center"/>
          </w:tcPr>
          <w:p w14:paraId="249E8A83">
            <w:pPr>
              <w:widowControl/>
              <w:adjustRightInd w:val="0"/>
              <w:snapToGrid w:val="0"/>
              <w:jc w:val="center"/>
              <w:rPr>
                <w:rFonts w:ascii="仿宋" w:hAnsi="仿宋" w:eastAsia="仿宋" w:cs="仿宋"/>
                <w:sz w:val="24"/>
              </w:rPr>
            </w:pPr>
            <w:r>
              <w:rPr>
                <w:rFonts w:hint="eastAsia" w:ascii="仿宋" w:hAnsi="仿宋" w:eastAsia="仿宋" w:cs="仿宋"/>
                <w:sz w:val="24"/>
              </w:rPr>
              <w:t>2</w:t>
            </w:r>
          </w:p>
        </w:tc>
      </w:tr>
      <w:tr w14:paraId="515FA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ign w:val="center"/>
          </w:tcPr>
          <w:p w14:paraId="6EDAC775">
            <w:pPr>
              <w:widowControl/>
              <w:adjustRightInd w:val="0"/>
              <w:snapToGrid w:val="0"/>
              <w:jc w:val="center"/>
              <w:rPr>
                <w:rFonts w:ascii="仿宋" w:hAnsi="仿宋" w:eastAsia="仿宋" w:cs="仿宋"/>
                <w:kern w:val="0"/>
                <w:sz w:val="24"/>
              </w:rPr>
            </w:pPr>
            <w:r>
              <w:rPr>
                <w:rFonts w:hint="eastAsia" w:ascii="仿宋" w:hAnsi="仿宋" w:eastAsia="仿宋" w:cs="仿宋"/>
                <w:kern w:val="0"/>
                <w:sz w:val="24"/>
              </w:rPr>
              <w:t>3</w:t>
            </w:r>
          </w:p>
        </w:tc>
        <w:tc>
          <w:tcPr>
            <w:tcW w:w="606" w:type="dxa"/>
            <w:vMerge w:val="restart"/>
            <w:noWrap/>
            <w:vAlign w:val="center"/>
          </w:tcPr>
          <w:p w14:paraId="259143ED">
            <w:pPr>
              <w:widowControl/>
              <w:adjustRightInd w:val="0"/>
              <w:snapToGrid w:val="0"/>
              <w:jc w:val="center"/>
              <w:rPr>
                <w:rFonts w:ascii="仿宋" w:hAnsi="仿宋" w:eastAsia="仿宋" w:cs="仿宋"/>
                <w:b/>
                <w:kern w:val="0"/>
                <w:sz w:val="24"/>
              </w:rPr>
            </w:pPr>
            <w:r>
              <w:rPr>
                <w:rFonts w:hint="eastAsia" w:ascii="仿宋" w:hAnsi="仿宋" w:eastAsia="仿宋" w:cs="仿宋"/>
                <w:b/>
                <w:kern w:val="0"/>
                <w:sz w:val="24"/>
              </w:rPr>
              <w:t>海</w:t>
            </w:r>
          </w:p>
          <w:p w14:paraId="456AB2F7">
            <w:pPr>
              <w:widowControl/>
              <w:adjustRightInd w:val="0"/>
              <w:snapToGrid w:val="0"/>
              <w:jc w:val="center"/>
              <w:rPr>
                <w:rFonts w:ascii="仿宋" w:hAnsi="仿宋" w:eastAsia="仿宋" w:cs="仿宋"/>
                <w:b/>
                <w:kern w:val="0"/>
                <w:sz w:val="24"/>
              </w:rPr>
            </w:pPr>
            <w:r>
              <w:rPr>
                <w:rFonts w:hint="eastAsia" w:ascii="仿宋" w:hAnsi="仿宋" w:eastAsia="仿宋" w:cs="仿宋"/>
                <w:b/>
                <w:kern w:val="0"/>
                <w:sz w:val="24"/>
              </w:rPr>
              <w:t>洋</w:t>
            </w:r>
          </w:p>
          <w:p w14:paraId="3B61AB37">
            <w:pPr>
              <w:widowControl/>
              <w:adjustRightInd w:val="0"/>
              <w:snapToGrid w:val="0"/>
              <w:jc w:val="center"/>
              <w:rPr>
                <w:rFonts w:ascii="仿宋" w:hAnsi="仿宋" w:eastAsia="仿宋" w:cs="仿宋"/>
                <w:b/>
                <w:kern w:val="0"/>
                <w:sz w:val="24"/>
              </w:rPr>
            </w:pPr>
            <w:r>
              <w:rPr>
                <w:rFonts w:hint="eastAsia" w:ascii="仿宋" w:hAnsi="仿宋" w:eastAsia="仿宋" w:cs="仿宋"/>
                <w:b/>
                <w:kern w:val="0"/>
                <w:sz w:val="24"/>
              </w:rPr>
              <w:t>生</w:t>
            </w:r>
          </w:p>
          <w:p w14:paraId="656C7A83">
            <w:pPr>
              <w:widowControl/>
              <w:adjustRightInd w:val="0"/>
              <w:snapToGrid w:val="0"/>
              <w:jc w:val="center"/>
              <w:rPr>
                <w:rFonts w:ascii="仿宋" w:hAnsi="仿宋" w:eastAsia="仿宋" w:cs="仿宋"/>
                <w:b/>
                <w:kern w:val="0"/>
                <w:sz w:val="24"/>
              </w:rPr>
            </w:pPr>
            <w:r>
              <w:rPr>
                <w:rFonts w:hint="eastAsia" w:ascii="仿宋" w:hAnsi="仿宋" w:eastAsia="仿宋" w:cs="仿宋"/>
                <w:b/>
                <w:kern w:val="0"/>
                <w:sz w:val="24"/>
              </w:rPr>
              <w:t>物</w:t>
            </w:r>
          </w:p>
          <w:p w14:paraId="4250BEF8">
            <w:pPr>
              <w:widowControl/>
              <w:adjustRightInd w:val="0"/>
              <w:snapToGrid w:val="0"/>
              <w:jc w:val="center"/>
              <w:rPr>
                <w:rFonts w:ascii="仿宋" w:hAnsi="仿宋" w:eastAsia="仿宋" w:cs="仿宋"/>
                <w:b/>
                <w:kern w:val="0"/>
                <w:sz w:val="24"/>
              </w:rPr>
            </w:pPr>
            <w:r>
              <w:rPr>
                <w:rFonts w:hint="eastAsia" w:ascii="仿宋" w:hAnsi="仿宋" w:eastAsia="仿宋" w:cs="仿宋"/>
                <w:b/>
                <w:kern w:val="0"/>
                <w:sz w:val="24"/>
              </w:rPr>
              <w:t>资</w:t>
            </w:r>
          </w:p>
          <w:p w14:paraId="6C43221D">
            <w:pPr>
              <w:widowControl/>
              <w:adjustRightInd w:val="0"/>
              <w:snapToGrid w:val="0"/>
              <w:jc w:val="center"/>
              <w:rPr>
                <w:rFonts w:ascii="仿宋" w:hAnsi="仿宋" w:eastAsia="仿宋" w:cs="仿宋"/>
                <w:b/>
                <w:kern w:val="0"/>
                <w:sz w:val="24"/>
              </w:rPr>
            </w:pPr>
            <w:r>
              <w:rPr>
                <w:rFonts w:hint="eastAsia" w:ascii="仿宋" w:hAnsi="仿宋" w:eastAsia="仿宋" w:cs="仿宋"/>
                <w:b/>
                <w:kern w:val="0"/>
                <w:sz w:val="24"/>
              </w:rPr>
              <w:t>源</w:t>
            </w:r>
          </w:p>
          <w:p w14:paraId="28696557">
            <w:pPr>
              <w:widowControl/>
              <w:adjustRightInd w:val="0"/>
              <w:snapToGrid w:val="0"/>
              <w:jc w:val="center"/>
              <w:rPr>
                <w:rFonts w:ascii="仿宋" w:hAnsi="仿宋" w:eastAsia="仿宋" w:cs="仿宋"/>
                <w:b/>
                <w:kern w:val="0"/>
                <w:sz w:val="24"/>
              </w:rPr>
            </w:pPr>
            <w:r>
              <w:rPr>
                <w:rFonts w:hint="eastAsia" w:ascii="仿宋" w:hAnsi="仿宋" w:eastAsia="仿宋" w:cs="仿宋"/>
                <w:b/>
                <w:kern w:val="0"/>
                <w:sz w:val="24"/>
              </w:rPr>
              <w:t>监</w:t>
            </w:r>
          </w:p>
          <w:p w14:paraId="5DB068CE">
            <w:pPr>
              <w:widowControl/>
              <w:adjustRightInd w:val="0"/>
              <w:snapToGrid w:val="0"/>
              <w:jc w:val="center"/>
              <w:rPr>
                <w:rFonts w:ascii="仿宋" w:hAnsi="仿宋" w:eastAsia="仿宋" w:cs="仿宋"/>
                <w:b/>
                <w:kern w:val="0"/>
                <w:sz w:val="24"/>
              </w:rPr>
            </w:pPr>
            <w:r>
              <w:rPr>
                <w:rFonts w:hint="eastAsia" w:ascii="仿宋" w:hAnsi="仿宋" w:eastAsia="仿宋" w:cs="仿宋"/>
                <w:b/>
                <w:kern w:val="0"/>
                <w:sz w:val="24"/>
              </w:rPr>
              <w:t>测</w:t>
            </w:r>
          </w:p>
        </w:tc>
        <w:tc>
          <w:tcPr>
            <w:tcW w:w="1530" w:type="dxa"/>
            <w:noWrap/>
            <w:vAlign w:val="center"/>
          </w:tcPr>
          <w:p w14:paraId="2F9D15FE">
            <w:pPr>
              <w:widowControl/>
              <w:adjustRightInd w:val="0"/>
              <w:snapToGrid w:val="0"/>
              <w:jc w:val="center"/>
              <w:rPr>
                <w:rFonts w:ascii="仿宋" w:hAnsi="仿宋" w:eastAsia="仿宋" w:cs="仿宋"/>
                <w:b/>
                <w:kern w:val="0"/>
                <w:sz w:val="24"/>
              </w:rPr>
            </w:pPr>
            <w:r>
              <w:rPr>
                <w:rFonts w:hint="eastAsia" w:ascii="仿宋" w:hAnsi="仿宋" w:eastAsia="仿宋" w:cs="仿宋"/>
                <w:b/>
                <w:kern w:val="0"/>
                <w:sz w:val="24"/>
              </w:rPr>
              <w:t>珊瑚礁鱼类监测</w:t>
            </w:r>
          </w:p>
        </w:tc>
        <w:tc>
          <w:tcPr>
            <w:tcW w:w="2971" w:type="dxa"/>
            <w:noWrap/>
            <w:vAlign w:val="center"/>
          </w:tcPr>
          <w:p w14:paraId="6174DCB3">
            <w:pPr>
              <w:widowControl/>
              <w:adjustRightInd w:val="0"/>
              <w:snapToGrid w:val="0"/>
              <w:rPr>
                <w:rFonts w:ascii="仿宋" w:hAnsi="仿宋" w:eastAsia="仿宋" w:cs="仿宋"/>
                <w:kern w:val="0"/>
                <w:sz w:val="24"/>
              </w:rPr>
            </w:pPr>
            <w:r>
              <w:rPr>
                <w:rFonts w:hint="eastAsia" w:ascii="仿宋" w:hAnsi="仿宋" w:eastAsia="仿宋" w:cs="仿宋"/>
                <w:bCs/>
                <w:kern w:val="0"/>
                <w:sz w:val="24"/>
              </w:rPr>
              <w:t>每个站位分别在2个水深层次设置监位点，调查样带</w:t>
            </w:r>
            <w:r>
              <w:rPr>
                <w:rFonts w:hint="eastAsia" w:ascii="仿宋" w:hAnsi="仿宋" w:eastAsia="仿宋" w:cs="仿宋"/>
                <w:kern w:val="0"/>
                <w:sz w:val="24"/>
              </w:rPr>
              <w:t>共布设66个样带，通过水下视频对珊瑚礁附着的鱼类及大型底栖藻类。附近水环境指标（ph、悬浮物、活性磷酸盐、无机氮、叶绿素a）进行分析进行分析</w:t>
            </w:r>
          </w:p>
        </w:tc>
        <w:tc>
          <w:tcPr>
            <w:tcW w:w="865" w:type="dxa"/>
            <w:noWrap/>
            <w:vAlign w:val="center"/>
          </w:tcPr>
          <w:p w14:paraId="35214532">
            <w:pPr>
              <w:widowControl/>
              <w:adjustRightInd w:val="0"/>
              <w:snapToGrid w:val="0"/>
              <w:jc w:val="center"/>
              <w:rPr>
                <w:rFonts w:ascii="仿宋" w:hAnsi="仿宋" w:eastAsia="仿宋" w:cs="仿宋"/>
                <w:kern w:val="0"/>
                <w:sz w:val="24"/>
              </w:rPr>
            </w:pPr>
            <w:r>
              <w:rPr>
                <w:rFonts w:hint="eastAsia" w:ascii="仿宋" w:hAnsi="仿宋" w:eastAsia="仿宋" w:cs="仿宋"/>
                <w:kern w:val="0"/>
                <w:sz w:val="24"/>
              </w:rPr>
              <w:t>33</w:t>
            </w:r>
          </w:p>
        </w:tc>
        <w:tc>
          <w:tcPr>
            <w:tcW w:w="753" w:type="dxa"/>
            <w:noWrap/>
            <w:vAlign w:val="center"/>
          </w:tcPr>
          <w:p w14:paraId="66A759D1">
            <w:pPr>
              <w:widowControl/>
              <w:adjustRightInd w:val="0"/>
              <w:snapToGrid w:val="0"/>
              <w:jc w:val="center"/>
              <w:rPr>
                <w:rFonts w:ascii="仿宋" w:hAnsi="仿宋" w:eastAsia="仿宋" w:cs="仿宋"/>
                <w:kern w:val="0"/>
                <w:sz w:val="24"/>
              </w:rPr>
            </w:pPr>
            <w:r>
              <w:rPr>
                <w:rFonts w:hint="eastAsia" w:ascii="仿宋" w:hAnsi="仿宋" w:eastAsia="仿宋" w:cs="仿宋"/>
                <w:bCs/>
                <w:kern w:val="0"/>
                <w:sz w:val="24"/>
              </w:rPr>
              <w:t>2</w:t>
            </w:r>
          </w:p>
        </w:tc>
      </w:tr>
      <w:tr w14:paraId="6B6D3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ign w:val="center"/>
          </w:tcPr>
          <w:p w14:paraId="0FCDFFA7">
            <w:pPr>
              <w:widowControl/>
              <w:adjustRightInd w:val="0"/>
              <w:snapToGrid w:val="0"/>
              <w:jc w:val="center"/>
              <w:rPr>
                <w:rFonts w:ascii="仿宋" w:hAnsi="仿宋" w:eastAsia="仿宋" w:cs="仿宋"/>
                <w:kern w:val="0"/>
                <w:sz w:val="24"/>
              </w:rPr>
            </w:pPr>
            <w:r>
              <w:rPr>
                <w:rFonts w:hint="eastAsia" w:ascii="仿宋" w:hAnsi="仿宋" w:eastAsia="仿宋" w:cs="仿宋"/>
                <w:kern w:val="0"/>
                <w:sz w:val="24"/>
              </w:rPr>
              <w:t>4</w:t>
            </w:r>
          </w:p>
        </w:tc>
        <w:tc>
          <w:tcPr>
            <w:tcW w:w="606" w:type="dxa"/>
            <w:vMerge w:val="continue"/>
            <w:noWrap/>
            <w:vAlign w:val="center"/>
          </w:tcPr>
          <w:p w14:paraId="093756E1">
            <w:pPr>
              <w:widowControl/>
              <w:jc w:val="left"/>
              <w:rPr>
                <w:rFonts w:ascii="仿宋" w:hAnsi="仿宋" w:eastAsia="仿宋" w:cs="仿宋"/>
                <w:b/>
                <w:kern w:val="0"/>
                <w:sz w:val="24"/>
              </w:rPr>
            </w:pPr>
          </w:p>
        </w:tc>
        <w:tc>
          <w:tcPr>
            <w:tcW w:w="1530" w:type="dxa"/>
            <w:noWrap/>
            <w:vAlign w:val="center"/>
          </w:tcPr>
          <w:p w14:paraId="2D370CA8">
            <w:pPr>
              <w:widowControl/>
              <w:adjustRightInd w:val="0"/>
              <w:snapToGrid w:val="0"/>
              <w:jc w:val="center"/>
              <w:rPr>
                <w:rFonts w:ascii="仿宋" w:hAnsi="仿宋" w:eastAsia="仿宋" w:cs="仿宋"/>
                <w:b/>
                <w:kern w:val="0"/>
                <w:sz w:val="24"/>
              </w:rPr>
            </w:pPr>
            <w:r>
              <w:rPr>
                <w:rFonts w:hint="eastAsia" w:ascii="仿宋" w:hAnsi="仿宋" w:eastAsia="仿宋" w:cs="仿宋"/>
                <w:b/>
                <w:kern w:val="0"/>
                <w:sz w:val="24"/>
              </w:rPr>
              <w:t>礁栖生物监测</w:t>
            </w:r>
          </w:p>
        </w:tc>
        <w:tc>
          <w:tcPr>
            <w:tcW w:w="2971" w:type="dxa"/>
            <w:noWrap/>
            <w:vAlign w:val="center"/>
          </w:tcPr>
          <w:p w14:paraId="5F3BD3CD">
            <w:pPr>
              <w:widowControl/>
              <w:adjustRightInd w:val="0"/>
              <w:snapToGrid w:val="0"/>
              <w:rPr>
                <w:rFonts w:ascii="仿宋" w:hAnsi="仿宋" w:eastAsia="仿宋" w:cs="仿宋"/>
                <w:kern w:val="0"/>
                <w:sz w:val="24"/>
              </w:rPr>
            </w:pPr>
            <w:r>
              <w:rPr>
                <w:rFonts w:hint="eastAsia" w:ascii="仿宋" w:hAnsi="仿宋" w:eastAsia="仿宋" w:cs="仿宋"/>
                <w:kern w:val="0"/>
                <w:sz w:val="24"/>
              </w:rPr>
              <w:t>布设48个调查站位，采集大型底栖生物，监测大型底栖的种类、生物量及群落结构。</w:t>
            </w:r>
          </w:p>
        </w:tc>
        <w:tc>
          <w:tcPr>
            <w:tcW w:w="865" w:type="dxa"/>
            <w:noWrap/>
            <w:vAlign w:val="center"/>
          </w:tcPr>
          <w:p w14:paraId="22DD897B">
            <w:pPr>
              <w:widowControl/>
              <w:adjustRightInd w:val="0"/>
              <w:snapToGrid w:val="0"/>
              <w:jc w:val="center"/>
              <w:rPr>
                <w:rFonts w:ascii="仿宋" w:hAnsi="仿宋" w:eastAsia="仿宋" w:cs="仿宋"/>
                <w:sz w:val="24"/>
              </w:rPr>
            </w:pPr>
            <w:r>
              <w:rPr>
                <w:rFonts w:hint="eastAsia" w:ascii="仿宋" w:hAnsi="仿宋" w:eastAsia="仿宋" w:cs="仿宋"/>
                <w:sz w:val="24"/>
              </w:rPr>
              <w:t>48</w:t>
            </w:r>
          </w:p>
        </w:tc>
        <w:tc>
          <w:tcPr>
            <w:tcW w:w="753" w:type="dxa"/>
            <w:noWrap/>
            <w:vAlign w:val="center"/>
          </w:tcPr>
          <w:p w14:paraId="25841B0E">
            <w:pPr>
              <w:widowControl/>
              <w:adjustRightInd w:val="0"/>
              <w:snapToGrid w:val="0"/>
              <w:jc w:val="center"/>
              <w:rPr>
                <w:rFonts w:ascii="仿宋" w:hAnsi="仿宋" w:eastAsia="仿宋" w:cs="仿宋"/>
                <w:sz w:val="24"/>
              </w:rPr>
            </w:pPr>
            <w:r>
              <w:rPr>
                <w:rFonts w:hint="eastAsia" w:ascii="仿宋" w:hAnsi="仿宋" w:eastAsia="仿宋" w:cs="仿宋"/>
                <w:bCs/>
                <w:kern w:val="0"/>
                <w:sz w:val="24"/>
              </w:rPr>
              <w:t>2</w:t>
            </w:r>
          </w:p>
        </w:tc>
      </w:tr>
      <w:tr w14:paraId="207BA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ign w:val="center"/>
          </w:tcPr>
          <w:p w14:paraId="06031DC5">
            <w:pPr>
              <w:widowControl/>
              <w:adjustRightInd w:val="0"/>
              <w:snapToGrid w:val="0"/>
              <w:jc w:val="center"/>
              <w:rPr>
                <w:rFonts w:ascii="仿宋" w:hAnsi="仿宋" w:eastAsia="仿宋" w:cs="仿宋"/>
                <w:kern w:val="0"/>
                <w:sz w:val="24"/>
              </w:rPr>
            </w:pPr>
            <w:r>
              <w:rPr>
                <w:rFonts w:hint="eastAsia" w:ascii="仿宋" w:hAnsi="仿宋" w:eastAsia="仿宋" w:cs="仿宋"/>
                <w:kern w:val="0"/>
                <w:sz w:val="24"/>
              </w:rPr>
              <w:t>5</w:t>
            </w:r>
          </w:p>
        </w:tc>
        <w:tc>
          <w:tcPr>
            <w:tcW w:w="606" w:type="dxa"/>
            <w:vMerge w:val="continue"/>
            <w:noWrap/>
            <w:vAlign w:val="center"/>
          </w:tcPr>
          <w:p w14:paraId="46434661">
            <w:pPr>
              <w:widowControl/>
              <w:jc w:val="left"/>
              <w:rPr>
                <w:rFonts w:ascii="仿宋" w:hAnsi="仿宋" w:eastAsia="仿宋" w:cs="仿宋"/>
                <w:b/>
                <w:kern w:val="0"/>
                <w:sz w:val="24"/>
              </w:rPr>
            </w:pPr>
          </w:p>
        </w:tc>
        <w:tc>
          <w:tcPr>
            <w:tcW w:w="1530" w:type="dxa"/>
            <w:noWrap/>
            <w:vAlign w:val="center"/>
          </w:tcPr>
          <w:p w14:paraId="282D10F8">
            <w:pPr>
              <w:widowControl/>
              <w:adjustRightInd w:val="0"/>
              <w:snapToGrid w:val="0"/>
              <w:jc w:val="center"/>
              <w:rPr>
                <w:rFonts w:ascii="仿宋" w:hAnsi="仿宋" w:eastAsia="仿宋" w:cs="仿宋"/>
                <w:b/>
                <w:kern w:val="0"/>
                <w:sz w:val="24"/>
              </w:rPr>
            </w:pPr>
            <w:r>
              <w:rPr>
                <w:rFonts w:hint="eastAsia" w:ascii="仿宋" w:hAnsi="仿宋" w:eastAsia="仿宋" w:cs="仿宋"/>
                <w:b/>
                <w:kern w:val="0"/>
                <w:sz w:val="24"/>
              </w:rPr>
              <w:t>大型藻类监测（潮间带）</w:t>
            </w:r>
          </w:p>
        </w:tc>
        <w:tc>
          <w:tcPr>
            <w:tcW w:w="2971" w:type="dxa"/>
            <w:noWrap/>
            <w:vAlign w:val="center"/>
          </w:tcPr>
          <w:p w14:paraId="3D441A5C">
            <w:pPr>
              <w:widowControl/>
              <w:adjustRightInd w:val="0"/>
              <w:snapToGrid w:val="0"/>
              <w:rPr>
                <w:rFonts w:ascii="仿宋" w:hAnsi="仿宋" w:eastAsia="仿宋" w:cs="仿宋"/>
                <w:kern w:val="0"/>
                <w:sz w:val="24"/>
              </w:rPr>
            </w:pPr>
            <w:r>
              <w:rPr>
                <w:rFonts w:hint="eastAsia" w:ascii="仿宋" w:hAnsi="仿宋" w:eastAsia="仿宋" w:cs="仿宋"/>
                <w:kern w:val="0"/>
                <w:sz w:val="24"/>
              </w:rPr>
              <w:t>布设7个调查站位，每个站位在高潮区、中潮区和低潮区布设1个样方，共21个样方，监测潮间带的种类、生物量及群落结构。</w:t>
            </w:r>
          </w:p>
        </w:tc>
        <w:tc>
          <w:tcPr>
            <w:tcW w:w="865" w:type="dxa"/>
            <w:noWrap/>
            <w:vAlign w:val="center"/>
          </w:tcPr>
          <w:p w14:paraId="6A3F74EF">
            <w:pPr>
              <w:widowControl/>
              <w:adjustRightInd w:val="0"/>
              <w:snapToGrid w:val="0"/>
              <w:jc w:val="center"/>
              <w:rPr>
                <w:rFonts w:ascii="仿宋" w:hAnsi="仿宋" w:eastAsia="仿宋" w:cs="仿宋"/>
                <w:sz w:val="24"/>
              </w:rPr>
            </w:pPr>
            <w:r>
              <w:rPr>
                <w:rFonts w:hint="eastAsia" w:ascii="仿宋" w:hAnsi="仿宋" w:eastAsia="仿宋" w:cs="仿宋"/>
                <w:sz w:val="24"/>
              </w:rPr>
              <w:t>21</w:t>
            </w:r>
          </w:p>
        </w:tc>
        <w:tc>
          <w:tcPr>
            <w:tcW w:w="753" w:type="dxa"/>
            <w:noWrap/>
            <w:vAlign w:val="center"/>
          </w:tcPr>
          <w:p w14:paraId="017F5B93">
            <w:pPr>
              <w:widowControl/>
              <w:adjustRightInd w:val="0"/>
              <w:snapToGrid w:val="0"/>
              <w:jc w:val="center"/>
              <w:rPr>
                <w:rFonts w:ascii="仿宋" w:hAnsi="仿宋" w:eastAsia="仿宋" w:cs="仿宋"/>
                <w:sz w:val="24"/>
              </w:rPr>
            </w:pPr>
            <w:r>
              <w:rPr>
                <w:rFonts w:hint="eastAsia" w:ascii="仿宋" w:hAnsi="仿宋" w:eastAsia="仿宋" w:cs="仿宋"/>
                <w:bCs/>
                <w:kern w:val="0"/>
                <w:sz w:val="24"/>
              </w:rPr>
              <w:t>2</w:t>
            </w:r>
          </w:p>
        </w:tc>
      </w:tr>
      <w:tr w14:paraId="0CCB6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ign w:val="center"/>
          </w:tcPr>
          <w:p w14:paraId="175B74AF">
            <w:pPr>
              <w:widowControl/>
              <w:adjustRightInd w:val="0"/>
              <w:snapToGrid w:val="0"/>
              <w:jc w:val="center"/>
              <w:rPr>
                <w:rFonts w:ascii="仿宋" w:hAnsi="仿宋" w:eastAsia="仿宋" w:cs="仿宋"/>
                <w:kern w:val="0"/>
                <w:sz w:val="24"/>
              </w:rPr>
            </w:pPr>
            <w:r>
              <w:rPr>
                <w:rFonts w:hint="eastAsia" w:ascii="仿宋" w:hAnsi="仿宋" w:eastAsia="仿宋" w:cs="仿宋"/>
                <w:kern w:val="0"/>
                <w:sz w:val="24"/>
              </w:rPr>
              <w:t>6</w:t>
            </w:r>
          </w:p>
        </w:tc>
        <w:tc>
          <w:tcPr>
            <w:tcW w:w="606" w:type="dxa"/>
            <w:vMerge w:val="continue"/>
            <w:noWrap/>
            <w:vAlign w:val="center"/>
          </w:tcPr>
          <w:p w14:paraId="10722594">
            <w:pPr>
              <w:widowControl/>
              <w:jc w:val="left"/>
              <w:rPr>
                <w:rFonts w:ascii="仿宋" w:hAnsi="仿宋" w:eastAsia="仿宋" w:cs="仿宋"/>
                <w:b/>
                <w:kern w:val="0"/>
                <w:sz w:val="24"/>
              </w:rPr>
            </w:pPr>
          </w:p>
        </w:tc>
        <w:tc>
          <w:tcPr>
            <w:tcW w:w="1530" w:type="dxa"/>
            <w:noWrap/>
            <w:vAlign w:val="center"/>
          </w:tcPr>
          <w:p w14:paraId="04D29547">
            <w:pPr>
              <w:widowControl/>
              <w:adjustRightInd w:val="0"/>
              <w:snapToGrid w:val="0"/>
              <w:jc w:val="center"/>
              <w:rPr>
                <w:rFonts w:ascii="仿宋" w:hAnsi="仿宋" w:eastAsia="仿宋" w:cs="仿宋"/>
                <w:b/>
                <w:kern w:val="0"/>
                <w:sz w:val="24"/>
              </w:rPr>
            </w:pPr>
            <w:r>
              <w:rPr>
                <w:rFonts w:hint="eastAsia" w:ascii="仿宋" w:hAnsi="仿宋" w:eastAsia="仿宋" w:cs="仿宋"/>
                <w:b/>
                <w:kern w:val="0"/>
                <w:sz w:val="24"/>
              </w:rPr>
              <w:t>礁区生物监测（浮游动植物、游泳动物）</w:t>
            </w:r>
          </w:p>
        </w:tc>
        <w:tc>
          <w:tcPr>
            <w:tcW w:w="2971" w:type="dxa"/>
            <w:noWrap/>
            <w:vAlign w:val="center"/>
          </w:tcPr>
          <w:p w14:paraId="739D4840">
            <w:pPr>
              <w:widowControl/>
              <w:adjustRightInd w:val="0"/>
              <w:snapToGrid w:val="0"/>
              <w:rPr>
                <w:rFonts w:ascii="仿宋" w:hAnsi="仿宋" w:eastAsia="仿宋" w:cs="仿宋"/>
                <w:kern w:val="0"/>
                <w:sz w:val="24"/>
              </w:rPr>
            </w:pPr>
            <w:r>
              <w:rPr>
                <w:rFonts w:hint="eastAsia" w:ascii="仿宋" w:hAnsi="仿宋" w:eastAsia="仿宋" w:cs="仿宋"/>
                <w:kern w:val="0"/>
                <w:sz w:val="24"/>
              </w:rPr>
              <w:t>布设34个调查站位，采集浮游动物、浮游植物、游泳生物，监测动植物的种类、生物量及群落结构。</w:t>
            </w:r>
          </w:p>
        </w:tc>
        <w:tc>
          <w:tcPr>
            <w:tcW w:w="865" w:type="dxa"/>
            <w:noWrap/>
            <w:vAlign w:val="center"/>
          </w:tcPr>
          <w:p w14:paraId="7E6C2749">
            <w:pPr>
              <w:widowControl/>
              <w:adjustRightInd w:val="0"/>
              <w:snapToGrid w:val="0"/>
              <w:jc w:val="center"/>
              <w:rPr>
                <w:rFonts w:ascii="仿宋" w:hAnsi="仿宋" w:eastAsia="仿宋" w:cs="仿宋"/>
                <w:sz w:val="24"/>
              </w:rPr>
            </w:pPr>
            <w:r>
              <w:rPr>
                <w:rFonts w:hint="eastAsia" w:ascii="仿宋" w:hAnsi="仿宋" w:eastAsia="仿宋" w:cs="仿宋"/>
                <w:sz w:val="24"/>
              </w:rPr>
              <w:t>34</w:t>
            </w:r>
          </w:p>
        </w:tc>
        <w:tc>
          <w:tcPr>
            <w:tcW w:w="753" w:type="dxa"/>
            <w:noWrap/>
            <w:vAlign w:val="center"/>
          </w:tcPr>
          <w:p w14:paraId="7F6CBE25">
            <w:pPr>
              <w:widowControl/>
              <w:adjustRightInd w:val="0"/>
              <w:snapToGrid w:val="0"/>
              <w:jc w:val="center"/>
              <w:rPr>
                <w:rFonts w:ascii="仿宋" w:hAnsi="仿宋" w:eastAsia="仿宋" w:cs="仿宋"/>
                <w:sz w:val="24"/>
              </w:rPr>
            </w:pPr>
            <w:r>
              <w:rPr>
                <w:rFonts w:hint="eastAsia" w:ascii="仿宋" w:hAnsi="仿宋" w:eastAsia="仿宋" w:cs="仿宋"/>
                <w:bCs/>
                <w:kern w:val="0"/>
                <w:sz w:val="24"/>
              </w:rPr>
              <w:t>2</w:t>
            </w:r>
          </w:p>
        </w:tc>
      </w:tr>
    </w:tbl>
    <w:p w14:paraId="6E1DD9F0">
      <w:pPr>
        <w:keepNext w:val="0"/>
        <w:keepLines w:val="0"/>
        <w:widowControl/>
        <w:suppressLineNumbers w:val="0"/>
        <w:ind w:right="-733" w:rightChars="-349" w:firstLine="560" w:firstLineChars="200"/>
        <w:jc w:val="left"/>
        <w:rPr>
          <w:rFonts w:hint="eastAsia" w:ascii="仿宋" w:hAnsi="仿宋" w:eastAsia="仿宋" w:cs="仿宋"/>
          <w:color w:val="000000"/>
          <w:kern w:val="0"/>
          <w:sz w:val="28"/>
          <w:szCs w:val="28"/>
          <w:lang w:val="en-US" w:eastAsia="zh-CN" w:bidi="ar"/>
        </w:rPr>
      </w:pPr>
    </w:p>
    <w:p w14:paraId="348C1417">
      <w:pPr>
        <w:keepNext w:val="0"/>
        <w:keepLines w:val="0"/>
        <w:widowControl/>
        <w:suppressLineNumbers w:val="0"/>
        <w:ind w:right="-733" w:rightChars="-349"/>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 </w:t>
      </w:r>
    </w:p>
    <w:p w14:paraId="1B382585">
      <w:pPr>
        <w:keepNext w:val="0"/>
        <w:keepLines w:val="0"/>
        <w:widowControl/>
        <w:suppressLineNumbers w:val="0"/>
        <w:ind w:right="-733" w:rightChars="-349"/>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H包：海洋生态系统监测主要实施内容：</w:t>
      </w:r>
    </w:p>
    <w:p w14:paraId="38BBC63C">
      <w:pPr>
        <w:keepNext w:val="0"/>
        <w:keepLines w:val="0"/>
        <w:widowControl/>
        <w:suppressLineNumbers w:val="0"/>
        <w:ind w:right="-733" w:rightChars="-349"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铜鼓岭保护区珊瑚、海草、红树林生态系统监测。珊瑚主要监测内容为珊瑚种类、活覆盖度、分布范围、补充量、健康状况等；海草主要监测内容为海草种类、群落结构、分布面积、生物量及群落结构等；红树林主要监测内容为监测红树林种类及盖度、分布面积、生物量及群落结构等。</w:t>
      </w:r>
    </w:p>
    <w:tbl>
      <w:tblPr>
        <w:tblStyle w:val="3"/>
        <w:tblW w:w="8332" w:type="dxa"/>
        <w:jc w:val="center"/>
        <w:tblLayout w:type="fixed"/>
        <w:tblCellMar>
          <w:top w:w="0" w:type="dxa"/>
          <w:left w:w="108" w:type="dxa"/>
          <w:bottom w:w="0" w:type="dxa"/>
          <w:right w:w="108" w:type="dxa"/>
        </w:tblCellMar>
      </w:tblPr>
      <w:tblGrid>
        <w:gridCol w:w="878"/>
        <w:gridCol w:w="1545"/>
        <w:gridCol w:w="1038"/>
        <w:gridCol w:w="833"/>
        <w:gridCol w:w="4038"/>
      </w:tblGrid>
      <w:tr w14:paraId="5B7F2728">
        <w:tblPrEx>
          <w:tblCellMar>
            <w:top w:w="0" w:type="dxa"/>
            <w:left w:w="108" w:type="dxa"/>
            <w:bottom w:w="0" w:type="dxa"/>
            <w:right w:w="108" w:type="dxa"/>
          </w:tblCellMar>
        </w:tblPrEx>
        <w:trPr>
          <w:trHeight w:val="937" w:hRule="atLeast"/>
          <w:tblHeader/>
          <w:jc w:val="center"/>
        </w:trPr>
        <w:tc>
          <w:tcPr>
            <w:tcW w:w="8332" w:type="dxa"/>
            <w:gridSpan w:val="5"/>
            <w:tcBorders>
              <w:top w:val="single" w:color="000000" w:sz="4" w:space="0"/>
              <w:left w:val="single" w:color="000000" w:sz="4" w:space="0"/>
              <w:bottom w:val="single" w:color="000000" w:sz="4" w:space="0"/>
              <w:right w:val="single" w:color="000000" w:sz="4" w:space="0"/>
            </w:tcBorders>
            <w:noWrap/>
            <w:vAlign w:val="center"/>
          </w:tcPr>
          <w:p w14:paraId="6385345F">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8"/>
                <w:szCs w:val="28"/>
                <w:lang w:val="en-US" w:eastAsia="zh-CN" w:bidi="ar"/>
              </w:rPr>
              <w:t xml:space="preserve"> H包：海洋生态系统监测主要实施内容</w:t>
            </w:r>
          </w:p>
        </w:tc>
      </w:tr>
      <w:tr w14:paraId="184B3C80">
        <w:tblPrEx>
          <w:tblCellMar>
            <w:top w:w="0" w:type="dxa"/>
            <w:left w:w="108" w:type="dxa"/>
            <w:bottom w:w="0" w:type="dxa"/>
            <w:right w:w="108" w:type="dxa"/>
          </w:tblCellMar>
        </w:tblPrEx>
        <w:trPr>
          <w:trHeight w:val="937" w:hRule="atLeast"/>
          <w:tblHeader/>
          <w:jc w:val="center"/>
        </w:trPr>
        <w:tc>
          <w:tcPr>
            <w:tcW w:w="878" w:type="dxa"/>
            <w:tcBorders>
              <w:top w:val="single" w:color="000000" w:sz="4" w:space="0"/>
              <w:left w:val="single" w:color="000000" w:sz="4" w:space="0"/>
              <w:bottom w:val="single" w:color="000000" w:sz="4" w:space="0"/>
              <w:right w:val="single" w:color="000000" w:sz="4" w:space="0"/>
            </w:tcBorders>
            <w:noWrap/>
            <w:vAlign w:val="center"/>
          </w:tcPr>
          <w:p w14:paraId="03DDA53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序号</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455F028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35A60DD6">
            <w:pPr>
              <w:widowControl/>
              <w:jc w:val="center"/>
              <w:textAlignment w:val="center"/>
              <w:rPr>
                <w:rFonts w:ascii="仿宋" w:hAnsi="仿宋" w:eastAsia="仿宋" w:cs="仿宋"/>
                <w:color w:val="000000"/>
                <w:sz w:val="24"/>
              </w:rPr>
            </w:pPr>
            <w:r>
              <w:rPr>
                <w:rFonts w:hint="eastAsia" w:ascii="仿宋" w:hAnsi="仿宋" w:eastAsia="仿宋" w:cs="仿宋"/>
                <w:b/>
                <w:kern w:val="0"/>
                <w:sz w:val="24"/>
              </w:rPr>
              <w:t>站位数</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0EA7A34D">
            <w:pPr>
              <w:widowControl/>
              <w:jc w:val="center"/>
              <w:textAlignment w:val="center"/>
              <w:rPr>
                <w:rFonts w:ascii="仿宋" w:hAnsi="仿宋" w:eastAsia="仿宋" w:cs="仿宋"/>
                <w:color w:val="000000"/>
                <w:sz w:val="24"/>
              </w:rPr>
            </w:pPr>
            <w:r>
              <w:rPr>
                <w:rFonts w:hint="eastAsia" w:ascii="仿宋" w:hAnsi="仿宋" w:eastAsia="仿宋" w:cs="仿宋"/>
                <w:b/>
                <w:kern w:val="0"/>
                <w:sz w:val="24"/>
              </w:rPr>
              <w:t>频次</w:t>
            </w:r>
          </w:p>
        </w:tc>
        <w:tc>
          <w:tcPr>
            <w:tcW w:w="4038" w:type="dxa"/>
            <w:tcBorders>
              <w:top w:val="single" w:color="000000" w:sz="4" w:space="0"/>
              <w:left w:val="single" w:color="000000" w:sz="4" w:space="0"/>
              <w:bottom w:val="single" w:color="000000" w:sz="4" w:space="0"/>
              <w:right w:val="single" w:color="000000" w:sz="4" w:space="0"/>
            </w:tcBorders>
            <w:noWrap/>
            <w:vAlign w:val="center"/>
          </w:tcPr>
          <w:p w14:paraId="06B3E3C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备注</w:t>
            </w:r>
          </w:p>
        </w:tc>
      </w:tr>
      <w:tr w14:paraId="366C470A">
        <w:tblPrEx>
          <w:tblCellMar>
            <w:top w:w="0" w:type="dxa"/>
            <w:left w:w="108" w:type="dxa"/>
            <w:bottom w:w="0" w:type="dxa"/>
            <w:right w:w="108" w:type="dxa"/>
          </w:tblCellMar>
        </w:tblPrEx>
        <w:trPr>
          <w:trHeight w:val="1245" w:hRule="atLeast"/>
          <w:jc w:val="center"/>
        </w:trPr>
        <w:tc>
          <w:tcPr>
            <w:tcW w:w="878" w:type="dxa"/>
            <w:tcBorders>
              <w:top w:val="single" w:color="000000" w:sz="4" w:space="0"/>
              <w:left w:val="single" w:color="000000" w:sz="4" w:space="0"/>
              <w:bottom w:val="single" w:color="000000" w:sz="4" w:space="0"/>
              <w:right w:val="single" w:color="000000" w:sz="4" w:space="0"/>
            </w:tcBorders>
            <w:noWrap/>
            <w:vAlign w:val="center"/>
          </w:tcPr>
          <w:p w14:paraId="15F8956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455B0122">
            <w:pPr>
              <w:widowControl/>
              <w:adjustRightInd w:val="0"/>
              <w:snapToGrid w:val="0"/>
              <w:jc w:val="center"/>
              <w:rPr>
                <w:rFonts w:ascii="仿宋" w:hAnsi="仿宋" w:eastAsia="仿宋" w:cs="仿宋"/>
                <w:color w:val="000000"/>
                <w:sz w:val="24"/>
              </w:rPr>
            </w:pPr>
            <w:r>
              <w:rPr>
                <w:rFonts w:hint="eastAsia" w:ascii="仿宋" w:hAnsi="仿宋" w:eastAsia="仿宋" w:cs="仿宋"/>
                <w:b/>
                <w:kern w:val="0"/>
                <w:sz w:val="24"/>
              </w:rPr>
              <w:t>珊瑚监测</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2CCD1EF4">
            <w:pPr>
              <w:widowControl/>
              <w:adjustRightInd w:val="0"/>
              <w:snapToGrid w:val="0"/>
              <w:jc w:val="center"/>
              <w:rPr>
                <w:rFonts w:ascii="仿宋" w:hAnsi="仿宋" w:eastAsia="仿宋" w:cs="仿宋"/>
                <w:color w:val="000000"/>
                <w:sz w:val="24"/>
              </w:rPr>
            </w:pPr>
            <w:r>
              <w:rPr>
                <w:rFonts w:hint="eastAsia" w:ascii="仿宋" w:hAnsi="仿宋" w:eastAsia="仿宋" w:cs="仿宋"/>
                <w:sz w:val="24"/>
              </w:rPr>
              <w:t>18</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2A450167">
            <w:pPr>
              <w:widowControl/>
              <w:jc w:val="center"/>
              <w:textAlignment w:val="center"/>
              <w:rPr>
                <w:rFonts w:ascii="仿宋" w:hAnsi="仿宋" w:eastAsia="仿宋" w:cs="仿宋"/>
                <w:color w:val="000000"/>
                <w:sz w:val="24"/>
              </w:rPr>
            </w:pPr>
            <w:r>
              <w:rPr>
                <w:rFonts w:hint="eastAsia" w:ascii="仿宋" w:hAnsi="仿宋" w:eastAsia="仿宋" w:cs="仿宋"/>
                <w:bCs/>
                <w:kern w:val="0"/>
                <w:sz w:val="24"/>
              </w:rPr>
              <w:t>2</w:t>
            </w:r>
          </w:p>
        </w:tc>
        <w:tc>
          <w:tcPr>
            <w:tcW w:w="4038" w:type="dxa"/>
            <w:tcBorders>
              <w:top w:val="single" w:color="000000" w:sz="4" w:space="0"/>
              <w:left w:val="single" w:color="000000" w:sz="4" w:space="0"/>
              <w:bottom w:val="single" w:color="000000" w:sz="4" w:space="0"/>
              <w:right w:val="single" w:color="000000" w:sz="4" w:space="0"/>
            </w:tcBorders>
            <w:noWrap/>
            <w:vAlign w:val="center"/>
          </w:tcPr>
          <w:p w14:paraId="47C4D5FB">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kern w:val="0"/>
                <w:sz w:val="24"/>
              </w:rPr>
              <w:t>根据《珊瑚礁生态监测技术规程》（HY/T 082-2005）每个站位在水深5m内，5至10m，10-20m各布设一条50米的样带，共布设54条样带，调查珊瑚种类、活覆盖度、分布范围、补充量、健康状况等</w:t>
            </w:r>
          </w:p>
        </w:tc>
      </w:tr>
      <w:tr w14:paraId="3745E1E2">
        <w:tblPrEx>
          <w:tblCellMar>
            <w:top w:w="0" w:type="dxa"/>
            <w:left w:w="108" w:type="dxa"/>
            <w:bottom w:w="0" w:type="dxa"/>
            <w:right w:w="108" w:type="dxa"/>
          </w:tblCellMar>
        </w:tblPrEx>
        <w:trPr>
          <w:trHeight w:val="937" w:hRule="atLeast"/>
          <w:jc w:val="center"/>
        </w:trPr>
        <w:tc>
          <w:tcPr>
            <w:tcW w:w="878" w:type="dxa"/>
            <w:tcBorders>
              <w:top w:val="single" w:color="000000" w:sz="4" w:space="0"/>
              <w:left w:val="single" w:color="000000" w:sz="4" w:space="0"/>
              <w:bottom w:val="single" w:color="000000" w:sz="4" w:space="0"/>
              <w:right w:val="single" w:color="000000" w:sz="4" w:space="0"/>
            </w:tcBorders>
            <w:noWrap/>
            <w:vAlign w:val="center"/>
          </w:tcPr>
          <w:p w14:paraId="33A7531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0D04F73B">
            <w:pPr>
              <w:widowControl/>
              <w:adjustRightInd w:val="0"/>
              <w:snapToGrid w:val="0"/>
              <w:jc w:val="center"/>
              <w:rPr>
                <w:rFonts w:ascii="仿宋" w:hAnsi="仿宋" w:eastAsia="仿宋" w:cs="仿宋"/>
                <w:color w:val="000000"/>
                <w:kern w:val="0"/>
                <w:sz w:val="24"/>
              </w:rPr>
            </w:pPr>
            <w:r>
              <w:rPr>
                <w:rFonts w:hint="eastAsia" w:ascii="仿宋" w:hAnsi="仿宋" w:eastAsia="仿宋" w:cs="仿宋"/>
                <w:b/>
                <w:kern w:val="0"/>
                <w:sz w:val="24"/>
              </w:rPr>
              <w:t>海草监测</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1E8F1053">
            <w:pPr>
              <w:widowControl/>
              <w:adjustRightInd w:val="0"/>
              <w:snapToGrid w:val="0"/>
              <w:jc w:val="center"/>
              <w:rPr>
                <w:rFonts w:ascii="仿宋" w:hAnsi="仿宋" w:eastAsia="仿宋" w:cs="仿宋"/>
                <w:color w:val="000000"/>
                <w:kern w:val="0"/>
                <w:sz w:val="24"/>
              </w:rPr>
            </w:pPr>
            <w:r>
              <w:rPr>
                <w:rFonts w:hint="eastAsia" w:ascii="仿宋" w:hAnsi="仿宋" w:eastAsia="仿宋" w:cs="仿宋"/>
                <w:sz w:val="24"/>
              </w:rPr>
              <w:t>5</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5CF879C7">
            <w:pPr>
              <w:widowControl/>
              <w:jc w:val="center"/>
              <w:textAlignment w:val="center"/>
              <w:rPr>
                <w:rFonts w:ascii="仿宋" w:hAnsi="仿宋" w:eastAsia="仿宋" w:cs="仿宋"/>
                <w:color w:val="000000"/>
                <w:kern w:val="0"/>
                <w:sz w:val="24"/>
              </w:rPr>
            </w:pPr>
            <w:r>
              <w:rPr>
                <w:rFonts w:hint="eastAsia" w:ascii="仿宋" w:hAnsi="仿宋" w:eastAsia="仿宋" w:cs="仿宋"/>
                <w:bCs/>
                <w:kern w:val="0"/>
                <w:sz w:val="24"/>
              </w:rPr>
              <w:t>2</w:t>
            </w:r>
          </w:p>
        </w:tc>
        <w:tc>
          <w:tcPr>
            <w:tcW w:w="4038" w:type="dxa"/>
            <w:tcBorders>
              <w:top w:val="single" w:color="000000" w:sz="4" w:space="0"/>
              <w:left w:val="single" w:color="000000" w:sz="4" w:space="0"/>
              <w:bottom w:val="single" w:color="000000" w:sz="4" w:space="0"/>
              <w:right w:val="single" w:color="000000" w:sz="4" w:space="0"/>
            </w:tcBorders>
            <w:noWrap/>
            <w:vAlign w:val="center"/>
          </w:tcPr>
          <w:p w14:paraId="14014D21">
            <w:pPr>
              <w:widowControl/>
              <w:jc w:val="center"/>
              <w:textAlignment w:val="center"/>
              <w:rPr>
                <w:rFonts w:hint="default" w:ascii="仿宋" w:hAnsi="仿宋" w:eastAsia="仿宋" w:cs="仿宋"/>
                <w:color w:val="000000"/>
                <w:kern w:val="0"/>
                <w:sz w:val="24"/>
                <w:lang w:val="en-US" w:eastAsia="zh-CN"/>
              </w:rPr>
            </w:pPr>
            <w:r>
              <w:rPr>
                <w:rFonts w:hint="eastAsia" w:ascii="仿宋" w:hAnsi="仿宋" w:eastAsia="仿宋" w:cs="仿宋"/>
                <w:kern w:val="0"/>
                <w:sz w:val="24"/>
              </w:rPr>
              <w:t>根据《海草床生态监测技术规程》（HY/T 083-2005），在监测海域，放置4至8个0.25 m2的样方，每个监测点初步设置40个样方，初步设置5个监测位点，共200个监测样方，监测海草种类、群落结构、分布面积、生物量及群落结构等</w:t>
            </w:r>
          </w:p>
        </w:tc>
      </w:tr>
      <w:tr w14:paraId="2D6EDCC4">
        <w:tblPrEx>
          <w:tblCellMar>
            <w:top w:w="0" w:type="dxa"/>
            <w:left w:w="108" w:type="dxa"/>
            <w:bottom w:w="0" w:type="dxa"/>
            <w:right w:w="108" w:type="dxa"/>
          </w:tblCellMar>
        </w:tblPrEx>
        <w:trPr>
          <w:trHeight w:val="937" w:hRule="atLeast"/>
          <w:jc w:val="center"/>
        </w:trPr>
        <w:tc>
          <w:tcPr>
            <w:tcW w:w="878" w:type="dxa"/>
            <w:tcBorders>
              <w:top w:val="single" w:color="000000" w:sz="4" w:space="0"/>
              <w:left w:val="single" w:color="000000" w:sz="4" w:space="0"/>
              <w:bottom w:val="single" w:color="000000" w:sz="4" w:space="0"/>
              <w:right w:val="single" w:color="000000" w:sz="4" w:space="0"/>
            </w:tcBorders>
            <w:noWrap/>
            <w:vAlign w:val="center"/>
          </w:tcPr>
          <w:p w14:paraId="0A09F78A">
            <w:pPr>
              <w:widowControl/>
              <w:jc w:val="center"/>
              <w:textAlignment w:val="center"/>
              <w:rPr>
                <w:rFonts w:hint="eastAsia" w:ascii="仿宋" w:hAnsi="仿宋" w:eastAsia="仿宋" w:cs="仿宋"/>
                <w:color w:val="000000"/>
                <w:kern w:val="0"/>
                <w:sz w:val="24"/>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4DEA5463">
            <w:pPr>
              <w:widowControl/>
              <w:adjustRightInd w:val="0"/>
              <w:snapToGrid w:val="0"/>
              <w:jc w:val="center"/>
              <w:rPr>
                <w:rFonts w:hint="eastAsia" w:ascii="仿宋" w:hAnsi="仿宋" w:eastAsia="仿宋" w:cs="仿宋"/>
                <w:sz w:val="24"/>
              </w:rPr>
            </w:pPr>
            <w:r>
              <w:rPr>
                <w:rFonts w:hint="eastAsia" w:ascii="仿宋" w:hAnsi="仿宋" w:eastAsia="仿宋" w:cs="仿宋"/>
                <w:b/>
                <w:kern w:val="0"/>
                <w:sz w:val="24"/>
              </w:rPr>
              <w:t>红树林监测</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2A792833">
            <w:pPr>
              <w:widowControl/>
              <w:adjustRightInd w:val="0"/>
              <w:snapToGrid w:val="0"/>
              <w:jc w:val="center"/>
              <w:rPr>
                <w:rFonts w:hint="eastAsia" w:ascii="仿宋" w:hAnsi="仿宋" w:eastAsia="仿宋" w:cs="仿宋"/>
                <w:color w:val="000000"/>
                <w:kern w:val="0"/>
                <w:sz w:val="24"/>
              </w:rPr>
            </w:pPr>
            <w:r>
              <w:rPr>
                <w:rFonts w:hint="eastAsia" w:ascii="仿宋" w:hAnsi="仿宋" w:eastAsia="仿宋" w:cs="仿宋"/>
                <w:sz w:val="24"/>
              </w:rPr>
              <w:t>12</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03CAB7AB">
            <w:pPr>
              <w:widowControl/>
              <w:jc w:val="center"/>
              <w:textAlignment w:val="center"/>
              <w:rPr>
                <w:rFonts w:hint="eastAsia" w:ascii="仿宋" w:hAnsi="仿宋" w:eastAsia="仿宋" w:cs="仿宋"/>
                <w:color w:val="000000"/>
                <w:kern w:val="0"/>
                <w:sz w:val="24"/>
              </w:rPr>
            </w:pPr>
            <w:r>
              <w:rPr>
                <w:rFonts w:hint="eastAsia" w:ascii="仿宋" w:hAnsi="仿宋" w:eastAsia="仿宋" w:cs="仿宋"/>
                <w:bCs/>
                <w:kern w:val="0"/>
                <w:sz w:val="24"/>
              </w:rPr>
              <w:t>2</w:t>
            </w:r>
          </w:p>
        </w:tc>
        <w:tc>
          <w:tcPr>
            <w:tcW w:w="4038" w:type="dxa"/>
            <w:tcBorders>
              <w:top w:val="single" w:color="000000" w:sz="4" w:space="0"/>
              <w:left w:val="single" w:color="000000" w:sz="4" w:space="0"/>
              <w:bottom w:val="single" w:color="000000" w:sz="4" w:space="0"/>
              <w:right w:val="single" w:color="000000" w:sz="4" w:space="0"/>
            </w:tcBorders>
            <w:noWrap/>
            <w:vAlign w:val="center"/>
          </w:tcPr>
          <w:p w14:paraId="3A0C68D8">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kern w:val="0"/>
                <w:sz w:val="24"/>
              </w:rPr>
              <w:t>根据《红树林生态监测技术规程(HY/T 081-2005)》，每一个红树林监测区，根据红树林分布区域的面积设置3-6条以上断面，初步设定6个红树林区域，总设置36个断面，监测红树林种类及盖度、布面积、生物量及群落结构等</w:t>
            </w:r>
            <w:bookmarkStart w:id="12" w:name="_GoBack"/>
            <w:bookmarkEnd w:id="12"/>
          </w:p>
        </w:tc>
      </w:tr>
    </w:tbl>
    <w:p w14:paraId="5C184600">
      <w:pPr>
        <w:keepNext w:val="0"/>
        <w:keepLines w:val="0"/>
        <w:widowControl/>
        <w:suppressLineNumbers w:val="0"/>
        <w:ind w:right="-733" w:rightChars="-349" w:firstLine="560" w:firstLineChars="200"/>
        <w:jc w:val="left"/>
        <w:rPr>
          <w:rFonts w:hint="eastAsia" w:ascii="仿宋" w:hAnsi="仿宋" w:eastAsia="仿宋" w:cs="仿宋"/>
          <w:color w:val="000000"/>
          <w:kern w:val="0"/>
          <w:sz w:val="28"/>
          <w:szCs w:val="28"/>
          <w:lang w:val="en-US" w:eastAsia="zh-CN" w:bidi="ar"/>
        </w:rPr>
      </w:pPr>
    </w:p>
    <w:p w14:paraId="684D1E93">
      <w:pPr>
        <w:keepNext w:val="0"/>
        <w:keepLines w:val="0"/>
        <w:widowControl/>
        <w:suppressLineNumbers w:val="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二、项目目标及成效</w:t>
      </w:r>
    </w:p>
    <w:p w14:paraId="480843F2">
      <w:pPr>
        <w:keepNext w:val="0"/>
        <w:keepLines w:val="0"/>
        <w:widowControl/>
        <w:suppressLineNumbers w:val="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（1）通过人工干预手段促进保护区珊瑚礁生态系统快速修复，全面提升海南铜鼓岭国家级自然保护区生物多样性，显著提升保护区科研水平、综合管护能力。</w:t>
      </w:r>
    </w:p>
    <w:p w14:paraId="6AF4CD94">
      <w:pPr>
        <w:keepNext w:val="0"/>
        <w:keepLines w:val="0"/>
        <w:widowControl/>
        <w:suppressLineNumbers w:val="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（2）通过对保护区内国家重点保护兽类现状调查监测，分析保护区内国家重点保护动物种群分布与栖息地现状相关性，查明潜在威胁因素，为保护区珍稀濒危动物保护和管理提出有针对性的对策和建议。</w:t>
      </w:r>
    </w:p>
    <w:p w14:paraId="7D40C36B">
      <w:pPr>
        <w:keepNext w:val="0"/>
        <w:keepLines w:val="0"/>
        <w:widowControl/>
        <w:suppressLineNumbers w:val="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3）通过对自然保护区内陆域植物资源和碳汇本底资源全面系统的调查，掌握植物资源、碳库及碳汇组成情况、分布格局及变化趋势，以及挖掘潜力等，建立自然保护区自然资源档案，为保护自然保护区内的自然环境和自然资源提供基础支撑，为保障全省生态安全及争做降碳优等生贡献力量。</w:t>
      </w:r>
    </w:p>
    <w:p w14:paraId="390766B9">
      <w:pPr>
        <w:keepNext w:val="0"/>
        <w:keepLines w:val="0"/>
        <w:widowControl/>
        <w:suppressLineNumbers w:val="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4）通过对自然保护区内海域物理生境及海洋生物资源，以及海域珊瑚资源生态系统、海草资源生态系统、红树林生态系统的全面调查，掌握海洋生物资源组成情况、分布格局及变化趋势，以及挖掘潜力等，建立自然保护区自然资源档案，为保护自然保护区内的自然环境和自然资源提供基础支撑。</w:t>
      </w:r>
    </w:p>
    <w:p w14:paraId="57E80F55">
      <w:pPr>
        <w:pStyle w:val="2"/>
        <w:rPr>
          <w:rFonts w:hint="eastAsia" w:ascii="仿宋" w:hAnsi="仿宋" w:eastAsia="仿宋" w:cs="仿宋"/>
          <w:b/>
          <w:bCs w:val="0"/>
          <w:sz w:val="28"/>
          <w:szCs w:val="28"/>
          <w:lang w:val="en-US" w:eastAsia="zh-CN"/>
        </w:rPr>
      </w:pPr>
      <w:r>
        <w:rPr>
          <w:rFonts w:hint="eastAsia" w:ascii="仿宋" w:hAnsi="仿宋" w:eastAsia="仿宋" w:cs="仿宋"/>
          <w:b w:val="0"/>
          <w:bCs w:val="0"/>
          <w:color w:val="000000"/>
          <w:kern w:val="0"/>
          <w:sz w:val="28"/>
          <w:szCs w:val="28"/>
          <w:lang w:val="en-US" w:eastAsia="zh-CN" w:bidi="ar"/>
        </w:rPr>
        <w:t>三、</w:t>
      </w:r>
      <w:r>
        <w:rPr>
          <w:rFonts w:hint="eastAsia" w:ascii="仿宋" w:hAnsi="仿宋" w:eastAsia="仿宋" w:cs="仿宋"/>
          <w:b/>
          <w:bCs w:val="0"/>
          <w:sz w:val="28"/>
          <w:szCs w:val="28"/>
          <w:lang w:val="en-US" w:eastAsia="zh-CN"/>
        </w:rPr>
        <w:t>绩效管理</w:t>
      </w:r>
    </w:p>
    <w:p w14:paraId="1674CEC1">
      <w:pPr>
        <w:outlineLvl w:val="1"/>
        <w:rPr>
          <w:rFonts w:hint="eastAsia" w:ascii="仿宋" w:hAnsi="仿宋" w:eastAsia="仿宋" w:cs="仿宋"/>
          <w:b/>
          <w:sz w:val="30"/>
          <w:szCs w:val="30"/>
        </w:rPr>
      </w:pPr>
      <w:bookmarkStart w:id="0" w:name="_Toc15600"/>
      <w:bookmarkStart w:id="1" w:name="_Toc11009"/>
      <w:bookmarkStart w:id="2" w:name="_Toc9677"/>
      <w:bookmarkStart w:id="3" w:name="_Toc10882"/>
      <w:r>
        <w:rPr>
          <w:rFonts w:hint="eastAsia" w:ascii="仿宋" w:hAnsi="仿宋" w:eastAsia="仿宋" w:cs="仿宋"/>
          <w:b/>
          <w:sz w:val="30"/>
          <w:szCs w:val="30"/>
        </w:rPr>
        <w:t>1</w:t>
      </w:r>
      <w:r>
        <w:rPr>
          <w:rFonts w:hint="eastAsia" w:ascii="仿宋" w:hAnsi="仿宋" w:eastAsia="仿宋" w:cs="仿宋"/>
          <w:b/>
          <w:sz w:val="30"/>
          <w:szCs w:val="30"/>
          <w:lang w:val="en-US" w:eastAsia="zh-CN"/>
        </w:rPr>
        <w:t>、</w:t>
      </w:r>
      <w:r>
        <w:rPr>
          <w:rFonts w:hint="eastAsia" w:ascii="仿宋" w:hAnsi="仿宋" w:eastAsia="仿宋" w:cs="仿宋"/>
          <w:b/>
          <w:sz w:val="30"/>
          <w:szCs w:val="30"/>
        </w:rPr>
        <w:t>产出指标</w:t>
      </w:r>
      <w:bookmarkEnd w:id="0"/>
      <w:bookmarkEnd w:id="1"/>
      <w:bookmarkEnd w:id="2"/>
      <w:bookmarkEnd w:id="3"/>
    </w:p>
    <w:p w14:paraId="15A142D4">
      <w:pPr>
        <w:numPr>
          <w:ilvl w:val="0"/>
          <w:numId w:val="0"/>
        </w:numPr>
        <w:ind w:firstLine="280" w:firstLineChars="1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1.1</w:t>
      </w:r>
      <w:r>
        <w:rPr>
          <w:rFonts w:hint="eastAsia" w:ascii="仿宋" w:hAnsi="仿宋" w:eastAsia="仿宋" w:cs="仿宋"/>
          <w:kern w:val="0"/>
          <w:sz w:val="28"/>
          <w:szCs w:val="28"/>
        </w:rPr>
        <w:t>珊瑚礁生态系统修复项目</w:t>
      </w:r>
    </w:p>
    <w:p w14:paraId="7B3E5C68">
      <w:pPr>
        <w:numPr>
          <w:ilvl w:val="0"/>
          <w:numId w:val="1"/>
        </w:numPr>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珊瑚礁生态系统修复项目珊瑚断枝和脱落麒麟菜救助：建设野外珊瑚及麒麟菜驯养区，投放50个规格为2m×1m×1.5m（长、宽、高）的苗床（珊瑚苗床40个，麒麟菜苗床10个）；</w:t>
      </w:r>
    </w:p>
    <w:p w14:paraId="07438710">
      <w:pPr>
        <w:numPr>
          <w:ilvl w:val="0"/>
          <w:numId w:val="1"/>
        </w:numPr>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珊瑚礁生态系统修复项目珊瑚移植修复：移植珊瑚种苗3000株（面积不低于0.8公顷），移植珊瑚成活率达到60%以上。移植琼枝和耳突卡帕藻（麒麟菜）共2000斤，移植麒麟菜成活率达到80%以上；</w:t>
      </w:r>
    </w:p>
    <w:p w14:paraId="62F23E5A">
      <w:pPr>
        <w:numPr>
          <w:ilvl w:val="0"/>
          <w:numId w:val="1"/>
        </w:numPr>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珊瑚礁生态系统修复项目管理和维护：每季度1次，为期一年，恶劣天气后增加维护频率，计划维护至少4次。</w:t>
      </w:r>
    </w:p>
    <w:p w14:paraId="29B76319">
      <w:pPr>
        <w:numPr>
          <w:ilvl w:val="0"/>
          <w:numId w:val="0"/>
        </w:numPr>
        <w:ind w:firstLine="280" w:firstLineChars="100"/>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SA"/>
        </w:rPr>
        <w:t>1.2</w:t>
      </w:r>
      <w:r>
        <w:rPr>
          <w:rFonts w:hint="eastAsia" w:ascii="仿宋" w:hAnsi="仿宋" w:eastAsia="仿宋" w:cs="仿宋"/>
          <w:kern w:val="0"/>
          <w:sz w:val="28"/>
          <w:szCs w:val="28"/>
        </w:rPr>
        <w:t>国家重点保护兽类现状调查监测项目</w:t>
      </w:r>
    </w:p>
    <w:p w14:paraId="39596987">
      <w:pPr>
        <w:numPr>
          <w:ilvl w:val="0"/>
          <w:numId w:val="2"/>
        </w:numPr>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国家重点保护兽类现状调查监测红外相机布设数：预计每0.5km*0.5km布设2-3台红外相机，共布设80台点；</w:t>
      </w:r>
    </w:p>
    <w:p w14:paraId="0FEE9331">
      <w:pPr>
        <w:numPr>
          <w:ilvl w:val="0"/>
          <w:numId w:val="2"/>
        </w:numPr>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预计调查2种国家重点保护兽类。</w:t>
      </w:r>
    </w:p>
    <w:p w14:paraId="6381D045">
      <w:pPr>
        <w:numPr>
          <w:ilvl w:val="0"/>
          <w:numId w:val="0"/>
        </w:numPr>
        <w:ind w:firstLine="280" w:firstLineChars="100"/>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SA"/>
        </w:rPr>
        <w:t>1.3、</w:t>
      </w:r>
      <w:r>
        <w:rPr>
          <w:rFonts w:hint="eastAsia" w:ascii="仿宋" w:hAnsi="仿宋" w:eastAsia="仿宋" w:cs="仿宋"/>
          <w:kern w:val="0"/>
          <w:sz w:val="28"/>
          <w:szCs w:val="28"/>
        </w:rPr>
        <w:t>陆域植物资源本底调查与监测项目</w:t>
      </w:r>
    </w:p>
    <w:p w14:paraId="33C15083">
      <w:pPr>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完成调查报告2份；评估报告1份；数据集1份；图集1份。具体如下：</w:t>
      </w:r>
    </w:p>
    <w:p w14:paraId="2F9C2427">
      <w:pPr>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（1）《海南铜鼓岭国家级自然保护区陆生维管束植物调查报告》1份</w:t>
      </w:r>
    </w:p>
    <w:p w14:paraId="1FEA4B0B">
      <w:pPr>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（2）《海南铜鼓岭国家级保护区外来入侵植物调查报告》1份</w:t>
      </w:r>
    </w:p>
    <w:p w14:paraId="453A830B">
      <w:pPr>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（3）《海南铜鼓岭国家级保护区陆生维管束植物与植被状况评估报告》1份</w:t>
      </w:r>
    </w:p>
    <w:p w14:paraId="31A19C00">
      <w:pPr>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（4）海南铜鼓岭国家级自然保护区陆生维管束植物数据集1份</w:t>
      </w:r>
    </w:p>
    <w:p w14:paraId="4F1EB696">
      <w:pPr>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（5）《海南铜鼓岭国家级自然保护区陆生维管束植物图集》1份</w:t>
      </w:r>
    </w:p>
    <w:p w14:paraId="591AA6A8">
      <w:pPr>
        <w:numPr>
          <w:ilvl w:val="255"/>
          <w:numId w:val="0"/>
        </w:numPr>
        <w:ind w:firstLine="280" w:firstLineChars="1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4碳汇本底资源调查与监测</w:t>
      </w:r>
    </w:p>
    <w:p w14:paraId="05DECD26">
      <w:pPr>
        <w:rPr>
          <w:rFonts w:hint="eastAsia" w:ascii="仿宋" w:hAnsi="仿宋" w:eastAsia="仿宋" w:cs="仿宋"/>
          <w:kern w:val="0"/>
          <w:sz w:val="28"/>
          <w:szCs w:val="28"/>
        </w:rPr>
      </w:pPr>
      <w:r>
        <w:rPr>
          <w:rFonts w:hint="eastAsia" w:ascii="仿宋" w:hAnsi="仿宋" w:eastAsia="仿宋" w:cs="仿宋"/>
          <w:kern w:val="0"/>
          <w:sz w:val="28"/>
          <w:szCs w:val="28"/>
        </w:rPr>
        <w:t>完成调查报告1份；评估报告1份；数据集1份；图集1份。具体如下：</w:t>
      </w:r>
    </w:p>
    <w:p w14:paraId="03350CC3">
      <w:pPr>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（1）《海南铜鼓岭国家级自然保护区碳库现状调查报告》；</w:t>
      </w:r>
    </w:p>
    <w:p w14:paraId="73921E33">
      <w:pPr>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（2）《海南铜鼓岭国家级自然保护区碳汇能力评估报告》；</w:t>
      </w:r>
    </w:p>
    <w:p w14:paraId="3BE709B5">
      <w:pPr>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（3）《海南铜鼓岭国家级自然保护区碳储量空间分布数据集》；</w:t>
      </w:r>
    </w:p>
    <w:p w14:paraId="15CC1E91">
      <w:pPr>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（4）《海南铜鼓岭国家级自然保护区碳储量空间分布图集》；</w:t>
      </w:r>
    </w:p>
    <w:p w14:paraId="408EA649">
      <w:pPr>
        <w:ind w:firstLine="280" w:firstLineChars="100"/>
        <w:rPr>
          <w:rFonts w:hint="eastAsia" w:ascii="仿宋" w:hAnsi="仿宋" w:eastAsia="仿宋" w:cs="仿宋"/>
          <w:kern w:val="0"/>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5海洋生境及海洋生物资源调查</w:t>
      </w:r>
      <w:r>
        <w:rPr>
          <w:rFonts w:hint="eastAsia" w:ascii="仿宋" w:hAnsi="仿宋" w:eastAsia="仿宋" w:cs="仿宋"/>
          <w:kern w:val="0"/>
          <w:sz w:val="28"/>
          <w:szCs w:val="28"/>
        </w:rPr>
        <w:t>项目</w:t>
      </w:r>
    </w:p>
    <w:p w14:paraId="4A3856CE">
      <w:pPr>
        <w:ind w:left="560"/>
        <w:rPr>
          <w:rFonts w:hint="eastAsia" w:ascii="仿宋" w:hAnsi="仿宋" w:eastAsia="仿宋" w:cs="仿宋"/>
          <w:kern w:val="0"/>
          <w:sz w:val="28"/>
          <w:szCs w:val="28"/>
        </w:rPr>
      </w:pPr>
      <w:r>
        <w:rPr>
          <w:rFonts w:hint="eastAsia" w:ascii="仿宋" w:hAnsi="仿宋" w:eastAsia="仿宋" w:cs="仿宋"/>
          <w:kern w:val="0"/>
          <w:sz w:val="28"/>
          <w:szCs w:val="28"/>
        </w:rPr>
        <w:t>完成调查报告与监测评估1份；评估报告1份；检测报告3份。具体如下：</w:t>
      </w:r>
    </w:p>
    <w:p w14:paraId="35AE1DB8">
      <w:pPr>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（1）《海南铜鼓岭国家级自然保护区海域海洋生物资源本底调查与监测评估报告》；</w:t>
      </w:r>
    </w:p>
    <w:p w14:paraId="79FC463D">
      <w:pPr>
        <w:ind w:firstLine="560" w:firstLineChars="200"/>
        <w:rPr>
          <w:rFonts w:hint="eastAsia" w:ascii="仿宋" w:hAnsi="仿宋" w:eastAsia="仿宋" w:cs="仿宋"/>
          <w:color w:val="FF0000"/>
          <w:kern w:val="0"/>
          <w:sz w:val="28"/>
          <w:szCs w:val="28"/>
        </w:rPr>
      </w:pPr>
      <w:r>
        <w:rPr>
          <w:rFonts w:hint="eastAsia" w:ascii="仿宋" w:hAnsi="仿宋" w:eastAsia="仿宋" w:cs="仿宋"/>
          <w:kern w:val="0"/>
          <w:sz w:val="28"/>
          <w:szCs w:val="28"/>
        </w:rPr>
        <w:t>（2）《海南铜鼓岭国家级自然保护区海域海洋生物多样性影响评估报告》</w:t>
      </w:r>
    </w:p>
    <w:p w14:paraId="57047F1D">
      <w:pPr>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（3）《国家级自然保护区海域海洋生物资源本底调查与监测水质、物理生境、生物体检测报告》；</w:t>
      </w:r>
    </w:p>
    <w:p w14:paraId="4B900F26">
      <w:pPr>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（4）《国家级自然保护区海域海洋生物资源本底调查与监测生物检测报告》；</w:t>
      </w:r>
    </w:p>
    <w:p w14:paraId="582431B5">
      <w:pPr>
        <w:pStyle w:val="5"/>
        <w:ind w:firstLine="560" w:firstLineChars="200"/>
        <w:rPr>
          <w:rFonts w:hint="eastAsia" w:ascii="仿宋" w:hAnsi="仿宋" w:eastAsia="仿宋" w:cs="仿宋"/>
        </w:rPr>
      </w:pPr>
      <w:r>
        <w:rPr>
          <w:rFonts w:hint="eastAsia" w:ascii="仿宋" w:hAnsi="仿宋" w:eastAsia="仿宋" w:cs="仿宋"/>
          <w:kern w:val="0"/>
          <w:sz w:val="28"/>
        </w:rPr>
        <w:t>（5）《国家级自然保护区海域海洋生物资源本底调查与监测水文动力检测报告》；</w:t>
      </w:r>
    </w:p>
    <w:p w14:paraId="1E872881">
      <w:pPr>
        <w:ind w:firstLine="280" w:firstLineChars="100"/>
        <w:rPr>
          <w:rFonts w:hint="eastAsia" w:ascii="仿宋" w:hAnsi="仿宋" w:eastAsia="仿宋" w:cs="仿宋"/>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6</w:t>
      </w:r>
      <w:r>
        <w:rPr>
          <w:rFonts w:hint="eastAsia" w:ascii="仿宋" w:hAnsi="仿宋" w:eastAsia="仿宋" w:cs="仿宋"/>
          <w:sz w:val="28"/>
          <w:szCs w:val="28"/>
        </w:rPr>
        <w:t>海洋生态系统监测项目</w:t>
      </w:r>
    </w:p>
    <w:p w14:paraId="08AE80BD">
      <w:pPr>
        <w:spacing w:line="360" w:lineRule="auto"/>
        <w:ind w:left="560"/>
        <w:rPr>
          <w:rFonts w:hint="eastAsia" w:ascii="仿宋" w:hAnsi="仿宋" w:eastAsia="仿宋" w:cs="仿宋"/>
          <w:kern w:val="0"/>
          <w:sz w:val="28"/>
          <w:szCs w:val="28"/>
        </w:rPr>
      </w:pPr>
      <w:r>
        <w:rPr>
          <w:rFonts w:hint="eastAsia" w:ascii="仿宋" w:hAnsi="仿宋" w:eastAsia="仿宋" w:cs="仿宋"/>
          <w:kern w:val="0"/>
          <w:sz w:val="28"/>
          <w:szCs w:val="28"/>
        </w:rPr>
        <w:t>完成调查报告1份；评估报告1份。具体如下：</w:t>
      </w:r>
    </w:p>
    <w:p w14:paraId="797692B8">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《海南铜鼓岭国家级自然保护区海洋生态系统调查报告》；</w:t>
      </w:r>
    </w:p>
    <w:p w14:paraId="5B6DA740">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sz w:val="28"/>
          <w:szCs w:val="28"/>
        </w:rPr>
        <w:t>《海南铜鼓岭国家级自然保护区海洋生态系统多样性影响评估报告》。</w:t>
      </w:r>
    </w:p>
    <w:p w14:paraId="030D197D">
      <w:pPr>
        <w:outlineLvl w:val="1"/>
        <w:rPr>
          <w:rFonts w:hint="eastAsia" w:ascii="仿宋" w:hAnsi="仿宋" w:eastAsia="仿宋" w:cs="仿宋"/>
          <w:b/>
          <w:sz w:val="30"/>
          <w:szCs w:val="30"/>
        </w:rPr>
      </w:pPr>
      <w:bookmarkStart w:id="4" w:name="_Toc25373"/>
      <w:bookmarkStart w:id="5" w:name="_Toc31017"/>
      <w:bookmarkStart w:id="6" w:name="_Toc21984"/>
      <w:bookmarkStart w:id="7" w:name="_Toc22280"/>
      <w:r>
        <w:rPr>
          <w:rFonts w:hint="eastAsia" w:ascii="仿宋" w:hAnsi="仿宋" w:eastAsia="仿宋" w:cs="仿宋"/>
          <w:b/>
          <w:sz w:val="30"/>
          <w:szCs w:val="30"/>
        </w:rPr>
        <w:t>2</w:t>
      </w:r>
      <w:r>
        <w:rPr>
          <w:rFonts w:hint="eastAsia" w:ascii="仿宋" w:hAnsi="仿宋" w:eastAsia="仿宋" w:cs="仿宋"/>
          <w:b/>
          <w:sz w:val="30"/>
          <w:szCs w:val="30"/>
          <w:lang w:eastAsia="zh-CN"/>
        </w:rPr>
        <w:t>、</w:t>
      </w:r>
      <w:r>
        <w:rPr>
          <w:rFonts w:hint="eastAsia" w:ascii="仿宋" w:hAnsi="仿宋" w:eastAsia="仿宋" w:cs="仿宋"/>
          <w:b/>
          <w:sz w:val="30"/>
          <w:szCs w:val="30"/>
        </w:rPr>
        <w:t>效益指标</w:t>
      </w:r>
      <w:bookmarkEnd w:id="4"/>
      <w:bookmarkEnd w:id="5"/>
      <w:bookmarkEnd w:id="6"/>
      <w:bookmarkEnd w:id="7"/>
    </w:p>
    <w:p w14:paraId="1C94C25B">
      <w:pPr>
        <w:ind w:firstLine="280" w:firstLineChars="1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1生态效益指标：</w:t>
      </w:r>
    </w:p>
    <w:p w14:paraId="5D5128DE">
      <w:pPr>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通过珊瑚礁生态系统修复，全面提升海南铜鼓岭国家级自然保护区生物多样性，显著提升保护区科研水平、综合管护能力；（2）通过开展国家重点保护兽类现状调查监测，全面提升海南铜鼓岭国家级自然保护区生物多样性，显著提升保护区科研水平、综合管护能力；（3）通过陆域植物、碳汇本底资源、</w:t>
      </w:r>
      <w:r>
        <w:rPr>
          <w:rFonts w:hint="eastAsia" w:ascii="仿宋" w:hAnsi="仿宋" w:eastAsia="仿宋" w:cs="仿宋"/>
          <w:sz w:val="28"/>
          <w:szCs w:val="28"/>
        </w:rPr>
        <w:t>海洋生境及海洋生物资源调查、</w:t>
      </w:r>
      <w:r>
        <w:rPr>
          <w:rFonts w:hint="eastAsia" w:ascii="仿宋" w:hAnsi="仿宋" w:eastAsia="仿宋" w:cs="仿宋"/>
          <w:kern w:val="0"/>
          <w:sz w:val="28"/>
          <w:szCs w:val="28"/>
        </w:rPr>
        <w:t>海洋生态系统监测，建立保护区自然资源档案，为保护自然保护区内的自然环境和自然资源提供基础支撑。</w:t>
      </w:r>
    </w:p>
    <w:p w14:paraId="66EFFE60">
      <w:pPr>
        <w:ind w:firstLine="280" w:firstLineChars="1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2可持续影响：</w:t>
      </w:r>
    </w:p>
    <w:p w14:paraId="4DF5327C">
      <w:pPr>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通过珊瑚礁生态系统修复，促进珊瑚礁生态系统生物多样性恢复成效显著，实现人与自然和谐；（2）通过国家重点保护兽类现状调查监测，促进国家重点保护野生动物成效显著，实现人与自然和谐；（3）通过陆域植物、碳汇本底资源、</w:t>
      </w:r>
      <w:r>
        <w:rPr>
          <w:rFonts w:hint="eastAsia" w:ascii="仿宋" w:hAnsi="仿宋" w:eastAsia="仿宋" w:cs="仿宋"/>
          <w:sz w:val="28"/>
          <w:szCs w:val="28"/>
        </w:rPr>
        <w:t>海洋生境及海洋生物资源调查、</w:t>
      </w:r>
      <w:r>
        <w:rPr>
          <w:rFonts w:hint="eastAsia" w:ascii="仿宋" w:hAnsi="仿宋" w:eastAsia="仿宋" w:cs="仿宋"/>
          <w:kern w:val="0"/>
          <w:sz w:val="28"/>
          <w:szCs w:val="28"/>
        </w:rPr>
        <w:t>海洋生态系统监测，促进海洋生物资源保护，实现人与自然和谐。</w:t>
      </w:r>
    </w:p>
    <w:p w14:paraId="5D94B079">
      <w:pPr>
        <w:outlineLvl w:val="1"/>
        <w:rPr>
          <w:rFonts w:hint="eastAsia" w:ascii="仿宋" w:hAnsi="仿宋" w:eastAsia="仿宋" w:cs="仿宋"/>
          <w:b/>
          <w:sz w:val="30"/>
          <w:szCs w:val="30"/>
        </w:rPr>
      </w:pPr>
      <w:bookmarkStart w:id="8" w:name="_Toc29402"/>
      <w:bookmarkStart w:id="9" w:name="_Toc19429"/>
      <w:bookmarkStart w:id="10" w:name="_Toc19682"/>
      <w:bookmarkStart w:id="11" w:name="_Toc26131"/>
      <w:r>
        <w:rPr>
          <w:rFonts w:hint="eastAsia" w:ascii="仿宋" w:hAnsi="仿宋" w:eastAsia="仿宋" w:cs="仿宋"/>
          <w:b/>
          <w:sz w:val="30"/>
          <w:szCs w:val="30"/>
        </w:rPr>
        <w:t>3</w:t>
      </w:r>
      <w:r>
        <w:rPr>
          <w:rFonts w:hint="eastAsia" w:ascii="仿宋" w:hAnsi="仿宋" w:eastAsia="仿宋" w:cs="仿宋"/>
          <w:b/>
          <w:sz w:val="30"/>
          <w:szCs w:val="30"/>
          <w:lang w:eastAsia="zh-CN"/>
        </w:rPr>
        <w:t>、</w:t>
      </w:r>
      <w:r>
        <w:rPr>
          <w:rFonts w:hint="eastAsia" w:ascii="仿宋" w:hAnsi="仿宋" w:eastAsia="仿宋" w:cs="仿宋"/>
          <w:b/>
          <w:sz w:val="30"/>
          <w:szCs w:val="30"/>
        </w:rPr>
        <w:t>满意度指标</w:t>
      </w:r>
      <w:bookmarkEnd w:id="8"/>
      <w:bookmarkEnd w:id="9"/>
      <w:bookmarkEnd w:id="10"/>
      <w:bookmarkEnd w:id="11"/>
    </w:p>
    <w:p w14:paraId="43E86818">
      <w:pPr>
        <w:pStyle w:val="2"/>
        <w:numPr>
          <w:ilvl w:val="0"/>
          <w:numId w:val="0"/>
        </w:numPr>
        <w:spacing w:after="0"/>
        <w:ind w:left="0" w:leftChars="0" w:firstLine="280" w:firstLineChars="100"/>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SA"/>
        </w:rPr>
        <w:t xml:space="preserve">3.1 </w:t>
      </w:r>
      <w:r>
        <w:rPr>
          <w:rFonts w:hint="eastAsia" w:ascii="仿宋" w:hAnsi="仿宋" w:eastAsia="仿宋" w:cs="仿宋"/>
          <w:kern w:val="0"/>
          <w:sz w:val="28"/>
          <w:szCs w:val="28"/>
        </w:rPr>
        <w:t>铜鼓岭国家级自然保护区通过珊瑚礁生态系统修复，铜鼓岭自然保护区工作人员及相关受益群体的满意度达到90%以上。</w:t>
      </w:r>
    </w:p>
    <w:p w14:paraId="3A96EB92">
      <w:pPr>
        <w:pStyle w:val="2"/>
        <w:numPr>
          <w:ilvl w:val="0"/>
          <w:numId w:val="0"/>
        </w:numPr>
        <w:spacing w:after="0"/>
        <w:ind w:firstLine="280" w:firstLineChars="100"/>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SA"/>
        </w:rPr>
        <w:t xml:space="preserve">3.2 </w:t>
      </w:r>
      <w:r>
        <w:rPr>
          <w:rFonts w:hint="eastAsia" w:ascii="仿宋" w:hAnsi="仿宋" w:eastAsia="仿宋" w:cs="仿宋"/>
          <w:kern w:val="0"/>
          <w:sz w:val="28"/>
          <w:szCs w:val="28"/>
        </w:rPr>
        <w:t>铜鼓岭国家级自然保护区通过开展国家重点保护兽类现状调查监测，预计调查2种国家重点保护兽类，铜鼓岭自然保护区工作人员及相关受益群体的满意度达到90%以上。</w:t>
      </w:r>
    </w:p>
    <w:p w14:paraId="3EFCC99B">
      <w:pPr>
        <w:pStyle w:val="2"/>
        <w:ind w:firstLine="280" w:firstLineChars="100"/>
        <w:rPr>
          <w:rFonts w:hint="eastAsia" w:ascii="仿宋" w:hAnsi="仿宋" w:eastAsia="仿宋" w:cs="仿宋"/>
          <w:b/>
          <w:bCs w:val="0"/>
          <w:sz w:val="28"/>
          <w:szCs w:val="28"/>
          <w:lang w:val="en-US" w:eastAsia="zh-CN"/>
        </w:rPr>
      </w:pPr>
      <w:r>
        <w:rPr>
          <w:rFonts w:hint="eastAsia" w:ascii="仿宋" w:hAnsi="仿宋" w:eastAsia="仿宋" w:cs="仿宋"/>
          <w:kern w:val="0"/>
          <w:sz w:val="28"/>
          <w:szCs w:val="28"/>
          <w:lang w:val="en-US" w:eastAsia="zh-CN"/>
        </w:rPr>
        <w:t xml:space="preserve">3.3 </w:t>
      </w:r>
      <w:r>
        <w:rPr>
          <w:rFonts w:hint="eastAsia" w:ascii="仿宋" w:hAnsi="仿宋" w:eastAsia="仿宋" w:cs="仿宋"/>
          <w:kern w:val="0"/>
          <w:sz w:val="28"/>
          <w:szCs w:val="28"/>
        </w:rPr>
        <w:t>铜鼓岭国家级自然保护区通陆域植物、碳汇本底资源、</w:t>
      </w:r>
      <w:r>
        <w:rPr>
          <w:rFonts w:hint="eastAsia" w:ascii="仿宋" w:hAnsi="仿宋" w:eastAsia="仿宋" w:cs="仿宋"/>
          <w:sz w:val="28"/>
          <w:szCs w:val="28"/>
        </w:rPr>
        <w:t>海洋生境及海洋生物资源调查、</w:t>
      </w:r>
      <w:r>
        <w:rPr>
          <w:rFonts w:hint="eastAsia" w:ascii="仿宋" w:hAnsi="仿宋" w:eastAsia="仿宋" w:cs="仿宋"/>
          <w:kern w:val="0"/>
          <w:sz w:val="28"/>
          <w:szCs w:val="28"/>
        </w:rPr>
        <w:t>海洋生态系统监测，完成调查报告5份、评估报告4份、检测报告3份、数据集2份和图集2份，铜鼓岭自然保护区工作人员及相关受益群体的满意度达到90%以上。</w:t>
      </w:r>
    </w:p>
    <w:p w14:paraId="14C809CB">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四、商务要求 </w:t>
      </w:r>
    </w:p>
    <w:p w14:paraId="39826FD0">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1、后续服务：投标人必须提供详细的质保期内技术支持和服务方案，技术支持和服务方案包括（但不限于）： </w:t>
      </w:r>
    </w:p>
    <w:p w14:paraId="194033C3">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（1）服务质保期不少于一年，自项目验收通过之日起计算； </w:t>
      </w:r>
    </w:p>
    <w:p w14:paraId="1F86ACF6">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（2）提供一年技术支持和服务（包括但不限于文本以及数据库等相关信息的修改和完善），自项目验收通过之日起计算。 </w:t>
      </w:r>
    </w:p>
    <w:p w14:paraId="14300C83">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报价要求：应为人民币含税包干价，包含但不限于基础资料收集和分析整理、现地调查、内业数据处理、成果报告编制、成果文件印刷、专家评审费用及相应后续服务等所有相关工作所发生的一切费用（含劳务、咨询、会议、设备、交通以及其他相关费用）。在项目实施过 </w:t>
      </w:r>
    </w:p>
    <w:p w14:paraId="2F07F537">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程中出现的任何遗漏，均由中标单位免费提供，采购人将不再支付任何费用。 </w:t>
      </w:r>
    </w:p>
    <w:p w14:paraId="0CAA1932">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3、项目实施地点：海南铜鼓岭国家级自然保护区。</w:t>
      </w:r>
    </w:p>
    <w:p w14:paraId="09A1BE2F">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4、合同履行期限：自合同签订之日起十二个月，成果应用等后续服务由双方合同约定；</w:t>
      </w:r>
    </w:p>
    <w:p w14:paraId="5D9D37E7">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5、付款方式：具体以合同约定为准。 </w:t>
      </w:r>
    </w:p>
    <w:p w14:paraId="5DCAB20B">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五、其他要求 </w:t>
      </w:r>
    </w:p>
    <w:p w14:paraId="17009A9F">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投标人须以保证优质的服务质量为服务目标，不得恶意低价竞标。评标委员会认为投标人的报价明显低于其他通过符合性审查投标人的报价，有可能影响服务质量或者不能诚信履约的，将要求其在评标现场合理的时间内提供书面说明，必要时提交相关证明材料。投标人拒绝或者变相拒绝提供有效书面说明或者书面说明不能证明其报价合理性的或未在规定时间内递交有效书面说明材料的，评标委员会应当将其作为无效投标处理。 </w:t>
      </w:r>
    </w:p>
    <w:p w14:paraId="4CF48723">
      <w:pPr>
        <w:pStyle w:val="2"/>
        <w:spacing w:after="0"/>
        <w:ind w:firstLine="560" w:firstLineChars="200"/>
        <w:rPr>
          <w:rFonts w:hint="eastAsia" w:ascii="仿宋" w:hAnsi="仿宋" w:eastAsia="仿宋" w:cs="仿宋"/>
          <w:lang w:val="en-US" w:eastAsia="zh-CN"/>
        </w:rPr>
      </w:pPr>
      <w:r>
        <w:rPr>
          <w:rFonts w:hint="eastAsia" w:ascii="仿宋" w:hAnsi="仿宋" w:eastAsia="仿宋" w:cs="仿宋"/>
          <w:color w:val="000000"/>
          <w:kern w:val="0"/>
          <w:sz w:val="28"/>
          <w:szCs w:val="28"/>
          <w:lang w:val="en-US" w:eastAsia="zh-CN" w:bidi="ar"/>
        </w:rPr>
        <w:t>2、其他未尽事宜以合同约定为准。</w:t>
      </w:r>
      <w:r>
        <w:rPr>
          <w:rFonts w:hint="eastAsia" w:ascii="仿宋" w:hAnsi="仿宋" w:eastAsia="仿宋" w:cs="仿宋"/>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5BDD33"/>
    <w:multiLevelType w:val="singleLevel"/>
    <w:tmpl w:val="125BDD33"/>
    <w:lvl w:ilvl="0" w:tentative="0">
      <w:start w:val="1"/>
      <w:numFmt w:val="decimal"/>
      <w:suff w:val="nothing"/>
      <w:lvlText w:val="（%1）"/>
      <w:lvlJc w:val="left"/>
    </w:lvl>
  </w:abstractNum>
  <w:abstractNum w:abstractNumId="1">
    <w:nsid w:val="5B486B0B"/>
    <w:multiLevelType w:val="singleLevel"/>
    <w:tmpl w:val="5B486B0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NGFiYWFjYmFmYzk5MWY4Y2VjMGY1ODRjM2ZlYmEifQ=="/>
  </w:docVars>
  <w:rsids>
    <w:rsidRoot w:val="00000000"/>
    <w:rsid w:val="04134A78"/>
    <w:rsid w:val="04B553C7"/>
    <w:rsid w:val="05523382"/>
    <w:rsid w:val="0892111D"/>
    <w:rsid w:val="09252BCC"/>
    <w:rsid w:val="1CB84BDB"/>
    <w:rsid w:val="21196A61"/>
    <w:rsid w:val="2A5D31F3"/>
    <w:rsid w:val="2BEA2052"/>
    <w:rsid w:val="34991B48"/>
    <w:rsid w:val="49357699"/>
    <w:rsid w:val="4D651D4A"/>
    <w:rsid w:val="64982137"/>
    <w:rsid w:val="715E3C73"/>
    <w:rsid w:val="7E2A4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customStyle="1" w:styleId="5">
    <w:name w:val="!正文"/>
    <w:basedOn w:val="1"/>
    <w:qFormat/>
    <w:uiPriority w:val="99"/>
    <w:rPr>
      <w:rFonts w:eastAsia="仿宋_GB2312"/>
      <w:szCs w:val="28"/>
    </w:rPr>
  </w:style>
  <w:style w:type="character" w:customStyle="1" w:styleId="6">
    <w:name w:val="font11"/>
    <w:basedOn w:val="4"/>
    <w:qFormat/>
    <w:uiPriority w:val="0"/>
    <w:rPr>
      <w:rFonts w:hint="eastAsia" w:ascii="黑体" w:eastAsia="黑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3856</Words>
  <Characters>4004</Characters>
  <Lines>0</Lines>
  <Paragraphs>0</Paragraphs>
  <TotalTime>4</TotalTime>
  <ScaleCrop>false</ScaleCrop>
  <LinksUpToDate>false</LinksUpToDate>
  <CharactersWithSpaces>4053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2023-11-29T02:49:00Z</dcterms:created>
  <dc:creator>登陆</dc:creator>
  <cp:lastModifiedBy>陈</cp:lastModifiedBy>
  <dcterms:modified xsi:type="dcterms:W3CDTF">2024-08-28T13:21:50Z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4931B456CCC74713ACA09534C56CBAA7_12</vt:lpwstr>
  </property>
</Properties>
</file>