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A7F68" w14:textId="41A4FBD5" w:rsidR="00D02BE8" w:rsidRPr="00571A29" w:rsidRDefault="00000000">
      <w:pPr>
        <w:jc w:val="center"/>
        <w:rPr>
          <w:rFonts w:ascii="宋体" w:eastAsia="宋体" w:hAnsi="宋体" w:hint="eastAsia"/>
          <w:b/>
          <w:bCs/>
          <w:sz w:val="32"/>
          <w:szCs w:val="36"/>
        </w:rPr>
      </w:pPr>
      <w:r w:rsidRPr="00571A29">
        <w:rPr>
          <w:rFonts w:ascii="宋体" w:eastAsia="宋体" w:hAnsi="宋体" w:hint="eastAsia"/>
          <w:b/>
          <w:bCs/>
          <w:sz w:val="32"/>
          <w:szCs w:val="36"/>
        </w:rPr>
        <w:t>第三章</w:t>
      </w:r>
      <w:r w:rsidR="0039337C">
        <w:rPr>
          <w:rFonts w:ascii="宋体" w:eastAsia="宋体" w:hAnsi="宋体" w:hint="eastAsia"/>
          <w:b/>
          <w:bCs/>
          <w:sz w:val="32"/>
          <w:szCs w:val="36"/>
        </w:rPr>
        <w:t xml:space="preserve"> </w:t>
      </w:r>
      <w:r w:rsidRPr="00571A29">
        <w:rPr>
          <w:rFonts w:ascii="宋体" w:eastAsia="宋体" w:hAnsi="宋体" w:hint="eastAsia"/>
          <w:b/>
          <w:bCs/>
          <w:sz w:val="32"/>
          <w:szCs w:val="36"/>
        </w:rPr>
        <w:t>采购需求</w:t>
      </w:r>
    </w:p>
    <w:p w14:paraId="3566AE1F" w14:textId="77777777" w:rsidR="00D02BE8" w:rsidRPr="00571A29" w:rsidRDefault="00000000">
      <w:pPr>
        <w:spacing w:line="276" w:lineRule="auto"/>
        <w:rPr>
          <w:rFonts w:ascii="宋体" w:eastAsia="宋体" w:hAnsi="宋体" w:hint="eastAsia"/>
        </w:rPr>
      </w:pPr>
      <w:r w:rsidRPr="00571A29">
        <w:rPr>
          <w:rFonts w:ascii="宋体" w:eastAsia="宋体" w:hAnsi="宋体" w:hint="eastAsia"/>
        </w:rPr>
        <w:t>一、项目概况</w:t>
      </w:r>
    </w:p>
    <w:p w14:paraId="3F32A01F" w14:textId="17F466D0" w:rsidR="00D02BE8" w:rsidRPr="00571A29" w:rsidRDefault="00000000">
      <w:pPr>
        <w:spacing w:line="276" w:lineRule="auto"/>
        <w:ind w:firstLineChars="200" w:firstLine="420"/>
        <w:rPr>
          <w:rFonts w:ascii="宋体" w:eastAsia="宋体" w:hAnsi="宋体" w:hint="eastAsia"/>
        </w:rPr>
      </w:pPr>
      <w:r w:rsidRPr="00571A29">
        <w:rPr>
          <w:rFonts w:ascii="宋体" w:eastAsia="宋体" w:hAnsi="宋体" w:hint="eastAsia"/>
        </w:rPr>
        <w:t>当前，校园伤害事故呈现出多样性、复杂性，学校教育中面临的学生意外伤害风险对学校教育教学的影响日趋严重，学校安全管理工作的任务十分艰巨。保险是市场经济条件下进行风险管理和控制的基本手段，充分利用保险工具处理学校发生的安全责任事故，有利于防范和妥善化解各类校园安全事故责任风险，解除学校、家长的后顾之忧，有利于推动学校实施素质教育，有利于维护学校正常教育教学秩序，有利于保障广大在校学生的权益，避免或减少经济纠纷，减轻学校办学负担，维护校园和谐稳定，促进青少年健康成长。现陵水黎族自治县共有在校学生7万多人，陵水黎族自治县教育局就教育部推行的校方责任险文件，采购陵水黎族自治县</w:t>
      </w:r>
      <w:r w:rsidR="001C4EE6" w:rsidRPr="00571A29">
        <w:rPr>
          <w:rFonts w:ascii="宋体" w:eastAsia="宋体" w:hAnsi="宋体" w:hint="eastAsia"/>
        </w:rPr>
        <w:t>2024-2025学年度中小学（幼儿园）校方责任险及无过失责任险</w:t>
      </w:r>
      <w:r w:rsidRPr="00571A29">
        <w:rPr>
          <w:rFonts w:ascii="宋体" w:eastAsia="宋体" w:hAnsi="宋体" w:hint="eastAsia"/>
        </w:rPr>
        <w:t>、学生平安险采购。</w:t>
      </w:r>
    </w:p>
    <w:p w14:paraId="14359C55" w14:textId="77777777" w:rsidR="00D02BE8" w:rsidRPr="00571A29" w:rsidRDefault="00000000">
      <w:pPr>
        <w:spacing w:line="276" w:lineRule="auto"/>
        <w:ind w:firstLineChars="200" w:firstLine="420"/>
        <w:rPr>
          <w:rFonts w:ascii="宋体" w:eastAsia="宋体" w:hAnsi="宋体" w:hint="eastAsia"/>
        </w:rPr>
      </w:pPr>
      <w:r w:rsidRPr="00571A29">
        <w:rPr>
          <w:rFonts w:ascii="宋体" w:eastAsia="宋体" w:hAnsi="宋体" w:hint="eastAsia"/>
        </w:rPr>
        <w:t>1、项目名称：</w:t>
      </w:r>
    </w:p>
    <w:p w14:paraId="67BB1EE6" w14:textId="3955BE08" w:rsidR="00D02BE8" w:rsidRPr="00571A29" w:rsidRDefault="00000000">
      <w:pPr>
        <w:spacing w:line="276" w:lineRule="auto"/>
        <w:ind w:firstLineChars="200" w:firstLine="420"/>
        <w:rPr>
          <w:rFonts w:ascii="宋体" w:eastAsia="宋体" w:hAnsi="宋体" w:hint="eastAsia"/>
          <w:b/>
          <w:bCs/>
        </w:rPr>
      </w:pPr>
      <w:r w:rsidRPr="00571A29">
        <w:rPr>
          <w:rFonts w:ascii="宋体" w:eastAsia="宋体" w:hAnsi="宋体" w:hint="eastAsia"/>
        </w:rPr>
        <w:t>2、采购预算：</w:t>
      </w:r>
      <w:r w:rsidRPr="00571A29">
        <w:rPr>
          <w:rFonts w:ascii="宋体" w:eastAsia="宋体" w:hAnsi="宋体" w:hint="eastAsia"/>
          <w:u w:val="single"/>
        </w:rPr>
        <w:t>人民币</w:t>
      </w:r>
      <w:r w:rsidR="002F3BF8" w:rsidRPr="00571A29">
        <w:rPr>
          <w:rFonts w:ascii="宋体" w:eastAsia="宋体" w:hAnsi="宋体" w:hint="eastAsia"/>
          <w:u w:val="single"/>
        </w:rPr>
        <w:t>肆佰壹拾伍万元整</w:t>
      </w:r>
      <w:r w:rsidRPr="00571A29">
        <w:rPr>
          <w:rFonts w:ascii="宋体" w:eastAsia="宋体" w:hAnsi="宋体" w:hint="eastAsia"/>
        </w:rPr>
        <w:t>（</w:t>
      </w:r>
      <w:r w:rsidRPr="00571A29">
        <w:rPr>
          <w:rFonts w:ascii="宋体" w:eastAsia="宋体" w:hAnsi="宋体" w:hint="eastAsia"/>
          <w:u w:val="single"/>
        </w:rPr>
        <w:t>¥4</w:t>
      </w:r>
      <w:r w:rsidR="002F3BF8" w:rsidRPr="00571A29">
        <w:rPr>
          <w:rFonts w:ascii="宋体" w:eastAsia="宋体" w:hAnsi="宋体" w:hint="eastAsia"/>
          <w:u w:val="single"/>
        </w:rPr>
        <w:t>15</w:t>
      </w:r>
      <w:r w:rsidRPr="00571A29">
        <w:rPr>
          <w:rFonts w:ascii="宋体" w:eastAsia="宋体" w:hAnsi="宋体" w:hint="eastAsia"/>
          <w:u w:val="single"/>
        </w:rPr>
        <w:t>0000.00</w:t>
      </w:r>
      <w:r w:rsidRPr="00571A29">
        <w:rPr>
          <w:rFonts w:ascii="宋体" w:eastAsia="宋体" w:hAnsi="宋体" w:hint="eastAsia"/>
        </w:rPr>
        <w:t>）；</w:t>
      </w:r>
      <w:r w:rsidRPr="00571A29">
        <w:rPr>
          <w:rFonts w:ascii="宋体" w:eastAsia="宋体" w:hAnsi="宋体" w:hint="eastAsia"/>
          <w:b/>
          <w:bCs/>
        </w:rPr>
        <w:t>注：本项目为固定金额招标，报价高于或低于此报价均为无效报价。</w:t>
      </w:r>
    </w:p>
    <w:p w14:paraId="109D5C56" w14:textId="77777777" w:rsidR="00D02BE8" w:rsidRPr="00571A29" w:rsidRDefault="00000000">
      <w:pPr>
        <w:spacing w:line="276" w:lineRule="auto"/>
        <w:ind w:firstLineChars="200" w:firstLine="422"/>
        <w:rPr>
          <w:rFonts w:ascii="宋体" w:eastAsia="宋体" w:hAnsi="宋体" w:hint="eastAsia"/>
          <w:b/>
          <w:bCs/>
        </w:rPr>
      </w:pPr>
      <w:r w:rsidRPr="00571A29">
        <w:rPr>
          <w:rFonts w:ascii="宋体" w:eastAsia="宋体" w:hAnsi="宋体" w:hint="eastAsia"/>
          <w:b/>
          <w:bCs/>
        </w:rPr>
        <w:t>采购内容如下：</w:t>
      </w:r>
    </w:p>
    <w:tbl>
      <w:tblPr>
        <w:tblStyle w:val="a9"/>
        <w:tblW w:w="10009" w:type="dxa"/>
        <w:tblInd w:w="-856" w:type="dxa"/>
        <w:tblLook w:val="04A0" w:firstRow="1" w:lastRow="0" w:firstColumn="1" w:lastColumn="0" w:noHBand="0" w:noVBand="1"/>
      </w:tblPr>
      <w:tblGrid>
        <w:gridCol w:w="709"/>
        <w:gridCol w:w="2552"/>
        <w:gridCol w:w="992"/>
        <w:gridCol w:w="795"/>
        <w:gridCol w:w="1197"/>
        <w:gridCol w:w="1204"/>
        <w:gridCol w:w="2560"/>
      </w:tblGrid>
      <w:tr w:rsidR="00D02BE8" w:rsidRPr="00571A29" w14:paraId="0077E317" w14:textId="77777777">
        <w:tc>
          <w:tcPr>
            <w:tcW w:w="709" w:type="dxa"/>
            <w:vAlign w:val="center"/>
          </w:tcPr>
          <w:p w14:paraId="7FEC0F9A" w14:textId="77777777" w:rsidR="00D02BE8" w:rsidRPr="00571A29" w:rsidRDefault="00000000">
            <w:pPr>
              <w:spacing w:line="276" w:lineRule="auto"/>
              <w:jc w:val="center"/>
              <w:rPr>
                <w:rFonts w:hAnsi="仿宋" w:hint="eastAsia"/>
                <w:b/>
                <w:bCs/>
                <w:kern w:val="0"/>
                <w:sz w:val="22"/>
              </w:rPr>
            </w:pPr>
            <w:r w:rsidRPr="00571A29">
              <w:rPr>
                <w:rFonts w:hAnsi="仿宋" w:hint="eastAsia"/>
                <w:b/>
                <w:bCs/>
                <w:kern w:val="0"/>
                <w:sz w:val="22"/>
              </w:rPr>
              <w:t>序号</w:t>
            </w:r>
          </w:p>
        </w:tc>
        <w:tc>
          <w:tcPr>
            <w:tcW w:w="2552" w:type="dxa"/>
            <w:vAlign w:val="center"/>
          </w:tcPr>
          <w:p w14:paraId="1E1F8846" w14:textId="77777777" w:rsidR="00D02BE8" w:rsidRPr="00571A29" w:rsidRDefault="00000000">
            <w:pPr>
              <w:spacing w:line="276" w:lineRule="auto"/>
              <w:jc w:val="center"/>
              <w:rPr>
                <w:rFonts w:hAnsi="仿宋" w:hint="eastAsia"/>
                <w:b/>
                <w:bCs/>
                <w:kern w:val="0"/>
                <w:sz w:val="22"/>
              </w:rPr>
            </w:pPr>
            <w:r w:rsidRPr="00571A29">
              <w:rPr>
                <w:rFonts w:hAnsi="仿宋" w:hint="eastAsia"/>
                <w:b/>
                <w:bCs/>
                <w:kern w:val="0"/>
                <w:sz w:val="22"/>
              </w:rPr>
              <w:t>名称</w:t>
            </w:r>
          </w:p>
        </w:tc>
        <w:tc>
          <w:tcPr>
            <w:tcW w:w="992" w:type="dxa"/>
            <w:vAlign w:val="center"/>
          </w:tcPr>
          <w:p w14:paraId="3ABBACB0" w14:textId="77777777" w:rsidR="00D02BE8" w:rsidRPr="00571A29" w:rsidRDefault="00000000">
            <w:pPr>
              <w:spacing w:line="276" w:lineRule="auto"/>
              <w:jc w:val="center"/>
              <w:rPr>
                <w:rFonts w:hAnsi="仿宋" w:hint="eastAsia"/>
                <w:b/>
                <w:bCs/>
                <w:kern w:val="0"/>
                <w:sz w:val="22"/>
              </w:rPr>
            </w:pPr>
            <w:r w:rsidRPr="00571A29">
              <w:rPr>
                <w:rFonts w:hAnsi="仿宋" w:hint="eastAsia"/>
                <w:b/>
                <w:bCs/>
                <w:kern w:val="0"/>
                <w:sz w:val="22"/>
              </w:rPr>
              <w:t>数量</w:t>
            </w:r>
          </w:p>
        </w:tc>
        <w:tc>
          <w:tcPr>
            <w:tcW w:w="795" w:type="dxa"/>
            <w:vAlign w:val="center"/>
          </w:tcPr>
          <w:p w14:paraId="4CDCABD0" w14:textId="77777777" w:rsidR="00D02BE8" w:rsidRPr="00571A29" w:rsidRDefault="00000000">
            <w:pPr>
              <w:spacing w:line="276" w:lineRule="auto"/>
              <w:jc w:val="center"/>
              <w:rPr>
                <w:rFonts w:hAnsi="仿宋" w:hint="eastAsia"/>
                <w:b/>
                <w:bCs/>
                <w:kern w:val="0"/>
                <w:sz w:val="22"/>
              </w:rPr>
            </w:pPr>
            <w:r w:rsidRPr="00571A29">
              <w:rPr>
                <w:rFonts w:hAnsi="仿宋" w:hint="eastAsia"/>
                <w:b/>
                <w:bCs/>
                <w:kern w:val="0"/>
                <w:sz w:val="22"/>
              </w:rPr>
              <w:t>单位</w:t>
            </w:r>
          </w:p>
        </w:tc>
        <w:tc>
          <w:tcPr>
            <w:tcW w:w="1197" w:type="dxa"/>
            <w:vAlign w:val="center"/>
          </w:tcPr>
          <w:p w14:paraId="48B8162A" w14:textId="77777777" w:rsidR="00D02BE8" w:rsidRPr="00571A29" w:rsidRDefault="00000000">
            <w:pPr>
              <w:spacing w:line="276" w:lineRule="auto"/>
              <w:jc w:val="center"/>
              <w:rPr>
                <w:rFonts w:hAnsi="仿宋" w:hint="eastAsia"/>
                <w:b/>
                <w:bCs/>
                <w:kern w:val="0"/>
                <w:sz w:val="22"/>
              </w:rPr>
            </w:pPr>
            <w:r w:rsidRPr="00571A29">
              <w:rPr>
                <w:rFonts w:hAnsi="仿宋" w:hint="eastAsia"/>
                <w:b/>
                <w:bCs/>
                <w:kern w:val="0"/>
                <w:sz w:val="22"/>
              </w:rPr>
              <w:t>单价（元）</w:t>
            </w:r>
          </w:p>
        </w:tc>
        <w:tc>
          <w:tcPr>
            <w:tcW w:w="1204" w:type="dxa"/>
            <w:vAlign w:val="center"/>
          </w:tcPr>
          <w:p w14:paraId="59372DA9" w14:textId="77777777" w:rsidR="00D02BE8" w:rsidRPr="00571A29" w:rsidRDefault="00000000">
            <w:pPr>
              <w:spacing w:line="276" w:lineRule="auto"/>
              <w:jc w:val="center"/>
              <w:rPr>
                <w:rFonts w:hAnsi="仿宋" w:hint="eastAsia"/>
                <w:b/>
                <w:bCs/>
                <w:kern w:val="0"/>
                <w:sz w:val="22"/>
              </w:rPr>
            </w:pPr>
            <w:r w:rsidRPr="00571A29">
              <w:rPr>
                <w:rFonts w:hAnsi="仿宋" w:hint="eastAsia"/>
                <w:b/>
                <w:bCs/>
                <w:kern w:val="0"/>
                <w:sz w:val="22"/>
              </w:rPr>
              <w:t>总价（元）</w:t>
            </w:r>
          </w:p>
        </w:tc>
        <w:tc>
          <w:tcPr>
            <w:tcW w:w="2560" w:type="dxa"/>
            <w:vAlign w:val="center"/>
          </w:tcPr>
          <w:p w14:paraId="34DF9585" w14:textId="77777777" w:rsidR="00D02BE8" w:rsidRPr="00571A29" w:rsidRDefault="00000000">
            <w:pPr>
              <w:spacing w:line="276" w:lineRule="auto"/>
              <w:jc w:val="center"/>
              <w:rPr>
                <w:rFonts w:hAnsi="仿宋" w:hint="eastAsia"/>
                <w:b/>
                <w:bCs/>
                <w:kern w:val="0"/>
                <w:sz w:val="22"/>
              </w:rPr>
            </w:pPr>
            <w:r w:rsidRPr="00571A29">
              <w:rPr>
                <w:rFonts w:hAnsi="仿宋" w:hint="eastAsia"/>
                <w:b/>
                <w:bCs/>
                <w:kern w:val="0"/>
                <w:sz w:val="22"/>
              </w:rPr>
              <w:t>备注</w:t>
            </w:r>
          </w:p>
        </w:tc>
      </w:tr>
      <w:tr w:rsidR="00D02BE8" w:rsidRPr="00571A29" w14:paraId="01028F36" w14:textId="77777777">
        <w:tc>
          <w:tcPr>
            <w:tcW w:w="709" w:type="dxa"/>
            <w:vAlign w:val="center"/>
          </w:tcPr>
          <w:p w14:paraId="124F9FAE" w14:textId="77777777" w:rsidR="00D02BE8" w:rsidRPr="00571A29" w:rsidRDefault="00000000">
            <w:pPr>
              <w:spacing w:line="276" w:lineRule="auto"/>
              <w:jc w:val="center"/>
              <w:rPr>
                <w:rFonts w:hAnsi="仿宋" w:hint="eastAsia"/>
                <w:kern w:val="0"/>
                <w:sz w:val="22"/>
              </w:rPr>
            </w:pPr>
            <w:r w:rsidRPr="00571A29">
              <w:rPr>
                <w:rFonts w:hAnsi="仿宋" w:hint="eastAsia"/>
                <w:kern w:val="0"/>
                <w:sz w:val="22"/>
              </w:rPr>
              <w:t>1</w:t>
            </w:r>
          </w:p>
        </w:tc>
        <w:tc>
          <w:tcPr>
            <w:tcW w:w="2552" w:type="dxa"/>
            <w:vAlign w:val="center"/>
          </w:tcPr>
          <w:p w14:paraId="13ADA424" w14:textId="149BD358" w:rsidR="00D02BE8" w:rsidRPr="00571A29" w:rsidRDefault="004F549E">
            <w:pPr>
              <w:spacing w:line="276" w:lineRule="auto"/>
              <w:rPr>
                <w:rFonts w:hAnsi="仿宋" w:hint="eastAsia"/>
                <w:kern w:val="0"/>
                <w:sz w:val="22"/>
              </w:rPr>
            </w:pPr>
            <w:r w:rsidRPr="00571A29">
              <w:rPr>
                <w:rFonts w:hAnsi="仿宋" w:hint="eastAsia"/>
                <w:kern w:val="0"/>
                <w:sz w:val="22"/>
              </w:rPr>
              <w:t>2024-2025</w:t>
            </w:r>
            <w:r w:rsidRPr="00571A29">
              <w:rPr>
                <w:rFonts w:hAnsi="仿宋" w:hint="eastAsia"/>
                <w:kern w:val="0"/>
                <w:sz w:val="22"/>
              </w:rPr>
              <w:t>学年度</w:t>
            </w:r>
            <w:r w:rsidR="001C4EE6" w:rsidRPr="00571A29">
              <w:rPr>
                <w:rFonts w:hAnsi="仿宋" w:hint="eastAsia"/>
                <w:kern w:val="0"/>
                <w:sz w:val="22"/>
              </w:rPr>
              <w:t>中小学（幼儿园）校方责任险及无过失责任险</w:t>
            </w:r>
          </w:p>
        </w:tc>
        <w:tc>
          <w:tcPr>
            <w:tcW w:w="992" w:type="dxa"/>
            <w:vAlign w:val="center"/>
          </w:tcPr>
          <w:p w14:paraId="077EB476" w14:textId="70E9CDFF" w:rsidR="00D02BE8" w:rsidRPr="00571A29" w:rsidRDefault="00000000">
            <w:pPr>
              <w:spacing w:line="276" w:lineRule="auto"/>
              <w:jc w:val="center"/>
              <w:rPr>
                <w:rFonts w:hAnsi="仿宋" w:hint="eastAsia"/>
                <w:kern w:val="0"/>
                <w:sz w:val="22"/>
              </w:rPr>
            </w:pPr>
            <w:r w:rsidRPr="00571A29">
              <w:rPr>
                <w:rFonts w:hAnsi="仿宋" w:hint="eastAsia"/>
                <w:kern w:val="0"/>
                <w:sz w:val="22"/>
              </w:rPr>
              <w:t>7</w:t>
            </w:r>
            <w:r w:rsidR="004F549E" w:rsidRPr="00571A29">
              <w:rPr>
                <w:rFonts w:hAnsi="仿宋" w:hint="eastAsia"/>
                <w:kern w:val="0"/>
                <w:sz w:val="22"/>
              </w:rPr>
              <w:t>5</w:t>
            </w:r>
            <w:r w:rsidRPr="00571A29">
              <w:rPr>
                <w:rFonts w:hAnsi="仿宋" w:hint="eastAsia"/>
                <w:kern w:val="0"/>
                <w:sz w:val="22"/>
              </w:rPr>
              <w:t>000</w:t>
            </w:r>
          </w:p>
        </w:tc>
        <w:tc>
          <w:tcPr>
            <w:tcW w:w="795" w:type="dxa"/>
            <w:vAlign w:val="center"/>
          </w:tcPr>
          <w:p w14:paraId="22DDD79E" w14:textId="77777777" w:rsidR="00D02BE8" w:rsidRPr="00571A29" w:rsidRDefault="00000000">
            <w:pPr>
              <w:spacing w:line="276" w:lineRule="auto"/>
              <w:jc w:val="center"/>
              <w:rPr>
                <w:rFonts w:hAnsi="仿宋" w:hint="eastAsia"/>
                <w:kern w:val="0"/>
                <w:sz w:val="22"/>
              </w:rPr>
            </w:pPr>
            <w:r w:rsidRPr="00571A29">
              <w:rPr>
                <w:rFonts w:hAnsi="仿宋" w:hint="eastAsia"/>
                <w:kern w:val="0"/>
                <w:sz w:val="22"/>
              </w:rPr>
              <w:t>人</w:t>
            </w:r>
          </w:p>
        </w:tc>
        <w:tc>
          <w:tcPr>
            <w:tcW w:w="1197" w:type="dxa"/>
            <w:vAlign w:val="center"/>
          </w:tcPr>
          <w:p w14:paraId="33A581D5" w14:textId="77777777" w:rsidR="00D02BE8" w:rsidRPr="00571A29" w:rsidRDefault="00000000">
            <w:pPr>
              <w:spacing w:line="276" w:lineRule="auto"/>
              <w:jc w:val="center"/>
              <w:rPr>
                <w:rFonts w:hAnsi="仿宋" w:hint="eastAsia"/>
                <w:kern w:val="0"/>
                <w:sz w:val="22"/>
              </w:rPr>
            </w:pPr>
            <w:r w:rsidRPr="00571A29">
              <w:rPr>
                <w:rFonts w:hAnsi="仿宋" w:hint="eastAsia"/>
                <w:kern w:val="0"/>
                <w:sz w:val="22"/>
              </w:rPr>
              <w:t>10</w:t>
            </w:r>
          </w:p>
        </w:tc>
        <w:tc>
          <w:tcPr>
            <w:tcW w:w="1204" w:type="dxa"/>
            <w:vAlign w:val="center"/>
          </w:tcPr>
          <w:p w14:paraId="6F7297C3" w14:textId="4E1E1832" w:rsidR="00D02BE8" w:rsidRPr="00571A29" w:rsidRDefault="00000000">
            <w:pPr>
              <w:spacing w:line="276" w:lineRule="auto"/>
              <w:jc w:val="center"/>
              <w:rPr>
                <w:rFonts w:hAnsi="仿宋" w:hint="eastAsia"/>
                <w:kern w:val="0"/>
                <w:sz w:val="22"/>
              </w:rPr>
            </w:pPr>
            <w:r w:rsidRPr="00571A29">
              <w:rPr>
                <w:rFonts w:hAnsi="仿宋" w:hint="eastAsia"/>
                <w:kern w:val="0"/>
                <w:sz w:val="22"/>
              </w:rPr>
              <w:t>7</w:t>
            </w:r>
            <w:r w:rsidR="004F549E" w:rsidRPr="00571A29">
              <w:rPr>
                <w:rFonts w:hAnsi="仿宋" w:hint="eastAsia"/>
                <w:kern w:val="0"/>
                <w:sz w:val="22"/>
              </w:rPr>
              <w:t>5</w:t>
            </w:r>
            <w:r w:rsidRPr="00571A29">
              <w:rPr>
                <w:rFonts w:hAnsi="仿宋" w:hint="eastAsia"/>
                <w:kern w:val="0"/>
                <w:sz w:val="22"/>
              </w:rPr>
              <w:t>0000</w:t>
            </w:r>
          </w:p>
        </w:tc>
        <w:tc>
          <w:tcPr>
            <w:tcW w:w="2560" w:type="dxa"/>
            <w:vAlign w:val="center"/>
          </w:tcPr>
          <w:p w14:paraId="1A35120F" w14:textId="77777777" w:rsidR="00D02BE8" w:rsidRPr="00571A29" w:rsidRDefault="00000000">
            <w:pPr>
              <w:spacing w:line="276" w:lineRule="auto"/>
              <w:rPr>
                <w:rFonts w:hAnsi="仿宋" w:hint="eastAsia"/>
                <w:kern w:val="0"/>
                <w:sz w:val="22"/>
              </w:rPr>
            </w:pPr>
            <w:r w:rsidRPr="00571A29">
              <w:rPr>
                <w:rFonts w:hAnsi="仿宋" w:hint="eastAsia"/>
                <w:kern w:val="0"/>
                <w:sz w:val="22"/>
              </w:rPr>
              <w:t>含公、民办学校、幼儿园</w:t>
            </w:r>
          </w:p>
        </w:tc>
      </w:tr>
      <w:tr w:rsidR="00D02BE8" w:rsidRPr="00571A29" w14:paraId="491150D5" w14:textId="77777777">
        <w:trPr>
          <w:trHeight w:val="469"/>
        </w:trPr>
        <w:tc>
          <w:tcPr>
            <w:tcW w:w="709" w:type="dxa"/>
            <w:vAlign w:val="center"/>
          </w:tcPr>
          <w:p w14:paraId="5A3CC236" w14:textId="77777777" w:rsidR="00D02BE8" w:rsidRPr="00571A29" w:rsidRDefault="00000000">
            <w:pPr>
              <w:spacing w:line="276" w:lineRule="auto"/>
              <w:jc w:val="center"/>
              <w:rPr>
                <w:rFonts w:hAnsi="仿宋" w:hint="eastAsia"/>
                <w:kern w:val="0"/>
                <w:sz w:val="22"/>
              </w:rPr>
            </w:pPr>
            <w:r w:rsidRPr="00571A29">
              <w:rPr>
                <w:rFonts w:hAnsi="仿宋" w:hint="eastAsia"/>
                <w:kern w:val="0"/>
                <w:sz w:val="22"/>
              </w:rPr>
              <w:t>2</w:t>
            </w:r>
          </w:p>
        </w:tc>
        <w:tc>
          <w:tcPr>
            <w:tcW w:w="2552" w:type="dxa"/>
            <w:vAlign w:val="center"/>
          </w:tcPr>
          <w:p w14:paraId="67F38947" w14:textId="0D03F8C7" w:rsidR="00D02BE8" w:rsidRPr="00571A29" w:rsidRDefault="001B5471">
            <w:pPr>
              <w:spacing w:line="276" w:lineRule="auto"/>
              <w:rPr>
                <w:rFonts w:hAnsi="仿宋" w:hint="eastAsia"/>
                <w:kern w:val="0"/>
                <w:sz w:val="22"/>
              </w:rPr>
            </w:pPr>
            <w:r w:rsidRPr="00571A29">
              <w:rPr>
                <w:rFonts w:hAnsi="仿宋" w:hint="eastAsia"/>
                <w:kern w:val="0"/>
                <w:sz w:val="22"/>
              </w:rPr>
              <w:t>2024-2025</w:t>
            </w:r>
            <w:r w:rsidRPr="00571A29">
              <w:rPr>
                <w:rFonts w:hAnsi="仿宋" w:hint="eastAsia"/>
                <w:kern w:val="0"/>
                <w:sz w:val="22"/>
              </w:rPr>
              <w:t>学年度中小学（幼儿园）、学生平安险</w:t>
            </w:r>
          </w:p>
        </w:tc>
        <w:tc>
          <w:tcPr>
            <w:tcW w:w="992" w:type="dxa"/>
            <w:vAlign w:val="center"/>
          </w:tcPr>
          <w:p w14:paraId="04E6512C" w14:textId="617DF7C9" w:rsidR="00D02BE8" w:rsidRPr="00571A29" w:rsidRDefault="004F549E">
            <w:pPr>
              <w:spacing w:line="276" w:lineRule="auto"/>
              <w:jc w:val="center"/>
              <w:rPr>
                <w:rFonts w:hAnsi="仿宋" w:hint="eastAsia"/>
                <w:kern w:val="0"/>
                <w:sz w:val="22"/>
              </w:rPr>
            </w:pPr>
            <w:r w:rsidRPr="00571A29">
              <w:rPr>
                <w:rFonts w:hAnsi="仿宋" w:hint="eastAsia"/>
                <w:kern w:val="0"/>
                <w:sz w:val="22"/>
              </w:rPr>
              <w:t>68</w:t>
            </w:r>
            <w:r w:rsidR="008D7906" w:rsidRPr="00571A29">
              <w:rPr>
                <w:rFonts w:hAnsi="仿宋" w:hint="eastAsia"/>
                <w:kern w:val="0"/>
                <w:sz w:val="22"/>
              </w:rPr>
              <w:t>000</w:t>
            </w:r>
          </w:p>
        </w:tc>
        <w:tc>
          <w:tcPr>
            <w:tcW w:w="795" w:type="dxa"/>
            <w:vAlign w:val="center"/>
          </w:tcPr>
          <w:p w14:paraId="12C4B970" w14:textId="77777777" w:rsidR="00D02BE8" w:rsidRPr="00571A29" w:rsidRDefault="00000000">
            <w:pPr>
              <w:spacing w:line="276" w:lineRule="auto"/>
              <w:jc w:val="center"/>
              <w:rPr>
                <w:rFonts w:hAnsi="仿宋" w:hint="eastAsia"/>
                <w:kern w:val="0"/>
                <w:sz w:val="22"/>
              </w:rPr>
            </w:pPr>
            <w:r w:rsidRPr="00571A29">
              <w:rPr>
                <w:rFonts w:hAnsi="仿宋" w:hint="eastAsia"/>
                <w:kern w:val="0"/>
                <w:sz w:val="22"/>
              </w:rPr>
              <w:t>人</w:t>
            </w:r>
          </w:p>
        </w:tc>
        <w:tc>
          <w:tcPr>
            <w:tcW w:w="1197" w:type="dxa"/>
            <w:vAlign w:val="center"/>
          </w:tcPr>
          <w:p w14:paraId="200AB6DC" w14:textId="77777777" w:rsidR="00D02BE8" w:rsidRPr="00571A29" w:rsidRDefault="00000000">
            <w:pPr>
              <w:spacing w:line="276" w:lineRule="auto"/>
              <w:jc w:val="center"/>
              <w:rPr>
                <w:rFonts w:hAnsi="仿宋" w:hint="eastAsia"/>
                <w:kern w:val="0"/>
                <w:sz w:val="22"/>
              </w:rPr>
            </w:pPr>
            <w:r w:rsidRPr="00571A29">
              <w:rPr>
                <w:rFonts w:hAnsi="仿宋" w:hint="eastAsia"/>
                <w:kern w:val="0"/>
                <w:sz w:val="22"/>
              </w:rPr>
              <w:t>50</w:t>
            </w:r>
          </w:p>
        </w:tc>
        <w:tc>
          <w:tcPr>
            <w:tcW w:w="1204" w:type="dxa"/>
            <w:vAlign w:val="center"/>
          </w:tcPr>
          <w:p w14:paraId="5615E01A" w14:textId="31207679" w:rsidR="00D02BE8" w:rsidRPr="00571A29" w:rsidRDefault="00000000">
            <w:pPr>
              <w:spacing w:line="276" w:lineRule="auto"/>
              <w:jc w:val="center"/>
              <w:rPr>
                <w:rFonts w:hAnsi="仿宋" w:hint="eastAsia"/>
                <w:kern w:val="0"/>
                <w:sz w:val="22"/>
              </w:rPr>
            </w:pPr>
            <w:r w:rsidRPr="00571A29">
              <w:rPr>
                <w:rFonts w:hAnsi="仿宋" w:hint="eastAsia"/>
                <w:kern w:val="0"/>
                <w:sz w:val="22"/>
              </w:rPr>
              <w:t>3</w:t>
            </w:r>
            <w:r w:rsidR="004F549E" w:rsidRPr="00571A29">
              <w:rPr>
                <w:rFonts w:hAnsi="仿宋" w:hint="eastAsia"/>
                <w:kern w:val="0"/>
                <w:sz w:val="22"/>
              </w:rPr>
              <w:t>4</w:t>
            </w:r>
            <w:r w:rsidR="008D7906" w:rsidRPr="00571A29">
              <w:rPr>
                <w:rFonts w:hAnsi="仿宋" w:hint="eastAsia"/>
                <w:kern w:val="0"/>
                <w:sz w:val="22"/>
              </w:rPr>
              <w:t>0</w:t>
            </w:r>
            <w:r w:rsidRPr="00571A29">
              <w:rPr>
                <w:rFonts w:hAnsi="仿宋" w:hint="eastAsia"/>
                <w:kern w:val="0"/>
                <w:sz w:val="22"/>
              </w:rPr>
              <w:t>0000</w:t>
            </w:r>
          </w:p>
        </w:tc>
        <w:tc>
          <w:tcPr>
            <w:tcW w:w="2560" w:type="dxa"/>
            <w:vAlign w:val="center"/>
          </w:tcPr>
          <w:p w14:paraId="2043188B" w14:textId="77777777" w:rsidR="00D02BE8" w:rsidRPr="00571A29" w:rsidRDefault="00000000">
            <w:pPr>
              <w:spacing w:line="276" w:lineRule="auto"/>
              <w:rPr>
                <w:rFonts w:hAnsi="仿宋" w:hint="eastAsia"/>
                <w:kern w:val="0"/>
                <w:sz w:val="22"/>
              </w:rPr>
            </w:pPr>
            <w:r w:rsidRPr="00571A29">
              <w:rPr>
                <w:rFonts w:hAnsi="仿宋" w:hint="eastAsia"/>
                <w:kern w:val="0"/>
                <w:sz w:val="22"/>
              </w:rPr>
              <w:t>含公办学校、幼儿园</w:t>
            </w:r>
          </w:p>
        </w:tc>
      </w:tr>
    </w:tbl>
    <w:p w14:paraId="3856C808" w14:textId="77777777" w:rsidR="00D02BE8" w:rsidRPr="00571A29" w:rsidRDefault="00D02BE8">
      <w:pPr>
        <w:spacing w:line="276" w:lineRule="auto"/>
        <w:ind w:firstLineChars="200" w:firstLine="420"/>
        <w:rPr>
          <w:rFonts w:ascii="宋体" w:eastAsia="宋体" w:hAnsi="宋体" w:hint="eastAsia"/>
        </w:rPr>
      </w:pPr>
    </w:p>
    <w:p w14:paraId="7444ADC6" w14:textId="77777777" w:rsidR="00D02BE8" w:rsidRPr="00571A29" w:rsidRDefault="00000000">
      <w:pPr>
        <w:spacing w:line="276" w:lineRule="auto"/>
        <w:ind w:firstLineChars="200" w:firstLine="420"/>
        <w:rPr>
          <w:rFonts w:ascii="宋体" w:eastAsia="宋体" w:hAnsi="宋体" w:hint="eastAsia"/>
        </w:rPr>
      </w:pPr>
      <w:r w:rsidRPr="00571A29">
        <w:rPr>
          <w:rFonts w:ascii="宋体" w:eastAsia="宋体" w:hAnsi="宋体" w:hint="eastAsia"/>
        </w:rPr>
        <w:t>3、项目实施地点：采购人指定地点</w:t>
      </w:r>
    </w:p>
    <w:p w14:paraId="09CB8117" w14:textId="77777777" w:rsidR="00D02BE8" w:rsidRPr="00571A29" w:rsidRDefault="00000000">
      <w:pPr>
        <w:spacing w:line="276" w:lineRule="auto"/>
        <w:ind w:firstLineChars="200" w:firstLine="420"/>
        <w:rPr>
          <w:rFonts w:ascii="宋体" w:eastAsia="宋体" w:hAnsi="宋体" w:hint="eastAsia"/>
        </w:rPr>
      </w:pPr>
      <w:r w:rsidRPr="00571A29">
        <w:rPr>
          <w:rFonts w:ascii="宋体" w:eastAsia="宋体" w:hAnsi="宋体" w:hint="eastAsia"/>
        </w:rPr>
        <w:t>4、承保期限（服务期限）：2024学年度至2025年学年度止（即2024年9月1日0时起至2025年8月31日24时止）</w:t>
      </w:r>
    </w:p>
    <w:p w14:paraId="5F240215" w14:textId="77777777" w:rsidR="00D02BE8" w:rsidRPr="00571A29" w:rsidRDefault="00000000">
      <w:pPr>
        <w:spacing w:line="276" w:lineRule="auto"/>
        <w:ind w:firstLineChars="200" w:firstLine="420"/>
        <w:rPr>
          <w:rFonts w:ascii="宋体" w:eastAsia="宋体" w:hAnsi="宋体" w:hint="eastAsia"/>
        </w:rPr>
      </w:pPr>
      <w:r w:rsidRPr="00571A29">
        <w:rPr>
          <w:rFonts w:ascii="宋体" w:eastAsia="宋体" w:hAnsi="宋体" w:hint="eastAsia"/>
        </w:rPr>
        <w:t>二、服务技术需求</w:t>
      </w:r>
    </w:p>
    <w:p w14:paraId="0370B859" w14:textId="77777777"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1、中小学（幼儿园）</w:t>
      </w:r>
      <w:r w:rsidRPr="00571A29">
        <w:rPr>
          <w:rFonts w:ascii="宋体" w:eastAsia="宋体" w:hAnsi="宋体" w:hint="eastAsia"/>
        </w:rPr>
        <w:t>校方责任保险</w:t>
      </w:r>
      <w:r w:rsidRPr="00571A29">
        <w:rPr>
          <w:rFonts w:ascii="宋体" w:eastAsia="宋体" w:hAnsi="宋体" w:hint="eastAsia"/>
          <w:b/>
          <w:bCs/>
          <w:szCs w:val="32"/>
        </w:rPr>
        <w:t>要求</w:t>
      </w:r>
    </w:p>
    <w:p w14:paraId="165CE435"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1.1保险金额（限额）：</w:t>
      </w:r>
    </w:p>
    <w:p w14:paraId="04AB8FBD"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每人每年人身伤害赔偿限额人民币40万元；</w:t>
      </w:r>
    </w:p>
    <w:p w14:paraId="44B5E7E7"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每人每年财产损失赔偿限额人民币2200元；</w:t>
      </w:r>
    </w:p>
    <w:p w14:paraId="118E6323"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每人每年财产损失免赔额人民币300元；</w:t>
      </w:r>
    </w:p>
    <w:p w14:paraId="1E7DDD81"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每所学校每次事故赔偿限额人民币500万元。</w:t>
      </w:r>
    </w:p>
    <w:p w14:paraId="5DA762A5"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免赔额：除每人每年财产损失免赔额人民币300元外无其它免赔额。</w:t>
      </w:r>
    </w:p>
    <w:p w14:paraId="79804A66"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1.2保险期限：2024学年度至2025年学年度止（即2024年9月1日0时起至2025年8月31日24时止）。</w:t>
      </w:r>
    </w:p>
    <w:p w14:paraId="49B331ED"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1.3保险责任：</w:t>
      </w:r>
    </w:p>
    <w:p w14:paraId="7A8F2923"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1.3.1在保险期间内，在中华人民共和国境内（港澳台地区除外），在被保险人的在校</w:t>
      </w:r>
      <w:r w:rsidRPr="00571A29">
        <w:rPr>
          <w:rFonts w:ascii="宋体" w:eastAsia="宋体" w:hAnsi="宋体" w:hint="eastAsia"/>
          <w:szCs w:val="32"/>
        </w:rPr>
        <w:lastRenderedPageBreak/>
        <w:t>活动中或由被保险人统一组织或安排的活动过程中，因被保险人疏忽或过失发生下列情况导致学生的人身伤亡，依法应由被保险人承担的经济赔偿责任，保险人按照本保险合同的约定负责赔偿：</w:t>
      </w:r>
    </w:p>
    <w:p w14:paraId="612A0DF6"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（1）被保险人的校舍、场地、其他公共设施，以及提供给学生使用的学具、教育教学和生活设施、设备不符合国家规定的标准，或者有明显不安全因素；</w:t>
      </w:r>
    </w:p>
    <w:p w14:paraId="25668616"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（2）被保险人的安全保卫、消防、设施设备管理等安全管理制度有疏漏，或者管理混乱，存在安全隐患，而未及时采取措施；</w:t>
      </w:r>
    </w:p>
    <w:p w14:paraId="6932CD29"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（3）被保险人向学生提供的药品、食品、饮用水以及玩具、文具或者其他物品不符合国家、行业和被保险人所在地市的卫生、安全标准；</w:t>
      </w:r>
    </w:p>
    <w:p w14:paraId="5CF58F8F"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（4）被保险人组织学生参加教育教学活动或者校外活动，未按规定对学生进行必要的安全教育，并未在可预见的范围内采取必要的安全措施；</w:t>
      </w:r>
    </w:p>
    <w:p w14:paraId="53914FD8"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（5）被保险人的教师或者其他工作人员患有不适宜担任教学工作的疾病，但被保险人未采取必要措施；</w:t>
      </w:r>
    </w:p>
    <w:p w14:paraId="08B0E4B8"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（6）被保险人违反有关规定，组织或者安排未成年学生从事不宜未成年人参加的劳动、体育运动或者其他活动；</w:t>
      </w:r>
    </w:p>
    <w:p w14:paraId="054312C1"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（7）学生有特异体质或特定疾病，不宜参加某种教学活动，被保险人知道或者应当知道，但未予以必要注意；</w:t>
      </w:r>
    </w:p>
    <w:p w14:paraId="79333A85"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（8）学生在校期间突发疾病或者受到伤害，被保险人发现，但未根据实际情况及时采取相应措施，导致不良后果加重；</w:t>
      </w:r>
    </w:p>
    <w:p w14:paraId="3D58FA4D"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（9）教师或者其他工作人员在负有组织、管理未成年学生的职责期间，发现学生行为具有危险性，但未进行必要的管理、告诫或者制止；</w:t>
      </w:r>
    </w:p>
    <w:p w14:paraId="19872ABA"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（10）教师或者其他工作人员侮辱、殴打、体罚或者变相体罚学生；</w:t>
      </w:r>
    </w:p>
    <w:p w14:paraId="717ED15F"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（11）教师或者其他工作人员擅离工作岗位，不履行职责，或者虽在工作岗位但未履行职责，或者违反工作要求、操作规程或职业道德；</w:t>
      </w:r>
    </w:p>
    <w:p w14:paraId="2933255F"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（12）对未成年学生擅自离校等与学生人身安全直接相关的信息，被保险人发现或者知道，但未及时告知未成年学生的监护人，导致未成年学生因脱离监护人的保护而发生伤害；</w:t>
      </w:r>
    </w:p>
    <w:p w14:paraId="2A2D6ABB"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（13）被保险人知道或者应当知道学生患有传染性疾病，未采取必要的隔离防范措施导致其他学生感染；</w:t>
      </w:r>
    </w:p>
    <w:p w14:paraId="2B644AC5"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（14）被保险人有未依法履行职责的其他情形。</w:t>
      </w:r>
    </w:p>
    <w:p w14:paraId="4195424E"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1.3.2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14:paraId="161D82E7"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（1）学生在代表被保险人参加各项比赛，或者在参加被保险人统一组织的体育竞赛活动中发生意外事故；</w:t>
      </w:r>
    </w:p>
    <w:p w14:paraId="0533A639"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（2）火灾、爆炸、煤气中毒所造成的意外事故；</w:t>
      </w:r>
    </w:p>
    <w:p w14:paraId="297C8511"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（3）高空物体坠落所造成的意外事故；</w:t>
      </w:r>
    </w:p>
    <w:p w14:paraId="2909A509"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（4）学生拥挤所造成的意外事故。</w:t>
      </w:r>
    </w:p>
    <w:p w14:paraId="720D0529"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lastRenderedPageBreak/>
        <w:t>1.3.3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14:paraId="788BED41" w14:textId="77777777" w:rsidR="00D02BE8" w:rsidRPr="00571A29" w:rsidRDefault="00D02BE8">
      <w:pPr>
        <w:spacing w:line="276" w:lineRule="auto"/>
        <w:ind w:firstLineChars="200" w:firstLine="420"/>
        <w:jc w:val="left"/>
        <w:rPr>
          <w:rFonts w:ascii="宋体" w:eastAsia="宋体" w:hAnsi="宋体" w:hint="eastAsia"/>
          <w:szCs w:val="32"/>
        </w:rPr>
      </w:pPr>
    </w:p>
    <w:p w14:paraId="2B19BE17" w14:textId="7A217636"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2、中小学（幼儿园）</w:t>
      </w:r>
      <w:r w:rsidRPr="00571A29">
        <w:rPr>
          <w:rFonts w:ascii="宋体" w:eastAsia="宋体" w:hAnsi="宋体" w:hint="eastAsia"/>
          <w:b/>
          <w:bCs/>
        </w:rPr>
        <w:t>校方无过失责任保险</w:t>
      </w:r>
      <w:r w:rsidRPr="00571A29">
        <w:rPr>
          <w:rFonts w:ascii="宋体" w:eastAsia="宋体" w:hAnsi="宋体" w:hint="eastAsia"/>
          <w:b/>
          <w:bCs/>
          <w:szCs w:val="32"/>
        </w:rPr>
        <w:t>要求</w:t>
      </w:r>
    </w:p>
    <w:p w14:paraId="159E4C5A"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2.1保险金额（限额）</w:t>
      </w:r>
    </w:p>
    <w:p w14:paraId="74E3E3EC"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2.1.1、每人每年人身伤害赔偿限额人民币12万元，每所学校每次事故赔偿限额人民币150万元，每所学校每年累计赔偿限额人民币300万元。</w:t>
      </w:r>
    </w:p>
    <w:p w14:paraId="65ABBCA8" w14:textId="6CEB20CB"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2.1.2、</w:t>
      </w:r>
      <w:r w:rsidRPr="00571A29">
        <w:rPr>
          <w:rFonts w:ascii="宋体" w:eastAsia="宋体" w:hAnsi="宋体" w:hint="eastAsia"/>
        </w:rPr>
        <w:t>校方无过失责任保险</w:t>
      </w:r>
      <w:r w:rsidRPr="00571A29">
        <w:rPr>
          <w:rFonts w:ascii="宋体" w:eastAsia="宋体" w:hAnsi="宋体" w:hint="eastAsia"/>
          <w:szCs w:val="32"/>
        </w:rPr>
        <w:t>保险标准</w:t>
      </w:r>
    </w:p>
    <w:tbl>
      <w:tblPr>
        <w:tblStyle w:val="a9"/>
        <w:tblW w:w="10207" w:type="dxa"/>
        <w:tblInd w:w="-998" w:type="dxa"/>
        <w:tblLook w:val="04A0" w:firstRow="1" w:lastRow="0" w:firstColumn="1" w:lastColumn="0" w:noHBand="0" w:noVBand="1"/>
      </w:tblPr>
      <w:tblGrid>
        <w:gridCol w:w="1985"/>
        <w:gridCol w:w="1276"/>
        <w:gridCol w:w="1559"/>
        <w:gridCol w:w="1701"/>
        <w:gridCol w:w="1701"/>
        <w:gridCol w:w="1985"/>
      </w:tblGrid>
      <w:tr w:rsidR="00D02BE8" w:rsidRPr="00571A29" w14:paraId="55F96FAE" w14:textId="77777777">
        <w:tc>
          <w:tcPr>
            <w:tcW w:w="1985" w:type="dxa"/>
            <w:vAlign w:val="center"/>
          </w:tcPr>
          <w:p w14:paraId="087176D7"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名称</w:t>
            </w:r>
          </w:p>
        </w:tc>
        <w:tc>
          <w:tcPr>
            <w:tcW w:w="1276" w:type="dxa"/>
            <w:vAlign w:val="center"/>
          </w:tcPr>
          <w:p w14:paraId="03E8C89C"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年保费</w:t>
            </w:r>
          </w:p>
          <w:p w14:paraId="1464CC7C"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（元/人）</w:t>
            </w:r>
          </w:p>
        </w:tc>
        <w:tc>
          <w:tcPr>
            <w:tcW w:w="1559" w:type="dxa"/>
            <w:vAlign w:val="center"/>
          </w:tcPr>
          <w:p w14:paraId="7A057348"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每生每年赔偿限额（万元）</w:t>
            </w:r>
          </w:p>
        </w:tc>
        <w:tc>
          <w:tcPr>
            <w:tcW w:w="1701" w:type="dxa"/>
            <w:vAlign w:val="center"/>
          </w:tcPr>
          <w:p w14:paraId="3E2480E0"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每校每次事故责任限额（万元）</w:t>
            </w:r>
          </w:p>
        </w:tc>
        <w:tc>
          <w:tcPr>
            <w:tcW w:w="1701" w:type="dxa"/>
            <w:vAlign w:val="center"/>
          </w:tcPr>
          <w:p w14:paraId="1970E49F"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每校每年累计责任限额（万元）</w:t>
            </w:r>
          </w:p>
        </w:tc>
        <w:tc>
          <w:tcPr>
            <w:tcW w:w="1985" w:type="dxa"/>
            <w:vAlign w:val="center"/>
          </w:tcPr>
          <w:p w14:paraId="1AFF7A09"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交通、溺水意外身故保险金（万元）</w:t>
            </w:r>
          </w:p>
        </w:tc>
      </w:tr>
      <w:tr w:rsidR="00D02BE8" w:rsidRPr="00571A29" w14:paraId="15F88CB3" w14:textId="77777777">
        <w:tc>
          <w:tcPr>
            <w:tcW w:w="1985" w:type="dxa"/>
            <w:vAlign w:val="center"/>
          </w:tcPr>
          <w:p w14:paraId="5D3E39D4" w14:textId="13560C07" w:rsidR="00D02BE8" w:rsidRPr="00571A29" w:rsidRDefault="00000000">
            <w:pPr>
              <w:pStyle w:val="a7"/>
              <w:spacing w:line="276" w:lineRule="auto"/>
              <w:jc w:val="both"/>
              <w:rPr>
                <w:rFonts w:ascii="宋体" w:eastAsia="宋体" w:hAnsi="宋体" w:hint="eastAsia"/>
                <w:kern w:val="0"/>
                <w:sz w:val="21"/>
                <w:szCs w:val="21"/>
              </w:rPr>
            </w:pPr>
            <w:r w:rsidRPr="00571A29">
              <w:rPr>
                <w:rFonts w:ascii="宋体" w:eastAsia="宋体" w:hAnsi="宋体" w:hint="eastAsia"/>
                <w:kern w:val="0"/>
                <w:sz w:val="21"/>
                <w:szCs w:val="21"/>
              </w:rPr>
              <w:t>校方无过失责任保险</w:t>
            </w:r>
          </w:p>
        </w:tc>
        <w:tc>
          <w:tcPr>
            <w:tcW w:w="1276" w:type="dxa"/>
            <w:vAlign w:val="center"/>
          </w:tcPr>
          <w:p w14:paraId="373D6F21"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2</w:t>
            </w:r>
          </w:p>
        </w:tc>
        <w:tc>
          <w:tcPr>
            <w:tcW w:w="1559" w:type="dxa"/>
            <w:vAlign w:val="center"/>
          </w:tcPr>
          <w:p w14:paraId="4ADD1B28"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12</w:t>
            </w:r>
          </w:p>
        </w:tc>
        <w:tc>
          <w:tcPr>
            <w:tcW w:w="1701" w:type="dxa"/>
            <w:vAlign w:val="center"/>
          </w:tcPr>
          <w:p w14:paraId="1F67A307"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150</w:t>
            </w:r>
          </w:p>
        </w:tc>
        <w:tc>
          <w:tcPr>
            <w:tcW w:w="1701" w:type="dxa"/>
            <w:vAlign w:val="center"/>
          </w:tcPr>
          <w:p w14:paraId="65E600AF"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300</w:t>
            </w:r>
          </w:p>
        </w:tc>
        <w:tc>
          <w:tcPr>
            <w:tcW w:w="1985" w:type="dxa"/>
            <w:vAlign w:val="center"/>
          </w:tcPr>
          <w:p w14:paraId="43B51BCE"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0</w:t>
            </w:r>
          </w:p>
        </w:tc>
      </w:tr>
      <w:tr w:rsidR="00D02BE8" w:rsidRPr="00571A29" w14:paraId="09CBF373" w14:textId="77777777">
        <w:tc>
          <w:tcPr>
            <w:tcW w:w="1985" w:type="dxa"/>
            <w:vAlign w:val="center"/>
          </w:tcPr>
          <w:p w14:paraId="7B3A60DA" w14:textId="77777777" w:rsidR="00D02BE8" w:rsidRPr="00571A29" w:rsidRDefault="00000000">
            <w:pPr>
              <w:pStyle w:val="a7"/>
              <w:spacing w:line="276" w:lineRule="auto"/>
              <w:jc w:val="both"/>
              <w:rPr>
                <w:rFonts w:ascii="宋体" w:eastAsia="宋体" w:hAnsi="宋体" w:hint="eastAsia"/>
                <w:kern w:val="0"/>
                <w:sz w:val="21"/>
                <w:szCs w:val="21"/>
              </w:rPr>
            </w:pPr>
            <w:r w:rsidRPr="00571A29">
              <w:rPr>
                <w:rFonts w:ascii="宋体" w:eastAsia="宋体" w:hAnsi="宋体" w:hint="eastAsia"/>
                <w:kern w:val="0"/>
                <w:sz w:val="21"/>
                <w:szCs w:val="21"/>
              </w:rPr>
              <w:t>交通、溺水意外身故特别约定条款</w:t>
            </w:r>
          </w:p>
        </w:tc>
        <w:tc>
          <w:tcPr>
            <w:tcW w:w="1276" w:type="dxa"/>
            <w:vAlign w:val="center"/>
          </w:tcPr>
          <w:p w14:paraId="09A28362"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3</w:t>
            </w:r>
          </w:p>
        </w:tc>
        <w:tc>
          <w:tcPr>
            <w:tcW w:w="1559" w:type="dxa"/>
            <w:vAlign w:val="center"/>
          </w:tcPr>
          <w:p w14:paraId="3A970791"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0</w:t>
            </w:r>
          </w:p>
        </w:tc>
        <w:tc>
          <w:tcPr>
            <w:tcW w:w="1701" w:type="dxa"/>
            <w:vAlign w:val="center"/>
          </w:tcPr>
          <w:p w14:paraId="4F0A0BA9"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0</w:t>
            </w:r>
          </w:p>
        </w:tc>
        <w:tc>
          <w:tcPr>
            <w:tcW w:w="1701" w:type="dxa"/>
            <w:vAlign w:val="center"/>
          </w:tcPr>
          <w:p w14:paraId="4F6E1EE5"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0</w:t>
            </w:r>
          </w:p>
        </w:tc>
        <w:tc>
          <w:tcPr>
            <w:tcW w:w="1985" w:type="dxa"/>
            <w:vAlign w:val="center"/>
          </w:tcPr>
          <w:p w14:paraId="4EA4227D"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3</w:t>
            </w:r>
          </w:p>
        </w:tc>
      </w:tr>
      <w:tr w:rsidR="00D02BE8" w:rsidRPr="00571A29" w14:paraId="6BDA88EB" w14:textId="77777777">
        <w:trPr>
          <w:trHeight w:val="454"/>
        </w:trPr>
        <w:tc>
          <w:tcPr>
            <w:tcW w:w="1985" w:type="dxa"/>
            <w:vAlign w:val="center"/>
          </w:tcPr>
          <w:p w14:paraId="704734AD"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合计</w:t>
            </w:r>
          </w:p>
        </w:tc>
        <w:tc>
          <w:tcPr>
            <w:tcW w:w="1276" w:type="dxa"/>
            <w:vAlign w:val="center"/>
          </w:tcPr>
          <w:p w14:paraId="76BCCFFF"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5</w:t>
            </w:r>
          </w:p>
        </w:tc>
        <w:tc>
          <w:tcPr>
            <w:tcW w:w="1559" w:type="dxa"/>
            <w:vAlign w:val="center"/>
          </w:tcPr>
          <w:p w14:paraId="44847348"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12</w:t>
            </w:r>
          </w:p>
        </w:tc>
        <w:tc>
          <w:tcPr>
            <w:tcW w:w="1701" w:type="dxa"/>
            <w:vAlign w:val="center"/>
          </w:tcPr>
          <w:p w14:paraId="28475E8F"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150</w:t>
            </w:r>
          </w:p>
        </w:tc>
        <w:tc>
          <w:tcPr>
            <w:tcW w:w="1701" w:type="dxa"/>
            <w:vAlign w:val="center"/>
          </w:tcPr>
          <w:p w14:paraId="55035FC7"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300</w:t>
            </w:r>
          </w:p>
        </w:tc>
        <w:tc>
          <w:tcPr>
            <w:tcW w:w="1985" w:type="dxa"/>
            <w:vAlign w:val="center"/>
          </w:tcPr>
          <w:p w14:paraId="7D7E283C" w14:textId="77777777" w:rsidR="00D02BE8" w:rsidRPr="00571A29" w:rsidRDefault="00000000">
            <w:pPr>
              <w:pStyle w:val="a7"/>
              <w:spacing w:line="276" w:lineRule="auto"/>
              <w:jc w:val="center"/>
              <w:rPr>
                <w:rFonts w:ascii="宋体" w:eastAsia="宋体" w:hAnsi="宋体" w:hint="eastAsia"/>
                <w:kern w:val="0"/>
                <w:sz w:val="21"/>
                <w:szCs w:val="21"/>
              </w:rPr>
            </w:pPr>
            <w:r w:rsidRPr="00571A29">
              <w:rPr>
                <w:rFonts w:ascii="宋体" w:eastAsia="宋体" w:hAnsi="宋体" w:hint="eastAsia"/>
                <w:kern w:val="0"/>
                <w:sz w:val="21"/>
                <w:szCs w:val="21"/>
              </w:rPr>
              <w:t>3</w:t>
            </w:r>
          </w:p>
        </w:tc>
      </w:tr>
    </w:tbl>
    <w:p w14:paraId="39C39AC7" w14:textId="77777777" w:rsidR="00D02BE8" w:rsidRPr="00571A29" w:rsidRDefault="00D02BE8">
      <w:pPr>
        <w:pStyle w:val="a7"/>
        <w:spacing w:line="276" w:lineRule="auto"/>
        <w:rPr>
          <w:rFonts w:ascii="宋体" w:eastAsia="宋体" w:hAnsi="宋体" w:hint="eastAsia"/>
        </w:rPr>
      </w:pPr>
    </w:p>
    <w:p w14:paraId="2015A46E"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2.2保险期限：与校方责任保险一致，自2024学年度至2025年学年度止（即2024年9月1日至2025年8月31日24时止）。</w:t>
      </w:r>
    </w:p>
    <w:p w14:paraId="7951C528"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2.3保险责任</w:t>
      </w:r>
    </w:p>
    <w:p w14:paraId="51058E62"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2.3.1在本保险单列明的保险期限及承保区域范围内，因自然灾害、学生自身原因、学生体质差异、校外人员侵害而导致被保险人的在校学生发生人身损害，被保险人已履行相应职责，行为并无不当，但是依照中华人民共和国法律（不含港澳台地区法律）仍需对受伤害学生承担经济赔偿责任时，保险人按照本保险合同的约定负责赔偿。</w:t>
      </w:r>
    </w:p>
    <w:p w14:paraId="5D34335F"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承保区域范围：主险保险单列明的被保险人在其校（园）内或由其统一组织并带领下的校（园）外活动的区城范围（限中华人民共和国境内，港澳台地区除外）。</w:t>
      </w:r>
    </w:p>
    <w:p w14:paraId="36A3A153"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自然灾害：指气象部门发布的暴风、暴雨、崖崩、雷击、洪水、龙卷风、飑线、台风（热带风暴）、海啸、泥石流、突发性滑坡、冰覆灾害。</w:t>
      </w:r>
    </w:p>
    <w:p w14:paraId="3E70B083"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暴风：根据气象部门制定的风力级表规定，暴风是指风速在28.3米/秒以上，即相当于风力等级表中的11级以上的风力。</w:t>
      </w:r>
    </w:p>
    <w:p w14:paraId="043076BF"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暴雨：是指每小时降雨量达到16毫米以上，或连续12小时降雨量达到30毫米以上，或连续24小时降雨量达到50毫米以上。</w:t>
      </w:r>
    </w:p>
    <w:p w14:paraId="5248391B"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学生自身原因：学生由于疏忽大意或过失行为造成自身的人身损害后果。</w:t>
      </w:r>
    </w:p>
    <w:p w14:paraId="37C391BB"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学生体质特异：学生由先天遗传和后天获得所形成的，在形态结构、功能活动方面所固有的、相对稳定的个体特征上的不同。</w:t>
      </w:r>
    </w:p>
    <w:p w14:paraId="64BA935D"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校外人员侵害：是指学校教职员工及在校学生以外的人员在本保险单列明的承保区域范围内对学生的侵权行为。</w:t>
      </w:r>
    </w:p>
    <w:p w14:paraId="64B44E38"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人身损害：是指指死亡、肢体残疾、组织器官功能障碍及其他影响人身健康的损伤。</w:t>
      </w:r>
    </w:p>
    <w:p w14:paraId="7429A8B6"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2.4其他：</w:t>
      </w:r>
    </w:p>
    <w:p w14:paraId="7D3A3D4F"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lastRenderedPageBreak/>
        <w:t>按照海南省教育厅、海南省财政厅、中国保监会海南监管局关于进一步调整完善校方责任保险制度的通知(琼教勤助【2018】5号)要求执行。</w:t>
      </w:r>
    </w:p>
    <w:p w14:paraId="3E4EEED1" w14:textId="77777777" w:rsidR="00D02BE8" w:rsidRPr="00571A29" w:rsidRDefault="00D02BE8">
      <w:pPr>
        <w:spacing w:line="276" w:lineRule="auto"/>
        <w:ind w:firstLineChars="200" w:firstLine="420"/>
        <w:jc w:val="left"/>
        <w:rPr>
          <w:rFonts w:ascii="宋体" w:eastAsia="宋体" w:hAnsi="宋体" w:hint="eastAsia"/>
          <w:szCs w:val="32"/>
        </w:rPr>
      </w:pPr>
    </w:p>
    <w:p w14:paraId="752CB026" w14:textId="77777777"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3、学生平安保险要求</w:t>
      </w:r>
    </w:p>
    <w:p w14:paraId="4E6E950B"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3.1保险责任：</w:t>
      </w:r>
    </w:p>
    <w:p w14:paraId="0358AEED"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(1)意外身故保险金：被保险人因意外事故身故，按保险金额给付身故保险金。</w:t>
      </w:r>
    </w:p>
    <w:p w14:paraId="7C3B6B19"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(2)疾病身故保险金：被保险人因疾病身故，按保险金额给付身故保险金。</w:t>
      </w:r>
    </w:p>
    <w:p w14:paraId="0E889658"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意外伤害残疾保险金：被保险人因遭受意外事故，并自事故发生之日起180日内因该事故造成《人身保险伤残评定标准》所列伤残项目的，依照该标准规定的评定原则对伤残项目进行评定。按评定结果所对应该标准规定的给付比例乘以保险金额给付意外伤残保险金。如治疗仍未结束的，按事故发生之日起第180日的身体情况进行伤残鉴定，并据此给付意外伤残保险金。</w:t>
      </w:r>
    </w:p>
    <w:p w14:paraId="28FC75FA"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(4)重大疾病保险金：被保险人经医院确诊初次发生重大疾病的，按其保险金额给付重大疾病保险金。</w:t>
      </w:r>
    </w:p>
    <w:p w14:paraId="7846C0A6"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(5)意外住院、疾病住院保险金：被保险人因疾病或意外事故经医院确诊必须住院治疗的，累计给付日数最多为90天。</w:t>
      </w:r>
    </w:p>
    <w:p w14:paraId="4D598F6C" w14:textId="77777777" w:rsidR="00D02BE8" w:rsidRPr="00571A29" w:rsidRDefault="00000000">
      <w:pPr>
        <w:spacing w:line="276" w:lineRule="auto"/>
        <w:ind w:firstLineChars="200" w:firstLine="420"/>
        <w:rPr>
          <w:rFonts w:ascii="宋体" w:eastAsia="宋体" w:hAnsi="宋体" w:hint="eastAsia"/>
        </w:rPr>
      </w:pPr>
      <w:r w:rsidRPr="00571A29">
        <w:rPr>
          <w:rFonts w:ascii="宋体" w:eastAsia="宋体" w:hAnsi="宋体" w:hint="eastAsia"/>
          <w:szCs w:val="32"/>
        </w:rPr>
        <w:t>3.2学生平安保险须有以下保险方案：</w:t>
      </w:r>
    </w:p>
    <w:tbl>
      <w:tblPr>
        <w:tblStyle w:val="a9"/>
        <w:tblW w:w="9498" w:type="dxa"/>
        <w:tblInd w:w="-572" w:type="dxa"/>
        <w:tblLook w:val="04A0" w:firstRow="1" w:lastRow="0" w:firstColumn="1" w:lastColumn="0" w:noHBand="0" w:noVBand="1"/>
      </w:tblPr>
      <w:tblGrid>
        <w:gridCol w:w="2127"/>
        <w:gridCol w:w="1659"/>
        <w:gridCol w:w="1659"/>
        <w:gridCol w:w="1659"/>
        <w:gridCol w:w="2394"/>
      </w:tblGrid>
      <w:tr w:rsidR="00D02BE8" w:rsidRPr="00571A29" w14:paraId="380B151D" w14:textId="77777777">
        <w:tc>
          <w:tcPr>
            <w:tcW w:w="2127" w:type="dxa"/>
            <w:vAlign w:val="center"/>
          </w:tcPr>
          <w:p w14:paraId="7FE00A75" w14:textId="77777777" w:rsidR="00D02BE8" w:rsidRPr="00571A29" w:rsidRDefault="00000000">
            <w:pPr>
              <w:spacing w:line="276" w:lineRule="auto"/>
              <w:jc w:val="center"/>
              <w:rPr>
                <w:rFonts w:ascii="宋体" w:hAnsi="宋体" w:hint="eastAsia"/>
                <w:b/>
                <w:bCs/>
                <w:kern w:val="0"/>
                <w:sz w:val="20"/>
                <w:szCs w:val="20"/>
              </w:rPr>
            </w:pPr>
            <w:r w:rsidRPr="00571A29">
              <w:rPr>
                <w:rFonts w:ascii="宋体" w:hAnsi="宋体" w:hint="eastAsia"/>
                <w:b/>
                <w:bCs/>
                <w:kern w:val="0"/>
                <w:sz w:val="20"/>
                <w:szCs w:val="20"/>
              </w:rPr>
              <w:t>保障项目</w:t>
            </w:r>
          </w:p>
        </w:tc>
        <w:tc>
          <w:tcPr>
            <w:tcW w:w="1659" w:type="dxa"/>
            <w:vAlign w:val="center"/>
          </w:tcPr>
          <w:p w14:paraId="50FE1DBE" w14:textId="77777777" w:rsidR="00D02BE8" w:rsidRPr="00571A29" w:rsidRDefault="00000000">
            <w:pPr>
              <w:spacing w:line="276" w:lineRule="auto"/>
              <w:jc w:val="center"/>
              <w:rPr>
                <w:rFonts w:ascii="宋体" w:hAnsi="宋体" w:hint="eastAsia"/>
                <w:b/>
                <w:bCs/>
                <w:kern w:val="0"/>
                <w:sz w:val="20"/>
                <w:szCs w:val="20"/>
              </w:rPr>
            </w:pPr>
            <w:r w:rsidRPr="00571A29">
              <w:rPr>
                <w:rFonts w:ascii="宋体" w:hAnsi="宋体" w:hint="eastAsia"/>
                <w:b/>
                <w:bCs/>
                <w:kern w:val="0"/>
                <w:sz w:val="20"/>
                <w:szCs w:val="20"/>
              </w:rPr>
              <w:t>保险金额</w:t>
            </w:r>
          </w:p>
        </w:tc>
        <w:tc>
          <w:tcPr>
            <w:tcW w:w="1659" w:type="dxa"/>
            <w:vAlign w:val="center"/>
          </w:tcPr>
          <w:p w14:paraId="3FC7E9F3" w14:textId="77777777" w:rsidR="00D02BE8" w:rsidRPr="00571A29" w:rsidRDefault="00000000">
            <w:pPr>
              <w:spacing w:line="276" w:lineRule="auto"/>
              <w:jc w:val="center"/>
              <w:rPr>
                <w:rFonts w:ascii="宋体" w:hAnsi="宋体" w:hint="eastAsia"/>
                <w:b/>
                <w:bCs/>
                <w:kern w:val="0"/>
                <w:sz w:val="20"/>
                <w:szCs w:val="20"/>
              </w:rPr>
            </w:pPr>
            <w:r w:rsidRPr="00571A29">
              <w:rPr>
                <w:rFonts w:ascii="宋体" w:hAnsi="宋体" w:hint="eastAsia"/>
                <w:b/>
                <w:bCs/>
                <w:kern w:val="0"/>
                <w:sz w:val="20"/>
                <w:szCs w:val="20"/>
              </w:rPr>
              <w:t>每次事故免赔额</w:t>
            </w:r>
          </w:p>
        </w:tc>
        <w:tc>
          <w:tcPr>
            <w:tcW w:w="1659" w:type="dxa"/>
            <w:vAlign w:val="center"/>
          </w:tcPr>
          <w:p w14:paraId="7366E6A4" w14:textId="77777777" w:rsidR="00D02BE8" w:rsidRPr="00571A29" w:rsidRDefault="00000000">
            <w:pPr>
              <w:spacing w:line="276" w:lineRule="auto"/>
              <w:jc w:val="center"/>
              <w:rPr>
                <w:rFonts w:ascii="宋体" w:hAnsi="宋体" w:hint="eastAsia"/>
                <w:b/>
                <w:bCs/>
                <w:kern w:val="0"/>
                <w:sz w:val="20"/>
                <w:szCs w:val="20"/>
              </w:rPr>
            </w:pPr>
            <w:r w:rsidRPr="00571A29">
              <w:rPr>
                <w:rFonts w:ascii="宋体" w:hAnsi="宋体" w:hint="eastAsia"/>
                <w:b/>
                <w:bCs/>
                <w:kern w:val="0"/>
                <w:sz w:val="20"/>
                <w:szCs w:val="20"/>
              </w:rPr>
              <w:t>给付比例(%)</w:t>
            </w:r>
          </w:p>
        </w:tc>
        <w:tc>
          <w:tcPr>
            <w:tcW w:w="2394" w:type="dxa"/>
            <w:vAlign w:val="center"/>
          </w:tcPr>
          <w:p w14:paraId="4DAB19D6" w14:textId="77777777" w:rsidR="00D02BE8" w:rsidRPr="00571A29" w:rsidRDefault="00000000">
            <w:pPr>
              <w:spacing w:line="276" w:lineRule="auto"/>
              <w:jc w:val="center"/>
              <w:rPr>
                <w:rFonts w:ascii="宋体" w:hAnsi="宋体" w:hint="eastAsia"/>
                <w:b/>
                <w:bCs/>
                <w:kern w:val="0"/>
                <w:sz w:val="20"/>
                <w:szCs w:val="20"/>
              </w:rPr>
            </w:pPr>
            <w:r w:rsidRPr="00571A29">
              <w:rPr>
                <w:rFonts w:ascii="宋体" w:hAnsi="宋体" w:hint="eastAsia"/>
                <w:b/>
                <w:bCs/>
                <w:kern w:val="0"/>
                <w:sz w:val="20"/>
                <w:szCs w:val="20"/>
              </w:rPr>
              <w:t>等待期</w:t>
            </w:r>
          </w:p>
        </w:tc>
      </w:tr>
      <w:tr w:rsidR="00D02BE8" w:rsidRPr="00571A29" w14:paraId="5AFDD11E" w14:textId="77777777">
        <w:tc>
          <w:tcPr>
            <w:tcW w:w="2127" w:type="dxa"/>
            <w:vAlign w:val="center"/>
          </w:tcPr>
          <w:p w14:paraId="1C35C25E"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意外身故</w:t>
            </w:r>
          </w:p>
        </w:tc>
        <w:tc>
          <w:tcPr>
            <w:tcW w:w="1659" w:type="dxa"/>
            <w:vAlign w:val="center"/>
          </w:tcPr>
          <w:p w14:paraId="556E58E7"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60000元</w:t>
            </w:r>
          </w:p>
        </w:tc>
        <w:tc>
          <w:tcPr>
            <w:tcW w:w="1659" w:type="dxa"/>
            <w:vAlign w:val="center"/>
          </w:tcPr>
          <w:p w14:paraId="05557E12"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1659" w:type="dxa"/>
            <w:vAlign w:val="center"/>
          </w:tcPr>
          <w:p w14:paraId="3BD23E73"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2394" w:type="dxa"/>
            <w:vAlign w:val="center"/>
          </w:tcPr>
          <w:p w14:paraId="0BB28750"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r>
      <w:tr w:rsidR="00D02BE8" w:rsidRPr="00571A29" w14:paraId="1504A535" w14:textId="77777777">
        <w:tc>
          <w:tcPr>
            <w:tcW w:w="2127" w:type="dxa"/>
            <w:vAlign w:val="center"/>
          </w:tcPr>
          <w:p w14:paraId="564C498F"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疾病身故</w:t>
            </w:r>
          </w:p>
        </w:tc>
        <w:tc>
          <w:tcPr>
            <w:tcW w:w="1659" w:type="dxa"/>
            <w:vAlign w:val="center"/>
          </w:tcPr>
          <w:p w14:paraId="47AECEBC"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60000元</w:t>
            </w:r>
          </w:p>
        </w:tc>
        <w:tc>
          <w:tcPr>
            <w:tcW w:w="1659" w:type="dxa"/>
            <w:vAlign w:val="center"/>
          </w:tcPr>
          <w:p w14:paraId="183DEFB2"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1659" w:type="dxa"/>
            <w:vAlign w:val="center"/>
          </w:tcPr>
          <w:p w14:paraId="1B213AA3"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2394" w:type="dxa"/>
            <w:vAlign w:val="center"/>
          </w:tcPr>
          <w:p w14:paraId="64D330D1"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90天</w:t>
            </w:r>
          </w:p>
        </w:tc>
      </w:tr>
      <w:tr w:rsidR="00D02BE8" w:rsidRPr="00571A29" w14:paraId="2C2C620D" w14:textId="77777777">
        <w:tc>
          <w:tcPr>
            <w:tcW w:w="2127" w:type="dxa"/>
            <w:vAlign w:val="center"/>
          </w:tcPr>
          <w:p w14:paraId="6E42AF94"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意外伤害残疾</w:t>
            </w:r>
          </w:p>
        </w:tc>
        <w:tc>
          <w:tcPr>
            <w:tcW w:w="1659" w:type="dxa"/>
            <w:vAlign w:val="center"/>
          </w:tcPr>
          <w:p w14:paraId="0F56ABFE"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60000元</w:t>
            </w:r>
          </w:p>
        </w:tc>
        <w:tc>
          <w:tcPr>
            <w:tcW w:w="1659" w:type="dxa"/>
            <w:vAlign w:val="center"/>
          </w:tcPr>
          <w:p w14:paraId="0B10E00E"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1659" w:type="dxa"/>
            <w:vAlign w:val="center"/>
          </w:tcPr>
          <w:p w14:paraId="21703614"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2394" w:type="dxa"/>
            <w:vAlign w:val="center"/>
          </w:tcPr>
          <w:p w14:paraId="68D7718F"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r>
      <w:tr w:rsidR="00D02BE8" w:rsidRPr="00571A29" w14:paraId="1F564B50" w14:textId="77777777">
        <w:tc>
          <w:tcPr>
            <w:tcW w:w="2127" w:type="dxa"/>
            <w:vAlign w:val="center"/>
          </w:tcPr>
          <w:p w14:paraId="3DBA642A"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意外伤害门、急诊</w:t>
            </w:r>
          </w:p>
        </w:tc>
        <w:tc>
          <w:tcPr>
            <w:tcW w:w="1659" w:type="dxa"/>
            <w:vAlign w:val="center"/>
          </w:tcPr>
          <w:p w14:paraId="32A17820"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1000元</w:t>
            </w:r>
          </w:p>
        </w:tc>
        <w:tc>
          <w:tcPr>
            <w:tcW w:w="1659" w:type="dxa"/>
            <w:vAlign w:val="center"/>
          </w:tcPr>
          <w:p w14:paraId="778A276F"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100元</w:t>
            </w:r>
          </w:p>
        </w:tc>
        <w:tc>
          <w:tcPr>
            <w:tcW w:w="1659" w:type="dxa"/>
            <w:vAlign w:val="center"/>
          </w:tcPr>
          <w:p w14:paraId="0A17B5ED"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80%</w:t>
            </w:r>
          </w:p>
        </w:tc>
        <w:tc>
          <w:tcPr>
            <w:tcW w:w="2394" w:type="dxa"/>
            <w:vAlign w:val="center"/>
          </w:tcPr>
          <w:p w14:paraId="4AAB0E74"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r>
      <w:tr w:rsidR="00D02BE8" w:rsidRPr="00571A29" w14:paraId="2F0D2C03" w14:textId="77777777">
        <w:tc>
          <w:tcPr>
            <w:tcW w:w="2127" w:type="dxa"/>
            <w:vAlign w:val="center"/>
          </w:tcPr>
          <w:p w14:paraId="4C94075D"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意外住院、疾病住院</w:t>
            </w:r>
          </w:p>
        </w:tc>
        <w:tc>
          <w:tcPr>
            <w:tcW w:w="1659" w:type="dxa"/>
            <w:vAlign w:val="center"/>
          </w:tcPr>
          <w:p w14:paraId="65EB69AD"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25000元</w:t>
            </w:r>
          </w:p>
        </w:tc>
        <w:tc>
          <w:tcPr>
            <w:tcW w:w="1659" w:type="dxa"/>
            <w:vAlign w:val="center"/>
          </w:tcPr>
          <w:p w14:paraId="13420B76"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100元</w:t>
            </w:r>
          </w:p>
        </w:tc>
        <w:tc>
          <w:tcPr>
            <w:tcW w:w="1659" w:type="dxa"/>
            <w:vAlign w:val="center"/>
          </w:tcPr>
          <w:p w14:paraId="67BE59C6"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见特别约定</w:t>
            </w:r>
          </w:p>
        </w:tc>
        <w:tc>
          <w:tcPr>
            <w:tcW w:w="2394" w:type="dxa"/>
            <w:vAlign w:val="center"/>
          </w:tcPr>
          <w:p w14:paraId="0C86EBB5"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疾病住院90天</w:t>
            </w:r>
          </w:p>
        </w:tc>
      </w:tr>
      <w:tr w:rsidR="00D02BE8" w:rsidRPr="00571A29" w14:paraId="31D99330" w14:textId="77777777">
        <w:tc>
          <w:tcPr>
            <w:tcW w:w="2127" w:type="dxa"/>
            <w:vAlign w:val="center"/>
          </w:tcPr>
          <w:p w14:paraId="275E3DD7"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重大疾病</w:t>
            </w:r>
          </w:p>
        </w:tc>
        <w:tc>
          <w:tcPr>
            <w:tcW w:w="1659" w:type="dxa"/>
            <w:vAlign w:val="center"/>
          </w:tcPr>
          <w:p w14:paraId="65773745"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32000元</w:t>
            </w:r>
          </w:p>
        </w:tc>
        <w:tc>
          <w:tcPr>
            <w:tcW w:w="1659" w:type="dxa"/>
            <w:vAlign w:val="center"/>
          </w:tcPr>
          <w:p w14:paraId="29904DED"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1659" w:type="dxa"/>
            <w:vAlign w:val="center"/>
          </w:tcPr>
          <w:p w14:paraId="200A3A3E"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不适用</w:t>
            </w:r>
          </w:p>
        </w:tc>
        <w:tc>
          <w:tcPr>
            <w:tcW w:w="2394" w:type="dxa"/>
            <w:vAlign w:val="center"/>
          </w:tcPr>
          <w:p w14:paraId="43691864"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30天</w:t>
            </w:r>
          </w:p>
        </w:tc>
      </w:tr>
      <w:tr w:rsidR="00D02BE8" w:rsidRPr="00571A29" w14:paraId="4A9C21D7" w14:textId="77777777">
        <w:tc>
          <w:tcPr>
            <w:tcW w:w="2127" w:type="dxa"/>
            <w:vAlign w:val="center"/>
          </w:tcPr>
          <w:p w14:paraId="02F070A2"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保险费</w:t>
            </w:r>
          </w:p>
        </w:tc>
        <w:tc>
          <w:tcPr>
            <w:tcW w:w="1659" w:type="dxa"/>
            <w:vAlign w:val="center"/>
          </w:tcPr>
          <w:p w14:paraId="5D1DA24F"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人民币：伍拾元整(￥50.00元)</w:t>
            </w:r>
          </w:p>
        </w:tc>
        <w:tc>
          <w:tcPr>
            <w:tcW w:w="1659" w:type="dxa"/>
            <w:vAlign w:val="center"/>
          </w:tcPr>
          <w:p w14:paraId="54E89807" w14:textId="777777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保险期限</w:t>
            </w:r>
          </w:p>
        </w:tc>
        <w:tc>
          <w:tcPr>
            <w:tcW w:w="4053" w:type="dxa"/>
            <w:gridSpan w:val="2"/>
            <w:vAlign w:val="center"/>
          </w:tcPr>
          <w:p w14:paraId="7A1D2187" w14:textId="076E5477" w:rsidR="00D02BE8" w:rsidRPr="00571A29" w:rsidRDefault="00000000">
            <w:pPr>
              <w:spacing w:line="276" w:lineRule="auto"/>
              <w:jc w:val="center"/>
              <w:rPr>
                <w:rFonts w:ascii="宋体" w:hAnsi="宋体" w:hint="eastAsia"/>
                <w:kern w:val="0"/>
                <w:sz w:val="20"/>
                <w:szCs w:val="20"/>
              </w:rPr>
            </w:pPr>
            <w:r w:rsidRPr="00571A29">
              <w:rPr>
                <w:rFonts w:ascii="宋体" w:hAnsi="宋体" w:hint="eastAsia"/>
                <w:kern w:val="0"/>
                <w:sz w:val="20"/>
                <w:szCs w:val="20"/>
              </w:rPr>
              <w:t>2024学年度至2025年学年度止（即2024年9月1日0时起至2025年8月31日24时止）</w:t>
            </w:r>
          </w:p>
        </w:tc>
      </w:tr>
      <w:tr w:rsidR="00D02BE8" w:rsidRPr="00571A29" w14:paraId="4CF6E034" w14:textId="77777777">
        <w:tc>
          <w:tcPr>
            <w:tcW w:w="2127" w:type="dxa"/>
            <w:vAlign w:val="center"/>
          </w:tcPr>
          <w:p w14:paraId="62CB213A" w14:textId="77777777" w:rsidR="00D02BE8" w:rsidRPr="00571A29" w:rsidRDefault="00000000">
            <w:pPr>
              <w:spacing w:line="276" w:lineRule="auto"/>
              <w:rPr>
                <w:rFonts w:ascii="宋体" w:hAnsi="宋体" w:hint="eastAsia"/>
                <w:kern w:val="0"/>
                <w:sz w:val="20"/>
                <w:szCs w:val="20"/>
              </w:rPr>
            </w:pPr>
            <w:r w:rsidRPr="00571A29">
              <w:rPr>
                <w:rFonts w:ascii="宋体" w:hAnsi="宋体" w:hint="eastAsia"/>
                <w:kern w:val="0"/>
                <w:sz w:val="20"/>
                <w:szCs w:val="20"/>
              </w:rPr>
              <w:t>特别约定</w:t>
            </w:r>
          </w:p>
        </w:tc>
        <w:tc>
          <w:tcPr>
            <w:tcW w:w="7371" w:type="dxa"/>
            <w:gridSpan w:val="4"/>
            <w:vAlign w:val="center"/>
          </w:tcPr>
          <w:p w14:paraId="25C68C08" w14:textId="77777777" w:rsidR="00D02BE8" w:rsidRPr="00571A29" w:rsidRDefault="00000000">
            <w:pPr>
              <w:spacing w:line="276" w:lineRule="auto"/>
              <w:rPr>
                <w:rFonts w:ascii="宋体" w:hAnsi="宋体" w:hint="eastAsia"/>
                <w:kern w:val="0"/>
                <w:sz w:val="20"/>
                <w:szCs w:val="20"/>
              </w:rPr>
            </w:pPr>
            <w:r w:rsidRPr="00571A29">
              <w:rPr>
                <w:rFonts w:ascii="宋体" w:hAnsi="宋体" w:hint="eastAsia"/>
                <w:kern w:val="0"/>
                <w:sz w:val="20"/>
                <w:szCs w:val="20"/>
              </w:rPr>
              <w:t>意外住院、疾病住院医疗赔付比例：被保险人已从社会基本医疗保险或任何第三方（包括任何商业医疗保险）获得相关医疗费用补偿的，保险人按符合海南省政府颁布的基本医疗保险报销范围的医疗费用扣除已获得补偿后的余额的90%在保险金额范围内赔付；被保险人未从社会基本医疗保险或任何第三方（包括任何商业医疗保险）获得相关医疗费用补偿的，保险人按符合海南省政府颁布的基本医疗保险报销范围的医疗费用的70%在保险金额范围内赔付。</w:t>
            </w:r>
          </w:p>
        </w:tc>
      </w:tr>
    </w:tbl>
    <w:p w14:paraId="360407CD" w14:textId="77777777" w:rsidR="00D02BE8" w:rsidRPr="00571A29" w:rsidRDefault="00D02BE8">
      <w:pPr>
        <w:spacing w:line="276" w:lineRule="auto"/>
        <w:ind w:firstLineChars="200" w:firstLine="420"/>
        <w:rPr>
          <w:rFonts w:ascii="宋体" w:eastAsia="宋体" w:hAnsi="宋体" w:hint="eastAsia"/>
        </w:rPr>
      </w:pPr>
    </w:p>
    <w:p w14:paraId="53AC264D" w14:textId="77777777" w:rsidR="00D02BE8" w:rsidRPr="00571A29" w:rsidRDefault="00000000">
      <w:pPr>
        <w:spacing w:line="276" w:lineRule="auto"/>
        <w:ind w:firstLineChars="200" w:firstLine="422"/>
        <w:rPr>
          <w:rFonts w:ascii="宋体" w:eastAsia="宋体" w:hAnsi="宋体" w:hint="eastAsia"/>
          <w:b/>
          <w:bCs/>
        </w:rPr>
      </w:pPr>
      <w:r w:rsidRPr="00571A29">
        <w:rPr>
          <w:rFonts w:ascii="宋体" w:eastAsia="宋体" w:hAnsi="宋体" w:hint="eastAsia"/>
          <w:b/>
          <w:bCs/>
        </w:rPr>
        <w:t>三、商务需求</w:t>
      </w:r>
    </w:p>
    <w:p w14:paraId="0E464838" w14:textId="77777777"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1、投保手续</w:t>
      </w:r>
    </w:p>
    <w:p w14:paraId="394D4391"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投保人应按照规定流程向县教育局指定的保险人驻当地分支机构办理投保手续。保险人应指定其驻陵水黎族自治县分支机构作为全县校方责任保险、学生平安保险的专门承保</w:t>
      </w:r>
      <w:r w:rsidRPr="00571A29">
        <w:rPr>
          <w:rFonts w:ascii="宋体" w:eastAsia="宋体" w:hAnsi="宋体" w:hint="eastAsia"/>
          <w:szCs w:val="32"/>
        </w:rPr>
        <w:lastRenderedPageBreak/>
        <w:t>机构，对全县投保对象实行集中承保及核算。</w:t>
      </w:r>
    </w:p>
    <w:p w14:paraId="6425E67E" w14:textId="77777777"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2、保险服务及宣传</w:t>
      </w:r>
    </w:p>
    <w:p w14:paraId="1D08614B"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2.1、保险人应协助各级教育管理部门做好各类学校的投保工作。各级教育行政部门、保险人共同做好对保险对象的宣传和培训工作，应提供索赔简易操作手册，发放给每名被保险人，方便被保险人根据手册指引尽快办理手续、获得赔付。</w:t>
      </w:r>
    </w:p>
    <w:p w14:paraId="658934D7"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2.2、保险人在投保人有注册学生人员变动、名称或地址变更、合并、注销、分立、设立分校等事宜时，做好上述事项的保全服务工作，并在接到学校批改申请材料的3个工作日内出具批单。对于学校注册学生变动不超过5%的，保险公司不再额外收取或退还保险费。</w:t>
      </w:r>
    </w:p>
    <w:p w14:paraId="5BBCF797" w14:textId="77777777"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3、统一的报案理赔服务</w:t>
      </w:r>
    </w:p>
    <w:p w14:paraId="7B7353BD"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3.1、事故的报案：投保人对发生的责任事故，应在24小时内向风险管理顾问和保险人驻当地分支机构报案。对于发生涉及一人或多人学生死亡的责任事故案件，出险学校应在得知事故后立即报案，并同时向当地教育主管部门、政府报告。</w:t>
      </w:r>
    </w:p>
    <w:p w14:paraId="12606B7B"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3.2、保险人服务职责：应设立报案咨询服务电话，并对学校报案进行登记备案。服务人员在接到客户报案后应立即主动与报案人电话联系，视具体情况确定是否赶赴事故现场，对需赶赴现场的，服务人员应在城区15分钟、城郊30分钟内到场；对无需赶赴现场的，服务人员应在电话中协助被保险人处理相关问题，并指导其完成有关索赔事宜。</w:t>
      </w:r>
    </w:p>
    <w:p w14:paraId="1807FDDE"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3.3、保险人及所属分支机构应成立专门的理赔服务机构，开展理赔服务工作：</w:t>
      </w:r>
    </w:p>
    <w:p w14:paraId="05A2D943"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（1）由有经验的专业理赔人员负责理赔服务工作，并配备相应的办公设备及查勘车辆；</w:t>
      </w:r>
    </w:p>
    <w:p w14:paraId="537587E0"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（2）设立热线电话，负责受理保险的事故报案、咨询、疑难解答和投诉处理，对于事故报案和客户投诉，保险公司应在3个工作日内作出明确答复；</w:t>
      </w:r>
    </w:p>
    <w:p w14:paraId="5EEA807A"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对收到的索赔材料进行审核，并在3个工作日内向投保人反馈是否立案以及是否需要补充提供证明材料，对决定拒赔或者不予立案的，出具正式的书面意见。对索赔材料齐全的案件，在立案后的5个工作日内开具赔款通知书；对重大疑难案件应在立案后不超过22个工作日内结案；</w:t>
      </w:r>
    </w:p>
    <w:p w14:paraId="654FBBEF"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（4）保险人对司法部门依法裁决或与投保人、发生伤害事故的学生及监护人三方达成赔偿或者给付协议，5000元以下的案件2个工作日内赔付结案，超过5000元以上金额的，应在达成协议之日起7个工作日内赔付；</w:t>
      </w:r>
    </w:p>
    <w:p w14:paraId="3EE9A414"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（5）对被保险人异地出险的，制定异地理赔服务机制。</w:t>
      </w:r>
    </w:p>
    <w:p w14:paraId="24486E75" w14:textId="77777777"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4、成立保险纠纷协调处理委员会，建立快速案件纠纷处理机制</w:t>
      </w:r>
    </w:p>
    <w:p w14:paraId="09C23428"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4.1、保险人应尽可能简化理赔申报程序，缩短理赔结案时间，理赔手续由被保险人在专职理赔人员的指引下直接向保险公司申报办理，投保方不出具相关证明。</w:t>
      </w:r>
    </w:p>
    <w:p w14:paraId="7A57981A"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4.2、目的：为有效防止和化解校方责任事故对校方和社会的影响，及时有效地协调各方快速处理各类校方责任案件，有效解决保险理赔纠纷，保证和恢复校方正常的教育教学秩序。</w:t>
      </w:r>
    </w:p>
    <w:p w14:paraId="0D7318C8"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4.3、对提交保险纠纷协调处理委员会调解协调处理的案件，保险人、投保人对协调结果应给予认同。如经过协商仍未达成一致意见的，学校或学生及监护人可以向当地仲裁机构申请仲裁或向当地人民法院提起诉讼。</w:t>
      </w:r>
    </w:p>
    <w:p w14:paraId="138A6389" w14:textId="77777777" w:rsidR="00D02BE8" w:rsidRPr="00571A29" w:rsidRDefault="00D02BE8">
      <w:pPr>
        <w:spacing w:line="276" w:lineRule="auto"/>
        <w:ind w:firstLineChars="200" w:firstLine="420"/>
        <w:jc w:val="left"/>
        <w:rPr>
          <w:rFonts w:ascii="宋体" w:eastAsia="宋体" w:hAnsi="宋体" w:hint="eastAsia"/>
          <w:szCs w:val="32"/>
        </w:rPr>
      </w:pPr>
    </w:p>
    <w:p w14:paraId="3F193F0F" w14:textId="77777777" w:rsidR="00D02BE8" w:rsidRPr="00571A29" w:rsidRDefault="00000000">
      <w:pPr>
        <w:spacing w:line="276" w:lineRule="auto"/>
        <w:ind w:firstLineChars="200" w:firstLine="422"/>
        <w:jc w:val="left"/>
        <w:rPr>
          <w:rFonts w:ascii="宋体" w:eastAsia="宋体" w:hAnsi="宋体" w:hint="eastAsia"/>
          <w:b/>
          <w:bCs/>
          <w:szCs w:val="32"/>
        </w:rPr>
      </w:pPr>
      <w:r w:rsidRPr="00571A29">
        <w:rPr>
          <w:rFonts w:ascii="宋体" w:eastAsia="宋体" w:hAnsi="宋体" w:hint="eastAsia"/>
          <w:b/>
          <w:bCs/>
          <w:szCs w:val="32"/>
        </w:rPr>
        <w:t>四、其他要求</w:t>
      </w:r>
    </w:p>
    <w:p w14:paraId="4694F672"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1、投标报价内包含完成本项目所有保险产品、服务所需的一切费用、全额含税发票及合同实施过程中的不可预见费用等。</w:t>
      </w:r>
    </w:p>
    <w:p w14:paraId="5BBF3EA4"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2、投标人必须响应招标文件中提出的全部技术要求。如果对其中某些条款不响应时，应在投标文件中逐条列出。</w:t>
      </w:r>
    </w:p>
    <w:p w14:paraId="52D30181"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3、投标报价与预算价格一致，投标报价低于或高于采购预算，视为废标。投标报价需报出每一类单项险种的保额（如果报出的保额低于保险方案中的保额的作废标处理）。</w:t>
      </w:r>
    </w:p>
    <w:p w14:paraId="03ED893C" w14:textId="77777777" w:rsidR="00D02BE8" w:rsidRPr="00571A29"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4、付款方式：以中标单位在中国银保监会备案的现行保险条款为准。</w:t>
      </w:r>
    </w:p>
    <w:p w14:paraId="4AB66E54" w14:textId="77777777" w:rsidR="00D02BE8" w:rsidRDefault="00000000">
      <w:pPr>
        <w:spacing w:line="276" w:lineRule="auto"/>
        <w:ind w:firstLineChars="200" w:firstLine="420"/>
        <w:jc w:val="left"/>
        <w:rPr>
          <w:rFonts w:ascii="宋体" w:eastAsia="宋体" w:hAnsi="宋体" w:hint="eastAsia"/>
          <w:szCs w:val="32"/>
        </w:rPr>
      </w:pPr>
      <w:r w:rsidRPr="00571A29">
        <w:rPr>
          <w:rFonts w:ascii="宋体" w:eastAsia="宋体" w:hAnsi="宋体" w:hint="eastAsia"/>
          <w:szCs w:val="32"/>
        </w:rPr>
        <w:t>5、凡涉及招标文件的补充说明和修改，均以采购代理机构在海南省政府采购网和全国公共资源交易平台（海南省）上发布的公告为准。</w:t>
      </w:r>
    </w:p>
    <w:p w14:paraId="53B37ACF" w14:textId="77777777" w:rsidR="00D02BE8" w:rsidRDefault="00D02BE8">
      <w:pPr>
        <w:spacing w:line="276" w:lineRule="auto"/>
        <w:ind w:firstLineChars="200" w:firstLine="420"/>
        <w:rPr>
          <w:rFonts w:ascii="宋体" w:eastAsia="宋体" w:hAnsi="宋体" w:hint="eastAsia"/>
        </w:rPr>
      </w:pPr>
    </w:p>
    <w:sectPr w:rsidR="00D02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5CA28" w14:textId="77777777" w:rsidR="009F1B4C" w:rsidRDefault="009F1B4C" w:rsidP="00571A29">
      <w:pPr>
        <w:rPr>
          <w:rFonts w:hint="eastAsia"/>
        </w:rPr>
      </w:pPr>
      <w:r>
        <w:separator/>
      </w:r>
    </w:p>
  </w:endnote>
  <w:endnote w:type="continuationSeparator" w:id="0">
    <w:p w14:paraId="5A3E2FC2" w14:textId="77777777" w:rsidR="009F1B4C" w:rsidRDefault="009F1B4C" w:rsidP="00571A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6A19" w14:textId="77777777" w:rsidR="009F1B4C" w:rsidRDefault="009F1B4C" w:rsidP="00571A29">
      <w:pPr>
        <w:rPr>
          <w:rFonts w:hint="eastAsia"/>
        </w:rPr>
      </w:pPr>
      <w:r>
        <w:separator/>
      </w:r>
    </w:p>
  </w:footnote>
  <w:footnote w:type="continuationSeparator" w:id="0">
    <w:p w14:paraId="6F8A4968" w14:textId="77777777" w:rsidR="009F1B4C" w:rsidRDefault="009F1B4C" w:rsidP="00571A2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0ODRlODZlZTM5YTI5ZTdhMGU2ZDc1YjM2ZTZhNmEifQ=="/>
  </w:docVars>
  <w:rsids>
    <w:rsidRoot w:val="001063AC"/>
    <w:rsid w:val="000008A3"/>
    <w:rsid w:val="000417F3"/>
    <w:rsid w:val="0007394B"/>
    <w:rsid w:val="000A10AB"/>
    <w:rsid w:val="001063AC"/>
    <w:rsid w:val="00116A97"/>
    <w:rsid w:val="001B5471"/>
    <w:rsid w:val="001C4EE6"/>
    <w:rsid w:val="0020790B"/>
    <w:rsid w:val="002F3BF8"/>
    <w:rsid w:val="002F50DE"/>
    <w:rsid w:val="00352F91"/>
    <w:rsid w:val="00377ED7"/>
    <w:rsid w:val="00384492"/>
    <w:rsid w:val="0039337C"/>
    <w:rsid w:val="003E7A92"/>
    <w:rsid w:val="00423360"/>
    <w:rsid w:val="00436C75"/>
    <w:rsid w:val="00465EE2"/>
    <w:rsid w:val="004876D7"/>
    <w:rsid w:val="004F175F"/>
    <w:rsid w:val="004F549E"/>
    <w:rsid w:val="005101A4"/>
    <w:rsid w:val="00571A29"/>
    <w:rsid w:val="005C6F60"/>
    <w:rsid w:val="00784D45"/>
    <w:rsid w:val="007947AE"/>
    <w:rsid w:val="008034E4"/>
    <w:rsid w:val="00842249"/>
    <w:rsid w:val="008C7988"/>
    <w:rsid w:val="008D7906"/>
    <w:rsid w:val="008F6EE3"/>
    <w:rsid w:val="009678C2"/>
    <w:rsid w:val="009F1B4C"/>
    <w:rsid w:val="00A23493"/>
    <w:rsid w:val="00A94990"/>
    <w:rsid w:val="00AF787E"/>
    <w:rsid w:val="00B12344"/>
    <w:rsid w:val="00C21E8E"/>
    <w:rsid w:val="00D02BE8"/>
    <w:rsid w:val="00E73B66"/>
    <w:rsid w:val="00EC6150"/>
    <w:rsid w:val="04B4387B"/>
    <w:rsid w:val="419A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DABC"/>
  <w15:docId w15:val="{43958D92-DBC6-4CDA-9363-EBBF178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footnote text"/>
    <w:basedOn w:val="a"/>
    <w:link w:val="a8"/>
    <w:qFormat/>
    <w:pPr>
      <w:snapToGrid w:val="0"/>
      <w:jc w:val="left"/>
    </w:pPr>
    <w:rPr>
      <w:rFonts w:ascii="仿宋_GB2312" w:eastAsia="仿宋_GB2312" w:hAnsi="新宋体" w:cs="Times New Roman"/>
      <w:sz w:val="18"/>
      <w:szCs w:val="18"/>
    </w:rPr>
  </w:style>
  <w:style w:type="table" w:styleId="a9">
    <w:name w:val="Table Grid"/>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 w:type="character" w:customStyle="1" w:styleId="a8">
    <w:name w:val="脚注文本 字符"/>
    <w:basedOn w:val="a0"/>
    <w:link w:val="a7"/>
    <w:qFormat/>
    <w:rPr>
      <w:rFonts w:ascii="仿宋_GB2312" w:eastAsia="仿宋_GB2312" w:hAnsi="新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li</dc:creator>
  <cp:lastModifiedBy>home li</cp:lastModifiedBy>
  <cp:revision>32</cp:revision>
  <dcterms:created xsi:type="dcterms:W3CDTF">2024-07-26T10:01:00Z</dcterms:created>
  <dcterms:modified xsi:type="dcterms:W3CDTF">2024-08-09T11:07:00Z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34303D402EFF4F42B5A5431AAB7ED426_13</vt:lpwstr>
  </property>
</Properties>
</file>