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C242D8">
      <w:pPr>
        <w:pStyle w:val="8"/>
        <w:tabs>
          <w:tab w:val="right" w:leader="dot" w:pos="9015"/>
        </w:tabs>
        <w:spacing w:line="360" w:lineRule="auto"/>
        <w:jc w:val="center"/>
        <w:outlineLvl w:val="0"/>
        <w:rPr>
          <w:rFonts w:ascii="宋体" w:hAnsi="宋体" w:cs="宋体"/>
          <w:color w:val="000000" w:themeColor="text1"/>
          <w:sz w:val="48"/>
          <w:szCs w:val="48"/>
          <w14:textFill>
            <w14:solidFill>
              <w14:schemeClr w14:val="tx1"/>
            </w14:solidFill>
          </w14:textFill>
        </w:rPr>
      </w:pPr>
      <w:bookmarkStart w:id="0" w:name="_Toc10131"/>
      <w:r>
        <w:rPr>
          <w:rFonts w:hint="eastAsia" w:ascii="宋体" w:hAnsi="宋体" w:cs="宋体"/>
          <w:color w:val="000000" w:themeColor="text1"/>
          <w:sz w:val="48"/>
          <w:szCs w:val="48"/>
          <w14:textFill>
            <w14:solidFill>
              <w14:schemeClr w14:val="tx1"/>
            </w14:solidFill>
          </w14:textFill>
        </w:rPr>
        <w:t>采购需</w:t>
      </w:r>
      <w:bookmarkStart w:id="1" w:name="_GoBack"/>
      <w:bookmarkEnd w:id="1"/>
      <w:r>
        <w:rPr>
          <w:rFonts w:hint="eastAsia" w:ascii="宋体" w:hAnsi="宋体" w:cs="宋体"/>
          <w:color w:val="000000" w:themeColor="text1"/>
          <w:sz w:val="48"/>
          <w:szCs w:val="48"/>
          <w14:textFill>
            <w14:solidFill>
              <w14:schemeClr w14:val="tx1"/>
            </w14:solidFill>
          </w14:textFill>
        </w:rPr>
        <w:t>求</w:t>
      </w:r>
      <w:bookmarkEnd w:id="0"/>
    </w:p>
    <w:p w14:paraId="4FC454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一、</w:t>
      </w:r>
      <w:r>
        <w:rPr>
          <w:rFonts w:hint="eastAsia" w:ascii="宋体" w:hAnsi="宋体" w:cs="宋体"/>
          <w:b/>
          <w:bCs/>
          <w:color w:val="000000" w:themeColor="text1"/>
          <w:sz w:val="24"/>
          <w:szCs w:val="24"/>
          <w:lang w:val="en-US" w:eastAsia="zh-CN"/>
          <w14:textFill>
            <w14:solidFill>
              <w14:schemeClr w14:val="tx1"/>
            </w14:solidFill>
          </w14:textFill>
        </w:rPr>
        <w:t>项目目标</w:t>
      </w:r>
    </w:p>
    <w:p w14:paraId="526F6A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color w:val="000000" w:themeColor="text1"/>
          <w:sz w:val="24"/>
          <w:szCs w:val="24"/>
          <w:lang w:val="en-US" w:eastAsia="zh-CN"/>
          <w14:textFill>
            <w14:solidFill>
              <w14:schemeClr w14:val="tx1"/>
            </w14:solidFill>
          </w14:textFill>
        </w:rPr>
      </w:pPr>
      <w:r>
        <w:rPr>
          <w:rFonts w:hint="default" w:ascii="宋体" w:hAnsi="宋体" w:cs="宋体"/>
          <w:color w:val="000000" w:themeColor="text1"/>
          <w:sz w:val="24"/>
          <w:szCs w:val="24"/>
          <w:lang w:val="en-US" w:eastAsia="zh-CN"/>
          <w14:textFill>
            <w14:solidFill>
              <w14:schemeClr w14:val="tx1"/>
            </w14:solidFill>
          </w14:textFill>
        </w:rPr>
        <w:t>通过项目实施，完成农田生态保护修复、农田生态功能提升和病虫害鼠防治，降低水土流失强度，削减面源污染负荷，提高区域生物多样性，提升生态环境质量，优化生态系统格局，为区域高质量绿色发展提供强有力的生态保障，助力生态立省战略实施。</w:t>
      </w:r>
    </w:p>
    <w:p w14:paraId="7F4035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二、</w:t>
      </w:r>
      <w:r>
        <w:rPr>
          <w:rFonts w:hint="eastAsia" w:ascii="宋体" w:hAnsi="宋体" w:cs="宋体"/>
          <w:b/>
          <w:bCs/>
          <w:color w:val="000000" w:themeColor="text1"/>
          <w:sz w:val="24"/>
          <w:szCs w:val="24"/>
          <w:lang w:val="en-US" w:eastAsia="zh-CN"/>
          <w14:textFill>
            <w14:solidFill>
              <w14:schemeClr w14:val="tx1"/>
            </w14:solidFill>
          </w14:textFill>
        </w:rPr>
        <w:t>项目工作内容</w:t>
      </w:r>
    </w:p>
    <w:p w14:paraId="1727CD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中标</w:t>
      </w:r>
      <w:r>
        <w:rPr>
          <w:rFonts w:hint="eastAsia" w:ascii="宋体" w:hAnsi="宋体" w:eastAsia="宋体" w:cs="宋体"/>
          <w:color w:val="000000" w:themeColor="text1"/>
          <w:sz w:val="24"/>
          <w:szCs w:val="24"/>
          <w:lang w:val="en-US" w:eastAsia="zh-CN"/>
          <w14:textFill>
            <w14:solidFill>
              <w14:schemeClr w14:val="tx1"/>
            </w14:solidFill>
          </w14:textFill>
        </w:rPr>
        <w:t>人</w:t>
      </w:r>
      <w:r>
        <w:rPr>
          <w:rFonts w:hint="default" w:ascii="宋体" w:hAnsi="宋体" w:eastAsia="宋体" w:cs="宋体"/>
          <w:color w:val="000000" w:themeColor="text1"/>
          <w:sz w:val="24"/>
          <w:szCs w:val="24"/>
          <w:lang w:val="en-US" w:eastAsia="zh-CN"/>
          <w14:textFill>
            <w14:solidFill>
              <w14:schemeClr w14:val="tx1"/>
            </w14:solidFill>
          </w14:textFill>
        </w:rPr>
        <w:t>须按照招标文件内容要求，在规定的时间内保质保量完成以下工作</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default"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一）农田沟渠水系格局优化；（二）农田休耕期绿肥作物种植；（三）农田周边缓冲带蜜源植物及趋避植物配置；（四）有机肥、微生物菌剂及生物质炭土壤改良；（五）水稻螟虫天敌引入与保育；（六）瓜菜蓟马天敌引入与保育；（七）福寿螺、红火蚁、假高粱等入侵生物生态防控；（八）水稻病虫害综合防控；（九）瓜菜、玉米病虫害综合防控；（十）豇豆种植地覆盖防虫网项目；（十一）农田害鼠生物防治等项目。</w:t>
      </w:r>
    </w:p>
    <w:p w14:paraId="681F4B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b/>
          <w:bCs/>
          <w:color w:val="000000" w:themeColor="text1"/>
          <w:sz w:val="24"/>
          <w:szCs w:val="24"/>
          <w:lang w:val="en-US" w:eastAsia="zh-CN"/>
          <w14:textFill>
            <w14:solidFill>
              <w14:schemeClr w14:val="tx1"/>
            </w14:solidFill>
          </w14:textFill>
        </w:rPr>
        <w:t>农田沟渠水系格局优化</w:t>
      </w:r>
    </w:p>
    <w:p w14:paraId="4A68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7569E2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从农田生产、沟渠排水、排放与回用的农田水系的全周期入手，实施农田沟渠水系格局优化项目，与生态沟渠项目形成相辅相成、循环连通的水土涵养和综合治理模式，与现有高标准农田以及周边现有坑塘、河流贯通，形成小流域农田水系环境，着力打造沟渠水系连通、灌排设施完善、生态良好的农田沟渠水系生态空间格局，增强农田生态系统水土涵养能力，减少农田水土流失和面源污染。</w:t>
      </w:r>
    </w:p>
    <w:p w14:paraId="4E6A76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（2）农田沟渠水系格局优化</w:t>
      </w:r>
      <w:r>
        <w:rPr>
          <w:rFonts w:hint="eastAsia" w:ascii="宋体" w:hAnsi="宋体" w:eastAsia="宋体" w:cs="宋体"/>
          <w:color w:val="000000" w:themeColor="text1"/>
          <w:sz w:val="24"/>
          <w:szCs w:val="24"/>
          <w:lang w:val="en-US" w:eastAsia="zh-CN"/>
          <w14:textFill>
            <w14:solidFill>
              <w14:schemeClr w14:val="tx1"/>
            </w14:solidFill>
          </w14:textFill>
        </w:rPr>
        <w:t>长度及范围</w:t>
      </w:r>
    </w:p>
    <w:p w14:paraId="2BF3DF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农田沟渠水系格局优化总长度62.72km。分两年</w:t>
      </w:r>
      <w:r>
        <w:rPr>
          <w:rFonts w:hint="eastAsia" w:ascii="宋体" w:hAnsi="宋体" w:eastAsia="宋体" w:cs="宋体"/>
          <w:color w:val="000000" w:themeColor="text1"/>
          <w:sz w:val="24"/>
          <w:szCs w:val="24"/>
          <w:lang w:val="en-US" w:eastAsia="zh-CN"/>
          <w14:textFill>
            <w14:solidFill>
              <w14:schemeClr w14:val="tx1"/>
            </w14:solidFill>
          </w14:textFill>
        </w:rPr>
        <w:t>完成</w:t>
      </w:r>
      <w:r>
        <w:rPr>
          <w:rFonts w:hint="default" w:ascii="宋体" w:hAnsi="宋体" w:eastAsia="宋体" w:cs="宋体"/>
          <w:color w:val="000000" w:themeColor="text1"/>
          <w:sz w:val="24"/>
          <w:szCs w:val="24"/>
          <w:lang w:val="en-US" w:eastAsia="zh-CN"/>
          <w14:textFill>
            <w14:solidFill>
              <w14:schemeClr w14:val="tx1"/>
            </w14:solidFill>
          </w14:textFill>
        </w:rPr>
        <w:t>：2024年</w:t>
      </w:r>
      <w:r>
        <w:rPr>
          <w:rFonts w:hint="eastAsia" w:ascii="宋体" w:hAnsi="宋体" w:eastAsia="宋体" w:cs="宋体"/>
          <w:color w:val="000000" w:themeColor="text1"/>
          <w:sz w:val="24"/>
          <w:szCs w:val="24"/>
          <w:lang w:val="en-US" w:eastAsia="zh-CN"/>
          <w14:textFill>
            <w14:solidFill>
              <w14:schemeClr w14:val="tx1"/>
            </w14:solidFill>
          </w14:textFill>
        </w:rPr>
        <w:t>完成</w:t>
      </w:r>
      <w:r>
        <w:rPr>
          <w:rFonts w:hint="default" w:ascii="宋体" w:hAnsi="宋体" w:eastAsia="宋体" w:cs="宋体"/>
          <w:color w:val="000000" w:themeColor="text1"/>
          <w:sz w:val="24"/>
          <w:szCs w:val="24"/>
          <w:lang w:val="en-US" w:eastAsia="zh-CN"/>
          <w14:textFill>
            <w14:solidFill>
              <w14:schemeClr w14:val="tx1"/>
            </w14:solidFill>
          </w14:textFill>
        </w:rPr>
        <w:t>31.36km；2025年</w:t>
      </w:r>
      <w:r>
        <w:rPr>
          <w:rFonts w:hint="eastAsia" w:ascii="宋体" w:hAnsi="宋体" w:eastAsia="宋体" w:cs="宋体"/>
          <w:color w:val="000000" w:themeColor="text1"/>
          <w:sz w:val="24"/>
          <w:szCs w:val="24"/>
          <w:lang w:val="en-US" w:eastAsia="zh-CN"/>
          <w14:textFill>
            <w14:solidFill>
              <w14:schemeClr w14:val="tx1"/>
            </w14:solidFill>
          </w14:textFill>
        </w:rPr>
        <w:t>完成</w:t>
      </w:r>
      <w:r>
        <w:rPr>
          <w:rFonts w:hint="default" w:ascii="宋体" w:hAnsi="宋体" w:eastAsia="宋体" w:cs="宋体"/>
          <w:color w:val="000000" w:themeColor="text1"/>
          <w:sz w:val="24"/>
          <w:szCs w:val="24"/>
          <w:lang w:val="en-US" w:eastAsia="zh-CN"/>
          <w14:textFill>
            <w14:solidFill>
              <w14:schemeClr w14:val="tx1"/>
            </w14:solidFill>
          </w14:textFill>
        </w:rPr>
        <w:t>31.36km。</w:t>
      </w:r>
    </w:p>
    <w:p w14:paraId="11FC95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p>
    <w:p w14:paraId="6807DB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default" w:ascii="宋体" w:hAnsi="宋体" w:eastAsia="宋体" w:cs="宋体"/>
          <w:b/>
          <w:bCs/>
          <w:color w:val="000000" w:themeColor="text1"/>
          <w:sz w:val="24"/>
          <w:szCs w:val="24"/>
          <w:lang w:val="en-US" w:eastAsia="zh-CN"/>
          <w14:textFill>
            <w14:solidFill>
              <w14:schemeClr w14:val="tx1"/>
            </w14:solidFill>
          </w14:textFill>
        </w:rPr>
        <w:t>农田沟渠水系格局优化实施布局图</w:t>
      </w:r>
    </w:p>
    <w:p w14:paraId="3B576E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center"/>
        <w:textAlignment w:val="auto"/>
        <w:rPr>
          <w:rFonts w:hint="default" w:ascii="Times New Roman" w:hAnsi="Times New Roman"/>
          <w:b/>
          <w:bCs/>
          <w:color w:val="000000" w:themeColor="text1"/>
          <w:highlight w:val="none"/>
          <w:lang w:val="en-US" w:eastAsia="zh-CN"/>
          <w14:textFill>
            <w14:solidFill>
              <w14:schemeClr w14:val="tx1"/>
            </w14:solidFill>
          </w14:textFill>
        </w:rPr>
      </w:pPr>
      <w:r>
        <w:rPr>
          <w:rFonts w:hint="default" w:ascii="Times New Roman" w:hAnsi="Times New Roman"/>
          <w:b/>
          <w:bCs/>
          <w:color w:val="000000" w:themeColor="text1"/>
          <w:highlight w:val="none"/>
          <w:lang w:val="en-US" w:eastAsia="zh-CN"/>
          <w14:textFill>
            <w14:solidFill>
              <w14:schemeClr w14:val="tx1"/>
            </w14:solidFill>
          </w14:textFill>
        </w:rPr>
        <w:drawing>
          <wp:inline distT="0" distB="0" distL="114300" distR="114300">
            <wp:extent cx="3935730" cy="2440940"/>
            <wp:effectExtent l="0" t="0" r="7620" b="16510"/>
            <wp:docPr id="7" name="图片 1" descr="1.2024农田沟渠水系格局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2024农田沟渠水系格局优化"/>
                    <pic:cNvPicPr>
                      <a:picLocks noChangeAspect="1"/>
                    </pic:cNvPicPr>
                  </pic:nvPicPr>
                  <pic:blipFill>
                    <a:blip r:embed="rId4"/>
                    <a:stretch>
                      <a:fillRect/>
                    </a:stretch>
                  </pic:blipFill>
                  <pic:spPr>
                    <a:xfrm>
                      <a:off x="0" y="0"/>
                      <a:ext cx="3935730" cy="2440940"/>
                    </a:xfrm>
                    <a:prstGeom prst="rect">
                      <a:avLst/>
                    </a:prstGeom>
                    <a:noFill/>
                    <a:ln>
                      <a:noFill/>
                    </a:ln>
                  </pic:spPr>
                </pic:pic>
              </a:graphicData>
            </a:graphic>
          </wp:inline>
        </w:drawing>
      </w:r>
    </w:p>
    <w:p w14:paraId="3AEB40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center"/>
        <w:textAlignment w:val="auto"/>
        <w:rPr>
          <w:rFonts w:hint="default" w:ascii="Times New Roman" w:hAnsi="Times New Roman"/>
          <w:b/>
          <w:bCs/>
          <w:color w:val="000000" w:themeColor="text1"/>
          <w:highlight w:val="none"/>
          <w:lang w:val="en-US" w:eastAsia="zh-CN"/>
          <w14:textFill>
            <w14:solidFill>
              <w14:schemeClr w14:val="tx1"/>
            </w14:solidFill>
          </w14:textFill>
        </w:rPr>
      </w:pPr>
      <w:r>
        <w:rPr>
          <w:rFonts w:hint="default" w:ascii="Times New Roman" w:hAnsi="Times New Roman"/>
          <w:b/>
          <w:bCs/>
          <w:color w:val="000000" w:themeColor="text1"/>
          <w:highlight w:val="none"/>
          <w:lang w:val="en-US" w:eastAsia="zh-CN"/>
          <w14:textFill>
            <w14:solidFill>
              <w14:schemeClr w14:val="tx1"/>
            </w14:solidFill>
          </w14:textFill>
        </w:rPr>
        <w:drawing>
          <wp:inline distT="0" distB="0" distL="114300" distR="114300">
            <wp:extent cx="3920490" cy="2291080"/>
            <wp:effectExtent l="0" t="0" r="3810" b="13970"/>
            <wp:docPr id="8" name="图片 2" descr="1.2025农田沟渠水系格局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2025农田沟渠水系格局优化"/>
                    <pic:cNvPicPr>
                      <a:picLocks noChangeAspect="1"/>
                    </pic:cNvPicPr>
                  </pic:nvPicPr>
                  <pic:blipFill>
                    <a:blip r:embed="rId5"/>
                    <a:stretch>
                      <a:fillRect/>
                    </a:stretch>
                  </pic:blipFill>
                  <pic:spPr>
                    <a:xfrm>
                      <a:off x="0" y="0"/>
                      <a:ext cx="3920490" cy="2291080"/>
                    </a:xfrm>
                    <a:prstGeom prst="rect">
                      <a:avLst/>
                    </a:prstGeom>
                    <a:noFill/>
                    <a:ln>
                      <a:noFill/>
                    </a:ln>
                  </pic:spPr>
                </pic:pic>
              </a:graphicData>
            </a:graphic>
          </wp:inline>
        </w:drawing>
      </w:r>
    </w:p>
    <w:p w14:paraId="0DC4CB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（3）项目实施内容</w:t>
      </w:r>
    </w:p>
    <w:p w14:paraId="51DC3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根据区域地形地貌，对农田沟渠水系布局进行空间优化，联通区域内坑塘，尽量形成沟渠水系连通的空间格局。对已硬化的农田排水沟进行疏通清淤，并</w:t>
      </w:r>
      <w:r>
        <w:rPr>
          <w:rFonts w:hint="eastAsia" w:ascii="宋体" w:hAnsi="宋体" w:cs="宋体"/>
          <w:color w:val="000000" w:themeColor="text1"/>
          <w:sz w:val="24"/>
          <w:szCs w:val="24"/>
          <w:highlight w:val="none"/>
          <w:lang w:eastAsia="zh-CN"/>
          <w14:textFill>
            <w14:solidFill>
              <w14:schemeClr w14:val="tx1"/>
            </w14:solidFill>
          </w14:textFill>
        </w:rPr>
        <w:t>结合</w:t>
      </w:r>
      <w:r>
        <w:rPr>
          <w:rFonts w:hint="eastAsia" w:ascii="宋体" w:hAnsi="宋体" w:cs="宋体"/>
          <w:color w:val="000000" w:themeColor="text1"/>
          <w:sz w:val="24"/>
          <w:szCs w:val="24"/>
          <w:highlight w:val="none"/>
          <w:lang w:val="en-US" w:eastAsia="zh-CN"/>
          <w14:textFill>
            <w14:solidFill>
              <w14:schemeClr w14:val="tx1"/>
            </w14:solidFill>
          </w14:textFill>
        </w:rPr>
        <w:t>农田周边缓冲带蜜源植物及趋避植物配置项目实施</w:t>
      </w:r>
      <w:r>
        <w:rPr>
          <w:rFonts w:hint="eastAsia" w:ascii="宋体" w:hAnsi="宋体" w:eastAsia="宋体" w:cs="宋体"/>
          <w:color w:val="000000" w:themeColor="text1"/>
          <w:sz w:val="24"/>
          <w:szCs w:val="24"/>
          <w:highlight w:val="none"/>
          <w14:textFill>
            <w14:solidFill>
              <w14:schemeClr w14:val="tx1"/>
            </w14:solidFill>
          </w14:textFill>
        </w:rPr>
        <w:t>，增加生物多样性，减少水土流失；在自然的沟渠中，首先清挖疏通沟渠、整理田埂。在沟渠两侧放置生态袋，水位以上种植挺水植物</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建议采用香蒲、鸢尾</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水位以下种植沉水植物，</w:t>
      </w:r>
      <w:r>
        <w:rPr>
          <w:rFonts w:hint="eastAsia" w:ascii="宋体" w:hAnsi="宋体" w:cs="宋体"/>
          <w:color w:val="000000" w:themeColor="text1"/>
          <w:sz w:val="24"/>
          <w:szCs w:val="24"/>
          <w:highlight w:val="none"/>
          <w:lang w:eastAsia="zh-CN"/>
          <w14:textFill>
            <w14:solidFill>
              <w14:schemeClr w14:val="tx1"/>
            </w14:solidFill>
          </w14:textFill>
        </w:rPr>
        <w:t>建议</w:t>
      </w:r>
      <w:r>
        <w:rPr>
          <w:rFonts w:hint="eastAsia" w:ascii="宋体" w:hAnsi="宋体" w:eastAsia="宋体" w:cs="宋体"/>
          <w:color w:val="000000" w:themeColor="text1"/>
          <w:sz w:val="24"/>
          <w:szCs w:val="24"/>
          <w:highlight w:val="none"/>
          <w14:textFill>
            <w14:solidFill>
              <w14:schemeClr w14:val="tx1"/>
            </w14:solidFill>
          </w14:textFill>
        </w:rPr>
        <w:t>采用苦草、穗状狐尾藻等去除氨磷效率较高的植物。</w:t>
      </w:r>
    </w:p>
    <w:p w14:paraId="29144D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（4）合同履行期限：自合同签订之日起至项目履约完成且通过验收止。</w:t>
      </w:r>
    </w:p>
    <w:p w14:paraId="6E657F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2.农田休耕期绿肥作物种植</w:t>
      </w:r>
    </w:p>
    <w:p w14:paraId="76664A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140F50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通过休闲期种植绿肥改善土壤结构，绿肥含有大量有机质，提高土壤的保水保肥和供肥能力；同时增加农田植被覆盖，减少水土流失，绿肥还田后可提高土壤有机质含量，从而减少化学肥料的用量，降低农田面源污染负荷。项目实施区域内土壤pH提升0.1～0.3个单位，土壤有机质含量平均增加5%以上，农田面源污染负荷下降，水土流失强度降低。</w:t>
      </w:r>
    </w:p>
    <w:p w14:paraId="30247A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24A9D2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农田休耕期绿肥作物种植总面积8000亩。分两年实施：2024年实施面积4000亩；2025年实施面积4000亩。原则上需在划定区域内实施，在实施过程中，可根据农业生产实际情况确定实施地块。</w:t>
      </w:r>
    </w:p>
    <w:p w14:paraId="305B775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14:paraId="5E05331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Times New Roman" w:hAnsi="Times New Roman"/>
          <w:b/>
          <w:bCs/>
          <w:color w:val="000000" w:themeColor="text1"/>
          <w:highlight w:val="none"/>
          <w:lang w:val="en-US" w:eastAsia="zh-CN"/>
          <w14:textFill>
            <w14:solidFill>
              <w14:schemeClr w14:val="tx1"/>
            </w14:solidFill>
          </w14:textFill>
        </w:rPr>
        <w:t>农田休耕期绿肥作物种植实施布局图</w:t>
      </w:r>
    </w:p>
    <w:p w14:paraId="16A9ED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olor w:val="000000" w:themeColor="text1"/>
          <w:highlight w:val="none"/>
          <w:lang w:val="en-US" w:eastAsia="zh-CN"/>
          <w14:textFill>
            <w14:solidFill>
              <w14:schemeClr w14:val="tx1"/>
            </w14:solidFill>
          </w14:textFill>
        </w:rPr>
      </w:pPr>
      <w:r>
        <w:rPr>
          <w:rFonts w:hint="default" w:ascii="Times New Roman" w:hAnsi="Times New Roman"/>
          <w:color w:val="000000" w:themeColor="text1"/>
          <w:highlight w:val="none"/>
          <w:lang w:val="en-US" w:eastAsia="zh-CN"/>
          <w14:textFill>
            <w14:solidFill>
              <w14:schemeClr w14:val="tx1"/>
            </w14:solidFill>
          </w14:textFill>
        </w:rPr>
        <w:drawing>
          <wp:inline distT="0" distB="0" distL="114300" distR="114300">
            <wp:extent cx="3729990" cy="2583815"/>
            <wp:effectExtent l="0" t="0" r="3810" b="6985"/>
            <wp:docPr id="9" name="图片 3" descr="2.2024农田休耕期绿肥作物种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2.2024农田休耕期绿肥作物种植"/>
                    <pic:cNvPicPr>
                      <a:picLocks noChangeAspect="1"/>
                    </pic:cNvPicPr>
                  </pic:nvPicPr>
                  <pic:blipFill>
                    <a:blip r:embed="rId6"/>
                    <a:stretch>
                      <a:fillRect/>
                    </a:stretch>
                  </pic:blipFill>
                  <pic:spPr>
                    <a:xfrm>
                      <a:off x="0" y="0"/>
                      <a:ext cx="3729990" cy="2583815"/>
                    </a:xfrm>
                    <a:prstGeom prst="rect">
                      <a:avLst/>
                    </a:prstGeom>
                    <a:noFill/>
                    <a:ln>
                      <a:noFill/>
                    </a:ln>
                  </pic:spPr>
                </pic:pic>
              </a:graphicData>
            </a:graphic>
          </wp:inline>
        </w:drawing>
      </w:r>
      <w:r>
        <w:rPr>
          <w:rFonts w:hint="default" w:ascii="Times New Roman" w:hAnsi="Times New Roman"/>
          <w:color w:val="000000" w:themeColor="text1"/>
          <w:highlight w:val="none"/>
          <w:lang w:val="en-US" w:eastAsia="zh-CN"/>
          <w14:textFill>
            <w14:solidFill>
              <w14:schemeClr w14:val="tx1"/>
            </w14:solidFill>
          </w14:textFill>
        </w:rPr>
        <w:drawing>
          <wp:inline distT="0" distB="0" distL="114300" distR="114300">
            <wp:extent cx="3748405" cy="2596515"/>
            <wp:effectExtent l="0" t="0" r="4445" b="13335"/>
            <wp:docPr id="6" name="图片 4" descr="2.2025农田休耕期绿肥作物种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2.2025农田休耕期绿肥作物种植"/>
                    <pic:cNvPicPr>
                      <a:picLocks noChangeAspect="1"/>
                    </pic:cNvPicPr>
                  </pic:nvPicPr>
                  <pic:blipFill>
                    <a:blip r:embed="rId7"/>
                    <a:stretch>
                      <a:fillRect/>
                    </a:stretch>
                  </pic:blipFill>
                  <pic:spPr>
                    <a:xfrm>
                      <a:off x="0" y="0"/>
                      <a:ext cx="3748405" cy="2596515"/>
                    </a:xfrm>
                    <a:prstGeom prst="rect">
                      <a:avLst/>
                    </a:prstGeom>
                    <a:noFill/>
                    <a:ln>
                      <a:noFill/>
                    </a:ln>
                  </pic:spPr>
                </pic:pic>
              </a:graphicData>
            </a:graphic>
          </wp:inline>
        </w:drawing>
      </w:r>
    </w:p>
    <w:p w14:paraId="27EEDC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（3）项目实施内容</w:t>
      </w:r>
    </w:p>
    <w:p w14:paraId="371C6B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轮作绿肥还田是一种投资少，成本低的土壤改良方法。三亚市耕地长期实行稻菜轮作模式，利用</w:t>
      </w:r>
      <w:r>
        <w:rPr>
          <w:rFonts w:hint="eastAsia" w:ascii="宋体" w:hAnsi="宋体" w:cs="宋体"/>
          <w:color w:val="000000" w:themeColor="text1"/>
          <w:kern w:val="2"/>
          <w:sz w:val="24"/>
          <w:szCs w:val="24"/>
          <w:lang w:val="en-US" w:eastAsia="zh-CN" w:bidi="ar-SA"/>
          <w14:textFill>
            <w14:solidFill>
              <w14:schemeClr w14:val="tx1"/>
            </w14:solidFill>
          </w14:textFill>
        </w:rPr>
        <w:t>南繁基地核心区</w:t>
      </w:r>
      <w:r>
        <w:rPr>
          <w:rFonts w:hint="eastAsia" w:ascii="宋体" w:hAnsi="宋体" w:eastAsia="宋体" w:cs="宋体"/>
          <w:color w:val="000000" w:themeColor="text1"/>
          <w:kern w:val="2"/>
          <w:sz w:val="24"/>
          <w:szCs w:val="24"/>
          <w:lang w:val="en-US" w:eastAsia="zh-CN" w:bidi="ar-SA"/>
          <w14:textFill>
            <w14:solidFill>
              <w14:schemeClr w14:val="tx1"/>
            </w14:solidFill>
          </w14:textFill>
        </w:rPr>
        <w:t>夏季休耕时段种植绿肥田菁，开展绿肥田菁种植、田间管理、粉碎还田、土壤调理剂撒施、土壤检测等工作内容。</w:t>
      </w:r>
    </w:p>
    <w:p w14:paraId="553D9C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w:t>
      </w:r>
      <w:r>
        <w:rPr>
          <w:rFonts w:hint="eastAsia" w:ascii="宋体" w:hAnsi="宋体" w:cs="宋体"/>
          <w:color w:val="000000" w:themeColor="text1"/>
          <w:sz w:val="24"/>
          <w:szCs w:val="24"/>
          <w:lang w:val="en-US" w:eastAsia="zh-CN"/>
          <w14:textFill>
            <w14:solidFill>
              <w14:schemeClr w14:val="tx1"/>
            </w14:solidFill>
          </w14:textFill>
        </w:rPr>
        <w:t>合同履行期限：自合同签订之日起至项目履约完成且通过验收止。</w:t>
      </w:r>
    </w:p>
    <w:p w14:paraId="61FD9D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3.农田周边缓冲带蜜源植物及趋避植物配置</w:t>
      </w:r>
    </w:p>
    <w:p w14:paraId="05D3CB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147518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通过在项目区农田实施生态调控措施</w:t>
      </w:r>
      <w:r>
        <w:rPr>
          <w:rFonts w:hint="eastAsia" w:ascii="宋体" w:hAnsi="宋体" w:eastAsia="宋体" w:cs="宋体"/>
          <w:color w:val="000000" w:themeColor="text1"/>
          <w:sz w:val="24"/>
          <w:szCs w:val="24"/>
          <w:lang w:val="en-US" w:eastAsia="zh-CN"/>
          <w14:textFill>
            <w14:solidFill>
              <w14:schemeClr w14:val="tx1"/>
            </w14:solidFill>
          </w14:textFill>
        </w:rPr>
        <w:t>（种植及管护芝麻、大豆等蜜源或趋避植物）</w:t>
      </w:r>
      <w:r>
        <w:rPr>
          <w:rFonts w:hint="default" w:ascii="宋体" w:hAnsi="宋体" w:eastAsia="宋体" w:cs="宋体"/>
          <w:color w:val="000000" w:themeColor="text1"/>
          <w:sz w:val="24"/>
          <w:szCs w:val="24"/>
          <w:lang w:val="en-US" w:eastAsia="zh-CN"/>
          <w14:textFill>
            <w14:solidFill>
              <w14:schemeClr w14:val="tx1"/>
            </w14:solidFill>
          </w14:textFill>
        </w:rPr>
        <w:t>，增强农田保益、控害能力，有效控制有害生物发生危害，减少农药化肥的使用，增加生物多样性，提高生态系统的稳定性，从而实现田间生态平衡。发展农田生态调控技术体系，在大时空尺度范围内进行生态岛、斑块、廊道等多种生境的设计与布局，创造有利于天敌的环境条件，抑制害虫种群，提升农业生态系统的控害保益功能，实现从靶标害虫控制到作物－害虫－天敌食物链的调控，达到保障生产安全和修复生态环境的目的。</w:t>
      </w:r>
      <w:r>
        <w:rPr>
          <w:rFonts w:hint="eastAsia" w:ascii="宋体" w:hAnsi="宋体" w:eastAsia="宋体" w:cs="宋体"/>
          <w:color w:val="000000" w:themeColor="text1"/>
          <w:sz w:val="24"/>
          <w:szCs w:val="24"/>
          <w:lang w:val="en-US" w:eastAsia="zh-CN"/>
          <w14:textFill>
            <w14:solidFill>
              <w14:schemeClr w14:val="tx1"/>
            </w14:solidFill>
          </w14:textFill>
        </w:rPr>
        <w:t>项目实施后，项目区域内田坎、路边、沟边、机耕道旁等农用地周边种植的</w:t>
      </w:r>
      <w:r>
        <w:rPr>
          <w:rFonts w:hint="default" w:ascii="宋体" w:hAnsi="宋体" w:eastAsia="宋体" w:cs="宋体"/>
          <w:color w:val="000000" w:themeColor="text1"/>
          <w:sz w:val="24"/>
          <w:szCs w:val="24"/>
          <w:lang w:val="en-US" w:eastAsia="zh-CN"/>
          <w14:textFill>
            <w14:solidFill>
              <w14:schemeClr w14:val="tx1"/>
            </w14:solidFill>
          </w14:textFill>
        </w:rPr>
        <w:t>蜜源或趋避植物覆盖率不低于6%，成活率不低于85%</w:t>
      </w:r>
      <w:r>
        <w:rPr>
          <w:rFonts w:hint="eastAsia" w:ascii="宋体" w:hAnsi="宋体" w:eastAsia="宋体" w:cs="宋体"/>
          <w:color w:val="000000" w:themeColor="text1"/>
          <w:sz w:val="24"/>
          <w:szCs w:val="24"/>
          <w:lang w:val="en-US" w:eastAsia="zh-CN"/>
          <w14:textFill>
            <w14:solidFill>
              <w14:schemeClr w14:val="tx1"/>
            </w14:solidFill>
          </w14:textFill>
        </w:rPr>
        <w:t>。</w:t>
      </w:r>
    </w:p>
    <w:p w14:paraId="0AF72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1E8FC8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农田周边缓冲带蜜源植物及趋避植物配置2024年实施面积10000亩；2025年实施面积13000亩。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78E528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p>
    <w:p w14:paraId="223B84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p>
    <w:p w14:paraId="593CB5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r>
        <w:rPr>
          <w:rFonts w:hint="default" w:ascii="宋体" w:hAnsi="宋体" w:eastAsia="宋体" w:cs="宋体"/>
          <w:b/>
          <w:bCs/>
          <w:color w:val="000000" w:themeColor="text1"/>
          <w:sz w:val="24"/>
          <w:szCs w:val="24"/>
          <w:lang w:val="en-US" w:eastAsia="zh-CN"/>
          <w14:textFill>
            <w14:solidFill>
              <w14:schemeClr w14:val="tx1"/>
            </w14:solidFill>
          </w14:textFill>
        </w:rPr>
        <w:t>农田周边缓冲带蜜源植物及趋避植物配置实施布局图</w:t>
      </w:r>
    </w:p>
    <w:p w14:paraId="0A0292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bCs/>
          <w:color w:val="000000" w:themeColor="text1"/>
          <w:sz w:val="24"/>
          <w:szCs w:val="24"/>
          <w:lang w:val="en-US" w:eastAsia="zh-CN"/>
          <w14:textFill>
            <w14:solidFill>
              <w14:schemeClr w14:val="tx1"/>
            </w14:solidFill>
          </w14:textFill>
        </w:rPr>
      </w:pPr>
    </w:p>
    <w:p w14:paraId="53DDBD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drawing>
          <wp:inline distT="0" distB="0" distL="114300" distR="114300">
            <wp:extent cx="3884930" cy="2399030"/>
            <wp:effectExtent l="0" t="0" r="1270" b="1270"/>
            <wp:docPr id="10" name="图片 5" descr="3.2024农田周边缓冲带蜜源植物及趋避植物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3.2024农田周边缓冲带蜜源植物及趋避植物配置"/>
                    <pic:cNvPicPr>
                      <a:picLocks noChangeAspect="1"/>
                    </pic:cNvPicPr>
                  </pic:nvPicPr>
                  <pic:blipFill>
                    <a:blip r:embed="rId8"/>
                    <a:stretch>
                      <a:fillRect/>
                    </a:stretch>
                  </pic:blipFill>
                  <pic:spPr>
                    <a:xfrm>
                      <a:off x="0" y="0"/>
                      <a:ext cx="3884930" cy="2399030"/>
                    </a:xfrm>
                    <a:prstGeom prst="rect">
                      <a:avLst/>
                    </a:prstGeom>
                    <a:noFill/>
                    <a:ln>
                      <a:noFill/>
                    </a:ln>
                  </pic:spPr>
                </pic:pic>
              </a:graphicData>
            </a:graphic>
          </wp:inline>
        </w:drawing>
      </w:r>
      <w:r>
        <w:rPr>
          <w:rFonts w:hint="eastAsia" w:ascii="Times New Roman" w:hAnsi="Times New Roman"/>
          <w:color w:val="000000" w:themeColor="text1"/>
          <w:highlight w:val="none"/>
          <w:lang w:val="en-US" w:eastAsia="zh-CN"/>
          <w14:textFill>
            <w14:solidFill>
              <w14:schemeClr w14:val="tx1"/>
            </w14:solidFill>
          </w14:textFill>
        </w:rPr>
        <w:drawing>
          <wp:inline distT="0" distB="0" distL="114300" distR="114300">
            <wp:extent cx="3592830" cy="2489200"/>
            <wp:effectExtent l="0" t="0" r="7620" b="6350"/>
            <wp:docPr id="11" name="图片 6" descr="3.2025农田周边缓冲带蜜源植物及趋避植物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3.2025农田周边缓冲带蜜源植物及趋避植物配置"/>
                    <pic:cNvPicPr>
                      <a:picLocks noChangeAspect="1"/>
                    </pic:cNvPicPr>
                  </pic:nvPicPr>
                  <pic:blipFill>
                    <a:blip r:embed="rId9"/>
                    <a:stretch>
                      <a:fillRect/>
                    </a:stretch>
                  </pic:blipFill>
                  <pic:spPr>
                    <a:xfrm>
                      <a:off x="0" y="0"/>
                      <a:ext cx="3592830" cy="2489200"/>
                    </a:xfrm>
                    <a:prstGeom prst="rect">
                      <a:avLst/>
                    </a:prstGeom>
                    <a:noFill/>
                    <a:ln>
                      <a:noFill/>
                    </a:ln>
                  </pic:spPr>
                </pic:pic>
              </a:graphicData>
            </a:graphic>
          </wp:inline>
        </w:drawing>
      </w:r>
    </w:p>
    <w:p w14:paraId="7BA243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（3）项目实施内容</w:t>
      </w:r>
    </w:p>
    <w:p w14:paraId="6913F5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olor w:val="000000" w:themeColor="text1"/>
          <w:sz w:val="24"/>
          <w:szCs w:val="24"/>
          <w:highlight w:val="none"/>
          <w:lang w:val="en-US" w:eastAsia="zh-CN"/>
          <w14:textFill>
            <w14:solidFill>
              <w14:schemeClr w14:val="tx1"/>
            </w14:solidFill>
          </w14:textFill>
        </w:rPr>
        <w:t>在除农田作物种植区、硬化道路、设施用地以外的田坎、路边、沟边、机耕道旁等农用地区域内种植蜜源、趋避植物</w:t>
      </w:r>
      <w:r>
        <w:rPr>
          <w:rFonts w:hint="eastAsia" w:ascii="Times New Roman" w:hAnsi="Times New Roman"/>
          <w:color w:val="000000" w:themeColor="text1"/>
          <w:sz w:val="24"/>
          <w:szCs w:val="24"/>
          <w:highlight w:val="none"/>
          <w:lang w:val="en-US" w:eastAsia="zh-CN"/>
          <w14:textFill>
            <w14:solidFill>
              <w14:schemeClr w14:val="tx1"/>
            </w14:solidFill>
          </w14:textFill>
        </w:rPr>
        <w:t>。服务单位根据实际情况可从芝麻、大豆、万寿菊、紫苏（薄荷）、太阳花、猪屎豆、长春花、紫云英、罗勒、田菁等显花植物和香根草、香茅等趋避植物中选择3-5种蜜源或趋避植物，增强农田保益、控害能力，有效控制有害生物发生危害，减少农药化肥的使用，增加生物多样性，提高生态系统的稳定性。</w:t>
      </w:r>
    </w:p>
    <w:p w14:paraId="1E1877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w:t>
      </w:r>
      <w:r>
        <w:rPr>
          <w:rFonts w:hint="eastAsia" w:ascii="宋体" w:hAnsi="宋体" w:cs="宋体"/>
          <w:color w:val="000000" w:themeColor="text1"/>
          <w:sz w:val="24"/>
          <w:szCs w:val="24"/>
          <w:lang w:val="en-US" w:eastAsia="zh-CN"/>
          <w14:textFill>
            <w14:solidFill>
              <w14:schemeClr w14:val="tx1"/>
            </w14:solidFill>
          </w14:textFill>
        </w:rPr>
        <w:t>合同履行期限：自合同签订之日起至项目履约完成且通过验收止。</w:t>
      </w:r>
    </w:p>
    <w:p w14:paraId="2CE606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4.</w:t>
      </w:r>
      <w:r>
        <w:rPr>
          <w:rFonts w:hint="eastAsia" w:ascii="宋体" w:hAnsi="宋体" w:eastAsia="宋体" w:cs="宋体"/>
          <w:b/>
          <w:bCs/>
          <w:color w:val="000000" w:themeColor="text1"/>
          <w:sz w:val="24"/>
          <w:szCs w:val="24"/>
          <w:lang w:val="en-US" w:eastAsia="zh-CN"/>
          <w14:textFill>
            <w14:solidFill>
              <w14:schemeClr w14:val="tx1"/>
            </w14:solidFill>
          </w14:textFill>
        </w:rPr>
        <w:t>有机肥、微生物菌剂及生物质炭土壤改良</w:t>
      </w:r>
    </w:p>
    <w:p w14:paraId="49A699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项目实施目标</w:t>
      </w:r>
    </w:p>
    <w:p w14:paraId="157C37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color w:val="000000" w:themeColor="text1"/>
          <w:sz w:val="24"/>
          <w:szCs w:val="24"/>
          <w:lang w:val="en-US" w:eastAsia="zh-CN"/>
          <w14:textFill>
            <w14:solidFill>
              <w14:schemeClr w14:val="tx1"/>
            </w14:solidFill>
          </w14:textFill>
        </w:rPr>
      </w:pPr>
      <w:r>
        <w:rPr>
          <w:rFonts w:hint="default" w:ascii="宋体" w:hAnsi="宋体" w:cs="宋体"/>
          <w:color w:val="000000" w:themeColor="text1"/>
          <w:sz w:val="24"/>
          <w:szCs w:val="24"/>
          <w:lang w:val="en-US" w:eastAsia="zh-CN"/>
          <w14:textFill>
            <w14:solidFill>
              <w14:schemeClr w14:val="tx1"/>
            </w14:solidFill>
          </w14:textFill>
        </w:rPr>
        <w:t>采用有机肥、微生物菌剂和生物质炭土壤改良的模式，提高土壤有机质水平，改善土壤结构，增强土壤保水保肥能力，调节土壤pH值，以改善土壤环境，提高土壤微生物活性，促进养分转化和利用，从而降低化肥使用量，起到防治农业面源污染的效果。项目实施区域土壤pH提高，有机质提升5%以上，农田面源污染负荷下降。</w:t>
      </w:r>
    </w:p>
    <w:p w14:paraId="65A10E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3F4B02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cs="宋体"/>
          <w:color w:val="000000" w:themeColor="text1"/>
          <w:sz w:val="24"/>
          <w:szCs w:val="24"/>
          <w:lang w:val="en-US" w:eastAsia="zh-CN"/>
          <w14:textFill>
            <w14:solidFill>
              <w14:schemeClr w14:val="tx1"/>
            </w14:solidFill>
          </w14:textFill>
        </w:rPr>
        <w:t>有机肥、微生物菌剂及生物质炭土壤改良2024年实施面积9430亩；2025年实施面积11330亩。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77B474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000000" w:themeColor="text1"/>
          <w:sz w:val="24"/>
          <w:szCs w:val="24"/>
          <w:lang w:val="en-US" w:eastAsia="zh-CN"/>
          <w14:textFill>
            <w14:solidFill>
              <w14:schemeClr w14:val="tx1"/>
            </w14:solidFill>
          </w14:textFill>
        </w:rPr>
      </w:pPr>
    </w:p>
    <w:p w14:paraId="193892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有机肥、微生物菌剂及生物质炭土壤改良实施布局图</w:t>
      </w:r>
    </w:p>
    <w:p w14:paraId="23BC8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drawing>
          <wp:inline distT="0" distB="0" distL="114300" distR="114300">
            <wp:extent cx="3874770" cy="2684145"/>
            <wp:effectExtent l="0" t="0" r="11430" b="1905"/>
            <wp:docPr id="12" name="图片 7" descr="4.2024有机肥、微生物菌剂及生物质炭土壤改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4.2024有机肥、微生物菌剂及生物质炭土壤改良"/>
                    <pic:cNvPicPr>
                      <a:picLocks noChangeAspect="1"/>
                    </pic:cNvPicPr>
                  </pic:nvPicPr>
                  <pic:blipFill>
                    <a:blip r:embed="rId10"/>
                    <a:stretch>
                      <a:fillRect/>
                    </a:stretch>
                  </pic:blipFill>
                  <pic:spPr>
                    <a:xfrm>
                      <a:off x="0" y="0"/>
                      <a:ext cx="3874770" cy="2684145"/>
                    </a:xfrm>
                    <a:prstGeom prst="rect">
                      <a:avLst/>
                    </a:prstGeom>
                    <a:noFill/>
                    <a:ln>
                      <a:noFill/>
                    </a:ln>
                  </pic:spPr>
                </pic:pic>
              </a:graphicData>
            </a:graphic>
          </wp:inline>
        </w:drawing>
      </w:r>
    </w:p>
    <w:p w14:paraId="75CBF8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drawing>
          <wp:inline distT="0" distB="0" distL="114300" distR="114300">
            <wp:extent cx="3907155" cy="2690495"/>
            <wp:effectExtent l="0" t="0" r="17145" b="14605"/>
            <wp:docPr id="15" name="图片 8" descr="4.2025有机肥、微生物菌剂及生物质炭土壤改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4.2025有机肥、微生物菌剂及生物质炭土壤改良"/>
                    <pic:cNvPicPr>
                      <a:picLocks noChangeAspect="1"/>
                    </pic:cNvPicPr>
                  </pic:nvPicPr>
                  <pic:blipFill>
                    <a:blip r:embed="rId11"/>
                    <a:stretch>
                      <a:fillRect/>
                    </a:stretch>
                  </pic:blipFill>
                  <pic:spPr>
                    <a:xfrm>
                      <a:off x="0" y="0"/>
                      <a:ext cx="3907155" cy="2690495"/>
                    </a:xfrm>
                    <a:prstGeom prst="rect">
                      <a:avLst/>
                    </a:prstGeom>
                    <a:noFill/>
                    <a:ln>
                      <a:noFill/>
                    </a:ln>
                  </pic:spPr>
                </pic:pic>
              </a:graphicData>
            </a:graphic>
          </wp:inline>
        </w:drawing>
      </w:r>
    </w:p>
    <w:p w14:paraId="4272D3B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采购</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需求一览表</w:t>
      </w:r>
    </w:p>
    <w:tbl>
      <w:tblPr>
        <w:tblStyle w:val="10"/>
        <w:tblW w:w="7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2070"/>
        <w:gridCol w:w="1687"/>
        <w:gridCol w:w="1545"/>
        <w:gridCol w:w="951"/>
      </w:tblGrid>
      <w:tr w14:paraId="16FE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noWrap w:val="0"/>
            <w:vAlign w:val="center"/>
          </w:tcPr>
          <w:p w14:paraId="5FAD9C09">
            <w:pPr>
              <w:shd w:val="clear" w:color="auto" w:fill="auto"/>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货物序号</w:t>
            </w:r>
          </w:p>
        </w:tc>
        <w:tc>
          <w:tcPr>
            <w:tcW w:w="2070" w:type="dxa"/>
            <w:noWrap w:val="0"/>
            <w:vAlign w:val="center"/>
          </w:tcPr>
          <w:p w14:paraId="0B6961AD">
            <w:pPr>
              <w:shd w:val="clear" w:color="auto" w:fill="auto"/>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货物名称</w:t>
            </w:r>
          </w:p>
        </w:tc>
        <w:tc>
          <w:tcPr>
            <w:tcW w:w="1687" w:type="dxa"/>
            <w:noWrap w:val="0"/>
            <w:vAlign w:val="center"/>
          </w:tcPr>
          <w:p w14:paraId="525775E3">
            <w:pPr>
              <w:shd w:val="clear" w:color="auto" w:fill="auto"/>
              <w:spacing w:line="360" w:lineRule="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2024年数量</w:t>
            </w:r>
          </w:p>
        </w:tc>
        <w:tc>
          <w:tcPr>
            <w:tcW w:w="1545" w:type="dxa"/>
            <w:noWrap w:val="0"/>
            <w:vAlign w:val="center"/>
          </w:tcPr>
          <w:p w14:paraId="76ECA115">
            <w:pPr>
              <w:shd w:val="clear" w:color="auto" w:fill="auto"/>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2025年</w:t>
            </w:r>
            <w:r>
              <w:rPr>
                <w:rFonts w:hint="default" w:ascii="Times New Roman" w:hAnsi="Times New Roman" w:eastAsia="宋体" w:cs="Times New Roman"/>
                <w:color w:val="000000" w:themeColor="text1"/>
                <w:sz w:val="24"/>
                <w14:textFill>
                  <w14:solidFill>
                    <w14:schemeClr w14:val="tx1"/>
                  </w14:solidFill>
                </w14:textFill>
              </w:rPr>
              <w:t>数量</w:t>
            </w:r>
          </w:p>
        </w:tc>
        <w:tc>
          <w:tcPr>
            <w:tcW w:w="951" w:type="dxa"/>
            <w:noWrap w:val="0"/>
            <w:vAlign w:val="center"/>
          </w:tcPr>
          <w:p w14:paraId="78C6EE59">
            <w:pPr>
              <w:shd w:val="clear" w:color="auto" w:fill="auto"/>
              <w:jc w:val="center"/>
              <w:rPr>
                <w:rFonts w:hint="eastAsia"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单位</w:t>
            </w:r>
          </w:p>
        </w:tc>
      </w:tr>
      <w:tr w14:paraId="1914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noWrap w:val="0"/>
            <w:vAlign w:val="center"/>
          </w:tcPr>
          <w:p w14:paraId="64786BF3">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w:t>
            </w:r>
          </w:p>
        </w:tc>
        <w:tc>
          <w:tcPr>
            <w:tcW w:w="2070" w:type="dxa"/>
            <w:noWrap w:val="0"/>
            <w:vAlign w:val="center"/>
          </w:tcPr>
          <w:p w14:paraId="7C8DB8C1">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商品有机肥</w:t>
            </w:r>
          </w:p>
        </w:tc>
        <w:tc>
          <w:tcPr>
            <w:tcW w:w="1687" w:type="dxa"/>
            <w:noWrap w:val="0"/>
            <w:vAlign w:val="center"/>
          </w:tcPr>
          <w:p w14:paraId="4AC1E79A">
            <w:pPr>
              <w:shd w:val="clear" w:color="auto" w:fill="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14145</w:t>
            </w:r>
          </w:p>
        </w:tc>
        <w:tc>
          <w:tcPr>
            <w:tcW w:w="1545" w:type="dxa"/>
            <w:noWrap w:val="0"/>
            <w:vAlign w:val="center"/>
          </w:tcPr>
          <w:p w14:paraId="66CBF84B">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11330</w:t>
            </w:r>
          </w:p>
        </w:tc>
        <w:tc>
          <w:tcPr>
            <w:tcW w:w="951" w:type="dxa"/>
            <w:noWrap w:val="0"/>
            <w:vAlign w:val="center"/>
          </w:tcPr>
          <w:p w14:paraId="003C7B7E">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吨</w:t>
            </w:r>
          </w:p>
        </w:tc>
      </w:tr>
      <w:tr w14:paraId="7A4C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noWrap w:val="0"/>
            <w:vAlign w:val="center"/>
          </w:tcPr>
          <w:p w14:paraId="7BD15EFD">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p>
        </w:tc>
        <w:tc>
          <w:tcPr>
            <w:tcW w:w="2070" w:type="dxa"/>
            <w:noWrap w:val="0"/>
            <w:vAlign w:val="center"/>
          </w:tcPr>
          <w:p w14:paraId="21C083CC">
            <w:pPr>
              <w:shd w:val="clear" w:color="auto" w:fill="auto"/>
              <w:tabs>
                <w:tab w:val="left" w:pos="420"/>
                <w:tab w:val="left" w:pos="1050"/>
                <w:tab w:val="left" w:pos="1470"/>
                <w:tab w:val="left" w:pos="1890"/>
              </w:tabs>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微生物菌剂</w:t>
            </w:r>
          </w:p>
        </w:tc>
        <w:tc>
          <w:tcPr>
            <w:tcW w:w="1687" w:type="dxa"/>
            <w:noWrap w:val="0"/>
            <w:vAlign w:val="center"/>
          </w:tcPr>
          <w:p w14:paraId="619AD93A">
            <w:pPr>
              <w:shd w:val="clear" w:color="auto" w:fill="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18860</w:t>
            </w:r>
          </w:p>
        </w:tc>
        <w:tc>
          <w:tcPr>
            <w:tcW w:w="1545" w:type="dxa"/>
            <w:noWrap w:val="0"/>
            <w:vAlign w:val="center"/>
          </w:tcPr>
          <w:p w14:paraId="7B75E6AB">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22660</w:t>
            </w:r>
          </w:p>
        </w:tc>
        <w:tc>
          <w:tcPr>
            <w:tcW w:w="951" w:type="dxa"/>
            <w:noWrap w:val="0"/>
            <w:vAlign w:val="center"/>
          </w:tcPr>
          <w:p w14:paraId="6C2611F6">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升</w:t>
            </w:r>
          </w:p>
        </w:tc>
      </w:tr>
      <w:tr w14:paraId="568A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dxa"/>
            <w:noWrap w:val="0"/>
            <w:vAlign w:val="center"/>
          </w:tcPr>
          <w:p w14:paraId="61E42F05">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w:t>
            </w:r>
          </w:p>
        </w:tc>
        <w:tc>
          <w:tcPr>
            <w:tcW w:w="2070" w:type="dxa"/>
            <w:noWrap w:val="0"/>
            <w:vAlign w:val="center"/>
          </w:tcPr>
          <w:p w14:paraId="4CA4450B">
            <w:pPr>
              <w:shd w:val="clear" w:color="auto" w:fill="auto"/>
              <w:tabs>
                <w:tab w:val="left" w:pos="420"/>
                <w:tab w:val="left" w:pos="1050"/>
                <w:tab w:val="left" w:pos="1470"/>
                <w:tab w:val="left" w:pos="1890"/>
              </w:tabs>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生物炭</w:t>
            </w:r>
          </w:p>
        </w:tc>
        <w:tc>
          <w:tcPr>
            <w:tcW w:w="1687" w:type="dxa"/>
            <w:noWrap w:val="0"/>
            <w:vAlign w:val="center"/>
          </w:tcPr>
          <w:p w14:paraId="05C9B5EE">
            <w:pPr>
              <w:shd w:val="clear" w:color="auto" w:fill="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9430</w:t>
            </w:r>
          </w:p>
        </w:tc>
        <w:tc>
          <w:tcPr>
            <w:tcW w:w="1545" w:type="dxa"/>
            <w:noWrap w:val="0"/>
            <w:vAlign w:val="center"/>
          </w:tcPr>
          <w:p w14:paraId="1F8887DE">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5665</w:t>
            </w:r>
          </w:p>
        </w:tc>
        <w:tc>
          <w:tcPr>
            <w:tcW w:w="951" w:type="dxa"/>
            <w:noWrap w:val="0"/>
            <w:vAlign w:val="center"/>
          </w:tcPr>
          <w:p w14:paraId="30B1D277">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吨</w:t>
            </w:r>
          </w:p>
        </w:tc>
      </w:tr>
    </w:tbl>
    <w:p w14:paraId="500D06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kern w:val="2"/>
          <w:sz w:val="24"/>
          <w:szCs w:val="24"/>
          <w:lang w:val="en-US" w:eastAsia="zh-CN" w:bidi="ar-SA"/>
          <w14:textFill>
            <w14:solidFill>
              <w14:schemeClr w14:val="tx1"/>
            </w14:solidFill>
          </w14:textFill>
        </w:rPr>
        <w:t>（4）</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技术指标及功能要求</w:t>
      </w:r>
    </w:p>
    <w:tbl>
      <w:tblPr>
        <w:tblStyle w:val="10"/>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6413"/>
      </w:tblGrid>
      <w:tr w14:paraId="1389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28D72730">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2024年有机肥、微生物菌剂及生物质炭土壤改良</w:t>
            </w:r>
          </w:p>
        </w:tc>
      </w:tr>
      <w:tr w14:paraId="0558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4E31A0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1592A9FA">
            <w:pPr>
              <w:shd w:val="clear" w:color="auto" w:fill="auto"/>
              <w:adjustRightInd w:val="0"/>
              <w:snapToGrid w:val="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w:t>
            </w:r>
          </w:p>
        </w:tc>
      </w:tr>
      <w:tr w14:paraId="606A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DE1ACD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36BB6E23">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商品</w:t>
            </w:r>
            <w:r>
              <w:rPr>
                <w:rFonts w:hint="eastAsia" w:ascii="Times New Roman" w:hAnsi="Times New Roman" w:eastAsia="宋体" w:cs="Times New Roman"/>
                <w:b/>
                <w:color w:val="000000" w:themeColor="text1"/>
                <w:sz w:val="24"/>
                <w:lang w:val="en-US" w:eastAsia="zh-CN"/>
                <w14:textFill>
                  <w14:solidFill>
                    <w14:schemeClr w14:val="tx1"/>
                  </w14:solidFill>
                </w14:textFill>
              </w:rPr>
              <w:t>有机肥</w:t>
            </w:r>
          </w:p>
        </w:tc>
      </w:tr>
      <w:tr w14:paraId="383E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8FD631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6A67DC80">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14145吨</w:t>
            </w:r>
          </w:p>
        </w:tc>
      </w:tr>
      <w:tr w14:paraId="6585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42F91AD0">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3C8F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34680C3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1、有机质≥30%；</w:t>
            </w:r>
          </w:p>
          <w:p w14:paraId="4011835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2、总养分（N+P2O5+K2O）≥4%；</w:t>
            </w:r>
          </w:p>
          <w:p w14:paraId="08D86AC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3、水分≤30%；</w:t>
            </w:r>
          </w:p>
          <w:p w14:paraId="2DAFBA1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4、酸碱度pH：5.5~8.5；</w:t>
            </w:r>
          </w:p>
          <w:p w14:paraId="5866979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5、粪大肠菌群数≤100个/g；</w:t>
            </w:r>
          </w:p>
          <w:p w14:paraId="74F9D39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6、蛔虫卵死亡率≥95%；</w:t>
            </w:r>
          </w:p>
          <w:p w14:paraId="1866C85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7、总砷(As)≤15mg/kg、总镉(Cd)≤3mg/kg、总铅(Pb)≤50mg/kg、总铬(Cr)≤150mg/kg、总汞(Hg)≤2mg/kg；</w:t>
            </w:r>
          </w:p>
          <w:p w14:paraId="6D00FF5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8、机械杂质的质量分数≤0.5%；</w:t>
            </w:r>
          </w:p>
          <w:p w14:paraId="77ECE8F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9、种子发芽指数(GI)：≥70%；</w:t>
            </w:r>
          </w:p>
          <w:p w14:paraId="7203405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10、粉状；</w:t>
            </w:r>
          </w:p>
          <w:p w14:paraId="7B8E4CD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11、有效期≥6个月；</w:t>
            </w:r>
          </w:p>
          <w:p w14:paraId="61733F9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12、包装规格：40Kg/包或500Kg/包。</w:t>
            </w:r>
          </w:p>
        </w:tc>
      </w:tr>
      <w:tr w14:paraId="6885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5C3721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074C0EEC">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w:t>
            </w:r>
          </w:p>
        </w:tc>
      </w:tr>
      <w:tr w14:paraId="6980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8495B5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681B4447">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微生物菌剂</w:t>
            </w:r>
          </w:p>
        </w:tc>
      </w:tr>
      <w:tr w14:paraId="0F40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E8B1C6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2D79447C">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18860升</w:t>
            </w:r>
          </w:p>
        </w:tc>
      </w:tr>
      <w:tr w14:paraId="740F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649BEE8A">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211B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546BCAD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1、有效活菌数(cfu)/(亿/g或亿/mL)≥2.0；</w:t>
            </w:r>
          </w:p>
          <w:p w14:paraId="0F9AD97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2、霉菌杂菌数/(个/g或个/mL)≤3.0*10^5；</w:t>
            </w:r>
          </w:p>
          <w:p w14:paraId="2383090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3、杂菌率/(%)≤10.0；</w:t>
            </w:r>
          </w:p>
          <w:p w14:paraId="1E04509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4、pH值：5.0~8.0；</w:t>
            </w:r>
          </w:p>
          <w:p w14:paraId="1CC1166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5、保质期/月≥3；</w:t>
            </w:r>
          </w:p>
          <w:p w14:paraId="1051E17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2" w:firstLineChars="20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农用微生物菌剂产品的无害化技术要求：</w:t>
            </w:r>
          </w:p>
          <w:p w14:paraId="0CEC4A0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6、粪大肠菌群数/(个/g或个/mL)≤100；</w:t>
            </w:r>
          </w:p>
          <w:p w14:paraId="1F6B9C5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7、蛔虫卵死亡率/(%)≥95；</w:t>
            </w:r>
          </w:p>
          <w:p w14:paraId="4E450C2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8、砷及其化合物(以 As 计)/(mg/kg)≤75；</w:t>
            </w:r>
          </w:p>
          <w:p w14:paraId="761FED6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9、镉及其化合物(以 Cd计)/(mg/kg)≤10；</w:t>
            </w:r>
          </w:p>
          <w:p w14:paraId="3054507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10、铅及其化合物(以 Pb计)/(mg/kg)≤100；</w:t>
            </w:r>
          </w:p>
          <w:p w14:paraId="759441F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11、铬及其化合物(以 Cr计)/(mg/kg)≤150；</w:t>
            </w:r>
          </w:p>
          <w:p w14:paraId="6558CDB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12、汞及其化合物(以 Hg计)/(mg/kg)≤5。</w:t>
            </w:r>
          </w:p>
        </w:tc>
      </w:tr>
      <w:tr w14:paraId="4BFC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044867A">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031FC03D">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p>
        </w:tc>
      </w:tr>
      <w:tr w14:paraId="3DE3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CDF3855">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0B5C38E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生物炭</w:t>
            </w:r>
          </w:p>
        </w:tc>
      </w:tr>
      <w:tr w14:paraId="1770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50CEDC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42BEA78C">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9430吨</w:t>
            </w:r>
          </w:p>
        </w:tc>
      </w:tr>
      <w:tr w14:paraId="3730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293E45EF">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64E3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6E270D0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1、总碳(c)≥30%；</w:t>
            </w:r>
          </w:p>
          <w:p w14:paraId="1671E92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2、固定碳(FC)≥25%；</w:t>
            </w:r>
          </w:p>
          <w:p w14:paraId="5040935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3、水分≤30%；</w:t>
            </w:r>
          </w:p>
          <w:p w14:paraId="0703639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4、氢碳摩尔比(H/C)≤0.75；</w:t>
            </w:r>
          </w:p>
          <w:p w14:paraId="7A127EF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5、氧碳摩尔比(O/C)≤0.4；</w:t>
            </w:r>
          </w:p>
          <w:p w14:paraId="5ADFFFB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6、多环芳烃(PAHs)≤6mg/kg；</w:t>
            </w:r>
          </w:p>
          <w:p w14:paraId="0A72D0A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7、砷(As)≤15mg/kg；</w:t>
            </w:r>
          </w:p>
          <w:p w14:paraId="1D0A179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8、镉(Cd)≤3mg/kg；</w:t>
            </w:r>
          </w:p>
          <w:p w14:paraId="3F14AE2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9、铅(Pb)≤50mg/kg；</w:t>
            </w:r>
          </w:p>
          <w:p w14:paraId="20FC258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10、铬(Cr)≤50mg/kg；</w:t>
            </w:r>
          </w:p>
          <w:p w14:paraId="0683C36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11、汞(Hg)≤2mg/kg；</w:t>
            </w:r>
          </w:p>
          <w:p w14:paraId="7644AB4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12、铊(Ti)≤2.5mg/kg；</w:t>
            </w:r>
          </w:p>
          <w:p w14:paraId="218E23E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13、铜(Cu)≤200mg/kg；</w:t>
            </w:r>
          </w:p>
          <w:p w14:paraId="78F83DD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14、镍(Ni)≤190mg/kg；</w:t>
            </w:r>
          </w:p>
          <w:p w14:paraId="037A81F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15、锌(Zn)≤300mg/kg；</w:t>
            </w:r>
          </w:p>
          <w:p w14:paraId="49E4E75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16、苯并(a)芘(BaP)≤0.55mg/kg；</w:t>
            </w:r>
          </w:p>
          <w:p w14:paraId="0320CAE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17、包装规格：40Kg/包或500Kg/包。</w:t>
            </w:r>
          </w:p>
        </w:tc>
      </w:tr>
      <w:tr w14:paraId="0A61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65EC8A38">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2025年有机肥、微生物菌剂及生物质炭土壤改良</w:t>
            </w:r>
          </w:p>
        </w:tc>
      </w:tr>
      <w:tr w14:paraId="5102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980ED11">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5E747311">
            <w:pPr>
              <w:shd w:val="clear" w:color="auto" w:fill="auto"/>
              <w:adjustRightInd w:val="0"/>
              <w:snapToGrid w:val="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w:t>
            </w:r>
          </w:p>
        </w:tc>
      </w:tr>
      <w:tr w14:paraId="24C0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3E5397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31DE6D7B">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商品</w:t>
            </w:r>
            <w:r>
              <w:rPr>
                <w:rFonts w:hint="eastAsia" w:ascii="Times New Roman" w:hAnsi="Times New Roman" w:eastAsia="宋体" w:cs="Times New Roman"/>
                <w:b/>
                <w:color w:val="000000" w:themeColor="text1"/>
                <w:sz w:val="24"/>
                <w:lang w:val="en-US" w:eastAsia="zh-CN"/>
                <w14:textFill>
                  <w14:solidFill>
                    <w14:schemeClr w14:val="tx1"/>
                  </w14:solidFill>
                </w14:textFill>
              </w:rPr>
              <w:t>有机肥</w:t>
            </w:r>
          </w:p>
        </w:tc>
      </w:tr>
      <w:tr w14:paraId="5AF2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2E44F2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66F5F842">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11330吨</w:t>
            </w:r>
          </w:p>
        </w:tc>
      </w:tr>
      <w:tr w14:paraId="31DC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33E482FA">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3E32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393DDB1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1、有机质≥30%；</w:t>
            </w:r>
          </w:p>
          <w:p w14:paraId="0ED70D8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2、总养分（N+P2O5+K2O）≥4%；</w:t>
            </w:r>
          </w:p>
          <w:p w14:paraId="5DE9C95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3、水分≤30%；</w:t>
            </w:r>
          </w:p>
          <w:p w14:paraId="0F019B3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4、酸碱度pH：5.5~8.5；</w:t>
            </w:r>
          </w:p>
          <w:p w14:paraId="1B36125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5、粪大肠菌群数≤100个/g；</w:t>
            </w:r>
          </w:p>
          <w:p w14:paraId="1A3EFC9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6、蛔虫卵死亡率≥95%；</w:t>
            </w:r>
          </w:p>
          <w:p w14:paraId="295A3C3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7、总砷(As)≤15mg/kg、总镉(Cd)≤3mg/kg、总铅(Pb)≤50mg/kg、总铬(Cr)≤150mg/kg、总汞(Hg)≤2mg/kg；</w:t>
            </w:r>
          </w:p>
          <w:p w14:paraId="425C4EB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8、机械杂质的质量分数≤0.5%；</w:t>
            </w:r>
          </w:p>
          <w:p w14:paraId="3062B42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9、种子发芽指数(GI)：≥70%；</w:t>
            </w:r>
          </w:p>
          <w:p w14:paraId="50113D8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10、粉状；</w:t>
            </w:r>
          </w:p>
          <w:p w14:paraId="3C4B3D5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11、有效期≥6个月；</w:t>
            </w:r>
          </w:p>
          <w:p w14:paraId="677FA7C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12、包装规格：40Kg/包或500Kg/包。</w:t>
            </w:r>
          </w:p>
        </w:tc>
      </w:tr>
      <w:tr w14:paraId="41F3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7EDF22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34A68F30">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w:t>
            </w:r>
          </w:p>
        </w:tc>
      </w:tr>
      <w:tr w14:paraId="04A2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ABF079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59A4E8F5">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微生物菌剂</w:t>
            </w:r>
          </w:p>
        </w:tc>
      </w:tr>
      <w:tr w14:paraId="50FE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7A740D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77B0980C">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22660升</w:t>
            </w:r>
          </w:p>
        </w:tc>
      </w:tr>
      <w:tr w14:paraId="3ED9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088CA232">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3F2E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5B62F80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1、有效活菌数(cfu)/(亿/g或亿/mL)≥2.0；</w:t>
            </w:r>
          </w:p>
          <w:p w14:paraId="655BAE8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2、霉菌杂菌数/(个/g或个/mL)≤3.0*10^5；</w:t>
            </w:r>
          </w:p>
          <w:p w14:paraId="52ED000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3、杂菌率/(%)≤10.0；</w:t>
            </w:r>
          </w:p>
          <w:p w14:paraId="53A5515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4、pH值：5.0~8.0；</w:t>
            </w:r>
          </w:p>
          <w:p w14:paraId="1E763F5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5、保质期/月≥3；</w:t>
            </w:r>
          </w:p>
          <w:p w14:paraId="1EA0F2D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2" w:firstLineChars="200"/>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农用微生物菌剂产品的无害化技术要求：</w:t>
            </w:r>
          </w:p>
          <w:p w14:paraId="37AC4C2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6、粪大肠菌群数/(个/g或个/mL)≤100；</w:t>
            </w:r>
          </w:p>
          <w:p w14:paraId="471A9B9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7、蛔虫卵死亡率/(%)≥95；</w:t>
            </w:r>
          </w:p>
          <w:p w14:paraId="1850B85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8、砷及其化合物(以 As 计)/(mg/kg)≤75；</w:t>
            </w:r>
          </w:p>
          <w:p w14:paraId="6D1A05D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9、镉及其化合物(以 Cd计)/(mg/kg)≤10；</w:t>
            </w:r>
          </w:p>
          <w:p w14:paraId="477D942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10、铅及其化合物(以 Pb计)/(mg/kg)≤100；</w:t>
            </w:r>
          </w:p>
          <w:p w14:paraId="34CC725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11、铬及其化合物(以 Cr计)/(mg/kg)≤150；</w:t>
            </w:r>
          </w:p>
          <w:p w14:paraId="57D34E2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12、汞及其化合物(以 Hg计)/(mg/kg)≤5。</w:t>
            </w:r>
          </w:p>
        </w:tc>
      </w:tr>
      <w:tr w14:paraId="1F33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7CC81A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货物序号</w:t>
            </w:r>
          </w:p>
        </w:tc>
        <w:tc>
          <w:tcPr>
            <w:tcW w:w="6413" w:type="dxa"/>
            <w:noWrap w:val="0"/>
            <w:vAlign w:val="center"/>
          </w:tcPr>
          <w:p w14:paraId="5F503819">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p>
        </w:tc>
      </w:tr>
      <w:tr w14:paraId="2088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EC10FC5">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货物名称</w:t>
            </w:r>
          </w:p>
        </w:tc>
        <w:tc>
          <w:tcPr>
            <w:tcW w:w="6413" w:type="dxa"/>
            <w:noWrap w:val="0"/>
            <w:vAlign w:val="center"/>
          </w:tcPr>
          <w:p w14:paraId="64F7F4F0">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生物炭</w:t>
            </w:r>
          </w:p>
        </w:tc>
      </w:tr>
      <w:tr w14:paraId="13BE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574C93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采购数量</w:t>
            </w:r>
          </w:p>
        </w:tc>
        <w:tc>
          <w:tcPr>
            <w:tcW w:w="6413" w:type="dxa"/>
            <w:noWrap w:val="0"/>
            <w:vAlign w:val="center"/>
          </w:tcPr>
          <w:p w14:paraId="2A7F5469">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5665吨</w:t>
            </w:r>
          </w:p>
        </w:tc>
      </w:tr>
      <w:tr w14:paraId="3599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401B377B">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货物技术参数、配置要求及功能描述</w:t>
            </w:r>
          </w:p>
        </w:tc>
      </w:tr>
      <w:tr w14:paraId="6FAE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37" w:type="dxa"/>
            <w:gridSpan w:val="2"/>
            <w:noWrap w:val="0"/>
            <w:vAlign w:val="center"/>
          </w:tcPr>
          <w:p w14:paraId="701ACBC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1、总碳(c)≥30%；</w:t>
            </w:r>
          </w:p>
          <w:p w14:paraId="16872D4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2、固定碳(FC)≥25%；</w:t>
            </w:r>
          </w:p>
          <w:p w14:paraId="4B40240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3、水分≤30%；</w:t>
            </w:r>
          </w:p>
          <w:p w14:paraId="09D00A7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4、氢碳摩尔比(H/C)≤0.75；</w:t>
            </w:r>
          </w:p>
          <w:p w14:paraId="7D397BF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5、氧碳摩尔比(O/C)≤0.4；</w:t>
            </w:r>
          </w:p>
          <w:p w14:paraId="42E097E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6、多环芳烃(PAHs)≤6mg/kg；</w:t>
            </w:r>
          </w:p>
          <w:p w14:paraId="7A6AE21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7、砷(As)≤15mg/kg；</w:t>
            </w:r>
          </w:p>
          <w:p w14:paraId="364800D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8、镉(Cd)≤3mg/kg；</w:t>
            </w:r>
          </w:p>
          <w:p w14:paraId="42563EB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9、铅(Pb)≤50mg/kg；</w:t>
            </w:r>
          </w:p>
          <w:p w14:paraId="6E13C4B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10、铬(Cr)≤50mg/kg；</w:t>
            </w:r>
          </w:p>
          <w:p w14:paraId="1C99D53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11、汞(Hg)≤2mg/kg；</w:t>
            </w:r>
          </w:p>
          <w:p w14:paraId="61BF133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12、铊(Ti)≤2.5mg/kg；</w:t>
            </w:r>
          </w:p>
          <w:p w14:paraId="3AD8C13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13、铜(Cu)≤200mg/kg；</w:t>
            </w:r>
          </w:p>
          <w:p w14:paraId="0B6E6C2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14、镍(Ni)≤190mg/kg；</w:t>
            </w:r>
          </w:p>
          <w:p w14:paraId="317137B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15、锌(Zn)≤300mg/kg；</w:t>
            </w:r>
          </w:p>
          <w:p w14:paraId="71E1666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16、苯并(a)芘(BaP)≤0.55mg/kg；</w:t>
            </w:r>
          </w:p>
          <w:p w14:paraId="57D065A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17、包装规格：40Kg/包或500Kg/包。</w:t>
            </w:r>
          </w:p>
        </w:tc>
      </w:tr>
    </w:tbl>
    <w:p w14:paraId="5EBBAC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备注：本项目核心产品为生物炭</w:t>
      </w:r>
      <w:r>
        <w:rPr>
          <w:rFonts w:hint="eastAsia" w:ascii="Times New Roman" w:hAnsi="Times New Roman" w:eastAsia="宋体" w:cs="Times New Roman"/>
          <w:b/>
          <w:color w:val="000000" w:themeColor="text1"/>
          <w:sz w:val="24"/>
          <w:lang w:val="en-US" w:eastAsia="zh-CN"/>
          <w14:textFill>
            <w14:solidFill>
              <w14:schemeClr w14:val="tx1"/>
            </w14:solidFill>
          </w14:textFill>
        </w:rPr>
        <w:t>。</w:t>
      </w:r>
    </w:p>
    <w:p w14:paraId="5D591D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（5）项目区域及货物交付时间</w:t>
      </w:r>
    </w:p>
    <w:p w14:paraId="041CD8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①项目实施</w:t>
      </w:r>
      <w:r>
        <w:rPr>
          <w:rFonts w:hint="eastAsia" w:ascii="宋体" w:hAnsi="宋体" w:eastAsia="宋体" w:cs="宋体"/>
          <w:color w:val="000000" w:themeColor="text1"/>
          <w:sz w:val="24"/>
          <w:szCs w:val="24"/>
          <w:lang w:val="en-US" w:eastAsia="zh-CN"/>
          <w14:textFill>
            <w14:solidFill>
              <w14:schemeClr w14:val="tx1"/>
            </w14:solidFill>
          </w14:textFill>
        </w:rPr>
        <w:t>区域</w:t>
      </w:r>
      <w:r>
        <w:rPr>
          <w:rFonts w:hint="default" w:ascii="宋体" w:hAnsi="宋体" w:eastAsia="宋体" w:cs="宋体"/>
          <w:color w:val="000000" w:themeColor="text1"/>
          <w:sz w:val="24"/>
          <w:szCs w:val="24"/>
          <w:lang w:val="en-US" w:eastAsia="zh-CN"/>
          <w14:textFill>
            <w14:solidFill>
              <w14:schemeClr w14:val="tx1"/>
            </w14:solidFill>
          </w14:textFill>
        </w:rPr>
        <w:t>：采购人指定地点</w:t>
      </w:r>
    </w:p>
    <w:p w14:paraId="33E1A0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②</w:t>
      </w:r>
      <w:r>
        <w:rPr>
          <w:rFonts w:hint="eastAsia" w:ascii="宋体" w:hAnsi="宋体" w:eastAsia="宋体" w:cs="宋体"/>
          <w:color w:val="000000" w:themeColor="text1"/>
          <w:sz w:val="24"/>
          <w:szCs w:val="24"/>
          <w:lang w:val="en-US" w:eastAsia="zh-CN"/>
          <w14:textFill>
            <w14:solidFill>
              <w14:schemeClr w14:val="tx1"/>
            </w14:solidFill>
          </w14:textFill>
        </w:rPr>
        <w:t>货物交付时间：在项目实施期限内，按照采购人要求指定时间地点交付</w:t>
      </w:r>
      <w:r>
        <w:rPr>
          <w:rFonts w:hint="default" w:ascii="宋体" w:hAnsi="宋体" w:eastAsia="宋体" w:cs="宋体"/>
          <w:color w:val="000000" w:themeColor="text1"/>
          <w:sz w:val="24"/>
          <w:szCs w:val="24"/>
          <w:lang w:val="en-US" w:eastAsia="zh-CN"/>
          <w14:textFill>
            <w14:solidFill>
              <w14:schemeClr w14:val="tx1"/>
            </w14:solidFill>
          </w14:textFill>
        </w:rPr>
        <w:t>。撒施服务、整地服务、翻地服务等时间及地点以采购人通知为准。</w:t>
      </w:r>
    </w:p>
    <w:p w14:paraId="527ADC1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伴随式服务</w:t>
      </w:r>
    </w:p>
    <w:p w14:paraId="267D2B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中标供应商</w:t>
      </w:r>
      <w:r>
        <w:rPr>
          <w:rFonts w:hint="eastAsia" w:ascii="宋体" w:hAnsi="宋体" w:eastAsia="宋体" w:cs="宋体"/>
          <w:color w:val="000000" w:themeColor="text1"/>
          <w:sz w:val="24"/>
          <w:szCs w:val="24"/>
          <w:lang w:val="en-US" w:eastAsia="zh-CN"/>
          <w14:textFill>
            <w14:solidFill>
              <w14:schemeClr w14:val="tx1"/>
            </w14:solidFill>
          </w14:textFill>
        </w:rPr>
        <w:t>需提供20760亩（其中</w:t>
      </w:r>
      <w:r>
        <w:rPr>
          <w:rFonts w:hint="default" w:ascii="宋体" w:hAnsi="宋体" w:eastAsia="宋体" w:cs="宋体"/>
          <w:color w:val="000000" w:themeColor="text1"/>
          <w:sz w:val="24"/>
          <w:szCs w:val="24"/>
          <w:lang w:val="en-US" w:eastAsia="zh-CN"/>
          <w14:textFill>
            <w14:solidFill>
              <w14:schemeClr w14:val="tx1"/>
            </w14:solidFill>
          </w14:textFill>
        </w:rPr>
        <w:t>2</w:t>
      </w:r>
      <w:r>
        <w:rPr>
          <w:rFonts w:hint="default" w:ascii="宋体" w:hAnsi="宋体" w:cs="宋体"/>
          <w:color w:val="000000" w:themeColor="text1"/>
          <w:sz w:val="24"/>
          <w:szCs w:val="24"/>
          <w:lang w:val="en-US" w:eastAsia="zh-CN"/>
          <w14:textFill>
            <w14:solidFill>
              <w14:schemeClr w14:val="tx1"/>
            </w14:solidFill>
          </w14:textFill>
        </w:rPr>
        <w:t>024年实施面积9430亩</w:t>
      </w:r>
      <w:r>
        <w:rPr>
          <w:rFonts w:hint="eastAsia" w:ascii="宋体" w:hAnsi="宋体" w:cs="宋体"/>
          <w:color w:val="000000" w:themeColor="text1"/>
          <w:sz w:val="24"/>
          <w:szCs w:val="24"/>
          <w:lang w:val="en-US" w:eastAsia="zh-CN"/>
          <w14:textFill>
            <w14:solidFill>
              <w14:schemeClr w14:val="tx1"/>
            </w14:solidFill>
          </w14:textFill>
        </w:rPr>
        <w:t>、</w:t>
      </w:r>
      <w:r>
        <w:rPr>
          <w:rFonts w:hint="default" w:ascii="宋体" w:hAnsi="宋体" w:cs="宋体"/>
          <w:color w:val="000000" w:themeColor="text1"/>
          <w:sz w:val="24"/>
          <w:szCs w:val="24"/>
          <w:lang w:val="en-US" w:eastAsia="zh-CN"/>
          <w14:textFill>
            <w14:solidFill>
              <w14:schemeClr w14:val="tx1"/>
            </w14:solidFill>
          </w14:textFill>
        </w:rPr>
        <w:t>2025年实施面积11330亩</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z w:val="24"/>
          <w:szCs w:val="24"/>
          <w:lang w:val="en-US" w:eastAsia="zh-CN"/>
          <w14:textFill>
            <w14:solidFill>
              <w14:schemeClr w14:val="tx1"/>
            </w14:solidFill>
          </w14:textFill>
        </w:rPr>
        <w:t>撒施服务</w:t>
      </w:r>
      <w:r>
        <w:rPr>
          <w:rFonts w:hint="eastAsia" w:ascii="宋体" w:hAnsi="宋体" w:cs="宋体"/>
          <w:color w:val="000000" w:themeColor="text1"/>
          <w:sz w:val="24"/>
          <w:szCs w:val="24"/>
          <w:lang w:val="en-US" w:eastAsia="zh-CN"/>
          <w14:textFill>
            <w14:solidFill>
              <w14:schemeClr w14:val="tx1"/>
            </w14:solidFill>
          </w14:textFill>
        </w:rPr>
        <w:t>、整地</w:t>
      </w:r>
      <w:r>
        <w:rPr>
          <w:rFonts w:hint="eastAsia" w:ascii="宋体" w:hAnsi="宋体" w:eastAsia="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lang w:val="en-US" w:eastAsia="zh-CN"/>
          <w14:textFill>
            <w14:solidFill>
              <w14:schemeClr w14:val="tx1"/>
            </w14:solidFill>
          </w14:textFill>
        </w:rPr>
        <w:t>、翻地</w:t>
      </w:r>
      <w:r>
        <w:rPr>
          <w:rFonts w:hint="eastAsia" w:ascii="宋体" w:hAnsi="宋体" w:eastAsia="宋体" w:cs="宋体"/>
          <w:color w:val="000000" w:themeColor="text1"/>
          <w:sz w:val="24"/>
          <w:szCs w:val="24"/>
          <w:lang w:val="en-US" w:eastAsia="zh-CN"/>
          <w14:textFill>
            <w14:solidFill>
              <w14:schemeClr w14:val="tx1"/>
            </w14:solidFill>
          </w14:textFill>
        </w:rPr>
        <w:t>服务</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，具体服务时间及地点以采购人通知为准。</w:t>
      </w:r>
    </w:p>
    <w:p w14:paraId="40DCCC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2024年商品有机肥施肥量1.5吨/亩，微生物菌剂施放量2升/亩，生物炭施放量1.0吨/亩。</w:t>
      </w:r>
    </w:p>
    <w:p w14:paraId="73CFD1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2025年商品有机肥施肥量1.0吨/亩，微生物菌剂施放量2升/亩，生物炭施放量0.5吨/亩。</w:t>
      </w:r>
    </w:p>
    <w:p w14:paraId="0AF02E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（7）售后服务和质量保证</w:t>
      </w:r>
    </w:p>
    <w:p w14:paraId="7C4588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4"/>
          <w:szCs w:val="24"/>
          <w:lang w:val="en-US" w:eastAsia="zh-CN"/>
          <w14:textFill>
            <w14:solidFill>
              <w14:schemeClr w14:val="tx1"/>
            </w14:solidFill>
          </w14:textFill>
        </w:rPr>
        <w:t>①</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中标供应商所提供的</w:t>
      </w:r>
      <w:r>
        <w:rPr>
          <w:rFonts w:hint="eastAsia" w:ascii="Times New Roman" w:hAnsi="Times New Roman" w:eastAsia="宋体" w:cs="Times New Roman"/>
          <w:color w:val="000000" w:themeColor="text1"/>
          <w:sz w:val="24"/>
          <w:lang w:val="en-US" w:eastAsia="zh-CN"/>
          <w14:textFill>
            <w14:solidFill>
              <w14:schemeClr w14:val="tx1"/>
            </w14:solidFill>
          </w14:textFill>
        </w:rPr>
        <w:t>商品有机肥和微生物菌剂须</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具有省级</w:t>
      </w:r>
      <w:r>
        <w:rPr>
          <w:rFonts w:hint="eastAsia" w:eastAsia="宋体" w:cs="Times New Roman"/>
          <w:b w:val="0"/>
          <w:bCs/>
          <w:color w:val="000000" w:themeColor="text1"/>
          <w:spacing w:val="0"/>
          <w:sz w:val="24"/>
          <w:szCs w:val="24"/>
          <w:lang w:val="en-US" w:eastAsia="zh-CN"/>
          <w14:textFill>
            <w14:solidFill>
              <w14:schemeClr w14:val="tx1"/>
            </w14:solidFill>
          </w14:textFill>
        </w:rPr>
        <w:t>及以上</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农业行政主管部门颁发的肥料登记证</w:t>
      </w:r>
      <w:r>
        <w:rPr>
          <w:rFonts w:hint="eastAsia" w:eastAsia="宋体" w:cs="Times New Roman"/>
          <w:b w:val="0"/>
          <w:bCs/>
          <w:color w:val="000000" w:themeColor="text1"/>
          <w:spacing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提供</w:t>
      </w:r>
      <w:r>
        <w:rPr>
          <w:rFonts w:hint="default" w:ascii="Times New Roman" w:hAnsi="Times New Roman" w:eastAsia="宋体" w:cs="Times New Roman"/>
          <w:b w:val="0"/>
          <w:bCs/>
          <w:color w:val="000000" w:themeColor="text1"/>
          <w:spacing w:val="0"/>
          <w:sz w:val="24"/>
          <w:szCs w:val="24"/>
          <w:lang w:val="en-US" w:eastAsia="zh-CN"/>
          <w14:textFill>
            <w14:solidFill>
              <w14:schemeClr w14:val="tx1"/>
            </w14:solidFill>
          </w14:textFill>
        </w:rPr>
        <w:t>生物炭</w:t>
      </w:r>
      <w:r>
        <w:rPr>
          <w:rFonts w:hint="default" w:ascii="Times New Roman" w:hAnsi="Times New Roman" w:eastAsia="宋体" w:cs="Times New Roman"/>
          <w:b w:val="0"/>
          <w:bCs/>
          <w:color w:val="000000" w:themeColor="text1"/>
          <w:spacing w:val="0"/>
          <w:sz w:val="24"/>
          <w:szCs w:val="24"/>
          <w:lang w:eastAsia="zh-CN"/>
          <w14:textFill>
            <w14:solidFill>
              <w14:schemeClr w14:val="tx1"/>
            </w14:solidFill>
          </w14:textFill>
        </w:rPr>
        <w:t>第三方检验检测机构出具的检测报告，符合合同规定</w:t>
      </w:r>
      <w:r>
        <w:rPr>
          <w:rFonts w:hint="default" w:ascii="宋体" w:hAnsi="宋体" w:eastAsia="宋体" w:cs="宋体"/>
          <w:color w:val="000000" w:themeColor="text1"/>
          <w:sz w:val="24"/>
          <w:szCs w:val="24"/>
          <w:lang w:val="en-US" w:eastAsia="zh-CN"/>
          <w14:textFill>
            <w14:solidFill>
              <w14:schemeClr w14:val="tx1"/>
            </w14:solidFill>
          </w14:textFill>
        </w:rPr>
        <w:t>的质量、性能要求，采购人将在现场拆封验收。</w:t>
      </w:r>
    </w:p>
    <w:p w14:paraId="1CC3E5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②根据</w:t>
      </w:r>
      <w:r>
        <w:rPr>
          <w:rFonts w:hint="eastAsia" w:ascii="宋体" w:hAnsi="宋体" w:eastAsia="宋体" w:cs="宋体"/>
          <w:color w:val="000000" w:themeColor="text1"/>
          <w:sz w:val="24"/>
          <w:szCs w:val="24"/>
          <w:lang w:val="en-US" w:eastAsia="zh-CN"/>
          <w14:textFill>
            <w14:solidFill>
              <w14:schemeClr w14:val="tx1"/>
            </w14:solidFill>
          </w14:textFill>
        </w:rPr>
        <w:t>中标供应商</w:t>
      </w:r>
      <w:r>
        <w:rPr>
          <w:rFonts w:hint="default" w:ascii="宋体" w:hAnsi="宋体" w:eastAsia="宋体" w:cs="宋体"/>
          <w:color w:val="000000" w:themeColor="text1"/>
          <w:sz w:val="24"/>
          <w:szCs w:val="24"/>
          <w:lang w:val="en-US" w:eastAsia="zh-CN"/>
          <w14:textFill>
            <w14:solidFill>
              <w14:schemeClr w14:val="tx1"/>
            </w14:solidFill>
          </w14:textFill>
        </w:rPr>
        <w:t>按检验标准检验的结果，或者在质保期内，发现货物的数量、质量不符，或使用不符合要求的材料等，采购人可以以书面形式通知供应商，提出更换。</w:t>
      </w:r>
      <w:r>
        <w:rPr>
          <w:rFonts w:hint="eastAsia" w:ascii="宋体" w:hAnsi="宋体" w:eastAsia="宋体" w:cs="宋体"/>
          <w:color w:val="000000" w:themeColor="text1"/>
          <w:sz w:val="24"/>
          <w:szCs w:val="24"/>
          <w:lang w:val="en-US" w:eastAsia="zh-CN"/>
          <w14:textFill>
            <w14:solidFill>
              <w14:schemeClr w14:val="tx1"/>
            </w14:solidFill>
          </w14:textFill>
        </w:rPr>
        <w:t>中标供应商</w:t>
      </w:r>
      <w:r>
        <w:rPr>
          <w:rFonts w:hint="default" w:ascii="宋体" w:hAnsi="宋体" w:eastAsia="宋体" w:cs="宋体"/>
          <w:color w:val="000000" w:themeColor="text1"/>
          <w:sz w:val="24"/>
          <w:szCs w:val="24"/>
          <w:lang w:val="en-US" w:eastAsia="zh-CN"/>
          <w14:textFill>
            <w14:solidFill>
              <w14:schemeClr w14:val="tx1"/>
            </w14:solidFill>
          </w14:textFill>
        </w:rPr>
        <w:t>在收到通知后，应在24小时内提出处理方案报采购人。</w:t>
      </w:r>
    </w:p>
    <w:p w14:paraId="552E69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③中标供应商</w:t>
      </w:r>
      <w:r>
        <w:rPr>
          <w:rFonts w:hint="default" w:ascii="宋体" w:hAnsi="宋体" w:eastAsia="宋体" w:cs="宋体"/>
          <w:color w:val="000000" w:themeColor="text1"/>
          <w:sz w:val="24"/>
          <w:szCs w:val="24"/>
          <w:lang w:val="en-US" w:eastAsia="zh-CN"/>
          <w14:textFill>
            <w14:solidFill>
              <w14:schemeClr w14:val="tx1"/>
            </w14:solidFill>
          </w14:textFill>
        </w:rPr>
        <w:t>每次配送</w:t>
      </w:r>
      <w:r>
        <w:rPr>
          <w:rFonts w:hint="eastAsia" w:ascii="宋体" w:hAnsi="宋体" w:eastAsia="宋体" w:cs="宋体"/>
          <w:color w:val="000000" w:themeColor="text1"/>
          <w:sz w:val="24"/>
          <w:szCs w:val="24"/>
          <w:lang w:val="en-US" w:eastAsia="zh-CN"/>
          <w14:textFill>
            <w14:solidFill>
              <w14:schemeClr w14:val="tx1"/>
            </w14:solidFill>
          </w14:textFill>
        </w:rPr>
        <w:t>货物</w:t>
      </w:r>
      <w:r>
        <w:rPr>
          <w:rFonts w:hint="default" w:ascii="宋体" w:hAnsi="宋体" w:eastAsia="宋体" w:cs="宋体"/>
          <w:color w:val="000000" w:themeColor="text1"/>
          <w:sz w:val="24"/>
          <w:szCs w:val="24"/>
          <w:lang w:val="en-US" w:eastAsia="zh-CN"/>
          <w14:textFill>
            <w14:solidFill>
              <w14:schemeClr w14:val="tx1"/>
            </w14:solidFill>
          </w14:textFill>
        </w:rPr>
        <w:t>的数量，以</w:t>
      </w:r>
      <w:r>
        <w:rPr>
          <w:rFonts w:hint="eastAsia" w:ascii="宋体" w:hAnsi="宋体" w:eastAsia="宋体" w:cs="宋体"/>
          <w:color w:val="000000" w:themeColor="text1"/>
          <w:sz w:val="24"/>
          <w:szCs w:val="24"/>
          <w:lang w:val="en-US" w:eastAsia="zh-CN"/>
          <w14:textFill>
            <w14:solidFill>
              <w14:schemeClr w14:val="tx1"/>
            </w14:solidFill>
          </w14:textFill>
        </w:rPr>
        <w:t>采购人书面</w:t>
      </w:r>
      <w:r>
        <w:rPr>
          <w:rFonts w:hint="default" w:ascii="宋体" w:hAnsi="宋体" w:eastAsia="宋体" w:cs="宋体"/>
          <w:color w:val="000000" w:themeColor="text1"/>
          <w:sz w:val="24"/>
          <w:szCs w:val="24"/>
          <w:lang w:val="en-US" w:eastAsia="zh-CN"/>
          <w14:textFill>
            <w14:solidFill>
              <w14:schemeClr w14:val="tx1"/>
            </w14:solidFill>
          </w14:textFill>
        </w:rPr>
        <w:t>签收</w:t>
      </w:r>
      <w:r>
        <w:rPr>
          <w:rFonts w:hint="eastAsia" w:ascii="宋体" w:hAnsi="宋体" w:eastAsia="宋体" w:cs="宋体"/>
          <w:color w:val="000000" w:themeColor="text1"/>
          <w:sz w:val="24"/>
          <w:szCs w:val="24"/>
          <w:lang w:val="en-US" w:eastAsia="zh-CN"/>
          <w14:textFill>
            <w14:solidFill>
              <w14:schemeClr w14:val="tx1"/>
            </w14:solidFill>
          </w14:textFill>
        </w:rPr>
        <w:t>单据</w:t>
      </w:r>
      <w:r>
        <w:rPr>
          <w:rFonts w:hint="default" w:ascii="宋体" w:hAnsi="宋体" w:eastAsia="宋体" w:cs="宋体"/>
          <w:color w:val="000000" w:themeColor="text1"/>
          <w:sz w:val="24"/>
          <w:szCs w:val="24"/>
          <w:lang w:val="en-US" w:eastAsia="zh-CN"/>
          <w14:textFill>
            <w14:solidFill>
              <w14:schemeClr w14:val="tx1"/>
            </w14:solidFill>
          </w14:textFill>
        </w:rPr>
        <w:t>为结算凭证。</w:t>
      </w:r>
    </w:p>
    <w:p w14:paraId="0FA116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（8）要求</w:t>
      </w:r>
    </w:p>
    <w:p w14:paraId="6A3E8F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①</w:t>
      </w:r>
      <w:r>
        <w:rPr>
          <w:rFonts w:hint="eastAsia" w:ascii="宋体" w:hAnsi="宋体" w:eastAsia="宋体" w:cs="宋体"/>
          <w:color w:val="000000" w:themeColor="text1"/>
          <w:sz w:val="24"/>
          <w:szCs w:val="24"/>
          <w:lang w:val="en-US" w:eastAsia="zh-CN"/>
          <w14:textFill>
            <w14:solidFill>
              <w14:schemeClr w14:val="tx1"/>
            </w14:solidFill>
          </w14:textFill>
        </w:rPr>
        <w:t>采购人有权对中标供应商所提供的货物抽样送检。</w:t>
      </w:r>
    </w:p>
    <w:p w14:paraId="41FDDA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②如果被检测的</w:t>
      </w:r>
      <w:r>
        <w:rPr>
          <w:rFonts w:hint="eastAsia" w:ascii="宋体" w:hAnsi="宋体" w:eastAsia="宋体" w:cs="宋体"/>
          <w:color w:val="000000" w:themeColor="text1"/>
          <w:sz w:val="24"/>
          <w:szCs w:val="24"/>
          <w:lang w:val="en-US" w:eastAsia="zh-CN"/>
          <w14:textFill>
            <w14:solidFill>
              <w14:schemeClr w14:val="tx1"/>
            </w14:solidFill>
          </w14:textFill>
        </w:rPr>
        <w:t>货物</w:t>
      </w:r>
      <w:r>
        <w:rPr>
          <w:rFonts w:hint="default" w:ascii="宋体" w:hAnsi="宋体" w:eastAsia="宋体" w:cs="宋体"/>
          <w:color w:val="000000" w:themeColor="text1"/>
          <w:sz w:val="24"/>
          <w:szCs w:val="24"/>
          <w:lang w:val="en-US" w:eastAsia="zh-CN"/>
          <w14:textFill>
            <w14:solidFill>
              <w14:schemeClr w14:val="tx1"/>
            </w14:solidFill>
          </w14:textFill>
        </w:rPr>
        <w:t>不能满足合同的要求，</w:t>
      </w:r>
      <w:r>
        <w:rPr>
          <w:rFonts w:hint="eastAsia" w:ascii="宋体" w:hAnsi="宋体" w:eastAsia="宋体" w:cs="宋体"/>
          <w:color w:val="000000" w:themeColor="text1"/>
          <w:sz w:val="24"/>
          <w:szCs w:val="24"/>
          <w:lang w:val="en-US" w:eastAsia="zh-CN"/>
          <w14:textFill>
            <w14:solidFill>
              <w14:schemeClr w14:val="tx1"/>
            </w14:solidFill>
          </w14:textFill>
        </w:rPr>
        <w:t>中标供应商</w:t>
      </w:r>
      <w:r>
        <w:rPr>
          <w:rFonts w:hint="default" w:ascii="宋体" w:hAnsi="宋体" w:eastAsia="宋体" w:cs="宋体"/>
          <w:color w:val="000000" w:themeColor="text1"/>
          <w:sz w:val="24"/>
          <w:szCs w:val="24"/>
          <w:lang w:val="en-US" w:eastAsia="zh-CN"/>
          <w14:textFill>
            <w14:solidFill>
              <w14:schemeClr w14:val="tx1"/>
            </w14:solidFill>
          </w14:textFill>
        </w:rPr>
        <w:t>应立即更换检测不满足要求的</w:t>
      </w:r>
      <w:r>
        <w:rPr>
          <w:rFonts w:hint="eastAsia" w:ascii="宋体" w:hAnsi="宋体" w:eastAsia="宋体" w:cs="宋体"/>
          <w:color w:val="000000" w:themeColor="text1"/>
          <w:sz w:val="24"/>
          <w:szCs w:val="24"/>
          <w:lang w:val="en-US" w:eastAsia="zh-CN"/>
          <w14:textFill>
            <w14:solidFill>
              <w14:schemeClr w14:val="tx1"/>
            </w14:solidFill>
          </w14:textFill>
        </w:rPr>
        <w:t>货物</w:t>
      </w:r>
      <w:r>
        <w:rPr>
          <w:rFonts w:hint="default" w:ascii="宋体" w:hAnsi="宋体" w:eastAsia="宋体" w:cs="宋体"/>
          <w:color w:val="000000" w:themeColor="text1"/>
          <w:sz w:val="24"/>
          <w:szCs w:val="24"/>
          <w:lang w:val="en-US" w:eastAsia="zh-CN"/>
          <w14:textFill>
            <w14:solidFill>
              <w14:schemeClr w14:val="tx1"/>
            </w14:solidFill>
          </w14:textFill>
        </w:rPr>
        <w:t>或采取采购人可以</w:t>
      </w:r>
      <w:r>
        <w:rPr>
          <w:rFonts w:hint="eastAsia" w:ascii="宋体" w:hAnsi="宋体" w:eastAsia="宋体" w:cs="宋体"/>
          <w:color w:val="000000" w:themeColor="text1"/>
          <w:sz w:val="24"/>
          <w:szCs w:val="24"/>
          <w:lang w:val="en-US" w:eastAsia="zh-CN"/>
          <w14:textFill>
            <w14:solidFill>
              <w14:schemeClr w14:val="tx1"/>
            </w14:solidFill>
          </w14:textFill>
        </w:rPr>
        <w:t>接受</w:t>
      </w:r>
      <w:r>
        <w:rPr>
          <w:rFonts w:hint="default" w:ascii="宋体" w:hAnsi="宋体" w:eastAsia="宋体" w:cs="宋体"/>
          <w:color w:val="000000" w:themeColor="text1"/>
          <w:sz w:val="24"/>
          <w:szCs w:val="24"/>
          <w:lang w:val="en-US" w:eastAsia="zh-CN"/>
          <w14:textFill>
            <w14:solidFill>
              <w14:schemeClr w14:val="tx1"/>
            </w14:solidFill>
          </w14:textFill>
        </w:rPr>
        <w:t>的补救措施。</w:t>
      </w:r>
    </w:p>
    <w:p w14:paraId="579B90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宋体" w:hAnsi="宋体" w:eastAsia="宋体" w:cs="宋体"/>
          <w:color w:val="000000" w:themeColor="text1"/>
          <w:sz w:val="24"/>
          <w:szCs w:val="24"/>
          <w:lang w:val="en-US" w:eastAsia="zh-CN"/>
          <w14:textFill>
            <w14:solidFill>
              <w14:schemeClr w14:val="tx1"/>
            </w14:solidFill>
          </w14:textFill>
        </w:rPr>
        <w:t>③由</w:t>
      </w:r>
      <w:r>
        <w:rPr>
          <w:rFonts w:hint="eastAsia" w:ascii="宋体" w:hAnsi="宋体" w:eastAsia="宋体" w:cs="宋体"/>
          <w:color w:val="000000" w:themeColor="text1"/>
          <w:sz w:val="24"/>
          <w:szCs w:val="24"/>
          <w:lang w:val="en-US" w:eastAsia="zh-CN"/>
          <w14:textFill>
            <w14:solidFill>
              <w14:schemeClr w14:val="tx1"/>
            </w14:solidFill>
          </w14:textFill>
        </w:rPr>
        <w:t>采购人</w:t>
      </w:r>
      <w:r>
        <w:rPr>
          <w:rFonts w:hint="default" w:ascii="宋体" w:hAnsi="宋体" w:eastAsia="宋体" w:cs="宋体"/>
          <w:color w:val="000000" w:themeColor="text1"/>
          <w:sz w:val="24"/>
          <w:szCs w:val="24"/>
          <w:lang w:val="en-US" w:eastAsia="zh-CN"/>
          <w14:textFill>
            <w14:solidFill>
              <w14:schemeClr w14:val="tx1"/>
            </w14:solidFill>
          </w14:textFill>
        </w:rPr>
        <w:t>通知</w:t>
      </w:r>
      <w:r>
        <w:rPr>
          <w:rFonts w:hint="eastAsia" w:ascii="宋体" w:hAnsi="宋体" w:eastAsia="宋体" w:cs="宋体"/>
          <w:color w:val="000000" w:themeColor="text1"/>
          <w:sz w:val="24"/>
          <w:szCs w:val="24"/>
          <w:lang w:val="en-US" w:eastAsia="zh-CN"/>
          <w14:textFill>
            <w14:solidFill>
              <w14:schemeClr w14:val="tx1"/>
            </w14:solidFill>
          </w14:textFill>
        </w:rPr>
        <w:t>中标供应商</w:t>
      </w:r>
      <w:r>
        <w:rPr>
          <w:rFonts w:hint="default" w:ascii="宋体" w:hAnsi="宋体" w:eastAsia="宋体" w:cs="宋体"/>
          <w:color w:val="000000" w:themeColor="text1"/>
          <w:sz w:val="24"/>
          <w:szCs w:val="24"/>
          <w:lang w:val="en-US" w:eastAsia="zh-CN"/>
          <w14:textFill>
            <w14:solidFill>
              <w14:schemeClr w14:val="tx1"/>
            </w14:solidFill>
          </w14:textFill>
        </w:rPr>
        <w:t>撒施时间</w:t>
      </w:r>
      <w:r>
        <w:rPr>
          <w:rFonts w:hint="eastAsia" w:ascii="宋体" w:hAnsi="宋体" w:eastAsia="宋体" w:cs="宋体"/>
          <w:color w:val="000000" w:themeColor="text1"/>
          <w:sz w:val="24"/>
          <w:szCs w:val="24"/>
          <w:lang w:val="en-US" w:eastAsia="zh-CN"/>
          <w14:textFill>
            <w14:solidFill>
              <w14:schemeClr w14:val="tx1"/>
            </w14:solidFill>
          </w14:textFill>
        </w:rPr>
        <w:t>、地点</w:t>
      </w:r>
      <w:r>
        <w:rPr>
          <w:rFonts w:hint="default"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中标供应在</w:t>
      </w:r>
      <w:r>
        <w:rPr>
          <w:rFonts w:hint="default" w:ascii="宋体" w:hAnsi="宋体" w:eastAsia="宋体" w:cs="宋体"/>
          <w:color w:val="000000" w:themeColor="text1"/>
          <w:sz w:val="24"/>
          <w:szCs w:val="24"/>
          <w:lang w:val="en-US" w:eastAsia="zh-CN"/>
          <w14:textFill>
            <w14:solidFill>
              <w14:schemeClr w14:val="tx1"/>
            </w14:solidFill>
          </w14:textFill>
        </w:rPr>
        <w:t>撒施完成后通知采购人验收确认。</w:t>
      </w:r>
    </w:p>
    <w:p w14:paraId="525BDDAB">
      <w:pPr>
        <w:numPr>
          <w:ilvl w:val="0"/>
          <w:numId w:val="0"/>
        </w:numPr>
        <w:shd w:val="clear" w:color="auto" w:fill="auto"/>
        <w:spacing w:line="360" w:lineRule="auto"/>
        <w:ind w:left="482" w:leftChars="0"/>
        <w:rPr>
          <w:rFonts w:hint="eastAsia" w:ascii="宋体" w:hAnsi="宋体" w:eastAsia="宋体" w:cs="宋体"/>
          <w:b w:val="0"/>
          <w:bCs/>
          <w:color w:val="000000" w:themeColor="text1"/>
          <w:sz w:val="24"/>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（9）</w:t>
      </w:r>
      <w:r>
        <w:rPr>
          <w:rFonts w:hint="eastAsia" w:ascii="宋体" w:hAnsi="宋体" w:eastAsia="宋体" w:cs="宋体"/>
          <w:b w:val="0"/>
          <w:bCs/>
          <w:color w:val="000000" w:themeColor="text1"/>
          <w:sz w:val="24"/>
          <w14:textFill>
            <w14:solidFill>
              <w14:schemeClr w14:val="tx1"/>
            </w14:solidFill>
          </w14:textFill>
        </w:rPr>
        <w:t>综合说明</w:t>
      </w:r>
    </w:p>
    <w:p w14:paraId="448FC3FD">
      <w:pPr>
        <w:numPr>
          <w:ilvl w:val="0"/>
          <w:numId w:val="0"/>
        </w:numPr>
        <w:shd w:val="clear" w:color="auto" w:fill="auto"/>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①</w:t>
      </w:r>
      <w:r>
        <w:rPr>
          <w:rFonts w:hint="eastAsia" w:ascii="Times New Roman" w:hAnsi="Times New Roman" w:eastAsia="宋体" w:cs="Times New Roman"/>
          <w:color w:val="000000" w:themeColor="text1"/>
          <w:sz w:val="24"/>
          <w:lang w:val="en-US" w:eastAsia="zh-CN"/>
          <w14:textFill>
            <w14:solidFill>
              <w14:schemeClr w14:val="tx1"/>
            </w14:solidFill>
          </w14:textFill>
        </w:rPr>
        <w:t>投标人应明确</w:t>
      </w:r>
      <w:r>
        <w:rPr>
          <w:rFonts w:hint="default" w:ascii="Times New Roman" w:hAnsi="Times New Roman" w:eastAsia="宋体" w:cs="Times New Roman"/>
          <w:color w:val="000000" w:themeColor="text1"/>
          <w:sz w:val="24"/>
          <w14:textFill>
            <w14:solidFill>
              <w14:schemeClr w14:val="tx1"/>
            </w14:solidFill>
          </w14:textFill>
        </w:rPr>
        <w:t>所投产品的品牌、型号、规格和外形、尺寸、安装尺寸、重量及一些必须说明的技术参数，并提供详细的技术参数、性能说明书、产品图片等资料。</w:t>
      </w:r>
    </w:p>
    <w:p w14:paraId="53A176B8">
      <w:pPr>
        <w:numPr>
          <w:ilvl w:val="0"/>
          <w:numId w:val="0"/>
        </w:numPr>
        <w:shd w:val="clear" w:color="auto" w:fill="auto"/>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投标报价最低的</w:t>
      </w:r>
      <w:r>
        <w:rPr>
          <w:rFonts w:hint="default" w:ascii="Times New Roman" w:hAnsi="Times New Roman" w:eastAsia="宋体" w:cs="Times New Roman"/>
          <w:color w:val="000000" w:themeColor="text1"/>
          <w:sz w:val="24"/>
          <w:highlight w:val="none"/>
          <w14:textFill>
            <w14:solidFill>
              <w14:schemeClr w14:val="tx1"/>
            </w14:solidFill>
          </w14:textFill>
        </w:rPr>
        <w:t>同品牌投标人获得中标人推荐资格；</w:t>
      </w:r>
      <w:r>
        <w:rPr>
          <w:rFonts w:hint="default" w:ascii="Times New Roman" w:hAnsi="Times New Roman" w:eastAsia="宋体" w:cs="Times New Roman"/>
          <w:color w:val="000000" w:themeColor="text1"/>
          <w:sz w:val="24"/>
          <w14:textFill>
            <w14:solidFill>
              <w14:schemeClr w14:val="tx1"/>
            </w14:solidFill>
          </w14:textFill>
        </w:rPr>
        <w:t>其他同品牌投标人不作为中标候选人。</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多家公司提供的核心产品品牌相同的，按本条款规定处理。</w:t>
      </w:r>
    </w:p>
    <w:p w14:paraId="17B57768">
      <w:pPr>
        <w:numPr>
          <w:ilvl w:val="0"/>
          <w:numId w:val="0"/>
        </w:numPr>
        <w:shd w:val="clear" w:color="auto" w:fill="auto"/>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③</w:t>
      </w:r>
      <w:r>
        <w:rPr>
          <w:rFonts w:hint="default" w:ascii="Times New Roman" w:hAnsi="Times New Roman" w:eastAsia="宋体" w:cs="Times New Roman"/>
          <w:b/>
          <w:bCs/>
          <w:color w:val="000000" w:themeColor="text1"/>
          <w:sz w:val="24"/>
          <w:lang w:eastAsia="zh-CN"/>
          <w14:textFill>
            <w14:solidFill>
              <w14:schemeClr w14:val="tx1"/>
            </w14:solidFill>
          </w14:textFill>
        </w:rPr>
        <w:t>本项目</w:t>
      </w:r>
      <w:r>
        <w:rPr>
          <w:rFonts w:hint="default" w:ascii="Times New Roman" w:hAnsi="Times New Roman" w:eastAsia="宋体" w:cs="Times New Roman"/>
          <w:b/>
          <w:bCs/>
          <w:color w:val="000000" w:themeColor="text1"/>
          <w:sz w:val="24"/>
          <w14:textFill>
            <w14:solidFill>
              <w14:schemeClr w14:val="tx1"/>
            </w14:solidFill>
          </w14:textFill>
        </w:rPr>
        <w:t>不允许进口产品参加</w:t>
      </w:r>
      <w:r>
        <w:rPr>
          <w:rFonts w:hint="default" w:ascii="Times New Roman" w:hAnsi="Times New Roman" w:eastAsia="宋体" w:cs="Times New Roman"/>
          <w:b/>
          <w:bCs/>
          <w:color w:val="000000" w:themeColor="text1"/>
          <w:sz w:val="24"/>
          <w:lang w:eastAsia="zh-CN"/>
          <w14:textFill>
            <w14:solidFill>
              <w14:schemeClr w14:val="tx1"/>
            </w14:solidFill>
          </w14:textFill>
        </w:rPr>
        <w:t>投标。</w:t>
      </w:r>
    </w:p>
    <w:p w14:paraId="409729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所有设备和附（配）件应符合其规定的性能，无瑕疵和缺陷，质量为合格产品，同时有明确的生产制造厂商。交货时必须原包装现场拆封验收。供应商对质量问题负责包退、包换和包修，因此发生的费用由供应商负责。</w:t>
      </w:r>
    </w:p>
    <w:p w14:paraId="12EC51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5.水稻螟虫天敌引入与保育</w:t>
      </w:r>
    </w:p>
    <w:p w14:paraId="27236897">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（1）项目实施目标</w:t>
      </w:r>
    </w:p>
    <w:p w14:paraId="6AF1A1BA">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通过对项目区水稻种植区应用天敌防治技术，以减少害虫种群数量和虫害造成的产量损失，减少化学农药使用量，消除农残问题，逐步在农田生态系统中建立起天敌昆虫种群，增加田间生物多样性，通过“以虫（螨）治虫（螨）”技术，实现天敌与害虫之间形成生态制衡的修复模式，达到保障生产安全和修复生态环境的目的。防控靶标对象虫害发生较同期种植的同样作物虫害发生量减少50%以上。</w:t>
      </w:r>
    </w:p>
    <w:p w14:paraId="082C09E7">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（2）项目实施面积及实施范围</w:t>
      </w:r>
    </w:p>
    <w:p w14:paraId="544FA7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水稻螟虫天敌引入与保育2024年实施面积750亩；2025年实施面积1500亩。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35883F02">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0D505478">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2" w:firstLineChars="200"/>
        <w:jc w:val="center"/>
        <w:textAlignment w:val="auto"/>
        <w:outlineLvl w:val="9"/>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水稻螟虫天敌引入与保育项目实施布局图</w:t>
      </w:r>
    </w:p>
    <w:p w14:paraId="720D2993">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center"/>
        <w:textAlignment w:val="auto"/>
        <w:outlineLvl w:val="9"/>
        <w:rPr>
          <w:rFonts w:hint="eastAsia" w:ascii="Times New Roman" w:hAnsi="Times New Roman" w:eastAsia="黑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14:textFill>
            <w14:solidFill>
              <w14:schemeClr w14:val="tx1"/>
            </w14:solidFill>
          </w14:textFill>
        </w:rPr>
        <w:drawing>
          <wp:inline distT="0" distB="0" distL="114300" distR="114300">
            <wp:extent cx="3971925" cy="2751455"/>
            <wp:effectExtent l="0" t="0" r="9525" b="10795"/>
            <wp:docPr id="21" name="图片 9" descr="8.2024水稻螟虫天敌引入与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8.2024水稻螟虫天敌引入与保育"/>
                    <pic:cNvPicPr>
                      <a:picLocks noChangeAspect="1"/>
                    </pic:cNvPicPr>
                  </pic:nvPicPr>
                  <pic:blipFill>
                    <a:blip r:embed="rId12"/>
                    <a:stretch>
                      <a:fillRect/>
                    </a:stretch>
                  </pic:blipFill>
                  <pic:spPr>
                    <a:xfrm>
                      <a:off x="0" y="0"/>
                      <a:ext cx="3971925" cy="2751455"/>
                    </a:xfrm>
                    <a:prstGeom prst="rect">
                      <a:avLst/>
                    </a:prstGeom>
                    <a:noFill/>
                    <a:ln>
                      <a:noFill/>
                    </a:ln>
                  </pic:spPr>
                </pic:pic>
              </a:graphicData>
            </a:graphic>
          </wp:inline>
        </w:drawing>
      </w:r>
    </w:p>
    <w:p w14:paraId="45204795">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center"/>
        <w:textAlignment w:val="auto"/>
        <w:outlineLvl w:val="9"/>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14:textFill>
            <w14:solidFill>
              <w14:schemeClr w14:val="tx1"/>
            </w14:solidFill>
          </w14:textFill>
        </w:rPr>
        <w:drawing>
          <wp:inline distT="0" distB="0" distL="114300" distR="114300">
            <wp:extent cx="3980180" cy="2757170"/>
            <wp:effectExtent l="0" t="0" r="1270" b="5080"/>
            <wp:docPr id="17" name="图片 10" descr="8.2025水稻螟虫天敌引入与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8.2025水稻螟虫天敌引入与保育"/>
                    <pic:cNvPicPr>
                      <a:picLocks noChangeAspect="1"/>
                    </pic:cNvPicPr>
                  </pic:nvPicPr>
                  <pic:blipFill>
                    <a:blip r:embed="rId13"/>
                    <a:stretch>
                      <a:fillRect/>
                    </a:stretch>
                  </pic:blipFill>
                  <pic:spPr>
                    <a:xfrm>
                      <a:off x="0" y="0"/>
                      <a:ext cx="3980180" cy="2757170"/>
                    </a:xfrm>
                    <a:prstGeom prst="rect">
                      <a:avLst/>
                    </a:prstGeom>
                    <a:noFill/>
                    <a:ln>
                      <a:noFill/>
                    </a:ln>
                  </pic:spPr>
                </pic:pic>
              </a:graphicData>
            </a:graphic>
          </wp:inline>
        </w:drawing>
      </w:r>
    </w:p>
    <w:p w14:paraId="67C5A7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（3）项目实施内容</w:t>
      </w:r>
    </w:p>
    <w:p w14:paraId="0D985C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所应用的天敌昆虫为稻螟赤眼蜂。稻螟赤眼蜂是可寄生稻纵卷叶螟卵的优势寄生性天敌，通过在水稻田释放赤眼蜂可防治稻纵卷叶螟等水稻螟虫。投放后赤眼蜂寄生水稻螟虫的卵，从而达到“以虫治虫”目的。</w:t>
      </w:r>
    </w:p>
    <w:p w14:paraId="4B905C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稻螟赤眼蜂在水稻</w:t>
      </w:r>
      <w:r>
        <w:rPr>
          <w:rFonts w:hint="default" w:ascii="宋体" w:hAnsi="宋体" w:eastAsia="宋体" w:cs="宋体"/>
          <w:b w:val="0"/>
          <w:bCs w:val="0"/>
          <w:color w:val="000000" w:themeColor="text1"/>
          <w:kern w:val="2"/>
          <w:sz w:val="24"/>
          <w:szCs w:val="24"/>
          <w:lang w:val="en-US" w:eastAsia="zh-CN" w:bidi="ar-SA"/>
          <w14:textFill>
            <w14:solidFill>
              <w14:schemeClr w14:val="tx1"/>
            </w14:solidFill>
          </w14:textFill>
        </w:rPr>
        <w:t>稻纵卷叶螟成虫始发期开始释放，投放密度为1万头/亩次，隔4-6天释放一次，连续释放4次。每亩均匀设置4个放蜂点。将带有寄生蜂卵卡的抛撒型释放器（蜂球）直接投入田间。稻螟赤眼蜂释放时间为项目实施区域水稻生育期，即2024-2025年每年的3月-9月，抓住稻纵卷叶螟成虫始发期为防治适期，一般为5:00-9:00或16.00-19:00释放。放蜂期间避免使用对赤眼蜂具有毒性风险的农药，避免在大风、大雨等恶劣天气释放，如有需要在稻田田埂上种植蜜源植物。</w:t>
      </w:r>
    </w:p>
    <w:p w14:paraId="4D2FED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74BC6997">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2" w:firstLineChars="200"/>
        <w:jc w:val="both"/>
        <w:textAlignment w:val="auto"/>
        <w:outlineLvl w:val="9"/>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6.瓜菜蓟马天敌引入与保育</w:t>
      </w:r>
    </w:p>
    <w:p w14:paraId="59C3A173">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（1）项目实施目标</w:t>
      </w:r>
    </w:p>
    <w:p w14:paraId="5D963A83">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通过对项目区豇豆种植区应用天敌防治技术，以减少害虫种群数量和虫害造成的产量损失，减少化学农药使用量，消除农残问题，逐步在农田生态系统中建立起天敌昆虫种群，增加田间生物多样性，通过“以虫（螨）治虫（螨）”技术，实现天敌与害虫之间形成生态制衡的修复模式，达到保障生产安全和修复生态环境的目的。防控靶标对象虫害发生较同期种植的同样作物虫害发生量减少50%以上。</w:t>
      </w:r>
    </w:p>
    <w:p w14:paraId="53ED942E">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（2）项目实施面积及实施范围</w:t>
      </w:r>
    </w:p>
    <w:p w14:paraId="68BF30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瓜菜蓟马天敌引入与保育2024年实施面积750亩；2025年实施面积1500亩。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40C62FF8">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0" w:firstLineChars="200"/>
        <w:jc w:val="both"/>
        <w:textAlignment w:val="auto"/>
        <w:outlineLvl w:val="9"/>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14:paraId="23CC7BF1">
      <w:pPr>
        <w:pStyle w:val="7"/>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360" w:lineRule="auto"/>
        <w:ind w:firstLine="482" w:firstLineChars="200"/>
        <w:jc w:val="center"/>
        <w:textAlignment w:val="auto"/>
        <w:outlineLvl w:val="9"/>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瓜菜天敌引入与保育项目实施布局图</w:t>
      </w:r>
    </w:p>
    <w:p w14:paraId="17CDF670">
      <w:pPr>
        <w:pStyle w:val="3"/>
        <w:rPr>
          <w:rFonts w:hint="eastAsia"/>
          <w:color w:val="000000" w:themeColor="text1"/>
          <w:lang w:val="en-US" w:eastAsia="zh-CN"/>
          <w14:textFill>
            <w14:solidFill>
              <w14:schemeClr w14:val="tx1"/>
            </w14:solidFill>
          </w14:textFill>
        </w:rPr>
      </w:pPr>
    </w:p>
    <w:p w14:paraId="5DBA91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drawing>
          <wp:inline distT="0" distB="0" distL="114300" distR="114300">
            <wp:extent cx="3653155" cy="2531110"/>
            <wp:effectExtent l="0" t="0" r="4445" b="2540"/>
            <wp:docPr id="22" name="图片 11" descr="9.2024瓜菜蓟马天敌引入与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9.2024瓜菜蓟马天敌引入与保育"/>
                    <pic:cNvPicPr>
                      <a:picLocks noChangeAspect="1"/>
                    </pic:cNvPicPr>
                  </pic:nvPicPr>
                  <pic:blipFill>
                    <a:blip r:embed="rId14"/>
                    <a:stretch>
                      <a:fillRect/>
                    </a:stretch>
                  </pic:blipFill>
                  <pic:spPr>
                    <a:xfrm>
                      <a:off x="0" y="0"/>
                      <a:ext cx="3653155" cy="2531110"/>
                    </a:xfrm>
                    <a:prstGeom prst="rect">
                      <a:avLst/>
                    </a:prstGeom>
                    <a:noFill/>
                    <a:ln>
                      <a:noFill/>
                    </a:ln>
                  </pic:spPr>
                </pic:pic>
              </a:graphicData>
            </a:graphic>
          </wp:inline>
        </w:drawing>
      </w:r>
      <w:r>
        <w:rPr>
          <w:rFonts w:hint="eastAsia" w:ascii="Times New Roman" w:hAnsi="Times New Roman"/>
          <w:color w:val="000000" w:themeColor="text1"/>
          <w:highlight w:val="none"/>
          <w:lang w:val="en-US" w:eastAsia="zh-CN"/>
          <w14:textFill>
            <w14:solidFill>
              <w14:schemeClr w14:val="tx1"/>
            </w14:solidFill>
          </w14:textFill>
        </w:rPr>
        <w:drawing>
          <wp:inline distT="0" distB="0" distL="114300" distR="114300">
            <wp:extent cx="3765550" cy="2608580"/>
            <wp:effectExtent l="0" t="0" r="6350" b="1270"/>
            <wp:docPr id="25" name="图片 12" descr="9.2025瓜菜蓟马天敌引入与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9.2025瓜菜蓟马天敌引入与保育"/>
                    <pic:cNvPicPr>
                      <a:picLocks noChangeAspect="1"/>
                    </pic:cNvPicPr>
                  </pic:nvPicPr>
                  <pic:blipFill>
                    <a:blip r:embed="rId15"/>
                    <a:stretch>
                      <a:fillRect/>
                    </a:stretch>
                  </pic:blipFill>
                  <pic:spPr>
                    <a:xfrm>
                      <a:off x="0" y="0"/>
                      <a:ext cx="3765550" cy="2608580"/>
                    </a:xfrm>
                    <a:prstGeom prst="rect">
                      <a:avLst/>
                    </a:prstGeom>
                    <a:noFill/>
                    <a:ln>
                      <a:noFill/>
                    </a:ln>
                  </pic:spPr>
                </pic:pic>
              </a:graphicData>
            </a:graphic>
          </wp:inline>
        </w:drawing>
      </w:r>
    </w:p>
    <w:p w14:paraId="25897EC1">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（3）项目实施内容</w:t>
      </w:r>
    </w:p>
    <w:p w14:paraId="7A65669D">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所应用的天敌昆虫分别为巴氏新小绥螨和稻螟赤眼蜂。巴氏新小绥螨是能够主动攻击和取食植食性蓟马、叶螨的优势捕食性天敌，通过在瓜菜地释放巴氏新小绥螨可对蓟马或叶螨起到可持续绿色控制作用，从而达到“以虫治虫”目的。</w:t>
      </w:r>
    </w:p>
    <w:p w14:paraId="188B8417">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选择连片种植的露天或设施防虫网瓜菜田，巴氏新小绥螨根据不同瓜菜种类，在瓜菜开花前开始释放，释放前蓟马/叶螨未发生或处于发生初期，如虫口基数较大可先用生物农药压低虫口基数再进行释放。释放密度为20万头/亩次，隔7-10天释放一次，连续释放4次，释放后2周内不施用农药或使用天敌不敏感的低毒生物药剂。释放时间为项目实施区域瓜菜种植生育期，即2024-2025年每年的1-12月。于温度20℃-40℃、湿度大于60%时释放；当释放捕食螨不足以控制害虫时，优先选择对天敌影响较小的药剂进行提前防控。</w:t>
      </w:r>
    </w:p>
    <w:p w14:paraId="058CE8E4">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64B186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7.福寿螺、红火蚁、假高粱等入侵生物生态防控</w:t>
      </w:r>
    </w:p>
    <w:p w14:paraId="3E715B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（1）项目实施目标</w:t>
      </w:r>
    </w:p>
    <w:p w14:paraId="48AFB7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按照“防除并举、综合治理”的策略，采取农业防治、物理防治、生物防治、生物农药防治等综合防控措施，有效控制靶标农田外来入侵生物暴发流行，有效遏制农田外来入侵生物蔓延为害，保障农业生态安全。</w:t>
      </w:r>
      <w:r>
        <w:rPr>
          <w:rFonts w:hint="eastAsia" w:ascii="宋体" w:hAnsi="宋体" w:eastAsia="宋体" w:cs="宋体"/>
          <w:color w:val="000000" w:themeColor="text1"/>
          <w:sz w:val="24"/>
          <w:szCs w:val="24"/>
          <w:highlight w:val="none"/>
          <w:lang w:val="en-US" w:eastAsia="zh-CN"/>
          <w14:textFill>
            <w14:solidFill>
              <w14:schemeClr w14:val="tx1"/>
            </w14:solidFill>
          </w14:textFill>
        </w:rPr>
        <w:t>防治效果标准为：防治区福寿螺、假高粱以及红火蚁发生等级达到1级。</w:t>
      </w:r>
    </w:p>
    <w:p w14:paraId="053CBE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（2）项目实施面积及实施范围</w:t>
      </w:r>
    </w:p>
    <w:p w14:paraId="150803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福寿螺、红火蚁、假高粱等入侵生物生态防控2024年实施面积1000亩</w:t>
      </w:r>
      <w:r>
        <w:rPr>
          <w:rFonts w:hint="eastAsia" w:ascii="宋体" w:hAnsi="宋体" w:cs="宋体"/>
          <w:b w:val="0"/>
          <w:bCs w:val="0"/>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2025年实施面积2000亩</w:t>
      </w:r>
      <w:r>
        <w:rPr>
          <w:rFonts w:hint="eastAsia" w:ascii="宋体" w:hAnsi="宋体" w:cs="宋体"/>
          <w:b w:val="0"/>
          <w:bCs w:val="0"/>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55C01D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p>
    <w:p w14:paraId="018286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5" w:firstLineChars="50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入侵生物生态防控项目实施布局图</w:t>
      </w:r>
    </w:p>
    <w:p w14:paraId="00452E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p>
    <w:p w14:paraId="4A620A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drawing>
          <wp:inline distT="0" distB="0" distL="114300" distR="114300">
            <wp:extent cx="3557270" cy="2464435"/>
            <wp:effectExtent l="0" t="0" r="5080" b="12065"/>
            <wp:docPr id="26" name="图片 13" descr="10.2024福寿螺、红火蚁、假高粱等入侵生物生态防控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10.2024福寿螺、红火蚁、假高粱等入侵生物生态防控工程"/>
                    <pic:cNvPicPr>
                      <a:picLocks noChangeAspect="1"/>
                    </pic:cNvPicPr>
                  </pic:nvPicPr>
                  <pic:blipFill>
                    <a:blip r:embed="rId16"/>
                    <a:stretch>
                      <a:fillRect/>
                    </a:stretch>
                  </pic:blipFill>
                  <pic:spPr>
                    <a:xfrm>
                      <a:off x="0" y="0"/>
                      <a:ext cx="3557270" cy="2464435"/>
                    </a:xfrm>
                    <a:prstGeom prst="rect">
                      <a:avLst/>
                    </a:prstGeom>
                    <a:noFill/>
                    <a:ln>
                      <a:noFill/>
                    </a:ln>
                  </pic:spPr>
                </pic:pic>
              </a:graphicData>
            </a:graphic>
          </wp:inline>
        </w:drawing>
      </w:r>
    </w:p>
    <w:p w14:paraId="62BC29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755D9E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drawing>
          <wp:inline distT="0" distB="0" distL="114300" distR="114300">
            <wp:extent cx="3592195" cy="2488565"/>
            <wp:effectExtent l="0" t="0" r="8255" b="6985"/>
            <wp:docPr id="23" name="图片 14" descr="10.2025福寿螺、红火蚁、假高粱等入侵生物生态防控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10.2025福寿螺、红火蚁、假高粱等入侵生物生态防控工程"/>
                    <pic:cNvPicPr>
                      <a:picLocks noChangeAspect="1"/>
                    </pic:cNvPicPr>
                  </pic:nvPicPr>
                  <pic:blipFill>
                    <a:blip r:embed="rId17"/>
                    <a:stretch>
                      <a:fillRect/>
                    </a:stretch>
                  </pic:blipFill>
                  <pic:spPr>
                    <a:xfrm>
                      <a:off x="0" y="0"/>
                      <a:ext cx="3592195" cy="2488565"/>
                    </a:xfrm>
                    <a:prstGeom prst="rect">
                      <a:avLst/>
                    </a:prstGeom>
                    <a:noFill/>
                    <a:ln>
                      <a:noFill/>
                    </a:ln>
                  </pic:spPr>
                </pic:pic>
              </a:graphicData>
            </a:graphic>
          </wp:inline>
        </w:drawing>
      </w:r>
    </w:p>
    <w:p w14:paraId="298F76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4933C7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（3）项目实施内容</w:t>
      </w:r>
    </w:p>
    <w:p w14:paraId="57F50A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根据项目实施方案划定需要调查的区域，可在调查范围内重点调查水田、水沟、池塘、河流等有水环境中有无福寿螺分布及荒地、路两侧、灌溉水渠及河堤两岸、南繁试验田、菜地田埂等有无假高粱、红火蚁分布。根据重点区域调查明确发生点、发生区和监测区范围。明确项目实施方案中的发生点、发生区和监测区。根据“预防为主，综合防治”的原则，在监测区严格预防，在发生点和发生区重点实施综合防控。在监测区严格定期监控福寿螺及假高粱、红火蚁发生情况，如有发生及时更改方案进行监测和防控；发生点和发生区内每次作业均需要进行记录，并按照要求对调查期发生情况进行测算记录；发生点内采取农业防治、物理防治、生物防治、化学防治等综合防控措施，有效控制福寿螺及假高粱、红火蚁暴发流行，保障农业生态安全。</w:t>
      </w:r>
    </w:p>
    <w:p w14:paraId="626B5F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560F33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8.</w:t>
      </w:r>
      <w:r>
        <w:rPr>
          <w:rFonts w:hint="eastAsia" w:ascii="宋体" w:hAnsi="宋体" w:eastAsia="宋体" w:cs="宋体"/>
          <w:b/>
          <w:bCs/>
          <w:color w:val="000000" w:themeColor="text1"/>
          <w:sz w:val="24"/>
          <w14:textFill>
            <w14:solidFill>
              <w14:schemeClr w14:val="tx1"/>
            </w14:solidFill>
          </w14:textFill>
        </w:rPr>
        <w:t>水稻病虫害综合防控</w:t>
      </w:r>
    </w:p>
    <w:p w14:paraId="3E830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（1）项目实施目标</w:t>
      </w:r>
    </w:p>
    <w:p w14:paraId="4A41E4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对项目区域水稻主要的病虫害进行统防统治，利用自然生态系统的调节机制来减少水稻病虫害的发生和蔓延，在保护环境和维持生物多样性的同时，实现对水稻病虫害的有效控制，同时提高农药利用率，减少面源污染。项目实施后，项目区水稻重大病虫害发生频率降低5%～10%，水稻重大病虫害发生烈度降低5%～10%，核心区的化学农药施用量，较周围农户常规使用量每年降低3%以上。</w:t>
      </w:r>
    </w:p>
    <w:p w14:paraId="2C8BD1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（2）项目实施面积及实施范围</w:t>
      </w:r>
    </w:p>
    <w:p w14:paraId="33B8DA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水稻病虫害综合防控2024年实施面积10000亩，2025年实施面积30000亩。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5DA0A7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水稻病虫害综合防控项目实施布局图</w:t>
      </w:r>
    </w:p>
    <w:p w14:paraId="7CDB2C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p>
    <w:p w14:paraId="5EC17E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Times New Roman" w:hAnsi="Times New Roman"/>
          <w:b/>
          <w:bCs/>
          <w:color w:val="000000" w:themeColor="text1"/>
          <w:highlight w:val="none"/>
          <w:lang w:val="en-US" w:eastAsia="zh-CN"/>
          <w14:textFill>
            <w14:solidFill>
              <w14:schemeClr w14:val="tx1"/>
            </w14:solidFill>
          </w14:textFill>
        </w:rPr>
      </w:pPr>
      <w:r>
        <w:rPr>
          <w:rFonts w:hint="default" w:ascii="Times New Roman" w:hAnsi="Times New Roman"/>
          <w:b/>
          <w:bCs/>
          <w:color w:val="000000" w:themeColor="text1"/>
          <w:highlight w:val="none"/>
          <w:lang w:val="en-US" w:eastAsia="zh-CN"/>
          <w14:textFill>
            <w14:solidFill>
              <w14:schemeClr w14:val="tx1"/>
            </w14:solidFill>
          </w14:textFill>
        </w:rPr>
        <w:drawing>
          <wp:inline distT="0" distB="0" distL="114300" distR="114300">
            <wp:extent cx="3834130" cy="2655570"/>
            <wp:effectExtent l="0" t="0" r="13970" b="11430"/>
            <wp:docPr id="13" name="图片 15" descr="11.2024水稻病虫害综合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11.2024水稻病虫害综合防控"/>
                    <pic:cNvPicPr>
                      <a:picLocks noChangeAspect="1"/>
                    </pic:cNvPicPr>
                  </pic:nvPicPr>
                  <pic:blipFill>
                    <a:blip r:embed="rId18"/>
                    <a:stretch>
                      <a:fillRect/>
                    </a:stretch>
                  </pic:blipFill>
                  <pic:spPr>
                    <a:xfrm>
                      <a:off x="0" y="0"/>
                      <a:ext cx="3834130" cy="2655570"/>
                    </a:xfrm>
                    <a:prstGeom prst="rect">
                      <a:avLst/>
                    </a:prstGeom>
                    <a:noFill/>
                    <a:ln>
                      <a:noFill/>
                    </a:ln>
                  </pic:spPr>
                </pic:pic>
              </a:graphicData>
            </a:graphic>
          </wp:inline>
        </w:drawing>
      </w:r>
      <w:r>
        <w:rPr>
          <w:rFonts w:hint="default" w:ascii="Times New Roman" w:hAnsi="Times New Roman"/>
          <w:b/>
          <w:bCs/>
          <w:color w:val="000000" w:themeColor="text1"/>
          <w:highlight w:val="none"/>
          <w:lang w:val="en-US" w:eastAsia="zh-CN"/>
          <w14:textFill>
            <w14:solidFill>
              <w14:schemeClr w14:val="tx1"/>
            </w14:solidFill>
          </w14:textFill>
        </w:rPr>
        <w:drawing>
          <wp:inline distT="0" distB="0" distL="114300" distR="114300">
            <wp:extent cx="3763645" cy="2606675"/>
            <wp:effectExtent l="0" t="0" r="8255" b="3175"/>
            <wp:docPr id="14" name="图片 16" descr="11.2025水稻病虫害综合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11.2025水稻病虫害综合防控"/>
                    <pic:cNvPicPr>
                      <a:picLocks noChangeAspect="1"/>
                    </pic:cNvPicPr>
                  </pic:nvPicPr>
                  <pic:blipFill>
                    <a:blip r:embed="rId19"/>
                    <a:stretch>
                      <a:fillRect/>
                    </a:stretch>
                  </pic:blipFill>
                  <pic:spPr>
                    <a:xfrm>
                      <a:off x="0" y="0"/>
                      <a:ext cx="3763645" cy="2606675"/>
                    </a:xfrm>
                    <a:prstGeom prst="rect">
                      <a:avLst/>
                    </a:prstGeom>
                    <a:noFill/>
                    <a:ln>
                      <a:noFill/>
                    </a:ln>
                  </pic:spPr>
                </pic:pic>
              </a:graphicData>
            </a:graphic>
          </wp:inline>
        </w:drawing>
      </w:r>
    </w:p>
    <w:p w14:paraId="3DFFFB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（3）项目实施内容</w:t>
      </w:r>
    </w:p>
    <w:p w14:paraId="66F4F4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病虫害是影响农业生产的重要因素之一。项目区地处华南粮食作物主要为水稻、玉米等，水稻主要防治对象有稻飞虱、稻纵卷叶螟、二化螟、三化螟等虫害，以及细菌性条斑病、白叶枯病、稻瘟病、稻曲病等病害。主要实施内容包含药剂选择、设备设施、作业方式等三方面。</w:t>
      </w:r>
    </w:p>
    <w:p w14:paraId="6C187E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通过在项目区农田利用植保无人机开展专业化生态防控水稻病虫害统防统治具有防治效果好、防治效率高、省药节本增效、安全环保、便于实施绿色防控技术等优点，有效控制农田有害生物传播为害，减少农药施用量，逐步恢复农田生态系统生物多样性。</w:t>
      </w:r>
    </w:p>
    <w:p w14:paraId="676123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37A0F9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cs="宋体"/>
          <w:b w:val="0"/>
          <w:bCs w:val="0"/>
          <w:color w:val="000000" w:themeColor="text1"/>
          <w:kern w:val="2"/>
          <w:sz w:val="24"/>
          <w:szCs w:val="24"/>
          <w:lang w:val="en-US" w:eastAsia="zh-CN" w:bidi="ar-SA"/>
          <w14:textFill>
            <w14:solidFill>
              <w14:schemeClr w14:val="tx1"/>
            </w14:solidFill>
          </w14:textFill>
        </w:rPr>
        <w:t>（5）生态防虫药剂方案</w:t>
      </w:r>
    </w:p>
    <w:tbl>
      <w:tblPr>
        <w:tblStyle w:val="10"/>
        <w:tblW w:w="7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2551"/>
        <w:gridCol w:w="1513"/>
        <w:gridCol w:w="2233"/>
      </w:tblGrid>
      <w:tr w14:paraId="731E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706" w:type="dxa"/>
            <w:gridSpan w:val="2"/>
            <w:noWrap w:val="0"/>
            <w:vAlign w:val="center"/>
          </w:tcPr>
          <w:p w14:paraId="7428FA8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lang w:val="en-US"/>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生态防虫药剂方案</w:t>
            </w:r>
          </w:p>
        </w:tc>
        <w:tc>
          <w:tcPr>
            <w:tcW w:w="1513" w:type="dxa"/>
            <w:noWrap w:val="0"/>
            <w:vAlign w:val="center"/>
          </w:tcPr>
          <w:p w14:paraId="0C08DBD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防治病虫害对象</w:t>
            </w:r>
          </w:p>
        </w:tc>
        <w:tc>
          <w:tcPr>
            <w:tcW w:w="2233" w:type="dxa"/>
            <w:noWrap w:val="0"/>
            <w:vAlign w:val="center"/>
          </w:tcPr>
          <w:p w14:paraId="270AD4FF">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备注</w:t>
            </w:r>
          </w:p>
        </w:tc>
      </w:tr>
      <w:tr w14:paraId="5048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55" w:type="dxa"/>
            <w:vMerge w:val="restart"/>
            <w:noWrap w:val="0"/>
            <w:vAlign w:val="center"/>
          </w:tcPr>
          <w:p w14:paraId="2B0A4B1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药剂方案一</w:t>
            </w:r>
          </w:p>
        </w:tc>
        <w:tc>
          <w:tcPr>
            <w:tcW w:w="2551" w:type="dxa"/>
            <w:noWrap w:val="0"/>
            <w:vAlign w:val="center"/>
          </w:tcPr>
          <w:p w14:paraId="1AE8A898">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吡蚜•呋虫胺，</w:t>
            </w:r>
            <w:r>
              <w:rPr>
                <w:rStyle w:val="21"/>
                <w:rFonts w:hint="eastAsia" w:ascii="宋体" w:hAnsi="宋体" w:eastAsia="宋体" w:cs="宋体"/>
                <w:color w:val="000000" w:themeColor="text1"/>
                <w:sz w:val="18"/>
                <w:szCs w:val="18"/>
                <w:lang w:val="en-US" w:eastAsia="zh-CN" w:bidi="ar"/>
                <w14:textFill>
                  <w14:solidFill>
                    <w14:schemeClr w14:val="tx1"/>
                  </w14:solidFill>
                </w14:textFill>
              </w:rPr>
              <w:t>20g/</w:t>
            </w:r>
            <w:r>
              <w:rPr>
                <w:rStyle w:val="22"/>
                <w:rFonts w:hint="eastAsia" w:ascii="宋体" w:hAnsi="宋体" w:eastAsia="宋体" w:cs="宋体"/>
                <w:color w:val="000000" w:themeColor="text1"/>
                <w:sz w:val="18"/>
                <w:szCs w:val="18"/>
                <w:lang w:val="en-US" w:eastAsia="zh-CN" w:bidi="ar"/>
                <w14:textFill>
                  <w14:solidFill>
                    <w14:schemeClr w14:val="tx1"/>
                  </w14:solidFill>
                </w14:textFill>
              </w:rPr>
              <w:t>亩。</w:t>
            </w:r>
          </w:p>
        </w:tc>
        <w:tc>
          <w:tcPr>
            <w:tcW w:w="1513" w:type="dxa"/>
            <w:noWrap w:val="0"/>
            <w:vAlign w:val="center"/>
          </w:tcPr>
          <w:p w14:paraId="03E498EA">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稻飞虱</w:t>
            </w:r>
          </w:p>
        </w:tc>
        <w:tc>
          <w:tcPr>
            <w:tcW w:w="2233" w:type="dxa"/>
            <w:vMerge w:val="restart"/>
            <w:noWrap w:val="0"/>
            <w:vAlign w:val="center"/>
          </w:tcPr>
          <w:p w14:paraId="1D98F695">
            <w:pPr>
              <w:keepNext w:val="0"/>
              <w:keepLines w:val="0"/>
              <w:widowControl/>
              <w:numPr>
                <w:ilvl w:val="0"/>
                <w:numId w:val="0"/>
              </w:numPr>
              <w:suppressLineNumbers w:val="0"/>
              <w:jc w:val="both"/>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根据水稻病虫害实际发生情况，三种药剂方案组合选择一种方案实施（水稻病虫害实际发生情况适当调整药剂组合方案和用量）；根据《植物保护统计与方法》，一次用药量兼防多种有害生物时，凡针对不同对象自行加入相应防治农药混配防治的，要分别统计防治面积，即1亩防治两种病虫害靶标时防治的实际统计面积为2亩次；</w:t>
            </w:r>
          </w:p>
          <w:p w14:paraId="6069076A">
            <w:pPr>
              <w:keepNext w:val="0"/>
              <w:keepLines w:val="0"/>
              <w:widowControl/>
              <w:numPr>
                <w:ilvl w:val="0"/>
                <w:numId w:val="0"/>
              </w:numPr>
              <w:suppressLineNumbers w:val="0"/>
              <w:jc w:val="both"/>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2.根据需要选用药剂，单次用药不超2种。</w:t>
            </w:r>
          </w:p>
        </w:tc>
      </w:tr>
      <w:tr w14:paraId="12B1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55" w:type="dxa"/>
            <w:vMerge w:val="continue"/>
            <w:noWrap w:val="0"/>
            <w:vAlign w:val="center"/>
          </w:tcPr>
          <w:p w14:paraId="0BEF6188">
            <w:pPr>
              <w:jc w:val="center"/>
              <w:rPr>
                <w:rFonts w:hint="eastAsia" w:ascii="宋体" w:hAnsi="宋体" w:eastAsia="宋体" w:cs="宋体"/>
                <w:b/>
                <w:bCs/>
                <w:i w:val="0"/>
                <w:iCs w:val="0"/>
                <w:color w:val="000000" w:themeColor="text1"/>
                <w:sz w:val="18"/>
                <w:szCs w:val="18"/>
                <w:u w:val="none"/>
                <w14:textFill>
                  <w14:solidFill>
                    <w14:schemeClr w14:val="tx1"/>
                  </w14:solidFill>
                </w14:textFill>
              </w:rPr>
            </w:pPr>
          </w:p>
        </w:tc>
        <w:tc>
          <w:tcPr>
            <w:tcW w:w="2551" w:type="dxa"/>
            <w:noWrap w:val="0"/>
            <w:vAlign w:val="center"/>
          </w:tcPr>
          <w:p w14:paraId="4D74DC5C">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亿</w:t>
            </w:r>
            <w:r>
              <w:rPr>
                <w:rStyle w:val="21"/>
                <w:rFonts w:hint="eastAsia" w:ascii="宋体" w:hAnsi="宋体" w:eastAsia="宋体" w:cs="宋体"/>
                <w:color w:val="000000" w:themeColor="text1"/>
                <w:sz w:val="18"/>
                <w:szCs w:val="18"/>
                <w:lang w:val="en-US" w:eastAsia="zh-CN" w:bidi="ar"/>
                <w14:textFill>
                  <w14:solidFill>
                    <w14:schemeClr w14:val="tx1"/>
                  </w14:solidFill>
                </w14:textFill>
              </w:rPr>
              <w:t>PIB/</w:t>
            </w:r>
            <w:r>
              <w:rPr>
                <w:rStyle w:val="22"/>
                <w:rFonts w:hint="eastAsia" w:ascii="宋体" w:hAnsi="宋体" w:eastAsia="宋体" w:cs="宋体"/>
                <w:color w:val="000000" w:themeColor="text1"/>
                <w:sz w:val="18"/>
                <w:szCs w:val="18"/>
                <w:lang w:val="en-US" w:eastAsia="zh-CN" w:bidi="ar"/>
                <w14:textFill>
                  <w14:solidFill>
                    <w14:schemeClr w14:val="tx1"/>
                  </w14:solidFill>
                </w14:textFill>
              </w:rPr>
              <w:t>毫升棉铃虫核型多角体病毒，</w:t>
            </w:r>
            <w:r>
              <w:rPr>
                <w:rStyle w:val="21"/>
                <w:rFonts w:hint="eastAsia" w:ascii="宋体" w:hAnsi="宋体" w:eastAsia="宋体" w:cs="宋体"/>
                <w:color w:val="000000" w:themeColor="text1"/>
                <w:sz w:val="18"/>
                <w:szCs w:val="18"/>
                <w:lang w:val="en-US" w:eastAsia="zh-CN" w:bidi="ar"/>
                <w14:textFill>
                  <w14:solidFill>
                    <w14:schemeClr w14:val="tx1"/>
                  </w14:solidFill>
                </w14:textFill>
              </w:rPr>
              <w:t>110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ML/亩。</w:t>
            </w:r>
          </w:p>
        </w:tc>
        <w:tc>
          <w:tcPr>
            <w:tcW w:w="1513" w:type="dxa"/>
            <w:noWrap w:val="0"/>
            <w:vAlign w:val="center"/>
          </w:tcPr>
          <w:p w14:paraId="58E52FE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稻纵卷叶螟</w:t>
            </w:r>
          </w:p>
        </w:tc>
        <w:tc>
          <w:tcPr>
            <w:tcW w:w="2233" w:type="dxa"/>
            <w:vMerge w:val="continue"/>
            <w:noWrap w:val="0"/>
            <w:vAlign w:val="center"/>
          </w:tcPr>
          <w:p w14:paraId="3AFEE05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303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55" w:type="dxa"/>
            <w:vMerge w:val="restart"/>
            <w:noWrap w:val="0"/>
            <w:vAlign w:val="center"/>
          </w:tcPr>
          <w:p w14:paraId="42EF354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药剂方案二</w:t>
            </w:r>
          </w:p>
        </w:tc>
        <w:tc>
          <w:tcPr>
            <w:tcW w:w="2551" w:type="dxa"/>
            <w:noWrap w:val="0"/>
            <w:vAlign w:val="center"/>
          </w:tcPr>
          <w:p w14:paraId="3B8E7B0C">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亿</w:t>
            </w:r>
            <w:r>
              <w:rPr>
                <w:rStyle w:val="21"/>
                <w:rFonts w:hint="eastAsia" w:ascii="宋体" w:hAnsi="宋体" w:eastAsia="宋体" w:cs="宋体"/>
                <w:color w:val="000000" w:themeColor="text1"/>
                <w:sz w:val="18"/>
                <w:szCs w:val="18"/>
                <w:lang w:val="en-US" w:eastAsia="zh-CN" w:bidi="ar"/>
                <w14:textFill>
                  <w14:solidFill>
                    <w14:schemeClr w14:val="tx1"/>
                  </w14:solidFill>
                </w14:textFill>
              </w:rPr>
              <w:t>PIB/</w:t>
            </w:r>
            <w:r>
              <w:rPr>
                <w:rStyle w:val="22"/>
                <w:rFonts w:hint="eastAsia" w:ascii="宋体" w:hAnsi="宋体" w:eastAsia="宋体" w:cs="宋体"/>
                <w:color w:val="000000" w:themeColor="text1"/>
                <w:sz w:val="18"/>
                <w:szCs w:val="18"/>
                <w:lang w:val="en-US" w:eastAsia="zh-CN" w:bidi="ar"/>
                <w14:textFill>
                  <w14:solidFill>
                    <w14:schemeClr w14:val="tx1"/>
                  </w14:solidFill>
                </w14:textFill>
              </w:rPr>
              <w:t>毫升棉铃虫核型多角体病毒，</w:t>
            </w:r>
            <w:r>
              <w:rPr>
                <w:rStyle w:val="21"/>
                <w:rFonts w:hint="eastAsia" w:ascii="宋体" w:hAnsi="宋体" w:eastAsia="宋体" w:cs="宋体"/>
                <w:color w:val="000000" w:themeColor="text1"/>
                <w:sz w:val="18"/>
                <w:szCs w:val="18"/>
                <w:lang w:val="en-US" w:eastAsia="zh-CN" w:bidi="ar"/>
                <w14:textFill>
                  <w14:solidFill>
                    <w14:schemeClr w14:val="tx1"/>
                  </w14:solidFill>
                </w14:textFill>
              </w:rPr>
              <w:t>110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ML/亩。</w:t>
            </w:r>
          </w:p>
        </w:tc>
        <w:tc>
          <w:tcPr>
            <w:tcW w:w="1513" w:type="dxa"/>
            <w:noWrap w:val="0"/>
            <w:vAlign w:val="center"/>
          </w:tcPr>
          <w:p w14:paraId="411F3872">
            <w:pPr>
              <w:keepNext w:val="0"/>
              <w:keepLines w:val="0"/>
              <w:widowControl/>
              <w:suppressLineNumbers w:val="0"/>
              <w:ind w:firstLine="180" w:firstLineChars="100"/>
              <w:jc w:val="both"/>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稻纵卷叶螟</w:t>
            </w:r>
          </w:p>
        </w:tc>
        <w:tc>
          <w:tcPr>
            <w:tcW w:w="2233" w:type="dxa"/>
            <w:vMerge w:val="continue"/>
            <w:noWrap w:val="0"/>
            <w:vAlign w:val="center"/>
          </w:tcPr>
          <w:p w14:paraId="54AB9971">
            <w:pPr>
              <w:keepNext w:val="0"/>
              <w:keepLines w:val="0"/>
              <w:widowControl/>
              <w:suppressLineNumbers w:val="0"/>
              <w:ind w:firstLine="555"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19B6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55" w:type="dxa"/>
            <w:vMerge w:val="continue"/>
            <w:noWrap w:val="0"/>
            <w:vAlign w:val="center"/>
          </w:tcPr>
          <w:p w14:paraId="56B648BA">
            <w:pPr>
              <w:jc w:val="center"/>
              <w:rPr>
                <w:rFonts w:hint="eastAsia" w:ascii="宋体" w:hAnsi="宋体" w:eastAsia="宋体" w:cs="宋体"/>
                <w:b/>
                <w:bCs/>
                <w:i w:val="0"/>
                <w:iCs w:val="0"/>
                <w:color w:val="000000" w:themeColor="text1"/>
                <w:sz w:val="18"/>
                <w:szCs w:val="18"/>
                <w:u w:val="none"/>
                <w14:textFill>
                  <w14:solidFill>
                    <w14:schemeClr w14:val="tx1"/>
                  </w14:solidFill>
                </w14:textFill>
              </w:rPr>
            </w:pPr>
          </w:p>
        </w:tc>
        <w:tc>
          <w:tcPr>
            <w:tcW w:w="2551" w:type="dxa"/>
            <w:noWrap w:val="0"/>
            <w:vAlign w:val="center"/>
          </w:tcPr>
          <w:p w14:paraId="05AFA95F">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噻森铜，</w:t>
            </w:r>
            <w:r>
              <w:rPr>
                <w:rStyle w:val="21"/>
                <w:rFonts w:hint="eastAsia" w:ascii="宋体" w:hAnsi="宋体" w:eastAsia="宋体" w:cs="宋体"/>
                <w:color w:val="000000" w:themeColor="text1"/>
                <w:sz w:val="18"/>
                <w:szCs w:val="18"/>
                <w:lang w:val="en-US" w:eastAsia="zh-CN" w:bidi="ar"/>
                <w14:textFill>
                  <w14:solidFill>
                    <w14:schemeClr w14:val="tx1"/>
                  </w14:solidFill>
                </w14:textFill>
              </w:rPr>
              <w:t>70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ML/亩。</w:t>
            </w:r>
          </w:p>
        </w:tc>
        <w:tc>
          <w:tcPr>
            <w:tcW w:w="1513" w:type="dxa"/>
            <w:noWrap w:val="0"/>
            <w:vAlign w:val="center"/>
          </w:tcPr>
          <w:p w14:paraId="78CBC7C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细菌性条斑病</w:t>
            </w:r>
          </w:p>
        </w:tc>
        <w:tc>
          <w:tcPr>
            <w:tcW w:w="2233" w:type="dxa"/>
            <w:vMerge w:val="continue"/>
            <w:noWrap w:val="0"/>
            <w:vAlign w:val="center"/>
          </w:tcPr>
          <w:p w14:paraId="7435271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712C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55" w:type="dxa"/>
            <w:vMerge w:val="restart"/>
            <w:noWrap w:val="0"/>
            <w:vAlign w:val="center"/>
          </w:tcPr>
          <w:p w14:paraId="5564E32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药剂方案三</w:t>
            </w:r>
          </w:p>
        </w:tc>
        <w:tc>
          <w:tcPr>
            <w:tcW w:w="2551" w:type="dxa"/>
            <w:noWrap w:val="0"/>
            <w:vAlign w:val="center"/>
          </w:tcPr>
          <w:p w14:paraId="777AA004">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12%中生菌素，33g/亩。</w:t>
            </w:r>
          </w:p>
        </w:tc>
        <w:tc>
          <w:tcPr>
            <w:tcW w:w="1513" w:type="dxa"/>
            <w:noWrap w:val="0"/>
            <w:vAlign w:val="center"/>
          </w:tcPr>
          <w:p w14:paraId="7899783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白叶枯病</w:t>
            </w:r>
          </w:p>
        </w:tc>
        <w:tc>
          <w:tcPr>
            <w:tcW w:w="2233" w:type="dxa"/>
            <w:vMerge w:val="continue"/>
            <w:noWrap w:val="0"/>
            <w:vAlign w:val="center"/>
          </w:tcPr>
          <w:p w14:paraId="4D0FED9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2E97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noWrap w:val="0"/>
            <w:vAlign w:val="center"/>
          </w:tcPr>
          <w:p w14:paraId="6DBF244B">
            <w:pPr>
              <w:jc w:val="center"/>
              <w:rPr>
                <w:rFonts w:hint="eastAsia" w:ascii="宋体" w:hAnsi="宋体" w:eastAsia="宋体" w:cs="宋体"/>
                <w:b/>
                <w:bCs/>
                <w:i w:val="0"/>
                <w:iCs w:val="0"/>
                <w:color w:val="000000" w:themeColor="text1"/>
                <w:sz w:val="18"/>
                <w:szCs w:val="18"/>
                <w:u w:val="none"/>
                <w14:textFill>
                  <w14:solidFill>
                    <w14:schemeClr w14:val="tx1"/>
                  </w14:solidFill>
                </w14:textFill>
              </w:rPr>
            </w:pPr>
          </w:p>
        </w:tc>
        <w:tc>
          <w:tcPr>
            <w:tcW w:w="2551" w:type="dxa"/>
            <w:noWrap w:val="0"/>
            <w:vAlign w:val="center"/>
          </w:tcPr>
          <w:p w14:paraId="5E01C8B9">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r>
              <w:rPr>
                <w:rStyle w:val="22"/>
                <w:rFonts w:hint="eastAsia" w:ascii="宋体" w:hAnsi="宋体" w:eastAsia="宋体" w:cs="宋体"/>
                <w:color w:val="000000" w:themeColor="text1"/>
                <w:sz w:val="18"/>
                <w:szCs w:val="18"/>
                <w:lang w:val="en-US" w:eastAsia="zh-CN" w:bidi="ar"/>
                <w14:textFill>
                  <w14:solidFill>
                    <w14:schemeClr w14:val="tx1"/>
                  </w14:solidFill>
                </w14:textFill>
              </w:rPr>
              <w:t>噻森铜，70ML/亩。</w:t>
            </w:r>
          </w:p>
        </w:tc>
        <w:tc>
          <w:tcPr>
            <w:tcW w:w="1513" w:type="dxa"/>
            <w:noWrap w:val="0"/>
            <w:vAlign w:val="center"/>
          </w:tcPr>
          <w:p w14:paraId="4BF4B21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细菌性条斑病</w:t>
            </w:r>
          </w:p>
        </w:tc>
        <w:tc>
          <w:tcPr>
            <w:tcW w:w="2233" w:type="dxa"/>
            <w:vMerge w:val="continue"/>
            <w:noWrap w:val="0"/>
            <w:vAlign w:val="center"/>
          </w:tcPr>
          <w:p w14:paraId="5E604A3D">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F98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55" w:type="dxa"/>
            <w:vMerge w:val="restart"/>
            <w:noWrap w:val="0"/>
            <w:vAlign w:val="center"/>
          </w:tcPr>
          <w:p w14:paraId="177346D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药剂方案四</w:t>
            </w:r>
          </w:p>
        </w:tc>
        <w:tc>
          <w:tcPr>
            <w:tcW w:w="2551" w:type="dxa"/>
            <w:noWrap w:val="0"/>
            <w:vAlign w:val="center"/>
          </w:tcPr>
          <w:p w14:paraId="4C9BF90E">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70%吡蚜•呋虫胺，20g/亩</w:t>
            </w:r>
          </w:p>
        </w:tc>
        <w:tc>
          <w:tcPr>
            <w:tcW w:w="1513" w:type="dxa"/>
            <w:noWrap w:val="0"/>
            <w:vAlign w:val="center"/>
          </w:tcPr>
          <w:p w14:paraId="1D152A0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稻飞虱</w:t>
            </w:r>
          </w:p>
        </w:tc>
        <w:tc>
          <w:tcPr>
            <w:tcW w:w="2233" w:type="dxa"/>
            <w:vMerge w:val="continue"/>
            <w:noWrap w:val="0"/>
            <w:vAlign w:val="center"/>
          </w:tcPr>
          <w:p w14:paraId="4EDB47A0">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0B8A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55" w:type="dxa"/>
            <w:vMerge w:val="continue"/>
            <w:noWrap w:val="0"/>
            <w:vAlign w:val="center"/>
          </w:tcPr>
          <w:p w14:paraId="5ADE9EE5">
            <w:pPr>
              <w:jc w:val="center"/>
              <w:rPr>
                <w:rFonts w:hint="eastAsia" w:ascii="宋体" w:hAnsi="宋体" w:eastAsia="宋体" w:cs="宋体"/>
                <w:b/>
                <w:bCs/>
                <w:i w:val="0"/>
                <w:iCs w:val="0"/>
                <w:color w:val="000000" w:themeColor="text1"/>
                <w:sz w:val="18"/>
                <w:szCs w:val="18"/>
                <w:u w:val="none"/>
                <w14:textFill>
                  <w14:solidFill>
                    <w14:schemeClr w14:val="tx1"/>
                  </w14:solidFill>
                </w14:textFill>
              </w:rPr>
            </w:pPr>
          </w:p>
        </w:tc>
        <w:tc>
          <w:tcPr>
            <w:tcW w:w="2551" w:type="dxa"/>
            <w:noWrap w:val="0"/>
            <w:vAlign w:val="center"/>
          </w:tcPr>
          <w:p w14:paraId="300AFB3C">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12%中生菌素 33g/亩。</w:t>
            </w:r>
          </w:p>
        </w:tc>
        <w:tc>
          <w:tcPr>
            <w:tcW w:w="1513" w:type="dxa"/>
            <w:noWrap w:val="0"/>
            <w:vAlign w:val="center"/>
          </w:tcPr>
          <w:p w14:paraId="6798C39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白叶枯病</w:t>
            </w:r>
          </w:p>
        </w:tc>
        <w:tc>
          <w:tcPr>
            <w:tcW w:w="2233" w:type="dxa"/>
            <w:vMerge w:val="continue"/>
            <w:noWrap w:val="0"/>
            <w:vAlign w:val="center"/>
          </w:tcPr>
          <w:p w14:paraId="2BA96221">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7143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55" w:type="dxa"/>
            <w:vMerge w:val="restart"/>
            <w:noWrap w:val="0"/>
            <w:vAlign w:val="center"/>
          </w:tcPr>
          <w:p w14:paraId="62E50DD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药剂方案五</w:t>
            </w:r>
          </w:p>
        </w:tc>
        <w:tc>
          <w:tcPr>
            <w:tcW w:w="2551" w:type="dxa"/>
            <w:noWrap w:val="0"/>
            <w:vAlign w:val="center"/>
          </w:tcPr>
          <w:p w14:paraId="63F5C5A8">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70%吡蚜•呋虫胺，20g/亩。</w:t>
            </w:r>
          </w:p>
        </w:tc>
        <w:tc>
          <w:tcPr>
            <w:tcW w:w="1513" w:type="dxa"/>
            <w:noWrap w:val="0"/>
            <w:vAlign w:val="center"/>
          </w:tcPr>
          <w:p w14:paraId="5FDE3E44">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稻飞虱</w:t>
            </w:r>
          </w:p>
        </w:tc>
        <w:tc>
          <w:tcPr>
            <w:tcW w:w="2233" w:type="dxa"/>
            <w:vMerge w:val="continue"/>
            <w:noWrap w:val="0"/>
            <w:vAlign w:val="center"/>
          </w:tcPr>
          <w:p w14:paraId="1E26CD1F">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760A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55" w:type="dxa"/>
            <w:vMerge w:val="continue"/>
            <w:noWrap w:val="0"/>
            <w:vAlign w:val="center"/>
          </w:tcPr>
          <w:p w14:paraId="11CE9EBD">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551" w:type="dxa"/>
            <w:noWrap w:val="0"/>
            <w:vAlign w:val="center"/>
          </w:tcPr>
          <w:p w14:paraId="3D3765CE">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12%中生菌素，33g/亩。</w:t>
            </w:r>
          </w:p>
        </w:tc>
        <w:tc>
          <w:tcPr>
            <w:tcW w:w="1513" w:type="dxa"/>
            <w:noWrap w:val="0"/>
            <w:vAlign w:val="center"/>
          </w:tcPr>
          <w:p w14:paraId="700CED4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细菌性条斑病</w:t>
            </w:r>
          </w:p>
        </w:tc>
        <w:tc>
          <w:tcPr>
            <w:tcW w:w="2233" w:type="dxa"/>
            <w:vMerge w:val="continue"/>
            <w:noWrap w:val="0"/>
            <w:vAlign w:val="center"/>
          </w:tcPr>
          <w:p w14:paraId="09CBCDA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5AF9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55" w:type="dxa"/>
            <w:vMerge w:val="restart"/>
            <w:noWrap w:val="0"/>
            <w:vAlign w:val="center"/>
          </w:tcPr>
          <w:p w14:paraId="223A64E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药剂方案六</w:t>
            </w:r>
          </w:p>
        </w:tc>
        <w:tc>
          <w:tcPr>
            <w:tcW w:w="2551" w:type="dxa"/>
            <w:noWrap w:val="0"/>
            <w:vAlign w:val="center"/>
          </w:tcPr>
          <w:p w14:paraId="3FBC1A17">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10%阿维菌素，65ML/亩。</w:t>
            </w:r>
          </w:p>
        </w:tc>
        <w:tc>
          <w:tcPr>
            <w:tcW w:w="1513" w:type="dxa"/>
            <w:noWrap w:val="0"/>
            <w:vAlign w:val="center"/>
          </w:tcPr>
          <w:p w14:paraId="7E93829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稻纵卷叶螟</w:t>
            </w:r>
          </w:p>
        </w:tc>
        <w:tc>
          <w:tcPr>
            <w:tcW w:w="2233" w:type="dxa"/>
            <w:vMerge w:val="continue"/>
            <w:noWrap w:val="0"/>
            <w:vAlign w:val="center"/>
          </w:tcPr>
          <w:p w14:paraId="54AE94D6">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r w14:paraId="18A8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55" w:type="dxa"/>
            <w:vMerge w:val="continue"/>
            <w:noWrap w:val="0"/>
            <w:vAlign w:val="center"/>
          </w:tcPr>
          <w:p w14:paraId="609093E0">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2551" w:type="dxa"/>
            <w:noWrap w:val="0"/>
            <w:vAlign w:val="center"/>
          </w:tcPr>
          <w:p w14:paraId="13CA758B">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12%中生菌素，33g/亩。</w:t>
            </w:r>
          </w:p>
        </w:tc>
        <w:tc>
          <w:tcPr>
            <w:tcW w:w="1513" w:type="dxa"/>
            <w:noWrap w:val="0"/>
            <w:vAlign w:val="center"/>
          </w:tcPr>
          <w:p w14:paraId="376A4489">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白叶枯病</w:t>
            </w:r>
          </w:p>
        </w:tc>
        <w:tc>
          <w:tcPr>
            <w:tcW w:w="2233" w:type="dxa"/>
            <w:vMerge w:val="continue"/>
            <w:noWrap w:val="0"/>
            <w:vAlign w:val="center"/>
          </w:tcPr>
          <w:p w14:paraId="0940ECFC">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r>
    </w:tbl>
    <w:p w14:paraId="7C05FB4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p>
    <w:p w14:paraId="79E7AFAB">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9.瓜菜、玉米病虫害综合防控</w:t>
      </w:r>
    </w:p>
    <w:p w14:paraId="76B2A4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1BC1B85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以瓜菜、玉米为靶标作物，在项目实施前期进行充分调研，对拟作业区域的瓜菜、玉米、的种植情况，作物的生长情况、虫害发生情况进行信息收集，针对不同生长时期，不同的防治对象，对该区主要瓜菜、玉米等虫害发生情况选择药剂方案，开展植保无人机统防统治。利用生物农药来减少瓜菜、玉米的虫害的发生和蔓延，在保护环境和维持生物多样性的同时，实现对虫害的有效控制。项目实施后防治区玉米、瓜菜主要病虫害不发生重大危害。</w:t>
      </w:r>
    </w:p>
    <w:p w14:paraId="4729A02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（2）项目实施面积及实施范围</w:t>
      </w:r>
    </w:p>
    <w:p w14:paraId="03732FF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瓜菜、玉米病虫害综合防控2024年实施面积6500亩，2025年实施面积8000亩。原则上需在划定区域内实施，在实施过程中，可根据农业生产实际情况确定实施地块。</w:t>
      </w:r>
    </w:p>
    <w:p w14:paraId="5EB2411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14:paraId="764185C8">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瓜菜、玉米病虫害综合防控项目实施布局图</w:t>
      </w:r>
    </w:p>
    <w:p w14:paraId="3593C5A3">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p>
    <w:p w14:paraId="66EB3B0E">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highlight w:val="none"/>
          <w:lang w:val="en-US" w:eastAsia="zh-CN"/>
          <w14:textFill>
            <w14:solidFill>
              <w14:schemeClr w14:val="tx1"/>
            </w14:solidFill>
          </w14:textFill>
        </w:rPr>
        <w:drawing>
          <wp:inline distT="0" distB="0" distL="114300" distR="114300">
            <wp:extent cx="4171315" cy="2889250"/>
            <wp:effectExtent l="0" t="0" r="635" b="6350"/>
            <wp:docPr id="19" name="图片 17"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C:/Users/Administrator/Desktop/1.jpg1"/>
                    <pic:cNvPicPr>
                      <a:picLocks noChangeAspect="1"/>
                    </pic:cNvPicPr>
                  </pic:nvPicPr>
                  <pic:blipFill>
                    <a:blip r:embed="rId20"/>
                    <a:srcRect l="21" r="21"/>
                    <a:stretch>
                      <a:fillRect/>
                    </a:stretch>
                  </pic:blipFill>
                  <pic:spPr>
                    <a:xfrm>
                      <a:off x="0" y="0"/>
                      <a:ext cx="4171315" cy="2889250"/>
                    </a:xfrm>
                    <a:prstGeom prst="rect">
                      <a:avLst/>
                    </a:prstGeom>
                    <a:noFill/>
                    <a:ln>
                      <a:noFill/>
                    </a:ln>
                  </pic:spPr>
                </pic:pic>
              </a:graphicData>
            </a:graphic>
          </wp:inline>
        </w:drawing>
      </w:r>
      <w:r>
        <w:rPr>
          <w:rFonts w:hint="eastAsia" w:ascii="宋体" w:hAnsi="宋体" w:eastAsia="宋体" w:cs="宋体"/>
          <w:color w:val="000000" w:themeColor="text1"/>
          <w:sz w:val="24"/>
          <w:szCs w:val="24"/>
          <w:highlight w:val="none"/>
          <w:lang w:val="en-US" w:eastAsia="zh-CN"/>
          <w14:textFill>
            <w14:solidFill>
              <w14:schemeClr w14:val="tx1"/>
            </w14:solidFill>
          </w14:textFill>
        </w:rPr>
        <w:drawing>
          <wp:inline distT="0" distB="0" distL="114300" distR="114300">
            <wp:extent cx="3832225" cy="2654300"/>
            <wp:effectExtent l="0" t="0" r="15875" b="12700"/>
            <wp:docPr id="20" name="图片 18" descr="12.2025瓜菜、玉米病虫害综合防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2.2025瓜菜、玉米病虫害综合防控"/>
                    <pic:cNvPicPr>
                      <a:picLocks noChangeAspect="1"/>
                    </pic:cNvPicPr>
                  </pic:nvPicPr>
                  <pic:blipFill>
                    <a:blip r:embed="rId21"/>
                    <a:stretch>
                      <a:fillRect/>
                    </a:stretch>
                  </pic:blipFill>
                  <pic:spPr>
                    <a:xfrm>
                      <a:off x="0" y="0"/>
                      <a:ext cx="3832225" cy="2654300"/>
                    </a:xfrm>
                    <a:prstGeom prst="rect">
                      <a:avLst/>
                    </a:prstGeom>
                    <a:noFill/>
                    <a:ln>
                      <a:noFill/>
                    </a:ln>
                  </pic:spPr>
                </pic:pic>
              </a:graphicData>
            </a:graphic>
          </wp:inline>
        </w:drawing>
      </w:r>
    </w:p>
    <w:p w14:paraId="05861C54">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（3）项目实施内容</w:t>
      </w:r>
    </w:p>
    <w:p w14:paraId="40C1B063">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项目区冬季瓜菜类的主要防治对象有蓟马、斑潜蝇、豆荚螟、蚜虫、粉虱等虫害，以及疫病、枯萎病、锈病等病害。项目实施前期进行充分调研，对拟作业区域的农田作物生长情况、病虫害发病情况进行信息收集，针对不同生长时期，不同的防治对象，对该区主要种植作物病虫害发生情况选择生物药剂方案，开展植保无人机统防统治。</w:t>
      </w:r>
    </w:p>
    <w:p w14:paraId="7BC7BD0C">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522517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t>10.</w:t>
      </w:r>
      <w:r>
        <w:rPr>
          <w:rFonts w:hint="eastAsia" w:ascii="宋体" w:hAnsi="宋体" w:eastAsia="宋体" w:cs="宋体"/>
          <w:b/>
          <w:bCs w:val="0"/>
          <w:color w:val="000000" w:themeColor="text1"/>
          <w:sz w:val="24"/>
          <w:szCs w:val="24"/>
          <w:lang w:eastAsia="zh-CN"/>
          <w14:textFill>
            <w14:solidFill>
              <w14:schemeClr w14:val="tx1"/>
            </w14:solidFill>
          </w14:textFill>
        </w:rPr>
        <w:t>豇豆种植地覆盖防虫网项目</w:t>
      </w:r>
    </w:p>
    <w:p w14:paraId="1A8C4B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7E7F0C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南繁基地核心区豇豆种植区应用“防虫网+”绿色防控技术，进一步巩固生态防控效果。项目实施后，化学农药施用量显著降低。</w:t>
      </w:r>
    </w:p>
    <w:p w14:paraId="312856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5C7862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豇豆种植地覆盖防虫网项目</w:t>
      </w:r>
      <w:r>
        <w:rPr>
          <w:rFonts w:hint="eastAsia" w:ascii="宋体" w:hAnsi="宋体" w:eastAsia="宋体" w:cs="宋体"/>
          <w:b w:val="0"/>
          <w:bCs/>
          <w:color w:val="000000" w:themeColor="text1"/>
          <w:sz w:val="24"/>
          <w:szCs w:val="24"/>
          <w:lang w:val="en-US" w:eastAsia="zh-CN"/>
          <w14:textFill>
            <w14:solidFill>
              <w14:schemeClr w14:val="tx1"/>
            </w14:solidFill>
          </w14:textFill>
        </w:rPr>
        <w:t>2024年实施面积1500亩，其中包括2023年已采购使用且</w:t>
      </w:r>
      <w:r>
        <w:rPr>
          <w:rFonts w:hint="eastAsia" w:ascii="宋体" w:hAnsi="宋体" w:cs="宋体"/>
          <w:b w:val="0"/>
          <w:bCs/>
          <w:color w:val="000000" w:themeColor="text1"/>
          <w:sz w:val="24"/>
          <w:szCs w:val="24"/>
          <w:lang w:val="en-US" w:eastAsia="zh-CN"/>
          <w14:textFill>
            <w14:solidFill>
              <w14:schemeClr w14:val="tx1"/>
            </w14:solidFill>
          </w14:textFill>
        </w:rPr>
        <w:t>2024年继续</w:t>
      </w:r>
      <w:r>
        <w:rPr>
          <w:rFonts w:hint="eastAsia" w:ascii="宋体" w:hAnsi="宋体" w:eastAsia="宋体" w:cs="宋体"/>
          <w:b w:val="0"/>
          <w:bCs/>
          <w:color w:val="000000" w:themeColor="text1"/>
          <w:sz w:val="24"/>
          <w:szCs w:val="24"/>
          <w:lang w:val="en-US" w:eastAsia="zh-CN"/>
          <w14:textFill>
            <w14:solidFill>
              <w14:schemeClr w14:val="tx1"/>
            </w14:solidFill>
          </w14:textFill>
        </w:rPr>
        <w:t>使用面积1200亩，2024年新增300亩。</w:t>
      </w:r>
      <w:r>
        <w:rPr>
          <w:rFonts w:hint="eastAsia" w:ascii="宋体" w:hAnsi="宋体" w:eastAsia="宋体" w:cs="宋体"/>
          <w:color w:val="000000" w:themeColor="text1"/>
          <w:sz w:val="24"/>
          <w:szCs w:val="24"/>
          <w:lang w:val="en-US" w:eastAsia="zh-CN"/>
          <w14:textFill>
            <w14:solidFill>
              <w14:schemeClr w14:val="tx1"/>
            </w14:solidFill>
          </w14:textFill>
        </w:rPr>
        <w:t>原则上需在划定区域内实施，在实施过程中，可根据农业生产实际情况确定实施地块。</w:t>
      </w:r>
    </w:p>
    <w:p w14:paraId="7C916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4888667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豇豆种植地覆盖防虫网项目</w:t>
      </w:r>
      <w:r>
        <w:rPr>
          <w:rFonts w:hint="eastAsia" w:ascii="宋体" w:hAnsi="宋体" w:eastAsia="宋体" w:cs="宋体"/>
          <w:b/>
          <w:bCs w:val="0"/>
          <w:color w:val="000000" w:themeColor="text1"/>
          <w:sz w:val="24"/>
          <w:szCs w:val="24"/>
          <w:lang w:val="en-US" w:eastAsia="zh-CN"/>
          <w14:textFill>
            <w14:solidFill>
              <w14:schemeClr w14:val="tx1"/>
            </w14:solidFill>
          </w14:textFill>
        </w:rPr>
        <w:t>实施布局图</w:t>
      </w:r>
    </w:p>
    <w:p w14:paraId="3EE7A3A8">
      <w:pPr>
        <w:jc w:val="center"/>
        <w:rPr>
          <w:rFonts w:hint="eastAsia" w:ascii="Times New Roman" w:hAnsi="Times New Roman" w:eastAsia="黑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1"/>
          <w:szCs w:val="21"/>
          <w:highlight w:val="none"/>
          <w:lang w:val="en-US" w:eastAsia="zh-CN"/>
          <w14:textFill>
            <w14:solidFill>
              <w14:schemeClr w14:val="tx1"/>
            </w14:solidFill>
          </w14:textFill>
        </w:rPr>
        <w:drawing>
          <wp:inline distT="0" distB="0" distL="114300" distR="114300">
            <wp:extent cx="4049395" cy="2804795"/>
            <wp:effectExtent l="0" t="0" r="8255" b="14605"/>
            <wp:docPr id="24" name="图片 19"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C:/Users/Administrator/Desktop/1.jpg1"/>
                    <pic:cNvPicPr>
                      <a:picLocks noChangeAspect="1"/>
                    </pic:cNvPicPr>
                  </pic:nvPicPr>
                  <pic:blipFill>
                    <a:blip r:embed="rId20"/>
                    <a:srcRect l="23" r="23"/>
                    <a:stretch>
                      <a:fillRect/>
                    </a:stretch>
                  </pic:blipFill>
                  <pic:spPr>
                    <a:xfrm>
                      <a:off x="0" y="0"/>
                      <a:ext cx="4049395" cy="2804795"/>
                    </a:xfrm>
                    <a:prstGeom prst="rect">
                      <a:avLst/>
                    </a:prstGeom>
                    <a:noFill/>
                    <a:ln>
                      <a:noFill/>
                    </a:ln>
                  </pic:spPr>
                </pic:pic>
              </a:graphicData>
            </a:graphic>
          </wp:inline>
        </w:drawing>
      </w:r>
    </w:p>
    <w:p w14:paraId="6E3BA7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w:t>
      </w:r>
      <w:r>
        <w:rPr>
          <w:rFonts w:hint="eastAsia" w:ascii="宋体" w:hAnsi="宋体" w:cs="宋体"/>
          <w:color w:val="000000" w:themeColor="text1"/>
          <w:kern w:val="2"/>
          <w:sz w:val="24"/>
          <w:szCs w:val="24"/>
          <w:lang w:val="en-US" w:eastAsia="zh-CN" w:bidi="ar-SA"/>
          <w14:textFill>
            <w14:solidFill>
              <w14:schemeClr w14:val="tx1"/>
            </w14:solidFill>
          </w14:textFill>
        </w:rPr>
        <w:t>采购</w:t>
      </w:r>
      <w:r>
        <w:rPr>
          <w:rFonts w:hint="eastAsia" w:ascii="宋体" w:hAnsi="宋体" w:eastAsia="宋体" w:cs="宋体"/>
          <w:color w:val="000000" w:themeColor="text1"/>
          <w:sz w:val="24"/>
          <w:szCs w:val="24"/>
          <w:highlight w:val="none"/>
          <w:lang w:val="en-US" w:eastAsia="zh-CN"/>
          <w14:textFill>
            <w14:solidFill>
              <w14:schemeClr w14:val="tx1"/>
            </w14:solidFill>
          </w14:textFill>
        </w:rPr>
        <w:t>需求一览表</w:t>
      </w:r>
    </w:p>
    <w:tbl>
      <w:tblPr>
        <w:tblStyle w:val="10"/>
        <w:tblW w:w="7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3116"/>
        <w:gridCol w:w="1264"/>
        <w:gridCol w:w="1500"/>
      </w:tblGrid>
      <w:tr w14:paraId="2E84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noWrap w:val="0"/>
            <w:vAlign w:val="top"/>
          </w:tcPr>
          <w:p w14:paraId="4A3EC4EC">
            <w:pPr>
              <w:shd w:val="clear" w:color="auto" w:fill="auto"/>
              <w:spacing w:line="360" w:lineRule="auto"/>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序号</w:t>
            </w:r>
          </w:p>
        </w:tc>
        <w:tc>
          <w:tcPr>
            <w:tcW w:w="3116" w:type="dxa"/>
            <w:noWrap w:val="0"/>
            <w:vAlign w:val="top"/>
          </w:tcPr>
          <w:p w14:paraId="4803B604">
            <w:pPr>
              <w:shd w:val="clear" w:color="auto" w:fill="auto"/>
              <w:spacing w:line="360" w:lineRule="auto"/>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名称</w:t>
            </w:r>
          </w:p>
        </w:tc>
        <w:tc>
          <w:tcPr>
            <w:tcW w:w="1264" w:type="dxa"/>
            <w:noWrap w:val="0"/>
            <w:vAlign w:val="top"/>
          </w:tcPr>
          <w:p w14:paraId="23341426">
            <w:pPr>
              <w:shd w:val="clear" w:color="auto" w:fill="auto"/>
              <w:spacing w:line="360" w:lineRule="auto"/>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数量</w:t>
            </w:r>
          </w:p>
        </w:tc>
        <w:tc>
          <w:tcPr>
            <w:tcW w:w="1500" w:type="dxa"/>
            <w:noWrap w:val="0"/>
            <w:vAlign w:val="top"/>
          </w:tcPr>
          <w:p w14:paraId="683F25D8">
            <w:pPr>
              <w:shd w:val="clear" w:color="auto" w:fill="auto"/>
              <w:spacing w:line="360" w:lineRule="auto"/>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单位</w:t>
            </w:r>
          </w:p>
        </w:tc>
      </w:tr>
      <w:tr w14:paraId="2799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7" w:type="dxa"/>
            <w:gridSpan w:val="4"/>
            <w:noWrap w:val="0"/>
            <w:vAlign w:val="center"/>
          </w:tcPr>
          <w:p w14:paraId="3C260589">
            <w:pPr>
              <w:shd w:val="clear" w:color="auto" w:fill="auto"/>
              <w:jc w:val="center"/>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南繁基地核心区2023年豇豆种植地覆盖防虫网项目</w:t>
            </w:r>
          </w:p>
          <w:p w14:paraId="5E51E753">
            <w:pPr>
              <w:shd w:val="clear" w:color="auto" w:fill="auto"/>
              <w:jc w:val="center"/>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第二年材料损耗补充及伴随式服务（1200亩）</w:t>
            </w:r>
          </w:p>
        </w:tc>
      </w:tr>
      <w:tr w14:paraId="5ECE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3D7D51E2">
            <w:pPr>
              <w:shd w:val="clear" w:color="auto" w:fill="auto"/>
              <w:jc w:val="center"/>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一</w:t>
            </w:r>
          </w:p>
        </w:tc>
        <w:tc>
          <w:tcPr>
            <w:tcW w:w="5880" w:type="dxa"/>
            <w:gridSpan w:val="3"/>
            <w:noWrap w:val="0"/>
            <w:vAlign w:val="center"/>
          </w:tcPr>
          <w:p w14:paraId="31C11126">
            <w:pPr>
              <w:shd w:val="clear" w:color="auto" w:fill="auto"/>
              <w:jc w:val="left"/>
              <w:rPr>
                <w:rFonts w:hint="default"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第二年材料损耗补充</w:t>
            </w:r>
          </w:p>
        </w:tc>
      </w:tr>
      <w:tr w14:paraId="7C7D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303D3304">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w:t>
            </w:r>
          </w:p>
        </w:tc>
        <w:tc>
          <w:tcPr>
            <w:tcW w:w="3116" w:type="dxa"/>
            <w:noWrap w:val="0"/>
            <w:vAlign w:val="center"/>
          </w:tcPr>
          <w:p w14:paraId="3702DBF3">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立柱</w:t>
            </w:r>
          </w:p>
        </w:tc>
        <w:tc>
          <w:tcPr>
            <w:tcW w:w="1264" w:type="dxa"/>
            <w:noWrap w:val="0"/>
            <w:vAlign w:val="center"/>
          </w:tcPr>
          <w:p w14:paraId="400AA50F">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46</w:t>
            </w:r>
            <w:r>
              <w:rPr>
                <w:rFonts w:hint="eastAsia" w:ascii="Times New Roman" w:hAnsi="Times New Roman" w:eastAsia="宋体" w:cs="Times New Roman"/>
                <w:color w:val="000000" w:themeColor="text1"/>
                <w:sz w:val="24"/>
                <w:lang w:val="en-US" w:eastAsia="zh-CN"/>
                <w14:textFill>
                  <w14:solidFill>
                    <w14:schemeClr w14:val="tx1"/>
                  </w14:solidFill>
                </w14:textFill>
              </w:rPr>
              <w:t>8</w:t>
            </w:r>
          </w:p>
        </w:tc>
        <w:tc>
          <w:tcPr>
            <w:tcW w:w="1500" w:type="dxa"/>
            <w:noWrap w:val="0"/>
            <w:vAlign w:val="center"/>
          </w:tcPr>
          <w:p w14:paraId="5CA2BE77">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条</w:t>
            </w:r>
          </w:p>
        </w:tc>
      </w:tr>
      <w:tr w14:paraId="1D40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06258607">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p>
        </w:tc>
        <w:tc>
          <w:tcPr>
            <w:tcW w:w="3116" w:type="dxa"/>
            <w:noWrap w:val="0"/>
            <w:vAlign w:val="center"/>
          </w:tcPr>
          <w:p w14:paraId="29C208A2">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地锚</w:t>
            </w:r>
          </w:p>
        </w:tc>
        <w:tc>
          <w:tcPr>
            <w:tcW w:w="1264" w:type="dxa"/>
            <w:noWrap w:val="0"/>
            <w:vAlign w:val="center"/>
          </w:tcPr>
          <w:p w14:paraId="2CA5DD33">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174</w:t>
            </w:r>
          </w:p>
        </w:tc>
        <w:tc>
          <w:tcPr>
            <w:tcW w:w="1500" w:type="dxa"/>
            <w:noWrap w:val="0"/>
            <w:vAlign w:val="center"/>
          </w:tcPr>
          <w:p w14:paraId="5BE36B5B">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条</w:t>
            </w:r>
          </w:p>
        </w:tc>
      </w:tr>
      <w:tr w14:paraId="0CD0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65DB1B59">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w:t>
            </w:r>
          </w:p>
        </w:tc>
        <w:tc>
          <w:tcPr>
            <w:tcW w:w="3116" w:type="dxa"/>
            <w:noWrap w:val="0"/>
            <w:vAlign w:val="center"/>
          </w:tcPr>
          <w:p w14:paraId="392862D1">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钢绞线</w:t>
            </w:r>
          </w:p>
        </w:tc>
        <w:tc>
          <w:tcPr>
            <w:tcW w:w="1264" w:type="dxa"/>
            <w:noWrap w:val="0"/>
            <w:vAlign w:val="center"/>
          </w:tcPr>
          <w:p w14:paraId="358BEF9D">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27475</w:t>
            </w:r>
          </w:p>
        </w:tc>
        <w:tc>
          <w:tcPr>
            <w:tcW w:w="1500" w:type="dxa"/>
            <w:noWrap w:val="0"/>
            <w:vAlign w:val="center"/>
          </w:tcPr>
          <w:p w14:paraId="63F8CA74">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m</w:t>
            </w:r>
          </w:p>
        </w:tc>
      </w:tr>
      <w:tr w14:paraId="0BA3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4212DD24">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w:t>
            </w:r>
          </w:p>
        </w:tc>
        <w:tc>
          <w:tcPr>
            <w:tcW w:w="3116" w:type="dxa"/>
            <w:noWrap w:val="0"/>
            <w:vAlign w:val="center"/>
          </w:tcPr>
          <w:p w14:paraId="36AD12FA">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钢丝绳卡</w:t>
            </w:r>
          </w:p>
        </w:tc>
        <w:tc>
          <w:tcPr>
            <w:tcW w:w="1264" w:type="dxa"/>
            <w:noWrap w:val="0"/>
            <w:vAlign w:val="center"/>
          </w:tcPr>
          <w:p w14:paraId="32AD2C3E">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4963</w:t>
            </w:r>
          </w:p>
        </w:tc>
        <w:tc>
          <w:tcPr>
            <w:tcW w:w="1500" w:type="dxa"/>
            <w:noWrap w:val="0"/>
            <w:vAlign w:val="center"/>
          </w:tcPr>
          <w:p w14:paraId="428EEA29">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3BE1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12A7EC6B">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w:t>
            </w:r>
          </w:p>
        </w:tc>
        <w:tc>
          <w:tcPr>
            <w:tcW w:w="3116" w:type="dxa"/>
            <w:noWrap w:val="0"/>
            <w:vAlign w:val="center"/>
          </w:tcPr>
          <w:p w14:paraId="73E31A9F">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塑料管帽</w:t>
            </w:r>
          </w:p>
        </w:tc>
        <w:tc>
          <w:tcPr>
            <w:tcW w:w="1264" w:type="dxa"/>
            <w:noWrap w:val="0"/>
            <w:vAlign w:val="center"/>
          </w:tcPr>
          <w:p w14:paraId="7B416C87">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1071</w:t>
            </w:r>
          </w:p>
        </w:tc>
        <w:tc>
          <w:tcPr>
            <w:tcW w:w="1500" w:type="dxa"/>
            <w:noWrap w:val="0"/>
            <w:vAlign w:val="center"/>
          </w:tcPr>
          <w:p w14:paraId="79721982">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个</w:t>
            </w:r>
          </w:p>
        </w:tc>
      </w:tr>
      <w:tr w14:paraId="7FDC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1F167D3B">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6</w:t>
            </w:r>
          </w:p>
        </w:tc>
        <w:tc>
          <w:tcPr>
            <w:tcW w:w="3116" w:type="dxa"/>
            <w:noWrap w:val="0"/>
            <w:vAlign w:val="center"/>
          </w:tcPr>
          <w:p w14:paraId="72BC2523">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花篮螺栓</w:t>
            </w:r>
          </w:p>
        </w:tc>
        <w:tc>
          <w:tcPr>
            <w:tcW w:w="1264" w:type="dxa"/>
            <w:noWrap w:val="0"/>
            <w:vAlign w:val="center"/>
          </w:tcPr>
          <w:p w14:paraId="132558D9">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501</w:t>
            </w:r>
          </w:p>
        </w:tc>
        <w:tc>
          <w:tcPr>
            <w:tcW w:w="1500" w:type="dxa"/>
            <w:noWrap w:val="0"/>
            <w:vAlign w:val="center"/>
          </w:tcPr>
          <w:p w14:paraId="2D9FB9CB">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19CE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427" w:type="dxa"/>
            <w:noWrap w:val="0"/>
            <w:vAlign w:val="center"/>
          </w:tcPr>
          <w:p w14:paraId="726B83FA">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7</w:t>
            </w:r>
          </w:p>
        </w:tc>
        <w:tc>
          <w:tcPr>
            <w:tcW w:w="3116" w:type="dxa"/>
            <w:noWrap w:val="0"/>
            <w:vAlign w:val="center"/>
          </w:tcPr>
          <w:p w14:paraId="0718F1A5">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防虫网</w:t>
            </w:r>
          </w:p>
        </w:tc>
        <w:tc>
          <w:tcPr>
            <w:tcW w:w="1264" w:type="dxa"/>
            <w:noWrap w:val="0"/>
            <w:vAlign w:val="center"/>
          </w:tcPr>
          <w:p w14:paraId="5E75497E">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46598</w:t>
            </w:r>
          </w:p>
        </w:tc>
        <w:tc>
          <w:tcPr>
            <w:tcW w:w="1500" w:type="dxa"/>
            <w:noWrap w:val="0"/>
            <w:vAlign w:val="center"/>
          </w:tcPr>
          <w:p w14:paraId="155D36F1">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p>
        </w:tc>
      </w:tr>
      <w:tr w14:paraId="134E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5DF5AC2A">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8</w:t>
            </w:r>
          </w:p>
        </w:tc>
        <w:tc>
          <w:tcPr>
            <w:tcW w:w="3116" w:type="dxa"/>
            <w:noWrap w:val="0"/>
            <w:vAlign w:val="center"/>
          </w:tcPr>
          <w:p w14:paraId="04B70F80">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镀锌扎丝</w:t>
            </w:r>
          </w:p>
        </w:tc>
        <w:tc>
          <w:tcPr>
            <w:tcW w:w="1264" w:type="dxa"/>
            <w:noWrap w:val="0"/>
            <w:vAlign w:val="center"/>
          </w:tcPr>
          <w:p w14:paraId="2D7E4C13">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274748</w:t>
            </w:r>
          </w:p>
        </w:tc>
        <w:tc>
          <w:tcPr>
            <w:tcW w:w="1500" w:type="dxa"/>
            <w:noWrap w:val="0"/>
            <w:vAlign w:val="center"/>
          </w:tcPr>
          <w:p w14:paraId="4F84B6D8">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条</w:t>
            </w:r>
          </w:p>
        </w:tc>
      </w:tr>
      <w:tr w14:paraId="1E9F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105DE85B">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9</w:t>
            </w:r>
          </w:p>
        </w:tc>
        <w:tc>
          <w:tcPr>
            <w:tcW w:w="3116" w:type="dxa"/>
            <w:noWrap w:val="0"/>
            <w:vAlign w:val="center"/>
          </w:tcPr>
          <w:p w14:paraId="055B27CB">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拉链门</w:t>
            </w:r>
          </w:p>
        </w:tc>
        <w:tc>
          <w:tcPr>
            <w:tcW w:w="1264" w:type="dxa"/>
            <w:noWrap w:val="0"/>
            <w:vAlign w:val="center"/>
          </w:tcPr>
          <w:p w14:paraId="777B4870">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w:t>
            </w:r>
          </w:p>
        </w:tc>
        <w:tc>
          <w:tcPr>
            <w:tcW w:w="1500" w:type="dxa"/>
            <w:noWrap w:val="0"/>
            <w:vAlign w:val="center"/>
          </w:tcPr>
          <w:p w14:paraId="10C5CDDB">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3085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40238E56">
            <w:pPr>
              <w:shd w:val="clear" w:color="auto" w:fill="auto"/>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二</w:t>
            </w:r>
          </w:p>
        </w:tc>
        <w:tc>
          <w:tcPr>
            <w:tcW w:w="5880" w:type="dxa"/>
            <w:gridSpan w:val="3"/>
            <w:noWrap w:val="0"/>
            <w:vAlign w:val="center"/>
          </w:tcPr>
          <w:p w14:paraId="7C86C0AD">
            <w:pPr>
              <w:shd w:val="clear" w:color="auto" w:fill="auto"/>
              <w:jc w:val="both"/>
              <w:rPr>
                <w:rFonts w:hint="default"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第二年伴随式服务（含一次安装、一次拆除、一年仓储）</w:t>
            </w:r>
          </w:p>
        </w:tc>
      </w:tr>
      <w:tr w14:paraId="3520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2E1CCD44">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10</w:t>
            </w:r>
          </w:p>
        </w:tc>
        <w:tc>
          <w:tcPr>
            <w:tcW w:w="3116" w:type="dxa"/>
            <w:noWrap w:val="0"/>
            <w:vAlign w:val="center"/>
          </w:tcPr>
          <w:p w14:paraId="1DC9B6ED">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立柱</w:t>
            </w:r>
          </w:p>
        </w:tc>
        <w:tc>
          <w:tcPr>
            <w:tcW w:w="1264" w:type="dxa"/>
            <w:noWrap w:val="0"/>
            <w:vAlign w:val="center"/>
          </w:tcPr>
          <w:p w14:paraId="0196E193">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15620</w:t>
            </w:r>
          </w:p>
        </w:tc>
        <w:tc>
          <w:tcPr>
            <w:tcW w:w="1500" w:type="dxa"/>
            <w:noWrap w:val="0"/>
            <w:vAlign w:val="center"/>
          </w:tcPr>
          <w:p w14:paraId="14999B2D">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条</w:t>
            </w:r>
          </w:p>
        </w:tc>
      </w:tr>
      <w:tr w14:paraId="1BCD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58523F92">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11</w:t>
            </w:r>
          </w:p>
        </w:tc>
        <w:tc>
          <w:tcPr>
            <w:tcW w:w="3116" w:type="dxa"/>
            <w:noWrap w:val="0"/>
            <w:vAlign w:val="center"/>
          </w:tcPr>
          <w:p w14:paraId="72420B09">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地锚</w:t>
            </w:r>
          </w:p>
        </w:tc>
        <w:tc>
          <w:tcPr>
            <w:tcW w:w="1264" w:type="dxa"/>
            <w:noWrap w:val="0"/>
            <w:vAlign w:val="center"/>
          </w:tcPr>
          <w:p w14:paraId="5CC81129">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5807</w:t>
            </w:r>
          </w:p>
        </w:tc>
        <w:tc>
          <w:tcPr>
            <w:tcW w:w="1500" w:type="dxa"/>
            <w:noWrap w:val="0"/>
            <w:vAlign w:val="center"/>
          </w:tcPr>
          <w:p w14:paraId="159ADD0D">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条</w:t>
            </w:r>
          </w:p>
        </w:tc>
      </w:tr>
      <w:tr w14:paraId="7908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46F99B38">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12</w:t>
            </w:r>
          </w:p>
        </w:tc>
        <w:tc>
          <w:tcPr>
            <w:tcW w:w="3116" w:type="dxa"/>
            <w:noWrap w:val="0"/>
            <w:vAlign w:val="center"/>
          </w:tcPr>
          <w:p w14:paraId="3F35936D">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钢绞线</w:t>
            </w:r>
          </w:p>
        </w:tc>
        <w:tc>
          <w:tcPr>
            <w:tcW w:w="1264" w:type="dxa"/>
            <w:noWrap w:val="0"/>
            <w:vAlign w:val="center"/>
          </w:tcPr>
          <w:p w14:paraId="2FB0CFA3">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549496</w:t>
            </w:r>
          </w:p>
        </w:tc>
        <w:tc>
          <w:tcPr>
            <w:tcW w:w="1500" w:type="dxa"/>
            <w:noWrap w:val="0"/>
            <w:vAlign w:val="center"/>
          </w:tcPr>
          <w:p w14:paraId="2C0286F5">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m</w:t>
            </w:r>
          </w:p>
        </w:tc>
      </w:tr>
      <w:tr w14:paraId="0224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68E4BA38">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13</w:t>
            </w:r>
          </w:p>
        </w:tc>
        <w:tc>
          <w:tcPr>
            <w:tcW w:w="3116" w:type="dxa"/>
            <w:noWrap w:val="0"/>
            <w:vAlign w:val="center"/>
          </w:tcPr>
          <w:p w14:paraId="23EABFF4">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花篮螺栓</w:t>
            </w:r>
          </w:p>
        </w:tc>
        <w:tc>
          <w:tcPr>
            <w:tcW w:w="1264" w:type="dxa"/>
            <w:noWrap w:val="0"/>
            <w:vAlign w:val="center"/>
          </w:tcPr>
          <w:p w14:paraId="0A7540C3">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10017</w:t>
            </w:r>
          </w:p>
        </w:tc>
        <w:tc>
          <w:tcPr>
            <w:tcW w:w="1500" w:type="dxa"/>
            <w:noWrap w:val="0"/>
            <w:vAlign w:val="center"/>
          </w:tcPr>
          <w:p w14:paraId="3C8C018C">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5350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5BAD7BCF">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14</w:t>
            </w:r>
          </w:p>
        </w:tc>
        <w:tc>
          <w:tcPr>
            <w:tcW w:w="3116" w:type="dxa"/>
            <w:noWrap w:val="0"/>
            <w:vAlign w:val="center"/>
          </w:tcPr>
          <w:p w14:paraId="3E70465F">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防虫网</w:t>
            </w:r>
          </w:p>
        </w:tc>
        <w:tc>
          <w:tcPr>
            <w:tcW w:w="1264" w:type="dxa"/>
            <w:noWrap w:val="0"/>
            <w:vAlign w:val="center"/>
          </w:tcPr>
          <w:p w14:paraId="24BA139D">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931973</w:t>
            </w:r>
          </w:p>
        </w:tc>
        <w:tc>
          <w:tcPr>
            <w:tcW w:w="1500" w:type="dxa"/>
            <w:noWrap w:val="0"/>
            <w:vAlign w:val="center"/>
          </w:tcPr>
          <w:p w14:paraId="59F915C1">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p>
        </w:tc>
      </w:tr>
      <w:tr w14:paraId="086C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2D7E5464">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15</w:t>
            </w:r>
          </w:p>
        </w:tc>
        <w:tc>
          <w:tcPr>
            <w:tcW w:w="3116" w:type="dxa"/>
            <w:noWrap w:val="0"/>
            <w:vAlign w:val="center"/>
          </w:tcPr>
          <w:p w14:paraId="3C693591">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推拉门</w:t>
            </w:r>
          </w:p>
        </w:tc>
        <w:tc>
          <w:tcPr>
            <w:tcW w:w="1264" w:type="dxa"/>
            <w:noWrap w:val="0"/>
            <w:vAlign w:val="center"/>
          </w:tcPr>
          <w:p w14:paraId="1B1E88B2">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19</w:t>
            </w:r>
          </w:p>
        </w:tc>
        <w:tc>
          <w:tcPr>
            <w:tcW w:w="1500" w:type="dxa"/>
            <w:noWrap w:val="0"/>
            <w:vAlign w:val="center"/>
          </w:tcPr>
          <w:p w14:paraId="30CF6094">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21CA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21B1F7C0">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16</w:t>
            </w:r>
          </w:p>
        </w:tc>
        <w:tc>
          <w:tcPr>
            <w:tcW w:w="3116" w:type="dxa"/>
            <w:noWrap w:val="0"/>
            <w:vAlign w:val="center"/>
          </w:tcPr>
          <w:p w14:paraId="655A6687">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拉链门</w:t>
            </w:r>
          </w:p>
        </w:tc>
        <w:tc>
          <w:tcPr>
            <w:tcW w:w="1264" w:type="dxa"/>
            <w:noWrap w:val="0"/>
            <w:vAlign w:val="center"/>
          </w:tcPr>
          <w:p w14:paraId="4BEC9DCF">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82</w:t>
            </w:r>
          </w:p>
        </w:tc>
        <w:tc>
          <w:tcPr>
            <w:tcW w:w="1500" w:type="dxa"/>
            <w:noWrap w:val="0"/>
            <w:vAlign w:val="center"/>
          </w:tcPr>
          <w:p w14:paraId="1AB6EDFE">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3A0D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7" w:type="dxa"/>
            <w:gridSpan w:val="4"/>
            <w:noWrap w:val="0"/>
            <w:vAlign w:val="center"/>
          </w:tcPr>
          <w:p w14:paraId="64E49858">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南繁基地核心区2024年豇豆种植地覆盖防虫网项目（300亩）</w:t>
            </w:r>
          </w:p>
        </w:tc>
      </w:tr>
      <w:tr w14:paraId="5597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569CD401">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17</w:t>
            </w:r>
          </w:p>
        </w:tc>
        <w:tc>
          <w:tcPr>
            <w:tcW w:w="3116" w:type="dxa"/>
            <w:noWrap w:val="0"/>
            <w:vAlign w:val="center"/>
          </w:tcPr>
          <w:p w14:paraId="2F36E998">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立柱</w:t>
            </w:r>
          </w:p>
        </w:tc>
        <w:tc>
          <w:tcPr>
            <w:tcW w:w="1264" w:type="dxa"/>
            <w:noWrap w:val="0"/>
            <w:vAlign w:val="center"/>
          </w:tcPr>
          <w:p w14:paraId="35D87F51">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3412</w:t>
            </w:r>
          </w:p>
        </w:tc>
        <w:tc>
          <w:tcPr>
            <w:tcW w:w="1500" w:type="dxa"/>
            <w:noWrap w:val="0"/>
            <w:vAlign w:val="center"/>
          </w:tcPr>
          <w:p w14:paraId="0500E3DC">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条</w:t>
            </w:r>
          </w:p>
        </w:tc>
      </w:tr>
      <w:tr w14:paraId="3584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2266B2D1">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18</w:t>
            </w:r>
          </w:p>
        </w:tc>
        <w:tc>
          <w:tcPr>
            <w:tcW w:w="3116" w:type="dxa"/>
            <w:noWrap w:val="0"/>
            <w:vAlign w:val="center"/>
          </w:tcPr>
          <w:p w14:paraId="52320A48">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地锚</w:t>
            </w:r>
          </w:p>
        </w:tc>
        <w:tc>
          <w:tcPr>
            <w:tcW w:w="1264" w:type="dxa"/>
            <w:noWrap w:val="0"/>
            <w:vAlign w:val="center"/>
          </w:tcPr>
          <w:p w14:paraId="7EB4394C">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1600</w:t>
            </w:r>
          </w:p>
        </w:tc>
        <w:tc>
          <w:tcPr>
            <w:tcW w:w="1500" w:type="dxa"/>
            <w:noWrap w:val="0"/>
            <w:vAlign w:val="center"/>
          </w:tcPr>
          <w:p w14:paraId="1469DAE4">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条</w:t>
            </w:r>
          </w:p>
        </w:tc>
      </w:tr>
      <w:tr w14:paraId="768F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4574119D">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19</w:t>
            </w:r>
          </w:p>
        </w:tc>
        <w:tc>
          <w:tcPr>
            <w:tcW w:w="3116" w:type="dxa"/>
            <w:noWrap w:val="0"/>
            <w:vAlign w:val="center"/>
          </w:tcPr>
          <w:p w14:paraId="004CBD7E">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钢绞线</w:t>
            </w:r>
          </w:p>
        </w:tc>
        <w:tc>
          <w:tcPr>
            <w:tcW w:w="1264" w:type="dxa"/>
            <w:noWrap w:val="0"/>
            <w:vAlign w:val="center"/>
          </w:tcPr>
          <w:p w14:paraId="2B12B3A4">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139394</w:t>
            </w:r>
          </w:p>
        </w:tc>
        <w:tc>
          <w:tcPr>
            <w:tcW w:w="1500" w:type="dxa"/>
            <w:noWrap w:val="0"/>
            <w:vAlign w:val="center"/>
          </w:tcPr>
          <w:p w14:paraId="6E9E24A0">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m</w:t>
            </w:r>
          </w:p>
        </w:tc>
      </w:tr>
      <w:tr w14:paraId="1766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2213627A">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20</w:t>
            </w:r>
          </w:p>
        </w:tc>
        <w:tc>
          <w:tcPr>
            <w:tcW w:w="3116" w:type="dxa"/>
            <w:noWrap w:val="0"/>
            <w:vAlign w:val="center"/>
          </w:tcPr>
          <w:p w14:paraId="0C312D51">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钢丝绳卡</w:t>
            </w:r>
          </w:p>
        </w:tc>
        <w:tc>
          <w:tcPr>
            <w:tcW w:w="1264" w:type="dxa"/>
            <w:noWrap w:val="0"/>
            <w:vAlign w:val="center"/>
          </w:tcPr>
          <w:p w14:paraId="64BE0200">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24413</w:t>
            </w:r>
          </w:p>
        </w:tc>
        <w:tc>
          <w:tcPr>
            <w:tcW w:w="1500" w:type="dxa"/>
            <w:noWrap w:val="0"/>
            <w:vAlign w:val="center"/>
          </w:tcPr>
          <w:p w14:paraId="259C6D2D">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4AFE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2B5CF927">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21</w:t>
            </w:r>
          </w:p>
        </w:tc>
        <w:tc>
          <w:tcPr>
            <w:tcW w:w="3116" w:type="dxa"/>
            <w:noWrap w:val="0"/>
            <w:vAlign w:val="center"/>
          </w:tcPr>
          <w:p w14:paraId="15E90C14">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塑料管帽</w:t>
            </w:r>
          </w:p>
        </w:tc>
        <w:tc>
          <w:tcPr>
            <w:tcW w:w="1264" w:type="dxa"/>
            <w:noWrap w:val="0"/>
            <w:vAlign w:val="center"/>
          </w:tcPr>
          <w:p w14:paraId="547D4C84">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5012</w:t>
            </w:r>
          </w:p>
        </w:tc>
        <w:tc>
          <w:tcPr>
            <w:tcW w:w="1500" w:type="dxa"/>
            <w:noWrap w:val="0"/>
            <w:vAlign w:val="center"/>
          </w:tcPr>
          <w:p w14:paraId="56FA142D">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个</w:t>
            </w:r>
          </w:p>
        </w:tc>
      </w:tr>
      <w:tr w14:paraId="015F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0210B29F">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22</w:t>
            </w:r>
          </w:p>
        </w:tc>
        <w:tc>
          <w:tcPr>
            <w:tcW w:w="3116" w:type="dxa"/>
            <w:noWrap w:val="0"/>
            <w:vAlign w:val="center"/>
          </w:tcPr>
          <w:p w14:paraId="0FB9BED4">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花篮螺栓</w:t>
            </w:r>
          </w:p>
        </w:tc>
        <w:tc>
          <w:tcPr>
            <w:tcW w:w="1264" w:type="dxa"/>
            <w:noWrap w:val="0"/>
            <w:vAlign w:val="center"/>
          </w:tcPr>
          <w:p w14:paraId="5C4B39CA">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2175</w:t>
            </w:r>
          </w:p>
        </w:tc>
        <w:tc>
          <w:tcPr>
            <w:tcW w:w="1500" w:type="dxa"/>
            <w:noWrap w:val="0"/>
            <w:vAlign w:val="center"/>
          </w:tcPr>
          <w:p w14:paraId="22717604">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6EE3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69AA1A81">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23</w:t>
            </w:r>
          </w:p>
        </w:tc>
        <w:tc>
          <w:tcPr>
            <w:tcW w:w="3116" w:type="dxa"/>
            <w:noWrap w:val="0"/>
            <w:vAlign w:val="center"/>
          </w:tcPr>
          <w:p w14:paraId="51B7C6A6">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防虫网</w:t>
            </w:r>
          </w:p>
        </w:tc>
        <w:tc>
          <w:tcPr>
            <w:tcW w:w="1264" w:type="dxa"/>
            <w:noWrap w:val="0"/>
            <w:vAlign w:val="center"/>
          </w:tcPr>
          <w:p w14:paraId="7581063E">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229436</w:t>
            </w:r>
          </w:p>
        </w:tc>
        <w:tc>
          <w:tcPr>
            <w:tcW w:w="1500" w:type="dxa"/>
            <w:noWrap w:val="0"/>
            <w:vAlign w:val="center"/>
          </w:tcPr>
          <w:p w14:paraId="2BB0C7F3">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p>
        </w:tc>
      </w:tr>
      <w:tr w14:paraId="74BE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3494A92F">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24</w:t>
            </w:r>
          </w:p>
        </w:tc>
        <w:tc>
          <w:tcPr>
            <w:tcW w:w="3116" w:type="dxa"/>
            <w:noWrap w:val="0"/>
            <w:vAlign w:val="center"/>
          </w:tcPr>
          <w:p w14:paraId="06BFD6C7">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镀锌扎丝</w:t>
            </w:r>
          </w:p>
        </w:tc>
        <w:tc>
          <w:tcPr>
            <w:tcW w:w="1264" w:type="dxa"/>
            <w:noWrap w:val="0"/>
            <w:vAlign w:val="center"/>
          </w:tcPr>
          <w:p w14:paraId="798B9E30">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56627</w:t>
            </w:r>
          </w:p>
        </w:tc>
        <w:tc>
          <w:tcPr>
            <w:tcW w:w="1500" w:type="dxa"/>
            <w:noWrap w:val="0"/>
            <w:vAlign w:val="center"/>
          </w:tcPr>
          <w:p w14:paraId="4A93407F">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条</w:t>
            </w:r>
          </w:p>
        </w:tc>
      </w:tr>
      <w:tr w14:paraId="181A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3A894B33">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25</w:t>
            </w:r>
          </w:p>
        </w:tc>
        <w:tc>
          <w:tcPr>
            <w:tcW w:w="3116" w:type="dxa"/>
            <w:noWrap w:val="0"/>
            <w:vAlign w:val="center"/>
          </w:tcPr>
          <w:p w14:paraId="186E886A">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推拉门</w:t>
            </w:r>
          </w:p>
        </w:tc>
        <w:tc>
          <w:tcPr>
            <w:tcW w:w="1264" w:type="dxa"/>
            <w:noWrap w:val="0"/>
            <w:vAlign w:val="center"/>
          </w:tcPr>
          <w:p w14:paraId="718F1C72">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12</w:t>
            </w:r>
          </w:p>
        </w:tc>
        <w:tc>
          <w:tcPr>
            <w:tcW w:w="1500" w:type="dxa"/>
            <w:noWrap w:val="0"/>
            <w:vAlign w:val="center"/>
          </w:tcPr>
          <w:p w14:paraId="2FBFB1F1">
            <w:pPr>
              <w:shd w:val="clear" w:color="auto" w:fill="auto"/>
              <w:jc w:val="center"/>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r w14:paraId="4B62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7" w:type="dxa"/>
            <w:noWrap w:val="0"/>
            <w:vAlign w:val="center"/>
          </w:tcPr>
          <w:p w14:paraId="5FE06B42">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26</w:t>
            </w:r>
          </w:p>
        </w:tc>
        <w:tc>
          <w:tcPr>
            <w:tcW w:w="3116" w:type="dxa"/>
            <w:noWrap w:val="0"/>
            <w:vAlign w:val="center"/>
          </w:tcPr>
          <w:p w14:paraId="090FDBAA">
            <w:pPr>
              <w:shd w:val="clear" w:color="auto" w:fill="auto"/>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拉链门</w:t>
            </w:r>
          </w:p>
        </w:tc>
        <w:tc>
          <w:tcPr>
            <w:tcW w:w="1264" w:type="dxa"/>
            <w:noWrap w:val="0"/>
            <w:vAlign w:val="center"/>
          </w:tcPr>
          <w:p w14:paraId="1EAC072D">
            <w:pPr>
              <w:shd w:val="clear" w:color="auto" w:fill="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50</w:t>
            </w:r>
          </w:p>
        </w:tc>
        <w:tc>
          <w:tcPr>
            <w:tcW w:w="1500" w:type="dxa"/>
            <w:noWrap w:val="0"/>
            <w:vAlign w:val="center"/>
          </w:tcPr>
          <w:p w14:paraId="45F29A11">
            <w:pPr>
              <w:shd w:val="clear" w:color="auto" w:fill="auto"/>
              <w:jc w:val="center"/>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套</w:t>
            </w:r>
          </w:p>
        </w:tc>
      </w:tr>
    </w:tbl>
    <w:p w14:paraId="0DEB6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（4）技术指标及功能要求</w:t>
      </w:r>
    </w:p>
    <w:tbl>
      <w:tblPr>
        <w:tblStyle w:val="10"/>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6367"/>
      </w:tblGrid>
      <w:tr w14:paraId="7D64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C681536">
            <w:pPr>
              <w:shd w:val="clear" w:color="auto" w:fill="auto"/>
              <w:jc w:val="center"/>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南繁基地核心区2023年豇豆种植地覆盖防虫网项目</w:t>
            </w:r>
          </w:p>
          <w:p w14:paraId="2FF2D574">
            <w:pPr>
              <w:shd w:val="clear" w:color="auto" w:fill="auto"/>
              <w:jc w:val="center"/>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第二年材料损耗补充及伴随式服务（1200亩）</w:t>
            </w:r>
          </w:p>
        </w:tc>
      </w:tr>
      <w:tr w14:paraId="3798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306201D">
            <w:pPr>
              <w:shd w:val="clear" w:color="auto" w:fill="auto"/>
              <w:jc w:val="center"/>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一</w:t>
            </w:r>
          </w:p>
        </w:tc>
        <w:tc>
          <w:tcPr>
            <w:tcW w:w="6367" w:type="dxa"/>
            <w:noWrap w:val="0"/>
            <w:vAlign w:val="center"/>
          </w:tcPr>
          <w:p w14:paraId="6155E315">
            <w:pPr>
              <w:shd w:val="clear" w:color="auto" w:fill="auto"/>
              <w:jc w:val="left"/>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第二年材料损耗补充</w:t>
            </w:r>
          </w:p>
        </w:tc>
      </w:tr>
      <w:tr w14:paraId="2010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D4CD8B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24B07D74">
            <w:pPr>
              <w:shd w:val="clear" w:color="auto" w:fill="auto"/>
              <w:adjustRightInd w:val="0"/>
              <w:snapToGrid w:val="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w:t>
            </w:r>
          </w:p>
        </w:tc>
      </w:tr>
      <w:tr w14:paraId="36B1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2F53AC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40D5BCD2">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立柱</w:t>
            </w:r>
          </w:p>
        </w:tc>
      </w:tr>
      <w:tr w14:paraId="721D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0F12051">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3F5901BE">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468条</w:t>
            </w:r>
          </w:p>
        </w:tc>
      </w:tr>
      <w:tr w14:paraId="7B42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AF86251">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77CC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28FB7CC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φ42×2mm热镀锌圆管；</w:t>
            </w:r>
          </w:p>
          <w:p w14:paraId="75D765C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长度3.5m；</w:t>
            </w:r>
          </w:p>
          <w:p w14:paraId="73B9E7C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钢管一端开φ8mm孔2个；</w:t>
            </w:r>
          </w:p>
          <w:p w14:paraId="0DC2913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钢材牌号Q235B。</w:t>
            </w:r>
          </w:p>
        </w:tc>
      </w:tr>
      <w:tr w14:paraId="6E92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3BA10F1">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38C3E94B">
            <w:pPr>
              <w:shd w:val="clear" w:color="auto" w:fill="auto"/>
              <w:adjustRightInd w:val="0"/>
              <w:snapToGrid w:val="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w:t>
            </w:r>
          </w:p>
        </w:tc>
      </w:tr>
      <w:tr w14:paraId="433F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76C07E7">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09BED8EE">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地锚</w:t>
            </w:r>
          </w:p>
        </w:tc>
      </w:tr>
      <w:tr w14:paraId="5C6F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2ABF94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11E262F9">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174条</w:t>
            </w:r>
          </w:p>
        </w:tc>
      </w:tr>
      <w:tr w14:paraId="0569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28963EED">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03F8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6500181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φ42×2mm热镀锌圆管；</w:t>
            </w:r>
          </w:p>
          <w:p w14:paraId="72E7579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长度1.2m；</w:t>
            </w:r>
          </w:p>
          <w:p w14:paraId="62D94F7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钢管一端开φ8mm孔2个；</w:t>
            </w:r>
          </w:p>
          <w:p w14:paraId="6B6F70C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钢材牌号Q235B。</w:t>
            </w:r>
          </w:p>
        </w:tc>
      </w:tr>
      <w:tr w14:paraId="39A0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C7437A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47208DBE">
            <w:pPr>
              <w:shd w:val="clear" w:color="auto" w:fill="auto"/>
              <w:adjustRightInd w:val="0"/>
              <w:snapToGrid w:val="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p>
        </w:tc>
      </w:tr>
      <w:tr w14:paraId="4EFB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7121341">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4BA32DF7">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钢绞线</w:t>
            </w:r>
          </w:p>
        </w:tc>
      </w:tr>
      <w:tr w14:paraId="2368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84035C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56C40578">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27475m</w:t>
            </w:r>
          </w:p>
        </w:tc>
      </w:tr>
      <w:tr w14:paraId="7F1B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4B3F028A">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6FCE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7FEA9F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φ4mm（4.2mm外径）热镀锌钢绞线</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542CBA6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规格1×7，抗拉强度≥1370N/m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0DA6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BED41A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40DD7E10">
            <w:pPr>
              <w:shd w:val="clear" w:color="auto" w:fill="auto"/>
              <w:adjustRightInd w:val="0"/>
              <w:snapToGrid w:val="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w:t>
            </w:r>
          </w:p>
        </w:tc>
      </w:tr>
      <w:tr w14:paraId="32A2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34A715A">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4E9F11D5">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钢丝绳卡</w:t>
            </w:r>
          </w:p>
        </w:tc>
      </w:tr>
      <w:tr w14:paraId="1233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3D6B4D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0B850C44">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4963套</w:t>
            </w:r>
          </w:p>
        </w:tc>
      </w:tr>
      <w:tr w14:paraId="7B1D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02BC0691">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2687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25E763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镀锌M5成套，含螺母。</w:t>
            </w:r>
          </w:p>
        </w:tc>
      </w:tr>
      <w:tr w14:paraId="782E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5A760A7">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07E4E256">
            <w:pPr>
              <w:shd w:val="clear" w:color="auto" w:fill="auto"/>
              <w:adjustRightInd w:val="0"/>
              <w:snapToGrid w:val="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5</w:t>
            </w:r>
          </w:p>
        </w:tc>
      </w:tr>
      <w:tr w14:paraId="3656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891461E">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7AA0ED8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塑料管帽</w:t>
            </w:r>
          </w:p>
        </w:tc>
      </w:tr>
      <w:tr w14:paraId="048E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D7B4BE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56996B03">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1071个</w:t>
            </w:r>
          </w:p>
        </w:tc>
      </w:tr>
      <w:tr w14:paraId="4265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20F0E3A">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3B42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6F5046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φ42钢管端部外套配套，外表圆滑，无毛刺</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3622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8DC874A">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0B1D9B20">
            <w:pPr>
              <w:shd w:val="clear" w:color="auto" w:fill="auto"/>
              <w:adjustRightInd w:val="0"/>
              <w:snapToGrid w:val="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6</w:t>
            </w:r>
          </w:p>
        </w:tc>
      </w:tr>
      <w:tr w14:paraId="0698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370BC6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70F729B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花篮螺栓</w:t>
            </w:r>
          </w:p>
        </w:tc>
      </w:tr>
      <w:tr w14:paraId="7FA6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855C9D8">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1C3EACAE">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501套</w:t>
            </w:r>
          </w:p>
        </w:tc>
      </w:tr>
      <w:tr w14:paraId="152E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C329D0F">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1035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3325C2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热镀锌M12，CO型</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5733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331E5D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1EA47DF8">
            <w:pPr>
              <w:shd w:val="clear" w:color="auto" w:fill="auto"/>
              <w:adjustRightInd w:val="0"/>
              <w:snapToGrid w:val="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7</w:t>
            </w:r>
          </w:p>
        </w:tc>
      </w:tr>
      <w:tr w14:paraId="7851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AE1545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379880D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防虫网</w:t>
            </w:r>
          </w:p>
        </w:tc>
      </w:tr>
      <w:tr w14:paraId="4BE7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684F84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797F9BD6">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宋体" w:hAnsi="宋体" w:eastAsia="宋体" w:cs="宋体"/>
                <w:b/>
                <w:color w:val="000000" w:themeColor="text1"/>
                <w:sz w:val="24"/>
                <w:lang w:val="en-US" w:eastAsia="zh-CN"/>
                <w14:textFill>
                  <w14:solidFill>
                    <w14:schemeClr w14:val="tx1"/>
                  </w14:solidFill>
                </w14:textFill>
              </w:rPr>
              <w:t>46598㎡</w:t>
            </w:r>
          </w:p>
        </w:tc>
      </w:tr>
      <w:tr w14:paraId="6893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7EA57ACE">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6BDC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D1937F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四周60目白色或绿色防虫网，幅宽3m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A10ADD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顶部40目白色或绿色防虫网，缝合</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5B76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E96DBE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478AABBB">
            <w:pPr>
              <w:shd w:val="clear" w:color="auto" w:fill="auto"/>
              <w:adjustRightInd w:val="0"/>
              <w:snapToGrid w:val="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8</w:t>
            </w:r>
          </w:p>
        </w:tc>
      </w:tr>
      <w:tr w14:paraId="3855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FE892C8">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1043EB77">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镀锌扎</w:t>
            </w:r>
            <w:r>
              <w:rPr>
                <w:rFonts w:hint="eastAsia" w:ascii="Times New Roman" w:hAnsi="Times New Roman" w:eastAsia="宋体" w:cs="Times New Roman"/>
                <w:b/>
                <w:color w:val="000000" w:themeColor="text1"/>
                <w:sz w:val="24"/>
                <w:lang w:val="en-US" w:eastAsia="zh-CN"/>
                <w14:textFill>
                  <w14:solidFill>
                    <w14:schemeClr w14:val="tx1"/>
                  </w14:solidFill>
                </w14:textFill>
              </w:rPr>
              <w:t>丝</w:t>
            </w:r>
          </w:p>
        </w:tc>
      </w:tr>
      <w:tr w14:paraId="6C25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FDEE017">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5717D9E1">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274748条</w:t>
            </w:r>
          </w:p>
        </w:tc>
      </w:tr>
      <w:tr w14:paraId="53CE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76362E52">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59F0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0E8774A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丝径0.75mm，长150mm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780E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152B8D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52C79AA2">
            <w:pPr>
              <w:shd w:val="clear" w:color="auto" w:fill="auto"/>
              <w:adjustRightInd w:val="0"/>
              <w:snapToGrid w:val="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9</w:t>
            </w:r>
          </w:p>
        </w:tc>
      </w:tr>
      <w:tr w14:paraId="30C2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F539A2B">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1DED8897">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拉链门</w:t>
            </w:r>
          </w:p>
        </w:tc>
      </w:tr>
      <w:tr w14:paraId="73B1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08026B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39C536BB">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4套</w:t>
            </w:r>
          </w:p>
        </w:tc>
      </w:tr>
      <w:tr w14:paraId="2B36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1F5DB03C">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32E8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523FDBB">
            <w:pPr>
              <w:keepNext w:val="0"/>
              <w:keepLines w:val="0"/>
              <w:pageBreakBefore w:val="0"/>
              <w:widowControl w:val="0"/>
              <w:numPr>
                <w:ilvl w:val="0"/>
                <w:numId w:val="1"/>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门柱φ60×2mm热镀锌圆管（Q235B），长3.5m，2条；</w:t>
            </w:r>
          </w:p>
          <w:p w14:paraId="7EDF7427">
            <w:pPr>
              <w:keepNext w:val="0"/>
              <w:keepLines w:val="0"/>
              <w:pageBreakBefore w:val="0"/>
              <w:widowControl w:val="0"/>
              <w:numPr>
                <w:ilvl w:val="0"/>
                <w:numId w:val="1"/>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门横梁φ42×2mm热镀锌圆管（Q235B），长3.0m，3条；</w:t>
            </w:r>
          </w:p>
          <w:p w14:paraId="4DBAD771">
            <w:pPr>
              <w:keepNext w:val="0"/>
              <w:keepLines w:val="0"/>
              <w:pageBreakBefore w:val="0"/>
              <w:widowControl w:val="0"/>
              <w:numPr>
                <w:ilvl w:val="0"/>
                <w:numId w:val="1"/>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防虫网，60目白色，10.5㎡；</w:t>
            </w:r>
          </w:p>
          <w:p w14:paraId="02138670">
            <w:pPr>
              <w:keepNext w:val="0"/>
              <w:keepLines w:val="0"/>
              <w:pageBreakBefore w:val="0"/>
              <w:widowControl w:val="0"/>
              <w:numPr>
                <w:ilvl w:val="0"/>
                <w:numId w:val="1"/>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热镀锌0.8mm厚卡槽，涂塑卡簧，8.2m；</w:t>
            </w:r>
          </w:p>
          <w:p w14:paraId="1B91C46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5、U型螺栓抱箍套件，U60&amp;φ42热镀锌，2套。</w:t>
            </w:r>
          </w:p>
        </w:tc>
      </w:tr>
      <w:tr w14:paraId="711B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4E1B1B5">
            <w:pPr>
              <w:shd w:val="clear" w:color="auto" w:fill="auto"/>
              <w:jc w:val="center"/>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二</w:t>
            </w:r>
          </w:p>
        </w:tc>
        <w:tc>
          <w:tcPr>
            <w:tcW w:w="6367" w:type="dxa"/>
            <w:noWrap w:val="0"/>
            <w:vAlign w:val="center"/>
          </w:tcPr>
          <w:p w14:paraId="76345216">
            <w:pPr>
              <w:shd w:val="clear" w:color="auto" w:fill="auto"/>
              <w:jc w:val="both"/>
              <w:rPr>
                <w:rFonts w:hint="default"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第二年伴随式服务（含一次安装、一次拆除、一年仓储）</w:t>
            </w:r>
          </w:p>
        </w:tc>
      </w:tr>
      <w:tr w14:paraId="572B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A1F8BBA">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1031E38B">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w:t>
            </w:r>
            <w:r>
              <w:rPr>
                <w:rFonts w:hint="eastAsia" w:ascii="Times New Roman" w:hAnsi="Times New Roman" w:eastAsia="宋体" w:cs="Times New Roman"/>
                <w:b/>
                <w:color w:val="000000" w:themeColor="text1"/>
                <w:sz w:val="24"/>
                <w:lang w:val="en-US" w:eastAsia="zh-CN"/>
                <w14:textFill>
                  <w14:solidFill>
                    <w14:schemeClr w14:val="tx1"/>
                  </w14:solidFill>
                </w14:textFill>
              </w:rPr>
              <w:t>0</w:t>
            </w:r>
          </w:p>
        </w:tc>
      </w:tr>
      <w:tr w14:paraId="035F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4C82C4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2726EF7E">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立柱</w:t>
            </w:r>
          </w:p>
        </w:tc>
      </w:tr>
      <w:tr w14:paraId="7E34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2FA1F11">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29892EF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15620条</w:t>
            </w:r>
          </w:p>
        </w:tc>
      </w:tr>
      <w:tr w14:paraId="230A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773575CD">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7F40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0202B4B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根据项目现场实际情况绘制实际安装布置图</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45C07B6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收成结束后对网棚进行拆除运输，并仓储</w:t>
            </w:r>
            <w:r>
              <w:rPr>
                <w:rFonts w:hint="eastAsia" w:ascii="Times New Roman" w:hAnsi="Times New Roman" w:eastAsia="宋体" w:cs="Times New Roman"/>
                <w:color w:val="000000" w:themeColor="text1"/>
                <w:sz w:val="24"/>
                <w:lang w:eastAsia="zh-CN"/>
                <w14:textFill>
                  <w14:solidFill>
                    <w14:schemeClr w14:val="tx1"/>
                  </w14:solidFill>
                </w14:textFill>
              </w:rPr>
              <w:t>。</w:t>
            </w:r>
          </w:p>
        </w:tc>
      </w:tr>
      <w:tr w14:paraId="31BC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B9641C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4CD879F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11</w:t>
            </w:r>
          </w:p>
        </w:tc>
      </w:tr>
      <w:tr w14:paraId="05C1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4412378">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49025A37">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地锚</w:t>
            </w:r>
          </w:p>
        </w:tc>
      </w:tr>
      <w:tr w14:paraId="6457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24A4CAE">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1A39AE61">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5807条</w:t>
            </w:r>
          </w:p>
        </w:tc>
      </w:tr>
      <w:tr w14:paraId="6EFA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0DBD5199">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0424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6206F21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根据项目现场实际情况绘制实际安装布置施工图进行安装</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3EC2AEE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收成结束后对网棚进行拆除运输，并仓储</w:t>
            </w:r>
            <w:r>
              <w:rPr>
                <w:rFonts w:hint="eastAsia" w:ascii="Times New Roman" w:hAnsi="Times New Roman" w:eastAsia="宋体" w:cs="Times New Roman"/>
                <w:color w:val="000000" w:themeColor="text1"/>
                <w:sz w:val="24"/>
                <w:lang w:eastAsia="zh-CN"/>
                <w14:textFill>
                  <w14:solidFill>
                    <w14:schemeClr w14:val="tx1"/>
                  </w14:solidFill>
                </w14:textFill>
              </w:rPr>
              <w:t>。</w:t>
            </w:r>
          </w:p>
        </w:tc>
      </w:tr>
      <w:tr w14:paraId="57F9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37A661B">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1ADC36FB">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12</w:t>
            </w:r>
          </w:p>
        </w:tc>
      </w:tr>
      <w:tr w14:paraId="1FA7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16D3B2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2FC757FF">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钢绞线</w:t>
            </w:r>
          </w:p>
        </w:tc>
      </w:tr>
      <w:tr w14:paraId="1492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6DFD51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2C6D0FA5">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549496m</w:t>
            </w:r>
          </w:p>
        </w:tc>
      </w:tr>
      <w:tr w14:paraId="1ACF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1A63337">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197F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F85804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根据项目现场实际情况绘制实际安装布置施工图进行安装</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41607C4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收成结束后对网棚进行拆除运输，并仓储</w:t>
            </w:r>
            <w:r>
              <w:rPr>
                <w:rFonts w:hint="eastAsia" w:ascii="Times New Roman" w:hAnsi="Times New Roman" w:eastAsia="宋体" w:cs="Times New Roman"/>
                <w:color w:val="000000" w:themeColor="text1"/>
                <w:sz w:val="24"/>
                <w:lang w:eastAsia="zh-CN"/>
                <w14:textFill>
                  <w14:solidFill>
                    <w14:schemeClr w14:val="tx1"/>
                  </w14:solidFill>
                </w14:textFill>
              </w:rPr>
              <w:t>。</w:t>
            </w:r>
          </w:p>
        </w:tc>
      </w:tr>
      <w:tr w14:paraId="6CBA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103760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588EA478">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13</w:t>
            </w:r>
          </w:p>
        </w:tc>
      </w:tr>
      <w:tr w14:paraId="5020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17EF0A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4CC3C60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花篮螺栓</w:t>
            </w:r>
          </w:p>
        </w:tc>
      </w:tr>
      <w:tr w14:paraId="6C90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D1ADF2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52F6C2F7">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10017套</w:t>
            </w:r>
          </w:p>
        </w:tc>
      </w:tr>
      <w:tr w14:paraId="31FC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C2BAEA2">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731A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7666F36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根据项目现场实际情况绘制实际安装布置施工图进行安装</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2A660C2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收成结束后对网棚进行拆除运输，并仓储</w:t>
            </w:r>
            <w:r>
              <w:rPr>
                <w:rFonts w:hint="eastAsia" w:ascii="Times New Roman" w:hAnsi="Times New Roman" w:eastAsia="宋体" w:cs="Times New Roman"/>
                <w:color w:val="000000" w:themeColor="text1"/>
                <w:sz w:val="24"/>
                <w:lang w:eastAsia="zh-CN"/>
                <w14:textFill>
                  <w14:solidFill>
                    <w14:schemeClr w14:val="tx1"/>
                  </w14:solidFill>
                </w14:textFill>
              </w:rPr>
              <w:t>。</w:t>
            </w:r>
          </w:p>
        </w:tc>
      </w:tr>
      <w:tr w14:paraId="2EB8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D2727D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1CF6E8B6">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14</w:t>
            </w:r>
          </w:p>
        </w:tc>
      </w:tr>
      <w:tr w14:paraId="1B5D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6999F8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0E391DAA">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防虫网</w:t>
            </w:r>
          </w:p>
        </w:tc>
      </w:tr>
      <w:tr w14:paraId="5402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236748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145115A6">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931973㎡</w:t>
            </w:r>
          </w:p>
        </w:tc>
      </w:tr>
      <w:tr w14:paraId="7138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CB69E8E">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2719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1A1480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下部埋入土内，上部镀锌扎丝绑扎钢绞线上</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70B1241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根据项目现场实际情况绘制实际安装布置施工图进行安装、修补</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3FC8BCB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收成结束后对网棚进行拆除运输，并仓储</w:t>
            </w:r>
            <w:r>
              <w:rPr>
                <w:rFonts w:hint="eastAsia" w:ascii="Times New Roman" w:hAnsi="Times New Roman" w:eastAsia="宋体" w:cs="Times New Roman"/>
                <w:color w:val="000000" w:themeColor="text1"/>
                <w:sz w:val="24"/>
                <w:lang w:eastAsia="zh-CN"/>
                <w14:textFill>
                  <w14:solidFill>
                    <w14:schemeClr w14:val="tx1"/>
                  </w14:solidFill>
                </w14:textFill>
              </w:rPr>
              <w:t>。</w:t>
            </w:r>
          </w:p>
        </w:tc>
      </w:tr>
      <w:tr w14:paraId="2029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DF6EC60">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47E4CFD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15</w:t>
            </w:r>
          </w:p>
        </w:tc>
      </w:tr>
      <w:tr w14:paraId="13BA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4E71391">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16224556">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推拉门</w:t>
            </w:r>
          </w:p>
        </w:tc>
      </w:tr>
      <w:tr w14:paraId="179F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2DD2B5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4095E27C">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19套</w:t>
            </w:r>
          </w:p>
        </w:tc>
      </w:tr>
      <w:tr w14:paraId="017E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084782BB">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788C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4289389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宽3m，高度2.4m，双扇吊轨推拉门</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602F7FE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根据项目现场实际情况绘制实际安装布置施工图进行安装</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136830C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收成结束后对网棚进行拆除运输，并仓储</w:t>
            </w:r>
            <w:r>
              <w:rPr>
                <w:rFonts w:hint="eastAsia" w:ascii="Times New Roman" w:hAnsi="Times New Roman" w:eastAsia="宋体" w:cs="Times New Roman"/>
                <w:color w:val="000000" w:themeColor="text1"/>
                <w:sz w:val="24"/>
                <w:lang w:eastAsia="zh-CN"/>
                <w14:textFill>
                  <w14:solidFill>
                    <w14:schemeClr w14:val="tx1"/>
                  </w14:solidFill>
                </w14:textFill>
              </w:rPr>
              <w:t>。</w:t>
            </w:r>
          </w:p>
        </w:tc>
      </w:tr>
      <w:tr w14:paraId="3753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F90C027">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202AE01F">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16</w:t>
            </w:r>
          </w:p>
        </w:tc>
      </w:tr>
      <w:tr w14:paraId="440A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9F037F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6297DAFE">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拉链门</w:t>
            </w:r>
          </w:p>
        </w:tc>
      </w:tr>
      <w:tr w14:paraId="4346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B12CC5B">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17C881C2">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82套</w:t>
            </w:r>
          </w:p>
        </w:tc>
      </w:tr>
      <w:tr w14:paraId="0598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7279B564">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1DFA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5016F1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1、宽3m，高度2.4m，防虫网拉链门；</w:t>
            </w:r>
          </w:p>
          <w:p w14:paraId="43E726E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、收成结束后对网棚进行拆除运输，并仓储；</w:t>
            </w:r>
          </w:p>
          <w:p w14:paraId="55C6B80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eastAsia="zh-CN"/>
                <w14:textFill>
                  <w14:solidFill>
                    <w14:schemeClr w14:val="tx1"/>
                  </w14:solidFill>
                </w14:textFill>
              </w:rPr>
              <w:t>根据项目现场实际情况绘制实际安装布置施工图。</w:t>
            </w:r>
          </w:p>
        </w:tc>
      </w:tr>
      <w:tr w14:paraId="4D4F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43DD9C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b/>
                <w:bCs/>
                <w:color w:val="000000" w:themeColor="text1"/>
                <w:sz w:val="24"/>
                <w:lang w:val="en-US" w:eastAsia="zh-CN"/>
                <w14:textFill>
                  <w14:solidFill>
                    <w14:schemeClr w14:val="tx1"/>
                  </w14:solidFill>
                </w14:textFill>
              </w:rPr>
              <w:t>南繁基地核心区2024年豇豆种植地覆盖防虫网项目（300亩）</w:t>
            </w:r>
          </w:p>
        </w:tc>
      </w:tr>
      <w:tr w14:paraId="4596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D867B9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54862AD8">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w:t>
            </w:r>
            <w:r>
              <w:rPr>
                <w:rFonts w:hint="eastAsia" w:ascii="Times New Roman" w:hAnsi="Times New Roman" w:eastAsia="宋体" w:cs="Times New Roman"/>
                <w:b/>
                <w:color w:val="000000" w:themeColor="text1"/>
                <w:sz w:val="24"/>
                <w:lang w:val="en-US" w:eastAsia="zh-CN"/>
                <w14:textFill>
                  <w14:solidFill>
                    <w14:schemeClr w14:val="tx1"/>
                  </w14:solidFill>
                </w14:textFill>
              </w:rPr>
              <w:t>7</w:t>
            </w:r>
          </w:p>
        </w:tc>
      </w:tr>
      <w:tr w14:paraId="10F6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CC8543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175069FC">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立柱</w:t>
            </w:r>
          </w:p>
        </w:tc>
      </w:tr>
      <w:tr w14:paraId="1CEC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C7E1430">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34DDE09F">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3412条</w:t>
            </w:r>
          </w:p>
        </w:tc>
      </w:tr>
      <w:tr w14:paraId="492E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1506FE52">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09FB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C9FD942">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φ42×2mm热镀锌圆管；</w:t>
            </w:r>
          </w:p>
          <w:p w14:paraId="712BA9C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长度3.5m；</w:t>
            </w:r>
          </w:p>
          <w:p w14:paraId="0A5CF8E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钢管一端开φ8mm孔2个；</w:t>
            </w:r>
          </w:p>
          <w:p w14:paraId="74646C7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钢材牌号Q235B。</w:t>
            </w:r>
          </w:p>
        </w:tc>
      </w:tr>
      <w:tr w14:paraId="0903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8A0889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77413BD9">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18</w:t>
            </w:r>
          </w:p>
        </w:tc>
      </w:tr>
      <w:tr w14:paraId="1559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7DD369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1975C0E2">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地锚</w:t>
            </w:r>
          </w:p>
        </w:tc>
      </w:tr>
      <w:tr w14:paraId="68D3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9908D99">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164556F9">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1600条</w:t>
            </w:r>
          </w:p>
        </w:tc>
      </w:tr>
      <w:tr w14:paraId="5D88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FEB3348">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6574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6844132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φ42×2mm热镀锌圆管；</w:t>
            </w:r>
          </w:p>
          <w:p w14:paraId="4DB1356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长度1.2m；</w:t>
            </w:r>
          </w:p>
          <w:p w14:paraId="6367A72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钢管一端开φ8mm孔2个；</w:t>
            </w:r>
          </w:p>
          <w:p w14:paraId="17BABD1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钢材牌号Q235B。</w:t>
            </w:r>
          </w:p>
        </w:tc>
      </w:tr>
      <w:tr w14:paraId="2227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E955500">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0F55BC0F">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19</w:t>
            </w:r>
          </w:p>
        </w:tc>
      </w:tr>
      <w:tr w14:paraId="30F5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6905305">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2FAB1A1C">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钢绞线</w:t>
            </w:r>
          </w:p>
        </w:tc>
      </w:tr>
      <w:tr w14:paraId="1C4C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C09518A">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29F60E67">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139394m</w:t>
            </w:r>
          </w:p>
        </w:tc>
      </w:tr>
      <w:tr w14:paraId="7916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2CD72F21">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6B57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06CEC0E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φ4mm（4.2mm外径）热镀锌钢绞线</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0702610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规格1×7，抗拉强度≥1370N/m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192D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7E6C09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2411C969">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20</w:t>
            </w:r>
          </w:p>
        </w:tc>
      </w:tr>
      <w:tr w14:paraId="33F1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F91F830">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4F164D99">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钢丝绳卡</w:t>
            </w:r>
          </w:p>
        </w:tc>
      </w:tr>
      <w:tr w14:paraId="644A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11386C5D">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5530682E">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24413套</w:t>
            </w:r>
          </w:p>
        </w:tc>
      </w:tr>
      <w:tr w14:paraId="2CDF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1513D776">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76EE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64B0CF9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镀锌M5成套，含螺母。</w:t>
            </w:r>
          </w:p>
        </w:tc>
      </w:tr>
      <w:tr w14:paraId="6B13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BC99B50">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334EF17B">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21</w:t>
            </w:r>
          </w:p>
        </w:tc>
      </w:tr>
      <w:tr w14:paraId="02C1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E38AAA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39E3A498">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塑料管帽</w:t>
            </w:r>
          </w:p>
        </w:tc>
      </w:tr>
      <w:tr w14:paraId="1DCB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E6796D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0F653AA7">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5012个</w:t>
            </w:r>
          </w:p>
        </w:tc>
      </w:tr>
      <w:tr w14:paraId="0F6A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2887141">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483C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CA8730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φ42钢管端部外套配套，外表圆滑，无毛刺</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7BB2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F64BC1B">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43CE5D3F">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22</w:t>
            </w:r>
          </w:p>
        </w:tc>
      </w:tr>
      <w:tr w14:paraId="559E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12B967E">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5EA8DBC2">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花篮螺栓</w:t>
            </w:r>
          </w:p>
        </w:tc>
      </w:tr>
      <w:tr w14:paraId="5453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087BB44">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5E6ADC5C">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2175套</w:t>
            </w:r>
          </w:p>
        </w:tc>
      </w:tr>
      <w:tr w14:paraId="1966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676DBBC5">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1FEC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BBB4AF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热镀锌M12，CO型</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493C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381FB28F">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700FEC11">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23</w:t>
            </w:r>
          </w:p>
        </w:tc>
      </w:tr>
      <w:tr w14:paraId="49F9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4" w:type="dxa"/>
            <w:noWrap w:val="0"/>
            <w:vAlign w:val="center"/>
          </w:tcPr>
          <w:p w14:paraId="08F4B01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27B06951">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防虫网</w:t>
            </w:r>
          </w:p>
        </w:tc>
      </w:tr>
      <w:tr w14:paraId="75E7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6AF9AAC">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7538AEC9">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229436㎡</w:t>
            </w:r>
          </w:p>
        </w:tc>
      </w:tr>
      <w:tr w14:paraId="7F91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64E5242F">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491A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48B5689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四周60目白色或绿色防虫网，幅宽3m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71DD8FD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顶部40目白色或绿色防虫网，缝合</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5614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7000D7E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211AF9F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24</w:t>
            </w:r>
          </w:p>
        </w:tc>
      </w:tr>
      <w:tr w14:paraId="6EAC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4AFD580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1AA033E3">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镀锌扎</w:t>
            </w:r>
            <w:r>
              <w:rPr>
                <w:rFonts w:hint="eastAsia" w:ascii="Times New Roman" w:hAnsi="Times New Roman" w:eastAsia="宋体" w:cs="Times New Roman"/>
                <w:b/>
                <w:color w:val="000000" w:themeColor="text1"/>
                <w:sz w:val="24"/>
                <w:lang w:val="en-US" w:eastAsia="zh-CN"/>
                <w14:textFill>
                  <w14:solidFill>
                    <w14:schemeClr w14:val="tx1"/>
                  </w14:solidFill>
                </w14:textFill>
              </w:rPr>
              <w:t>丝</w:t>
            </w:r>
          </w:p>
        </w:tc>
      </w:tr>
      <w:tr w14:paraId="4A13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5F6A363">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0C765AAB">
            <w:pPr>
              <w:shd w:val="clear" w:color="auto" w:fill="auto"/>
              <w:adjustRightInd w:val="0"/>
              <w:snapToGrid w:val="0"/>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56627条</w:t>
            </w:r>
          </w:p>
        </w:tc>
      </w:tr>
      <w:tr w14:paraId="48224FFB">
        <w:tblPrEx>
          <w:tblCellMar>
            <w:top w:w="0" w:type="dxa"/>
            <w:left w:w="108" w:type="dxa"/>
            <w:bottom w:w="0" w:type="dxa"/>
            <w:right w:w="108" w:type="dxa"/>
          </w:tblCellMar>
        </w:tblPrEx>
        <w:trPr>
          <w:trHeight w:val="397" w:hRule="atLeast"/>
          <w:jc w:val="center"/>
        </w:trPr>
        <w:tc>
          <w:tcPr>
            <w:tcW w:w="8091" w:type="dxa"/>
            <w:gridSpan w:val="2"/>
            <w:noWrap w:val="0"/>
            <w:vAlign w:val="center"/>
          </w:tcPr>
          <w:p w14:paraId="0CF4F474">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1F39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522F095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丝径0.75mm，长150mm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02F5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545B50DE">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347EF6A2">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25</w:t>
            </w:r>
          </w:p>
        </w:tc>
      </w:tr>
      <w:tr w14:paraId="5F32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6A256D2">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0C40F2F2">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推拉门</w:t>
            </w:r>
          </w:p>
        </w:tc>
      </w:tr>
      <w:tr w14:paraId="7EC0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9A9753A">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563B089D">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12套</w:t>
            </w:r>
          </w:p>
        </w:tc>
      </w:tr>
      <w:tr w14:paraId="7D5C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3CED8836">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15D6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028254BB">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门柱φ60×2mm热镀锌圆管（Q235B），长3.5m，2条</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52FAE1E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门横梁φ42×2mm热镀锌圆管（Q235B），长3.0m，3条</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057676C3">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门地梁φ42×2mm热镀锌圆管（Q235B），长3.0m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56C26F3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门导轨，C30热镀锌槽钢（Q235B）专用门导轨，长6m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727141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防虫网，60目白色，9.72㎡</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A931DC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热镀锌0.8mm厚卡槽，涂塑卡簧，30m</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7D694BAA">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滑轮五金配件，吊柜门专用4轮轴承套件，6套</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6063D0C8">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U型螺栓抱箍套件，U60&amp;φ42热镀锌，6套</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2E956F89">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lang w:val="en-US" w:eastAsia="zh-CN"/>
                <w14:textFill>
                  <w14:solidFill>
                    <w14:schemeClr w14:val="tx1"/>
                  </w14:solidFill>
                </w14:textFill>
              </w:rPr>
              <w:t>不锈钢门把手，2套</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tc>
      </w:tr>
      <w:tr w14:paraId="1800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2221392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序号</w:t>
            </w:r>
          </w:p>
        </w:tc>
        <w:tc>
          <w:tcPr>
            <w:tcW w:w="6367" w:type="dxa"/>
            <w:noWrap w:val="0"/>
            <w:vAlign w:val="center"/>
          </w:tcPr>
          <w:p w14:paraId="568A0AD4">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26</w:t>
            </w:r>
          </w:p>
        </w:tc>
      </w:tr>
      <w:tr w14:paraId="1E68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6A67A39E">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名称</w:t>
            </w:r>
          </w:p>
        </w:tc>
        <w:tc>
          <w:tcPr>
            <w:tcW w:w="6367" w:type="dxa"/>
            <w:noWrap w:val="0"/>
            <w:vAlign w:val="center"/>
          </w:tcPr>
          <w:p w14:paraId="7101FDC2">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lang w:val="en-US" w:eastAsia="zh-CN"/>
                <w14:textFill>
                  <w14:solidFill>
                    <w14:schemeClr w14:val="tx1"/>
                  </w14:solidFill>
                </w14:textFill>
              </w:rPr>
              <w:t>拉链门</w:t>
            </w:r>
          </w:p>
        </w:tc>
      </w:tr>
      <w:tr w14:paraId="583B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4" w:type="dxa"/>
            <w:noWrap w:val="0"/>
            <w:vAlign w:val="center"/>
          </w:tcPr>
          <w:p w14:paraId="003C75D6">
            <w:pPr>
              <w:shd w:val="clear" w:color="auto" w:fill="auto"/>
              <w:adjustRightInd w:val="0"/>
              <w:snapToGrid w:val="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数量</w:t>
            </w:r>
          </w:p>
        </w:tc>
        <w:tc>
          <w:tcPr>
            <w:tcW w:w="6367" w:type="dxa"/>
            <w:noWrap w:val="0"/>
            <w:vAlign w:val="center"/>
          </w:tcPr>
          <w:p w14:paraId="49D4CB61">
            <w:pPr>
              <w:shd w:val="clear" w:color="auto" w:fill="auto"/>
              <w:adjustRightInd w:val="0"/>
              <w:snapToGrid w:val="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50套</w:t>
            </w:r>
          </w:p>
        </w:tc>
      </w:tr>
      <w:tr w14:paraId="54A4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6F353F47">
            <w:pPr>
              <w:shd w:val="clear" w:color="auto" w:fill="auto"/>
              <w:adjustRightInd w:val="0"/>
              <w:snapToGrid w:val="0"/>
              <w:ind w:left="900" w:hanging="48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技术参数、配置要求及功能描述</w:t>
            </w:r>
          </w:p>
        </w:tc>
      </w:tr>
      <w:tr w14:paraId="2C78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1" w:type="dxa"/>
            <w:gridSpan w:val="2"/>
            <w:noWrap w:val="0"/>
            <w:vAlign w:val="center"/>
          </w:tcPr>
          <w:p w14:paraId="16B8BEBE">
            <w:pPr>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门柱φ60×2mm热镀锌圆管（Q235B），长3.5m，2条；</w:t>
            </w:r>
          </w:p>
          <w:p w14:paraId="5E10B280">
            <w:pPr>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门横梁φ42×2mm热镀锌圆管（Q235B），长3.0m，3条；</w:t>
            </w:r>
          </w:p>
          <w:p w14:paraId="53CA0C51">
            <w:pPr>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防虫网，60目白色，10.5㎡；</w:t>
            </w:r>
          </w:p>
          <w:p w14:paraId="60CAAEE5">
            <w:pPr>
              <w:keepNext w:val="0"/>
              <w:keepLines w:val="0"/>
              <w:pageBreakBefore w:val="0"/>
              <w:widowControl w:val="0"/>
              <w:numPr>
                <w:ilvl w:val="0"/>
                <w:numId w:val="2"/>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热镀锌0.8mm厚卡槽，涂塑卡簧，8.2m；</w:t>
            </w:r>
          </w:p>
          <w:p w14:paraId="31042FD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300" w:lineRule="auto"/>
              <w:ind w:firstLine="480" w:firstLineChars="200"/>
              <w:jc w:val="left"/>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5、U型螺栓抱箍套件，U60&amp;φ42热镀锌，2套。</w:t>
            </w:r>
          </w:p>
        </w:tc>
      </w:tr>
    </w:tbl>
    <w:p w14:paraId="48A63F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Times New Roman" w:hAnsi="Times New Roman" w:eastAsia="宋体" w:cs="Times New Roman"/>
          <w:b/>
          <w:color w:val="000000" w:themeColor="text1"/>
          <w:sz w:val="24"/>
          <w:lang w:val="en-US" w:eastAsia="zh-CN"/>
          <w14:textFill>
            <w14:solidFill>
              <w14:schemeClr w14:val="tx1"/>
            </w14:solidFill>
          </w14:textFill>
        </w:rPr>
      </w:pP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备注：本项目核心产品</w:t>
      </w:r>
      <w:r>
        <w:rPr>
          <w:rFonts w:hint="eastAsia" w:ascii="宋体" w:hAnsi="宋体" w:eastAsia="宋体" w:cs="宋体"/>
          <w:b/>
          <w:bCs w:val="0"/>
          <w:color w:val="000000" w:themeColor="text1"/>
          <w:sz w:val="24"/>
          <w:szCs w:val="24"/>
          <w:highlight w:val="none"/>
          <w:u w:val="none"/>
          <w:lang w:val="en-US" w:eastAsia="zh-CN"/>
          <w14:textFill>
            <w14:solidFill>
              <w14:schemeClr w14:val="tx1"/>
            </w14:solidFill>
          </w14:textFill>
        </w:rPr>
        <w:t>为立柱</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w:t>
      </w:r>
      <w:r>
        <w:rPr>
          <w:rFonts w:hint="eastAsia" w:ascii="宋体" w:hAnsi="宋体" w:eastAsia="宋体" w:cs="宋体"/>
          <w:b/>
          <w:color w:val="000000" w:themeColor="text1"/>
          <w:sz w:val="24"/>
          <w:lang w:val="en-US" w:eastAsia="zh-CN"/>
          <w14:textFill>
            <w14:solidFill>
              <w14:schemeClr w14:val="tx1"/>
            </w14:solidFill>
          </w14:textFill>
        </w:rPr>
        <w:t>钢绞线</w:t>
      </w:r>
      <w:r>
        <w:rPr>
          <w:rFonts w:hint="eastAsia" w:ascii="Times New Roman" w:hAnsi="Times New Roman" w:eastAsia="宋体" w:cs="Times New Roman"/>
          <w:b/>
          <w:color w:val="000000" w:themeColor="text1"/>
          <w:sz w:val="24"/>
          <w:lang w:val="en-US" w:eastAsia="zh-CN"/>
          <w14:textFill>
            <w14:solidFill>
              <w14:schemeClr w14:val="tx1"/>
            </w14:solidFill>
          </w14:textFill>
        </w:rPr>
        <w:t>。</w:t>
      </w:r>
    </w:p>
    <w:p w14:paraId="64A9AC2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200"/>
        <w:textAlignment w:val="auto"/>
        <w:outlineLvl w:val="9"/>
        <w:rPr>
          <w:rFonts w:hint="default"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default" w:ascii="宋体" w:hAnsi="宋体" w:eastAsia="宋体" w:cs="宋体"/>
          <w:b w:val="0"/>
          <w:bCs/>
          <w:color w:val="000000" w:themeColor="text1"/>
          <w:sz w:val="24"/>
          <w:szCs w:val="24"/>
          <w:highlight w:val="none"/>
          <w:lang w:val="en-US" w:eastAsia="zh-CN"/>
          <w14:textFill>
            <w14:solidFill>
              <w14:schemeClr w14:val="tx1"/>
            </w14:solidFill>
          </w14:textFill>
        </w:rPr>
        <w:t>实施的地点、时间</w:t>
      </w:r>
    </w:p>
    <w:p w14:paraId="4229EB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①项目实施地点：采购人指定地点</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679E667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②网棚</w:t>
      </w:r>
      <w:r>
        <w:rPr>
          <w:rFonts w:hint="eastAsia" w:ascii="宋体" w:hAnsi="宋体" w:cs="宋体"/>
          <w:color w:val="000000" w:themeColor="text1"/>
          <w:sz w:val="24"/>
          <w:szCs w:val="24"/>
          <w:lang w:val="en-US" w:eastAsia="zh-CN"/>
          <w14:textFill>
            <w14:solidFill>
              <w14:schemeClr w14:val="tx1"/>
            </w14:solidFill>
          </w14:textFill>
        </w:rPr>
        <w:t>安装</w:t>
      </w:r>
      <w:r>
        <w:rPr>
          <w:rFonts w:hint="eastAsia" w:ascii="宋体" w:hAnsi="宋体" w:eastAsia="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lang w:val="en-US" w:eastAsia="zh-CN"/>
          <w14:textFill>
            <w14:solidFill>
              <w14:schemeClr w14:val="tx1"/>
            </w14:solidFill>
          </w14:textFill>
        </w:rPr>
        <w:t>、网棚拆除外运</w:t>
      </w:r>
      <w:r>
        <w:rPr>
          <w:rFonts w:hint="eastAsia" w:ascii="宋体" w:hAnsi="宋体" w:eastAsia="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lang w:val="en-US" w:eastAsia="zh-CN"/>
          <w14:textFill>
            <w14:solidFill>
              <w14:schemeClr w14:val="tx1"/>
            </w14:solidFill>
          </w14:textFill>
        </w:rPr>
        <w:t>、材料仓储</w:t>
      </w:r>
      <w:r>
        <w:rPr>
          <w:rFonts w:hint="eastAsia" w:ascii="宋体" w:hAnsi="宋体" w:eastAsia="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lang w:val="en-US" w:eastAsia="zh-CN"/>
          <w14:textFill>
            <w14:solidFill>
              <w14:schemeClr w14:val="tx1"/>
            </w14:solidFill>
          </w14:textFill>
        </w:rPr>
        <w:t>等伴随式服务</w:t>
      </w:r>
      <w:r>
        <w:rPr>
          <w:rFonts w:hint="eastAsia" w:ascii="宋体" w:hAnsi="宋体" w:eastAsia="宋体" w:cs="宋体"/>
          <w:color w:val="000000" w:themeColor="text1"/>
          <w:sz w:val="24"/>
          <w:szCs w:val="24"/>
          <w:lang w:val="en-US" w:eastAsia="zh-CN"/>
          <w14:textFill>
            <w14:solidFill>
              <w14:schemeClr w14:val="tx1"/>
            </w14:solidFill>
          </w14:textFill>
        </w:rPr>
        <w:t>以采购人通知</w:t>
      </w:r>
      <w:r>
        <w:rPr>
          <w:rFonts w:hint="eastAsia" w:ascii="宋体" w:hAnsi="宋体" w:cs="宋体"/>
          <w:color w:val="000000" w:themeColor="text1"/>
          <w:sz w:val="24"/>
          <w:szCs w:val="24"/>
          <w:lang w:val="en-US" w:eastAsia="zh-CN"/>
          <w14:textFill>
            <w14:solidFill>
              <w14:schemeClr w14:val="tx1"/>
            </w14:solidFill>
          </w14:textFill>
        </w:rPr>
        <w:t>实施</w:t>
      </w:r>
      <w:r>
        <w:rPr>
          <w:rFonts w:hint="eastAsia" w:ascii="宋体" w:hAnsi="宋体" w:eastAsia="宋体" w:cs="宋体"/>
          <w:color w:val="000000" w:themeColor="text1"/>
          <w:sz w:val="24"/>
          <w:szCs w:val="24"/>
          <w:lang w:val="en-US" w:eastAsia="zh-CN"/>
          <w14:textFill>
            <w14:solidFill>
              <w14:schemeClr w14:val="tx1"/>
            </w14:solidFill>
          </w14:textFill>
        </w:rPr>
        <w:t>为准。</w:t>
      </w:r>
    </w:p>
    <w:p w14:paraId="34C330E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Chars="200"/>
        <w:textAlignment w:val="auto"/>
        <w:outlineLvl w:val="9"/>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（6）伴随式服务</w:t>
      </w:r>
    </w:p>
    <w:p w14:paraId="60A103A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①中标供应商须提供</w:t>
      </w:r>
      <w:r>
        <w:rPr>
          <w:rFonts w:hint="eastAsia" w:ascii="宋体" w:hAnsi="宋体" w:eastAsia="宋体" w:cs="宋体"/>
          <w:b w:val="0"/>
          <w:bCs/>
          <w:color w:val="000000" w:themeColor="text1"/>
          <w:sz w:val="24"/>
          <w:szCs w:val="24"/>
          <w:lang w:eastAsia="zh-CN"/>
          <w14:textFill>
            <w14:solidFill>
              <w14:schemeClr w14:val="tx1"/>
            </w14:solidFill>
          </w14:textFill>
        </w:rPr>
        <w:t>豇豆种植地覆盖防虫网项目</w:t>
      </w:r>
      <w:r>
        <w:rPr>
          <w:rFonts w:hint="eastAsia" w:ascii="宋体" w:hAnsi="宋体" w:eastAsia="宋体" w:cs="宋体"/>
          <w:b w:val="0"/>
          <w:bCs/>
          <w:color w:val="000000" w:themeColor="text1"/>
          <w:sz w:val="24"/>
          <w:szCs w:val="24"/>
          <w:lang w:val="en-US" w:eastAsia="zh-CN"/>
          <w14:textFill>
            <w14:solidFill>
              <w14:schemeClr w14:val="tx1"/>
            </w14:solidFill>
          </w14:textFill>
        </w:rPr>
        <w:t>2024年1500亩</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的网棚安装服务、网棚拆除外运服务、材料仓储服务等伴随式服务，具</w:t>
      </w:r>
      <w:r>
        <w:rPr>
          <w:rFonts w:hint="eastAsia" w:ascii="宋体" w:hAnsi="宋体" w:eastAsia="宋体" w:cs="宋体"/>
          <w:color w:val="000000" w:themeColor="text1"/>
          <w:sz w:val="24"/>
          <w:szCs w:val="24"/>
          <w:lang w:val="en-US" w:eastAsia="zh-CN"/>
          <w14:textFill>
            <w14:solidFill>
              <w14:schemeClr w14:val="tx1"/>
            </w14:solidFill>
          </w14:textFill>
        </w:rPr>
        <w:t>体工作开展时间以采购人通知为准。</w:t>
      </w:r>
    </w:p>
    <w:p w14:paraId="11DF1C6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②伴随式服务中的材料仓储时间为自中标供应商按照采购人要求完成网棚拆除、外运至仓库之日起</w:t>
      </w:r>
      <w:r>
        <w:rPr>
          <w:rFonts w:hint="eastAsia"/>
          <w:color w:val="000000" w:themeColor="text1"/>
          <w:sz w:val="24"/>
          <w:szCs w:val="24"/>
          <w14:textFill>
            <w14:solidFill>
              <w14:schemeClr w14:val="tx1"/>
            </w14:solidFill>
          </w14:textFill>
        </w:rPr>
        <w:t>存储</w:t>
      </w:r>
      <w:r>
        <w:rPr>
          <w:rFonts w:hint="eastAsia"/>
          <w:color w:val="000000" w:themeColor="text1"/>
          <w:sz w:val="24"/>
          <w:szCs w:val="24"/>
          <w:lang w:eastAsia="zh-CN"/>
          <w14:textFill>
            <w14:solidFill>
              <w14:schemeClr w14:val="tx1"/>
            </w14:solidFill>
          </w14:textFill>
        </w:rPr>
        <w:t>至</w:t>
      </w:r>
      <w:r>
        <w:rPr>
          <w:rFonts w:hint="eastAsia"/>
          <w:color w:val="000000" w:themeColor="text1"/>
          <w:sz w:val="24"/>
          <w:szCs w:val="24"/>
          <w14:textFill>
            <w14:solidFill>
              <w14:schemeClr w14:val="tx1"/>
            </w14:solidFill>
          </w14:textFill>
        </w:rPr>
        <w:t>来年豇豆种植时间</w:t>
      </w:r>
      <w:r>
        <w:rPr>
          <w:rFonts w:hint="eastAsia" w:ascii="宋体" w:hAnsi="宋体" w:eastAsia="宋体" w:cs="宋体"/>
          <w:color w:val="000000" w:themeColor="text1"/>
          <w:sz w:val="24"/>
          <w:szCs w:val="24"/>
          <w:lang w:val="en-US" w:eastAsia="zh-CN"/>
          <w14:textFill>
            <w14:solidFill>
              <w14:schemeClr w14:val="tx1"/>
            </w14:solidFill>
          </w14:textFill>
        </w:rPr>
        <w:t>。</w:t>
      </w:r>
    </w:p>
    <w:p w14:paraId="07E91B2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yellow"/>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sz w:val="24"/>
          <w:szCs w:val="24"/>
          <w:highlight w:val="none"/>
          <w:lang w:val="en-US" w:eastAsia="zh-CN"/>
          <w14:textFill>
            <w14:solidFill>
              <w14:schemeClr w14:val="tx1"/>
            </w14:solidFill>
          </w14:textFill>
        </w:rPr>
        <w:t>中标供应商须提供仓储服务，保证仓储环境符合货物储存条件，并安排专人看守。若出现仓储过程中货物丢失、人为损坏等造成采购人资产受损等情况，中标供应商须承担全部赔偿责任。</w:t>
      </w:r>
    </w:p>
    <w:p w14:paraId="22DFB81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④2024年300亩的豇豆种植地覆盖防虫网含伴随式服务产生的费用。</w:t>
      </w:r>
    </w:p>
    <w:p w14:paraId="59726F4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⑤2023年实施的豇豆种植地覆盖防虫网已拆运入库材料，在2024年继续使用，1200</w:t>
      </w:r>
      <w:r>
        <w:rPr>
          <w:rFonts w:hint="eastAsia" w:ascii="宋体" w:hAnsi="宋体" w:eastAsia="宋体" w:cs="宋体"/>
          <w:color w:val="000000" w:themeColor="text1"/>
          <w:kern w:val="2"/>
          <w:sz w:val="24"/>
          <w:szCs w:val="24"/>
          <w:lang w:val="en-US" w:eastAsia="zh-CN" w:bidi="ar-SA"/>
          <w14:textFill>
            <w14:solidFill>
              <w14:schemeClr w14:val="tx1"/>
            </w14:solidFill>
          </w14:textFill>
        </w:rPr>
        <w:t>亩的</w:t>
      </w:r>
      <w:r>
        <w:rPr>
          <w:rFonts w:hint="eastAsia" w:ascii="宋体" w:hAnsi="宋体" w:eastAsia="宋体" w:cs="宋体"/>
          <w:b w:val="0"/>
          <w:bCs/>
          <w:color w:val="000000" w:themeColor="text1"/>
          <w:sz w:val="24"/>
          <w:szCs w:val="24"/>
          <w:lang w:eastAsia="zh-CN"/>
          <w14:textFill>
            <w14:solidFill>
              <w14:schemeClr w14:val="tx1"/>
            </w14:solidFill>
          </w14:textFill>
        </w:rPr>
        <w:t>豇豆种植地覆盖防虫网</w:t>
      </w:r>
      <w:r>
        <w:rPr>
          <w:rFonts w:hint="eastAsia" w:ascii="宋体" w:hAnsi="宋体" w:eastAsia="宋体" w:cs="宋体"/>
          <w:color w:val="000000" w:themeColor="text1"/>
          <w:sz w:val="24"/>
          <w:szCs w:val="24"/>
          <w:lang w:val="en-US" w:eastAsia="zh-CN"/>
          <w14:textFill>
            <w14:solidFill>
              <w14:schemeClr w14:val="tx1"/>
            </w14:solidFill>
          </w14:textFill>
        </w:rPr>
        <w:t>伴随式服务已在“南繁基地核心区2023年豇豆种植地覆盖防虫网项目第二年材料损耗补充及伴随式服务（1200亩）”表中体现。</w:t>
      </w:r>
    </w:p>
    <w:p w14:paraId="5245B78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（7）售后服务和质量保证</w:t>
      </w:r>
    </w:p>
    <w:p w14:paraId="1353C54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①中标供应商所提供的货物具有出厂合格证明材料，符合合同规定的质量、性能要求，采购人将在现场拆封验收。</w:t>
      </w:r>
    </w:p>
    <w:p w14:paraId="0FA90EE0">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②供应商应对所投货物（除防虫网、镀锌扎丝）提供3年（验收合格之日起）质保期，质保期内提供免费维修服务；供应商应对防虫网提供1年（验收合格之日起）质保期，质保期内提供免费维修服务。镀锌扎丝属于易耗品，损耗率达100%，不纳入保质期，不可抗因数的损耗及正常损耗按实际与业主核算后补足。</w:t>
      </w:r>
    </w:p>
    <w:p w14:paraId="36D3CF65">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③根据中标供应商按检验标准检验的结果，或者在质保期内，发现货物的数量、质量不符，或使用不符合要求的材料等，采购人可以以书面形式通知中标供应商，提出更换。中标供应商在收到通知后，应在24小时内提出处理方案报采购人。</w:t>
      </w:r>
    </w:p>
    <w:p w14:paraId="11421B4C">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④采购人有权对中标供应商所提供的货物抽样送检，相关检测费用由中标供应商负责。</w:t>
      </w:r>
    </w:p>
    <w:p w14:paraId="11E9370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（8）交付时间</w:t>
      </w:r>
    </w:p>
    <w:p w14:paraId="1A7CEA5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①项目交付地点：采购人指定地点</w:t>
      </w:r>
    </w:p>
    <w:p w14:paraId="725DB9D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②货物交付时间：在项目实施期限内，按照采购人要求指定时间交付。</w:t>
      </w:r>
    </w:p>
    <w:p w14:paraId="0E841C7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③种植户收成结束后，中标供应商须在采购人指定时间内完成网棚拆除、外运、材料仓储等伴随式服务。</w:t>
      </w:r>
    </w:p>
    <w:p w14:paraId="0F415189">
      <w:pPr>
        <w:numPr>
          <w:ilvl w:val="0"/>
          <w:numId w:val="0"/>
        </w:numPr>
        <w:shd w:val="clear" w:color="auto" w:fill="auto"/>
        <w:spacing w:line="360" w:lineRule="auto"/>
        <w:ind w:left="482" w:leftChars="0"/>
        <w:rPr>
          <w:rFonts w:hint="default" w:ascii="Times New Roman" w:hAnsi="Times New Roman" w:eastAsia="宋体" w:cs="Times New Roman"/>
          <w:b/>
          <w:color w:val="000000" w:themeColor="text1"/>
          <w:sz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4"/>
          <w14:textFill>
            <w14:solidFill>
              <w14:schemeClr w14:val="tx1"/>
            </w14:solidFill>
          </w14:textFill>
        </w:rPr>
        <w:t>综合说明</w:t>
      </w:r>
    </w:p>
    <w:p w14:paraId="5431221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①投标人</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须明确所投产品的品牌、型号、规格和外形、尺寸、安装尺寸、重量及一些必须说明的技术参数，并提供详细的技术参数、性能说明书、产品图片等资料。</w:t>
      </w:r>
    </w:p>
    <w:p w14:paraId="28676313">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②</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投标报价最低的同品牌投标人获得中标人推荐资格；其他同品牌投标人不作为中标候选人。多家公司提供的核心产品品牌相同的，按本条款规定处理。</w:t>
      </w:r>
    </w:p>
    <w:p w14:paraId="03CB02D6">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③</w:t>
      </w:r>
      <w:r>
        <w:rPr>
          <w:rFonts w:hint="default" w:ascii="宋体" w:hAnsi="宋体" w:eastAsia="宋体" w:cs="宋体"/>
          <w:b/>
          <w:bCs/>
          <w:color w:val="000000" w:themeColor="text1"/>
          <w:kern w:val="2"/>
          <w:sz w:val="24"/>
          <w:szCs w:val="24"/>
          <w:highlight w:val="none"/>
          <w:lang w:val="en-US" w:eastAsia="zh-CN" w:bidi="ar-SA"/>
          <w14:textFill>
            <w14:solidFill>
              <w14:schemeClr w14:val="tx1"/>
            </w14:solidFill>
          </w14:textFill>
        </w:rPr>
        <w:t>本项目不允许进口产品参加投标。</w:t>
      </w:r>
    </w:p>
    <w:p w14:paraId="2010E7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④</w:t>
      </w:r>
      <w:r>
        <w:rPr>
          <w:rFonts w:hint="default" w:ascii="宋体" w:hAnsi="宋体" w:eastAsia="宋体" w:cs="宋体"/>
          <w:color w:val="000000" w:themeColor="text1"/>
          <w:kern w:val="2"/>
          <w:sz w:val="24"/>
          <w:szCs w:val="24"/>
          <w:highlight w:val="none"/>
          <w:lang w:val="en-US" w:eastAsia="zh-CN" w:bidi="ar-SA"/>
          <w14:textFill>
            <w14:solidFill>
              <w14:schemeClr w14:val="tx1"/>
            </w14:solidFill>
          </w14:textFill>
        </w:rPr>
        <w:t>所有设备和附（配）件应符合其规定的性能，无瑕疵和缺陷，质量为合格产品，同时有明确的生产制造厂商。交货时必须原包装现场拆封验收。供应商对质量问题负责包退、包换和包修，因此发生的费用由供应商负责。</w:t>
      </w:r>
    </w:p>
    <w:p w14:paraId="09EA28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t>10.农田害鼠生物防治</w:t>
      </w:r>
    </w:p>
    <w:p w14:paraId="42801F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（1）项目实施目标</w:t>
      </w:r>
    </w:p>
    <w:p w14:paraId="33DD64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采用生物防治相关技术对农田害鼠进行连续大范围综合防控，最终达到降低害鼠发生密度，减少农业生产损失，保障生产安全、粮食安全和生态环境安全，同时增加田间生物多样性，恢复和提升农田生态抗逆功能。项目实施后，农田害鼠密度下降至3%以下。</w:t>
      </w:r>
    </w:p>
    <w:p w14:paraId="43E102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实施面积及实施范围</w:t>
      </w:r>
    </w:p>
    <w:p w14:paraId="41C026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农田害鼠生物防治2024年实施面积40000亩，2025年实施面积70000亩。原则上需在划定区域内实施，在实施过程中，可根据农业生产实际情况确定实施地块。</w:t>
      </w:r>
    </w:p>
    <w:p w14:paraId="22E81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p>
    <w:p w14:paraId="796307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农田害鼠生物防治项目实施布局图</w:t>
      </w:r>
    </w:p>
    <w:p w14:paraId="4C86D28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drawing>
          <wp:inline distT="0" distB="0" distL="114300" distR="114300">
            <wp:extent cx="3989705" cy="2763520"/>
            <wp:effectExtent l="0" t="0" r="10795" b="17780"/>
            <wp:docPr id="16" name="图片 20" descr="微信图片_2024061608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微信图片_20240616085417"/>
                    <pic:cNvPicPr>
                      <a:picLocks noChangeAspect="1"/>
                    </pic:cNvPicPr>
                  </pic:nvPicPr>
                  <pic:blipFill>
                    <a:blip r:embed="rId22"/>
                    <a:stretch>
                      <a:fillRect/>
                    </a:stretch>
                  </pic:blipFill>
                  <pic:spPr>
                    <a:xfrm>
                      <a:off x="0" y="0"/>
                      <a:ext cx="3989705" cy="2763520"/>
                    </a:xfrm>
                    <a:prstGeom prst="rect">
                      <a:avLst/>
                    </a:prstGeom>
                    <a:noFill/>
                    <a:ln>
                      <a:noFill/>
                    </a:ln>
                  </pic:spPr>
                </pic:pic>
              </a:graphicData>
            </a:graphic>
          </wp:inline>
        </w:drawing>
      </w: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drawing>
          <wp:inline distT="0" distB="0" distL="114300" distR="114300">
            <wp:extent cx="3630930" cy="2515235"/>
            <wp:effectExtent l="0" t="0" r="7620" b="18415"/>
            <wp:docPr id="18" name="图片 21" descr="13.2025农田害鼠生物防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13.2025农田害鼠生物防治"/>
                    <pic:cNvPicPr>
                      <a:picLocks noChangeAspect="1"/>
                    </pic:cNvPicPr>
                  </pic:nvPicPr>
                  <pic:blipFill>
                    <a:blip r:embed="rId23"/>
                    <a:stretch>
                      <a:fillRect/>
                    </a:stretch>
                  </pic:blipFill>
                  <pic:spPr>
                    <a:xfrm>
                      <a:off x="0" y="0"/>
                      <a:ext cx="3630930" cy="2515235"/>
                    </a:xfrm>
                    <a:prstGeom prst="rect">
                      <a:avLst/>
                    </a:prstGeom>
                    <a:noFill/>
                    <a:ln>
                      <a:noFill/>
                    </a:ln>
                  </pic:spPr>
                </pic:pic>
              </a:graphicData>
            </a:graphic>
          </wp:inline>
        </w:drawing>
      </w:r>
    </w:p>
    <w:p w14:paraId="6020993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（3）项目实施内容</w:t>
      </w:r>
    </w:p>
    <w:p w14:paraId="57D61EC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olor w:val="000000" w:themeColor="text1"/>
          <w:sz w:val="24"/>
          <w:szCs w:val="24"/>
          <w:highlight w:val="none"/>
          <w:lang w:val="en-US" w:eastAsia="zh-CN"/>
          <w14:textFill>
            <w14:solidFill>
              <w14:schemeClr w14:val="tx1"/>
            </w14:solidFill>
          </w14:textFill>
        </w:rPr>
        <w:t>为有效控制农田害鼠的发生密度，减少农田害鼠危害损失和化学农药使用量，</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通过在项目实施区域</w:t>
      </w:r>
      <w:r>
        <w:rPr>
          <w:rFonts w:hint="eastAsia" w:ascii="Times New Roman" w:hAnsi="Times New Roman"/>
          <w:color w:val="000000" w:themeColor="text1"/>
          <w:sz w:val="24"/>
          <w:szCs w:val="24"/>
          <w:highlight w:val="none"/>
          <w:lang w:val="en-US" w:eastAsia="zh-CN"/>
          <w14:textFill>
            <w14:solidFill>
              <w14:schemeClr w14:val="tx1"/>
            </w14:solidFill>
          </w14:textFill>
        </w:rPr>
        <w:t>采用毒饵站投饵技术进行农田害鼠持续防控，</w:t>
      </w:r>
      <w:r>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t>能有效地控制农田害鼠的发生密度，减少农田害鼠危害损失和化学农药使用量，保障生态环境和粮食生产安全。</w:t>
      </w:r>
    </w:p>
    <w:p w14:paraId="0E4CF0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（4）合同履行期限：自合同签订之日起至项目履约完成且通过验收止。</w:t>
      </w:r>
    </w:p>
    <w:p w14:paraId="78A09A9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三、</w:t>
      </w:r>
      <w:r>
        <w:rPr>
          <w:rFonts w:hint="eastAsia" w:ascii="宋体" w:hAnsi="宋体" w:eastAsia="宋体" w:cs="宋体"/>
          <w:b/>
          <w:bCs/>
          <w:color w:val="000000" w:themeColor="text1"/>
          <w:sz w:val="24"/>
          <w:lang w:val="en-US" w:eastAsia="zh-CN"/>
          <w14:textFill>
            <w14:solidFill>
              <w14:schemeClr w14:val="tx1"/>
            </w14:solidFill>
          </w14:textFill>
        </w:rPr>
        <w:t>验收要求</w:t>
      </w:r>
    </w:p>
    <w:p w14:paraId="4A730C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健全档案，要跟踪记录项目实施过程，并留有图片及相关佐证材料，以备验收、检查。其他内容按</w:t>
      </w:r>
      <w:r>
        <w:rPr>
          <w:rFonts w:hint="eastAsia" w:ascii="Times New Roman" w:hAnsi="Times New Roman" w:cs="Times New Roman"/>
          <w:color w:val="000000" w:themeColor="text1"/>
          <w:sz w:val="24"/>
          <w:lang w:val="en-US" w:eastAsia="zh-CN"/>
          <w14:textFill>
            <w14:solidFill>
              <w14:schemeClr w14:val="tx1"/>
            </w14:solidFill>
          </w14:textFill>
        </w:rPr>
        <w:t>招标</w:t>
      </w:r>
      <w:r>
        <w:rPr>
          <w:rFonts w:hint="eastAsia" w:ascii="Times New Roman" w:hAnsi="Times New Roman" w:eastAsia="宋体" w:cs="Times New Roman"/>
          <w:color w:val="000000" w:themeColor="text1"/>
          <w:sz w:val="24"/>
          <w:lang w:val="en-US" w:eastAsia="zh-CN"/>
          <w14:textFill>
            <w14:solidFill>
              <w14:schemeClr w14:val="tx1"/>
            </w14:solidFill>
          </w14:textFill>
        </w:rPr>
        <w:t>文件要求和国家行业标准进行验收。</w:t>
      </w:r>
    </w:p>
    <w:p w14:paraId="4B5AE24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四、付款方式</w:t>
      </w:r>
    </w:p>
    <w:p w14:paraId="5459B79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（一）自合同签署之日起五个工作日内，采购人支付合同金额的20%，作为项目预付款。中标供应商需提供相关证明材料、资金申请文件及发票；</w:t>
      </w:r>
    </w:p>
    <w:p w14:paraId="3E9B727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（二）中标供应商完成2024年总体工作量，且经采购人组织阶段验收通过后，采购人支付合同金额的30%。</w:t>
      </w:r>
      <w:r>
        <w:rPr>
          <w:rFonts w:hint="eastAsia" w:ascii="宋体" w:hAnsi="宋体" w:cs="宋体"/>
          <w:color w:val="000000" w:themeColor="text1"/>
          <w:sz w:val="24"/>
          <w:szCs w:val="24"/>
          <w:highlight w:val="none"/>
          <w:lang w:val="en-US" w:eastAsia="zh-CN"/>
          <w14:textFill>
            <w14:solidFill>
              <w14:schemeClr w14:val="tx1"/>
            </w14:solidFill>
          </w14:textFill>
        </w:rPr>
        <w:t>中标供应商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需提供相关证明材料、资金申请文件及发票；</w:t>
      </w:r>
    </w:p>
    <w:p w14:paraId="3CAABB8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（三）中标供应商完成2025年总体工作量的60%，且向采购人提供相关证明材料后，采购人支付合同金额的</w:t>
      </w:r>
      <w:r>
        <w:rPr>
          <w:rFonts w:hint="eastAsia" w:ascii="宋体" w:hAnsi="宋体" w:eastAsia="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中标供应商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需提供相关证明材料、资金申请文件及发票；</w:t>
      </w:r>
    </w:p>
    <w:p w14:paraId="4DB396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（四）中标供应商完成项目全部工作，</w:t>
      </w:r>
      <w:r>
        <w:rPr>
          <w:rFonts w:hint="eastAsia" w:ascii="宋体" w:hAnsi="宋体" w:cs="宋体"/>
          <w:b w:val="0"/>
          <w:bCs w:val="0"/>
          <w:color w:val="000000" w:themeColor="text1"/>
          <w:sz w:val="24"/>
          <w:szCs w:val="24"/>
          <w:lang w:val="en-US" w:eastAsia="zh-CN"/>
          <w14:textFill>
            <w14:solidFill>
              <w14:schemeClr w14:val="tx1"/>
            </w14:solidFill>
          </w14:textFill>
        </w:rPr>
        <w:t>经采购人组织效果评估达标，</w:t>
      </w:r>
      <w:r>
        <w:rPr>
          <w:rFonts w:hint="eastAsia" w:ascii="宋体" w:hAnsi="宋体" w:eastAsia="宋体" w:cs="宋体"/>
          <w:b w:val="0"/>
          <w:bCs w:val="0"/>
          <w:color w:val="000000" w:themeColor="text1"/>
          <w:sz w:val="24"/>
          <w:szCs w:val="24"/>
          <w:lang w:val="en-US" w:eastAsia="zh-CN"/>
          <w14:textFill>
            <w14:solidFill>
              <w14:schemeClr w14:val="tx1"/>
            </w14:solidFill>
          </w14:textFill>
        </w:rPr>
        <w:t>并最终验收通过后，采购人支付合同剩余尾款；</w:t>
      </w:r>
    </w:p>
    <w:p w14:paraId="7D726C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（五）因</w:t>
      </w:r>
      <w:r>
        <w:rPr>
          <w:rFonts w:hint="eastAsia" w:ascii="宋体" w:hAnsi="宋体" w:cs="宋体"/>
          <w:color w:val="000000" w:themeColor="text1"/>
          <w:sz w:val="24"/>
          <w:szCs w:val="24"/>
          <w:highlight w:val="none"/>
          <w:lang w:val="en-US" w:eastAsia="zh-CN"/>
          <w14:textFill>
            <w14:solidFill>
              <w14:schemeClr w14:val="tx1"/>
            </w14:solidFill>
          </w14:textFill>
        </w:rPr>
        <w:t>中标供应商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不开具发票或</w:t>
      </w:r>
      <w:r>
        <w:rPr>
          <w:rFonts w:hint="eastAsia" w:ascii="宋体" w:hAnsi="宋体" w:cs="宋体"/>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color w:val="000000" w:themeColor="text1"/>
          <w:sz w:val="24"/>
          <w:szCs w:val="24"/>
          <w:highlight w:val="none"/>
          <w:lang w:val="en-US" w:eastAsia="zh-CN"/>
          <w14:textFill>
            <w14:solidFill>
              <w14:schemeClr w14:val="tx1"/>
            </w14:solidFill>
          </w14:textFill>
        </w:rPr>
        <w:t>因财政审批原因导致逾期付款，不视为</w:t>
      </w:r>
      <w:r>
        <w:rPr>
          <w:rFonts w:hint="eastAsia" w:ascii="宋体" w:hAnsi="宋体" w:cs="宋体"/>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color w:val="000000" w:themeColor="text1"/>
          <w:sz w:val="24"/>
          <w:szCs w:val="24"/>
          <w:highlight w:val="none"/>
          <w:lang w:val="en-US" w:eastAsia="zh-CN"/>
          <w14:textFill>
            <w14:solidFill>
              <w14:schemeClr w14:val="tx1"/>
            </w14:solidFill>
          </w14:textFill>
        </w:rPr>
        <w:t>违约。</w:t>
      </w:r>
    </w:p>
    <w:p w14:paraId="6ED376A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zh-CN"/>
          <w14:textFill>
            <w14:solidFill>
              <w14:schemeClr w14:val="tx1"/>
            </w14:solidFill>
          </w14:textFill>
        </w:rPr>
        <w:t>（六）除采购人首次支付合同金额的20%外，剩余拨付资金以项目实际发生量为准。</w:t>
      </w:r>
    </w:p>
    <w:p w14:paraId="5E8B091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五、其他</w:t>
      </w:r>
    </w:p>
    <w:p w14:paraId="4E0C9249">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因不可抗力等因素</w:t>
      </w:r>
      <w:r>
        <w:rPr>
          <w:rFonts w:hint="eastAsia" w:ascii="宋体" w:hAnsi="宋体" w:cs="宋体"/>
          <w:color w:val="000000" w:themeColor="text1"/>
          <w:sz w:val="24"/>
          <w:szCs w:val="24"/>
          <w:highlight w:val="none"/>
          <w:lang w:val="en-US" w:eastAsia="zh-CN"/>
          <w14:textFill>
            <w14:solidFill>
              <w14:schemeClr w14:val="tx1"/>
            </w14:solidFill>
          </w14:textFill>
        </w:rPr>
        <w:t>导致</w:t>
      </w:r>
      <w:r>
        <w:rPr>
          <w:rFonts w:hint="eastAsia" w:ascii="宋体" w:hAnsi="宋体" w:eastAsia="宋体" w:cs="宋体"/>
          <w:color w:val="000000" w:themeColor="text1"/>
          <w:sz w:val="24"/>
          <w:szCs w:val="24"/>
          <w:highlight w:val="none"/>
          <w:lang w:val="en-US" w:eastAsia="zh-CN"/>
          <w14:textFill>
            <w14:solidFill>
              <w14:schemeClr w14:val="tx1"/>
            </w14:solidFill>
          </w14:textFill>
        </w:rPr>
        <w:t>中标供应商需对项目部分内容进行更正，中标供应商应及时书面</w:t>
      </w:r>
      <w:r>
        <w:rPr>
          <w:rFonts w:hint="eastAsia" w:ascii="宋体" w:hAnsi="宋体" w:cs="宋体"/>
          <w:color w:val="000000" w:themeColor="text1"/>
          <w:sz w:val="24"/>
          <w:szCs w:val="24"/>
          <w:highlight w:val="none"/>
          <w:lang w:val="en-US" w:eastAsia="zh-CN"/>
          <w14:textFill>
            <w14:solidFill>
              <w14:schemeClr w14:val="tx1"/>
            </w14:solidFill>
          </w14:textFill>
        </w:rPr>
        <w:t>向</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采购人申请，并配合采购人处理后续事宜。</w:t>
      </w:r>
    </w:p>
    <w:p w14:paraId="0A5FEE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p>
    <w:p w14:paraId="577FF8EE">
      <w:pPr>
        <w:rPr>
          <w:color w:val="000000" w:themeColor="text1"/>
          <w14:textFill>
            <w14:solidFill>
              <w14:schemeClr w14:val="tx1"/>
            </w14:solidFill>
          </w14:textFill>
        </w:rPr>
      </w:pPr>
    </w:p>
    <w:sectPr>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208C1D"/>
    <w:multiLevelType w:val="singleLevel"/>
    <w:tmpl w:val="BB208C1D"/>
    <w:lvl w:ilvl="0" w:tentative="0">
      <w:start w:val="1"/>
      <w:numFmt w:val="decimal"/>
      <w:suff w:val="nothing"/>
      <w:lvlText w:val="%1、"/>
      <w:lvlJc w:val="left"/>
    </w:lvl>
  </w:abstractNum>
  <w:abstractNum w:abstractNumId="1">
    <w:nsid w:val="4794BE4E"/>
    <w:multiLevelType w:val="singleLevel"/>
    <w:tmpl w:val="4794BE4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iODY3NTgzMThiNWFlNjEwNjBiMmUyNWUzYjY4YzcifQ=="/>
  </w:docVars>
  <w:rsids>
    <w:rsidRoot w:val="09EC699B"/>
    <w:rsid w:val="006C1375"/>
    <w:rsid w:val="068D4372"/>
    <w:rsid w:val="09EC699B"/>
    <w:rsid w:val="0AFB3F51"/>
    <w:rsid w:val="0C0645DB"/>
    <w:rsid w:val="0C574832"/>
    <w:rsid w:val="0D584831"/>
    <w:rsid w:val="0E6F494F"/>
    <w:rsid w:val="0EAC3921"/>
    <w:rsid w:val="12A1655F"/>
    <w:rsid w:val="17C266ED"/>
    <w:rsid w:val="1A556446"/>
    <w:rsid w:val="1AC86576"/>
    <w:rsid w:val="225F35DD"/>
    <w:rsid w:val="285B3300"/>
    <w:rsid w:val="29096346"/>
    <w:rsid w:val="2BB2680E"/>
    <w:rsid w:val="354F783D"/>
    <w:rsid w:val="37F43340"/>
    <w:rsid w:val="3AB40B0F"/>
    <w:rsid w:val="400240A7"/>
    <w:rsid w:val="40267ACB"/>
    <w:rsid w:val="41FF7972"/>
    <w:rsid w:val="484B0BA6"/>
    <w:rsid w:val="4C5052EC"/>
    <w:rsid w:val="4C8315DB"/>
    <w:rsid w:val="51F33BC4"/>
    <w:rsid w:val="5CF66F24"/>
    <w:rsid w:val="5DF75E1F"/>
    <w:rsid w:val="5F591D9E"/>
    <w:rsid w:val="663408B8"/>
    <w:rsid w:val="66BD4B3B"/>
    <w:rsid w:val="73DF7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2"/>
    <w:basedOn w:val="1"/>
    <w:next w:val="1"/>
    <w:qFormat/>
    <w:uiPriority w:val="1"/>
    <w:pPr>
      <w:spacing w:before="35"/>
      <w:ind w:left="68" w:right="95"/>
      <w:jc w:val="center"/>
      <w:outlineLvl w:val="1"/>
    </w:pPr>
    <w:rPr>
      <w:b/>
      <w:bCs/>
      <w:sz w:val="36"/>
      <w:szCs w:val="36"/>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caption"/>
    <w:basedOn w:val="1"/>
    <w:next w:val="1"/>
    <w:qFormat/>
    <w:uiPriority w:val="0"/>
    <w:rPr>
      <w:rFonts w:ascii="Arial" w:hAnsi="Arial" w:eastAsia="黑体"/>
      <w:sz w:val="20"/>
    </w:rPr>
  </w:style>
  <w:style w:type="paragraph" w:styleId="4">
    <w:name w:val="Body Text"/>
    <w:basedOn w:val="1"/>
    <w:next w:val="1"/>
    <w:qFormat/>
    <w:uiPriority w:val="1"/>
    <w:rPr>
      <w:sz w:val="24"/>
      <w:szCs w:val="24"/>
    </w:rPr>
  </w:style>
  <w:style w:type="paragraph" w:styleId="5">
    <w:name w:val="Body Text Indent"/>
    <w:basedOn w:val="1"/>
    <w:unhideWhenUsed/>
    <w:qFormat/>
    <w:uiPriority w:val="99"/>
    <w:pPr>
      <w:spacing w:after="120"/>
      <w:ind w:left="420" w:left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39"/>
    <w:pPr>
      <w:spacing w:before="120" w:after="120"/>
      <w:jc w:val="left"/>
    </w:pPr>
    <w:rPr>
      <w:b/>
      <w:bCs/>
      <w:caps/>
      <w:sz w:val="20"/>
      <w:szCs w:val="20"/>
    </w:rPr>
  </w:style>
  <w:style w:type="paragraph" w:styleId="9">
    <w:name w:val="Body Text First Indent 2"/>
    <w:basedOn w:val="5"/>
    <w:unhideWhenUsed/>
    <w:qFormat/>
    <w:uiPriority w:val="99"/>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无间隔1"/>
    <w:qFormat/>
    <w:uiPriority w:val="99"/>
    <w:rPr>
      <w:rFonts w:ascii="Calibri" w:hAnsi="Calibri" w:eastAsia="宋体" w:cs="Times New Roman"/>
      <w:kern w:val="2"/>
      <w:sz w:val="21"/>
      <w:szCs w:val="22"/>
      <w:lang w:val="en-US" w:eastAsia="zh-CN" w:bidi="ar-SA"/>
    </w:rPr>
  </w:style>
  <w:style w:type="paragraph" w:customStyle="1" w:styleId="15">
    <w:name w:val="Table Paragraph"/>
    <w:basedOn w:val="1"/>
    <w:qFormat/>
    <w:uiPriority w:val="1"/>
  </w:style>
  <w:style w:type="paragraph" w:customStyle="1" w:styleId="1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7">
    <w:name w:val="表内"/>
    <w:basedOn w:val="1"/>
    <w:qFormat/>
    <w:uiPriority w:val="99"/>
    <w:pPr>
      <w:spacing w:line="300" w:lineRule="auto"/>
    </w:pPr>
    <w:rPr>
      <w:bCs/>
      <w:kern w:val="0"/>
      <w:szCs w:val="21"/>
      <w:lang w:eastAsia="zh-TW"/>
    </w:rPr>
  </w:style>
  <w:style w:type="paragraph" w:customStyle="1" w:styleId="18">
    <w:name w:val="my正文"/>
    <w:basedOn w:val="1"/>
    <w:qFormat/>
    <w:uiPriority w:val="0"/>
    <w:pPr>
      <w:ind w:firstLine="480" w:firstLineChars="200"/>
    </w:pPr>
    <w:rPr>
      <w:kern w:val="0"/>
      <w:sz w:val="24"/>
      <w:szCs w:val="24"/>
    </w:rPr>
  </w:style>
  <w:style w:type="character" w:customStyle="1" w:styleId="19">
    <w:name w:val="font01"/>
    <w:basedOn w:val="12"/>
    <w:qFormat/>
    <w:uiPriority w:val="0"/>
    <w:rPr>
      <w:rFonts w:hint="eastAsia" w:ascii="宋体" w:hAnsi="宋体" w:eastAsia="宋体" w:cs="宋体"/>
      <w:color w:val="000000"/>
      <w:sz w:val="20"/>
      <w:szCs w:val="20"/>
      <w:u w:val="none"/>
    </w:rPr>
  </w:style>
  <w:style w:type="character" w:customStyle="1" w:styleId="20">
    <w:name w:val="font51"/>
    <w:basedOn w:val="12"/>
    <w:qFormat/>
    <w:uiPriority w:val="0"/>
    <w:rPr>
      <w:rFonts w:hint="eastAsia" w:ascii="宋体" w:hAnsi="宋体" w:eastAsia="宋体" w:cs="宋体"/>
      <w:color w:val="000000"/>
      <w:sz w:val="20"/>
      <w:szCs w:val="20"/>
      <w:u w:val="none"/>
    </w:rPr>
  </w:style>
  <w:style w:type="character" w:customStyle="1" w:styleId="21">
    <w:name w:val="font31"/>
    <w:basedOn w:val="12"/>
    <w:qFormat/>
    <w:uiPriority w:val="0"/>
    <w:rPr>
      <w:rFonts w:hint="eastAsia" w:ascii="宋体" w:hAnsi="宋体" w:eastAsia="宋体" w:cs="宋体"/>
      <w:color w:val="FF0000"/>
      <w:sz w:val="20"/>
      <w:szCs w:val="20"/>
      <w:u w:val="none"/>
    </w:rPr>
  </w:style>
  <w:style w:type="character" w:customStyle="1" w:styleId="22">
    <w:name w:val="font2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12257</Words>
  <Characters>13887</Characters>
  <Lines>0</Lines>
  <Paragraphs>0</Paragraphs>
  <TotalTime>5</TotalTime>
  <ScaleCrop>false</ScaleCrop>
  <LinksUpToDate>false</LinksUpToDate>
  <CharactersWithSpaces>13901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2019-12-06T07:54:00Z</dcterms:created>
  <dc:creator>周琳琳</dc:creator>
  <cp:lastModifiedBy>陈贺-CH</cp:lastModifiedBy>
  <dcterms:modified xsi:type="dcterms:W3CDTF">2024-08-08T11:33:50Z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DE973646CA9B48FCBE2B2FCD516C1E1B_13</vt:lpwstr>
  </property>
</Properties>
</file>