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83EDBAE">
      <w:pPr>
        <w:tabs>
          <w:tab w:val="left" w:pos="4660"/>
        </w:tabs>
        <w:autoSpaceDE w:val="0"/>
        <w:autoSpaceDN w:val="0"/>
        <w:adjustRightInd w:val="0"/>
        <w:jc w:val="center"/>
        <w:rPr>
          <w:rFonts w:ascii="宋体" w:hAnsi="宋体"/>
          <w:b/>
          <w:sz w:val="48"/>
          <w:szCs w:val="48"/>
        </w:rPr>
      </w:pPr>
    </w:p>
    <w:p w14:paraId="2DB52575">
      <w:pPr>
        <w:tabs>
          <w:tab w:val="left" w:pos="4660"/>
        </w:tabs>
        <w:autoSpaceDE w:val="0"/>
        <w:autoSpaceDN w:val="0"/>
        <w:adjustRightInd w:val="0"/>
        <w:jc w:val="center"/>
        <w:rPr>
          <w:rFonts w:ascii="宋体" w:hAnsi="宋体"/>
          <w:b/>
          <w:sz w:val="48"/>
          <w:szCs w:val="48"/>
        </w:rPr>
      </w:pPr>
      <w:r>
        <w:rPr>
          <w:rFonts w:hint="eastAsia" w:ascii="宋体" w:hAnsi="宋体"/>
          <w:b/>
          <w:sz w:val="48"/>
          <w:szCs w:val="48"/>
          <w:lang w:eastAsia="zh-CN"/>
        </w:rPr>
        <w:t>海南省机电工程学校直播教室设备采购项目</w:t>
      </w:r>
    </w:p>
    <w:p w14:paraId="13AE2EE0">
      <w:pPr>
        <w:tabs>
          <w:tab w:val="left" w:pos="4660"/>
        </w:tabs>
        <w:autoSpaceDE w:val="0"/>
        <w:autoSpaceDN w:val="0"/>
        <w:adjustRightInd w:val="0"/>
        <w:jc w:val="center"/>
        <w:rPr>
          <w:rFonts w:ascii="宋体" w:hAnsi="宋体"/>
          <w:b/>
          <w:sz w:val="44"/>
          <w:szCs w:val="44"/>
        </w:rPr>
      </w:pPr>
    </w:p>
    <w:p w14:paraId="4B0E1FC1">
      <w:pPr>
        <w:tabs>
          <w:tab w:val="left" w:pos="4660"/>
        </w:tabs>
        <w:autoSpaceDE w:val="0"/>
        <w:autoSpaceDN w:val="0"/>
        <w:adjustRightInd w:val="0"/>
        <w:jc w:val="center"/>
        <w:rPr>
          <w:rFonts w:ascii="宋体" w:hAnsi="宋体"/>
          <w:b/>
          <w:sz w:val="52"/>
          <w:szCs w:val="52"/>
        </w:rPr>
      </w:pPr>
      <w:bookmarkStart w:id="0" w:name="_Toc148"/>
      <w:r>
        <w:rPr>
          <w:rFonts w:hint="eastAsia" w:ascii="宋体" w:hAnsi="宋体"/>
          <w:b/>
          <w:sz w:val="52"/>
          <w:szCs w:val="52"/>
        </w:rPr>
        <w:t>招</w:t>
      </w:r>
      <w:bookmarkEnd w:id="0"/>
    </w:p>
    <w:p w14:paraId="30C563DB">
      <w:pPr>
        <w:tabs>
          <w:tab w:val="left" w:pos="4660"/>
        </w:tabs>
        <w:autoSpaceDE w:val="0"/>
        <w:autoSpaceDN w:val="0"/>
        <w:adjustRightInd w:val="0"/>
        <w:jc w:val="center"/>
        <w:rPr>
          <w:rFonts w:ascii="宋体" w:hAnsi="宋体"/>
          <w:b/>
          <w:sz w:val="52"/>
          <w:szCs w:val="52"/>
        </w:rPr>
      </w:pPr>
    </w:p>
    <w:p w14:paraId="1162A888">
      <w:pPr>
        <w:tabs>
          <w:tab w:val="left" w:pos="4660"/>
        </w:tabs>
        <w:autoSpaceDE w:val="0"/>
        <w:autoSpaceDN w:val="0"/>
        <w:adjustRightInd w:val="0"/>
        <w:jc w:val="center"/>
        <w:rPr>
          <w:rFonts w:ascii="宋体" w:hAnsi="宋体"/>
          <w:b/>
          <w:sz w:val="52"/>
          <w:szCs w:val="52"/>
        </w:rPr>
      </w:pPr>
      <w:bookmarkStart w:id="1" w:name="_Toc2566"/>
      <w:r>
        <w:rPr>
          <w:rFonts w:hint="eastAsia" w:ascii="宋体" w:hAnsi="宋体"/>
          <w:b/>
          <w:sz w:val="52"/>
          <w:szCs w:val="52"/>
        </w:rPr>
        <w:t>标</w:t>
      </w:r>
      <w:bookmarkEnd w:id="1"/>
    </w:p>
    <w:p w14:paraId="6A481003">
      <w:pPr>
        <w:tabs>
          <w:tab w:val="left" w:pos="4660"/>
        </w:tabs>
        <w:autoSpaceDE w:val="0"/>
        <w:autoSpaceDN w:val="0"/>
        <w:adjustRightInd w:val="0"/>
        <w:jc w:val="center"/>
        <w:rPr>
          <w:rFonts w:ascii="宋体" w:hAnsi="宋体"/>
          <w:b/>
          <w:sz w:val="52"/>
          <w:szCs w:val="52"/>
        </w:rPr>
      </w:pPr>
    </w:p>
    <w:p w14:paraId="77F3605D">
      <w:pPr>
        <w:tabs>
          <w:tab w:val="left" w:pos="4660"/>
        </w:tabs>
        <w:autoSpaceDE w:val="0"/>
        <w:autoSpaceDN w:val="0"/>
        <w:adjustRightInd w:val="0"/>
        <w:jc w:val="center"/>
        <w:rPr>
          <w:rFonts w:ascii="宋体" w:hAnsi="宋体"/>
          <w:b/>
          <w:sz w:val="52"/>
          <w:szCs w:val="52"/>
        </w:rPr>
      </w:pPr>
      <w:bookmarkStart w:id="2" w:name="_Toc27293"/>
      <w:r>
        <w:rPr>
          <w:rFonts w:hint="eastAsia" w:ascii="宋体" w:hAnsi="宋体"/>
          <w:b/>
          <w:sz w:val="52"/>
          <w:szCs w:val="52"/>
        </w:rPr>
        <w:t>文</w:t>
      </w:r>
      <w:bookmarkEnd w:id="2"/>
    </w:p>
    <w:p w14:paraId="55C58345">
      <w:pPr>
        <w:tabs>
          <w:tab w:val="left" w:pos="4660"/>
        </w:tabs>
        <w:autoSpaceDE w:val="0"/>
        <w:autoSpaceDN w:val="0"/>
        <w:adjustRightInd w:val="0"/>
        <w:jc w:val="center"/>
        <w:rPr>
          <w:rFonts w:ascii="宋体" w:hAnsi="宋体"/>
          <w:b/>
          <w:sz w:val="52"/>
          <w:szCs w:val="52"/>
        </w:rPr>
      </w:pPr>
    </w:p>
    <w:p w14:paraId="303C29F1">
      <w:pPr>
        <w:tabs>
          <w:tab w:val="left" w:pos="4660"/>
        </w:tabs>
        <w:autoSpaceDE w:val="0"/>
        <w:autoSpaceDN w:val="0"/>
        <w:adjustRightInd w:val="0"/>
        <w:jc w:val="center"/>
        <w:rPr>
          <w:rFonts w:ascii="宋体" w:hAnsi="宋体"/>
          <w:b/>
          <w:sz w:val="52"/>
          <w:szCs w:val="52"/>
        </w:rPr>
      </w:pPr>
      <w:bookmarkStart w:id="3" w:name="_Toc18566"/>
      <w:r>
        <w:rPr>
          <w:rFonts w:hint="eastAsia" w:ascii="宋体" w:hAnsi="宋体"/>
          <w:b/>
          <w:sz w:val="52"/>
          <w:szCs w:val="52"/>
        </w:rPr>
        <w:t>件</w:t>
      </w:r>
      <w:bookmarkEnd w:id="3"/>
    </w:p>
    <w:p w14:paraId="19A360C1">
      <w:pPr>
        <w:tabs>
          <w:tab w:val="left" w:pos="4660"/>
        </w:tabs>
        <w:autoSpaceDE w:val="0"/>
        <w:autoSpaceDN w:val="0"/>
        <w:adjustRightInd w:val="0"/>
        <w:jc w:val="center"/>
        <w:rPr>
          <w:rFonts w:ascii="宋体" w:hAnsi="宋体" w:cs="Arial Unicode MS"/>
          <w:b/>
          <w:snapToGrid w:val="0"/>
          <w:kern w:val="0"/>
          <w:sz w:val="44"/>
          <w:szCs w:val="44"/>
        </w:rPr>
      </w:pPr>
    </w:p>
    <w:p w14:paraId="7374EA4C">
      <w:pPr>
        <w:tabs>
          <w:tab w:val="left" w:pos="4660"/>
        </w:tabs>
        <w:autoSpaceDE w:val="0"/>
        <w:autoSpaceDN w:val="0"/>
        <w:adjustRightInd w:val="0"/>
        <w:ind w:firstLine="1767" w:firstLineChars="550"/>
        <w:rPr>
          <w:rFonts w:ascii="宋体" w:hAnsi="宋体" w:cs="Arial Unicode MS"/>
          <w:b/>
          <w:snapToGrid w:val="0"/>
          <w:kern w:val="0"/>
          <w:sz w:val="32"/>
          <w:szCs w:val="32"/>
        </w:rPr>
      </w:pPr>
    </w:p>
    <w:p w14:paraId="7A2E57AD">
      <w:pPr>
        <w:tabs>
          <w:tab w:val="left" w:pos="4660"/>
        </w:tabs>
        <w:autoSpaceDE w:val="0"/>
        <w:autoSpaceDN w:val="0"/>
        <w:adjustRightInd w:val="0"/>
        <w:ind w:firstLine="1795" w:firstLineChars="596"/>
        <w:rPr>
          <w:rFonts w:ascii="新宋体" w:hAnsi="新宋体" w:eastAsia="新宋体"/>
          <w:b/>
          <w:kern w:val="0"/>
          <w:sz w:val="30"/>
          <w:szCs w:val="30"/>
        </w:rPr>
      </w:pPr>
      <w:r>
        <w:rPr>
          <w:rFonts w:hint="eastAsia" w:ascii="宋体" w:hAnsi="宋体" w:cs="Arial Unicode MS"/>
          <w:b/>
          <w:snapToGrid w:val="0"/>
          <w:kern w:val="0"/>
          <w:sz w:val="30"/>
          <w:szCs w:val="30"/>
        </w:rPr>
        <w:t>招标单位：</w:t>
      </w:r>
      <w:r>
        <w:rPr>
          <w:rFonts w:hint="eastAsia" w:ascii="宋体" w:hAnsi="宋体" w:cs="Arial Unicode MS"/>
          <w:b/>
          <w:snapToGrid w:val="0"/>
          <w:kern w:val="0"/>
          <w:sz w:val="30"/>
          <w:szCs w:val="30"/>
          <w:lang w:eastAsia="zh-CN"/>
        </w:rPr>
        <w:t>海南省机电工程学校</w:t>
      </w:r>
    </w:p>
    <w:p w14:paraId="659C41E0">
      <w:pPr>
        <w:tabs>
          <w:tab w:val="left" w:pos="4660"/>
        </w:tabs>
        <w:autoSpaceDE w:val="0"/>
        <w:autoSpaceDN w:val="0"/>
        <w:adjustRightInd w:val="0"/>
        <w:ind w:firstLine="1795" w:firstLineChars="596"/>
        <w:rPr>
          <w:rFonts w:ascii="宋体" w:hAnsi="宋体" w:eastAsia="新宋体" w:cs="Arial Unicode MS"/>
          <w:b/>
          <w:snapToGrid w:val="0"/>
          <w:kern w:val="0"/>
          <w:sz w:val="30"/>
          <w:szCs w:val="30"/>
        </w:rPr>
      </w:pPr>
      <w:bookmarkStart w:id="4" w:name="_Toc3181"/>
      <w:r>
        <w:rPr>
          <w:rFonts w:hint="eastAsia" w:ascii="新宋体" w:hAnsi="新宋体" w:eastAsia="新宋体"/>
          <w:b/>
          <w:kern w:val="0"/>
          <w:sz w:val="30"/>
          <w:szCs w:val="30"/>
        </w:rPr>
        <w:t>招标代理公司：</w:t>
      </w:r>
      <w:bookmarkEnd w:id="4"/>
      <w:r>
        <w:rPr>
          <w:rFonts w:hint="eastAsia" w:ascii="新宋体" w:hAnsi="新宋体" w:eastAsia="新宋体"/>
          <w:b/>
          <w:kern w:val="0"/>
          <w:sz w:val="30"/>
          <w:szCs w:val="30"/>
        </w:rPr>
        <w:t>法正项目管理集团有限公司</w:t>
      </w:r>
    </w:p>
    <w:p w14:paraId="30FB1716">
      <w:pPr>
        <w:tabs>
          <w:tab w:val="left" w:pos="4660"/>
        </w:tabs>
        <w:autoSpaceDE w:val="0"/>
        <w:autoSpaceDN w:val="0"/>
        <w:adjustRightInd w:val="0"/>
        <w:jc w:val="center"/>
        <w:rPr>
          <w:rFonts w:ascii="宋体" w:hAnsi="宋体" w:cs="Arial Unicode MS"/>
          <w:b/>
          <w:snapToGrid w:val="0"/>
          <w:kern w:val="0"/>
          <w:sz w:val="32"/>
          <w:szCs w:val="32"/>
        </w:rPr>
      </w:pPr>
      <w:r>
        <w:rPr>
          <w:rFonts w:hint="eastAsia" w:ascii="宋体" w:hAnsi="宋体" w:cs="Arial Unicode MS"/>
          <w:b/>
          <w:snapToGrid w:val="0"/>
          <w:kern w:val="0"/>
          <w:sz w:val="32"/>
          <w:szCs w:val="32"/>
        </w:rPr>
        <w:t>二零二四年</w:t>
      </w:r>
      <w:r>
        <w:rPr>
          <w:rFonts w:hint="eastAsia" w:ascii="宋体" w:hAnsi="宋体" w:cs="Arial Unicode MS"/>
          <w:b/>
          <w:snapToGrid w:val="0"/>
          <w:kern w:val="0"/>
          <w:sz w:val="32"/>
          <w:szCs w:val="32"/>
          <w:lang w:val="en-US" w:eastAsia="zh-CN"/>
        </w:rPr>
        <w:t>七</w:t>
      </w:r>
      <w:r>
        <w:rPr>
          <w:rFonts w:hint="eastAsia" w:ascii="宋体" w:hAnsi="宋体" w:cs="Arial Unicode MS"/>
          <w:b/>
          <w:snapToGrid w:val="0"/>
          <w:kern w:val="0"/>
          <w:sz w:val="32"/>
          <w:szCs w:val="32"/>
        </w:rPr>
        <w:t>月</w:t>
      </w:r>
    </w:p>
    <w:p w14:paraId="4FE312E1">
      <w:pPr>
        <w:tabs>
          <w:tab w:val="left" w:pos="4660"/>
        </w:tabs>
        <w:autoSpaceDE w:val="0"/>
        <w:autoSpaceDN w:val="0"/>
        <w:adjustRightInd w:val="0"/>
        <w:jc w:val="center"/>
        <w:rPr>
          <w:rFonts w:ascii="宋体" w:hAnsi="宋体" w:cs="Arial Unicode MS"/>
          <w:b/>
          <w:snapToGrid w:val="0"/>
          <w:kern w:val="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18" w:right="1134" w:bottom="1418" w:left="1134" w:header="851" w:footer="992" w:gutter="0"/>
          <w:pgNumType w:start="0"/>
          <w:cols w:space="720" w:num="1"/>
          <w:titlePg/>
          <w:docGrid w:type="lines" w:linePitch="312" w:charSpace="0"/>
        </w:sectPr>
      </w:pPr>
    </w:p>
    <w:p w14:paraId="7723A890">
      <w:pPr>
        <w:tabs>
          <w:tab w:val="left" w:pos="4660"/>
        </w:tabs>
        <w:autoSpaceDE w:val="0"/>
        <w:autoSpaceDN w:val="0"/>
        <w:adjustRightInd w:val="0"/>
        <w:jc w:val="center"/>
        <w:outlineLvl w:val="0"/>
        <w:rPr>
          <w:rFonts w:ascii="宋体" w:hAnsi="宋体" w:cs="Arial Unicode MS"/>
          <w:b/>
          <w:snapToGrid w:val="0"/>
          <w:kern w:val="0"/>
          <w:sz w:val="10"/>
          <w:szCs w:val="10"/>
        </w:rPr>
      </w:pPr>
      <w:r>
        <w:rPr>
          <w:rFonts w:hint="eastAsia" w:ascii="宋体" w:hAnsi="宋体" w:cs="Arial Unicode MS"/>
          <w:b/>
          <w:snapToGrid w:val="0"/>
          <w:kern w:val="0"/>
          <w:sz w:val="32"/>
          <w:szCs w:val="32"/>
        </w:rPr>
        <w:t>目录</w:t>
      </w:r>
    </w:p>
    <w:sdt>
      <w:sdtPr>
        <w:rPr>
          <w:rFonts w:ascii="宋体" w:hAnsi="宋体"/>
        </w:rPr>
        <w:id w:val="147453057"/>
        <w:docPartObj>
          <w:docPartGallery w:val="Table of Contents"/>
          <w:docPartUnique/>
        </w:docPartObj>
      </w:sdtPr>
      <w:sdtEndPr>
        <w:rPr>
          <w:rFonts w:ascii="Calibri" w:hAnsi="Calibri"/>
          <w:b/>
          <w:lang w:val="zh-CN"/>
        </w:rPr>
      </w:sdtEndPr>
      <w:sdtContent>
        <w:p w14:paraId="1E127322">
          <w:pPr>
            <w:rPr>
              <w:b/>
              <w:lang w:val="zh-CN"/>
            </w:rPr>
          </w:pPr>
          <w:r>
            <w:rPr>
              <w:lang w:val="zh-CN"/>
            </w:rPr>
            <w:fldChar w:fldCharType="begin"/>
          </w:r>
          <w:r>
            <w:rPr>
              <w:lang w:val="zh-CN"/>
            </w:rPr>
            <w:instrText xml:space="preserve">TOC \o "1-2" \h \u </w:instrText>
          </w:r>
          <w:r>
            <w:rPr>
              <w:lang w:val="zh-CN"/>
            </w:rPr>
            <w:fldChar w:fldCharType="separate"/>
          </w:r>
        </w:p>
        <w:p w14:paraId="2974B0D9">
          <w:pPr>
            <w:pStyle w:val="22"/>
            <w:tabs>
              <w:tab w:val="right" w:leader="dot" w:pos="9072"/>
            </w:tabs>
          </w:pPr>
          <w:r>
            <w:fldChar w:fldCharType="begin"/>
          </w:r>
          <w:r>
            <w:instrText xml:space="preserve"> HYPERLINK \l "_Toc21185" </w:instrText>
          </w:r>
          <w:r>
            <w:fldChar w:fldCharType="separate"/>
          </w:r>
          <w:r>
            <w:rPr>
              <w:rFonts w:hint="eastAsia"/>
              <w:szCs w:val="32"/>
            </w:rPr>
            <w:t>第一章招标公告</w:t>
          </w:r>
          <w:r>
            <w:tab/>
          </w:r>
          <w:r>
            <w:fldChar w:fldCharType="begin"/>
          </w:r>
          <w:r>
            <w:instrText xml:space="preserve"> PAGEREF _Toc21185 \h </w:instrText>
          </w:r>
          <w:r>
            <w:fldChar w:fldCharType="separate"/>
          </w:r>
          <w:r>
            <w:t>2</w:t>
          </w:r>
          <w:r>
            <w:fldChar w:fldCharType="end"/>
          </w:r>
          <w:r>
            <w:fldChar w:fldCharType="end"/>
          </w:r>
        </w:p>
        <w:p w14:paraId="4B33EBBA">
          <w:pPr>
            <w:pStyle w:val="22"/>
            <w:tabs>
              <w:tab w:val="right" w:leader="dot" w:pos="9072"/>
            </w:tabs>
          </w:pPr>
          <w:r>
            <w:fldChar w:fldCharType="begin"/>
          </w:r>
          <w:r>
            <w:instrText xml:space="preserve"> HYPERLINK \l "_Toc7444" </w:instrText>
          </w:r>
          <w:r>
            <w:fldChar w:fldCharType="separate"/>
          </w:r>
          <w:r>
            <w:rPr>
              <w:rFonts w:hint="eastAsia"/>
              <w:szCs w:val="32"/>
            </w:rPr>
            <w:t>第二章</w:t>
          </w:r>
          <w:r>
            <w:rPr>
              <w:rFonts w:hint="eastAsia"/>
              <w:szCs w:val="32"/>
              <w:lang w:eastAsia="zh-CN"/>
            </w:rPr>
            <w:t>供应商</w:t>
          </w:r>
          <w:r>
            <w:rPr>
              <w:rFonts w:hint="eastAsia"/>
              <w:szCs w:val="32"/>
            </w:rPr>
            <w:t>须知</w:t>
          </w:r>
          <w:r>
            <w:tab/>
          </w:r>
          <w:r>
            <w:fldChar w:fldCharType="begin"/>
          </w:r>
          <w:r>
            <w:instrText xml:space="preserve"> PAGEREF _Toc7444 \h </w:instrText>
          </w:r>
          <w:r>
            <w:fldChar w:fldCharType="separate"/>
          </w:r>
          <w:r>
            <w:t>7</w:t>
          </w:r>
          <w:r>
            <w:fldChar w:fldCharType="end"/>
          </w:r>
          <w:r>
            <w:fldChar w:fldCharType="end"/>
          </w:r>
        </w:p>
        <w:p w14:paraId="61A8D830">
          <w:pPr>
            <w:pStyle w:val="22"/>
            <w:tabs>
              <w:tab w:val="right" w:leader="dot" w:pos="9072"/>
            </w:tabs>
          </w:pPr>
          <w:r>
            <w:fldChar w:fldCharType="begin"/>
          </w:r>
          <w:r>
            <w:instrText xml:space="preserve"> HYPERLINK \l "_Toc32502" </w:instrText>
          </w:r>
          <w:r>
            <w:fldChar w:fldCharType="separate"/>
          </w:r>
          <w:r>
            <w:rPr>
              <w:rFonts w:hint="eastAsia" w:ascii="宋体" w:hAnsi="宋体"/>
              <w:szCs w:val="36"/>
            </w:rPr>
            <w:t>第三章评标标准</w:t>
          </w:r>
          <w:r>
            <w:tab/>
          </w:r>
          <w:r>
            <w:fldChar w:fldCharType="begin"/>
          </w:r>
          <w:r>
            <w:instrText xml:space="preserve"> PAGEREF _Toc32502 \h </w:instrText>
          </w:r>
          <w:r>
            <w:fldChar w:fldCharType="separate"/>
          </w:r>
          <w:r>
            <w:t>24</w:t>
          </w:r>
          <w:r>
            <w:fldChar w:fldCharType="end"/>
          </w:r>
          <w:r>
            <w:fldChar w:fldCharType="end"/>
          </w:r>
        </w:p>
        <w:p w14:paraId="449963A5">
          <w:pPr>
            <w:pStyle w:val="23"/>
            <w:tabs>
              <w:tab w:val="right" w:leader="dot" w:pos="9072"/>
            </w:tabs>
          </w:pPr>
          <w:r>
            <w:fldChar w:fldCharType="begin"/>
          </w:r>
          <w:r>
            <w:instrText xml:space="preserve"> HYPERLINK \l "_Toc29824" </w:instrText>
          </w:r>
          <w:r>
            <w:fldChar w:fldCharType="separate"/>
          </w:r>
          <w:r>
            <w:rPr>
              <w:rFonts w:hint="eastAsia"/>
            </w:rPr>
            <w:t>评标标准前附表</w:t>
          </w:r>
          <w:r>
            <w:tab/>
          </w:r>
          <w:r>
            <w:fldChar w:fldCharType="begin"/>
          </w:r>
          <w:r>
            <w:instrText xml:space="preserve"> PAGEREF _Toc29824 \h </w:instrText>
          </w:r>
          <w:r>
            <w:fldChar w:fldCharType="separate"/>
          </w:r>
          <w:r>
            <w:t>24</w:t>
          </w:r>
          <w:r>
            <w:fldChar w:fldCharType="end"/>
          </w:r>
          <w:r>
            <w:fldChar w:fldCharType="end"/>
          </w:r>
        </w:p>
        <w:p w14:paraId="3DF60060">
          <w:pPr>
            <w:pStyle w:val="22"/>
            <w:tabs>
              <w:tab w:val="right" w:leader="dot" w:pos="9072"/>
            </w:tabs>
          </w:pPr>
          <w:r>
            <w:fldChar w:fldCharType="begin"/>
          </w:r>
          <w:r>
            <w:instrText xml:space="preserve"> HYPERLINK \l "_Toc13934" </w:instrText>
          </w:r>
          <w:r>
            <w:fldChar w:fldCharType="separate"/>
          </w:r>
          <w:r>
            <w:rPr>
              <w:rFonts w:hint="eastAsia" w:ascii="宋体" w:hAnsi="宋体"/>
              <w:szCs w:val="36"/>
            </w:rPr>
            <w:t>第四章 合同条款及格式</w:t>
          </w:r>
          <w:r>
            <w:tab/>
          </w:r>
          <w:r>
            <w:fldChar w:fldCharType="begin"/>
          </w:r>
          <w:r>
            <w:instrText xml:space="preserve"> PAGEREF _Toc13934 \h </w:instrText>
          </w:r>
          <w:r>
            <w:fldChar w:fldCharType="separate"/>
          </w:r>
          <w:r>
            <w:t>31</w:t>
          </w:r>
          <w:r>
            <w:fldChar w:fldCharType="end"/>
          </w:r>
          <w:r>
            <w:fldChar w:fldCharType="end"/>
          </w:r>
        </w:p>
        <w:p w14:paraId="6EC46A7B">
          <w:pPr>
            <w:pStyle w:val="22"/>
            <w:tabs>
              <w:tab w:val="right" w:leader="dot" w:pos="9072"/>
            </w:tabs>
          </w:pPr>
          <w:r>
            <w:fldChar w:fldCharType="begin"/>
          </w:r>
          <w:r>
            <w:instrText xml:space="preserve"> HYPERLINK \l "_Toc26359" </w:instrText>
          </w:r>
          <w:r>
            <w:fldChar w:fldCharType="separate"/>
          </w:r>
          <w:r>
            <w:rPr>
              <w:rFonts w:hint="eastAsia" w:ascii="宋体" w:hAnsi="宋体"/>
              <w:szCs w:val="36"/>
            </w:rPr>
            <w:t>第五章</w:t>
          </w:r>
          <w:r>
            <w:rPr>
              <w:rFonts w:hint="eastAsia" w:ascii="宋体" w:hAnsi="宋体"/>
              <w:szCs w:val="36"/>
              <w:lang w:eastAsia="zh-CN"/>
            </w:rPr>
            <w:t>采购需求书</w:t>
          </w:r>
          <w:r>
            <w:tab/>
          </w:r>
          <w:r>
            <w:fldChar w:fldCharType="begin"/>
          </w:r>
          <w:r>
            <w:instrText xml:space="preserve"> PAGEREF _Toc26359 \h </w:instrText>
          </w:r>
          <w:r>
            <w:fldChar w:fldCharType="separate"/>
          </w:r>
          <w:r>
            <w:t>37</w:t>
          </w:r>
          <w:r>
            <w:fldChar w:fldCharType="end"/>
          </w:r>
          <w:r>
            <w:fldChar w:fldCharType="end"/>
          </w:r>
        </w:p>
        <w:p w14:paraId="104BB8AF">
          <w:pPr>
            <w:pStyle w:val="22"/>
            <w:tabs>
              <w:tab w:val="right" w:leader="dot" w:pos="9072"/>
            </w:tabs>
          </w:pPr>
          <w:r>
            <w:fldChar w:fldCharType="begin"/>
          </w:r>
          <w:r>
            <w:instrText xml:space="preserve"> HYPERLINK \l "_Toc16252" </w:instrText>
          </w:r>
          <w:r>
            <w:fldChar w:fldCharType="separate"/>
          </w:r>
          <w:r>
            <w:rPr>
              <w:rFonts w:hint="eastAsia" w:ascii="宋体" w:hAnsi="宋体"/>
              <w:szCs w:val="36"/>
            </w:rPr>
            <w:t>第六章</w:t>
          </w:r>
          <w:r>
            <w:rPr>
              <w:rFonts w:hint="eastAsia" w:ascii="宋体" w:hAnsi="宋体"/>
              <w:szCs w:val="36"/>
              <w:lang w:eastAsia="zh-CN"/>
            </w:rPr>
            <w:t>响应文件</w:t>
          </w:r>
          <w:r>
            <w:rPr>
              <w:rFonts w:hint="eastAsia" w:ascii="宋体" w:hAnsi="宋体"/>
              <w:szCs w:val="36"/>
            </w:rPr>
            <w:t>格式</w:t>
          </w:r>
          <w:r>
            <w:tab/>
          </w:r>
          <w:r>
            <w:fldChar w:fldCharType="begin"/>
          </w:r>
          <w:r>
            <w:instrText xml:space="preserve"> PAGEREF _Toc16252 \h </w:instrText>
          </w:r>
          <w:r>
            <w:fldChar w:fldCharType="separate"/>
          </w:r>
          <w:r>
            <w:t>131</w:t>
          </w:r>
          <w:r>
            <w:fldChar w:fldCharType="end"/>
          </w:r>
          <w:r>
            <w:fldChar w:fldCharType="end"/>
          </w:r>
        </w:p>
        <w:p w14:paraId="319430FD">
          <w:pPr>
            <w:jc w:val="center"/>
            <w:rPr>
              <w:lang w:val="zh-CN"/>
            </w:rPr>
          </w:pPr>
          <w:r>
            <w:rPr>
              <w:b/>
              <w:lang w:val="zh-CN"/>
            </w:rPr>
            <w:fldChar w:fldCharType="end"/>
          </w:r>
        </w:p>
      </w:sdtContent>
    </w:sdt>
    <w:p w14:paraId="5C902749">
      <w:pPr>
        <w:rPr>
          <w:lang w:val="zh-CN"/>
        </w:rPr>
      </w:pPr>
    </w:p>
    <w:p w14:paraId="21476491">
      <w:pPr>
        <w:rPr>
          <w:lang w:val="zh-CN"/>
        </w:rPr>
      </w:pPr>
    </w:p>
    <w:p w14:paraId="135CF433">
      <w:pPr>
        <w:rPr>
          <w:lang w:val="zh-CN"/>
        </w:rPr>
      </w:pPr>
    </w:p>
    <w:p w14:paraId="1830D1E1">
      <w:pPr>
        <w:rPr>
          <w:lang w:val="zh-CN"/>
        </w:rPr>
      </w:pPr>
    </w:p>
    <w:p w14:paraId="250F093C">
      <w:pPr>
        <w:rPr>
          <w:lang w:val="zh-CN"/>
        </w:rPr>
      </w:pPr>
    </w:p>
    <w:p w14:paraId="0568560F">
      <w:pPr>
        <w:rPr>
          <w:lang w:val="zh-CN"/>
        </w:rPr>
      </w:pPr>
    </w:p>
    <w:p w14:paraId="3E1E4CBD">
      <w:pPr>
        <w:rPr>
          <w:lang w:val="zh-CN"/>
        </w:rPr>
      </w:pPr>
    </w:p>
    <w:p w14:paraId="5EE75ACE">
      <w:pPr>
        <w:rPr>
          <w:lang w:val="zh-CN"/>
        </w:rPr>
      </w:pPr>
    </w:p>
    <w:p w14:paraId="09E00D7C">
      <w:pPr>
        <w:rPr>
          <w:lang w:val="zh-CN"/>
        </w:rPr>
      </w:pPr>
    </w:p>
    <w:p w14:paraId="0A91E3CC">
      <w:pPr>
        <w:rPr>
          <w:lang w:val="zh-CN"/>
        </w:rPr>
      </w:pPr>
    </w:p>
    <w:p w14:paraId="1BBC4182">
      <w:pPr>
        <w:rPr>
          <w:lang w:val="zh-CN"/>
        </w:rPr>
      </w:pPr>
    </w:p>
    <w:p w14:paraId="7C489C51">
      <w:pPr>
        <w:rPr>
          <w:lang w:val="zh-CN"/>
        </w:rPr>
      </w:pPr>
    </w:p>
    <w:p w14:paraId="24B7012F">
      <w:pPr>
        <w:rPr>
          <w:lang w:val="zh-CN"/>
        </w:rPr>
      </w:pPr>
    </w:p>
    <w:p w14:paraId="67A1BC6C">
      <w:pPr>
        <w:rPr>
          <w:lang w:val="zh-CN"/>
        </w:rPr>
      </w:pPr>
    </w:p>
    <w:p w14:paraId="46492AE7">
      <w:pPr>
        <w:rPr>
          <w:lang w:val="zh-CN"/>
        </w:rPr>
      </w:pPr>
    </w:p>
    <w:p w14:paraId="7443CCDF">
      <w:pPr>
        <w:rPr>
          <w:lang w:val="zh-CN"/>
        </w:rPr>
      </w:pPr>
    </w:p>
    <w:p w14:paraId="3C5F8F5A">
      <w:pPr>
        <w:rPr>
          <w:lang w:val="zh-CN"/>
        </w:rPr>
      </w:pPr>
    </w:p>
    <w:p w14:paraId="13483577">
      <w:pPr>
        <w:rPr>
          <w:lang w:val="zh-CN"/>
        </w:rPr>
      </w:pPr>
    </w:p>
    <w:p w14:paraId="306567E0">
      <w:pPr>
        <w:rPr>
          <w:lang w:val="zh-CN"/>
        </w:rPr>
      </w:pPr>
    </w:p>
    <w:p w14:paraId="5E88210E">
      <w:pPr>
        <w:rPr>
          <w:lang w:val="zh-CN"/>
        </w:rPr>
      </w:pPr>
    </w:p>
    <w:p w14:paraId="75ECF58E">
      <w:pPr>
        <w:rPr>
          <w:lang w:val="zh-CN"/>
        </w:rPr>
      </w:pPr>
    </w:p>
    <w:p w14:paraId="58015BAB">
      <w:pPr>
        <w:rPr>
          <w:lang w:val="zh-CN"/>
        </w:rPr>
      </w:pPr>
    </w:p>
    <w:p w14:paraId="14C83AC4">
      <w:pPr>
        <w:rPr>
          <w:lang w:val="zh-CN"/>
        </w:rPr>
      </w:pPr>
    </w:p>
    <w:p w14:paraId="42DE8CE8">
      <w:pPr>
        <w:rPr>
          <w:lang w:val="zh-CN"/>
        </w:rPr>
      </w:pPr>
    </w:p>
    <w:p w14:paraId="018B81EB">
      <w:pPr>
        <w:rPr>
          <w:lang w:val="zh-CN"/>
        </w:rPr>
      </w:pPr>
    </w:p>
    <w:p w14:paraId="43240079">
      <w:pPr>
        <w:rPr>
          <w:lang w:val="zh-CN"/>
        </w:rPr>
      </w:pPr>
    </w:p>
    <w:p w14:paraId="7A2CA996">
      <w:pPr>
        <w:rPr>
          <w:lang w:val="zh-CN"/>
        </w:rPr>
      </w:pPr>
    </w:p>
    <w:p w14:paraId="6B5080B8">
      <w:pPr>
        <w:rPr>
          <w:lang w:val="zh-CN"/>
        </w:rPr>
      </w:pPr>
    </w:p>
    <w:p w14:paraId="361E9127">
      <w:pPr>
        <w:pStyle w:val="3"/>
        <w:spacing w:line="300" w:lineRule="exact"/>
        <w:jc w:val="both"/>
        <w:rPr>
          <w:bCs w:val="0"/>
          <w:caps/>
          <w:snapToGrid w:val="0"/>
          <w:kern w:val="0"/>
          <w:szCs w:val="32"/>
        </w:rPr>
      </w:pPr>
    </w:p>
    <w:p w14:paraId="040E3361">
      <w:bookmarkStart w:id="5" w:name="_Toc154744402"/>
    </w:p>
    <w:p w14:paraId="2BF04C0A">
      <w:pPr>
        <w:pStyle w:val="3"/>
        <w:rPr>
          <w:szCs w:val="32"/>
        </w:rPr>
      </w:pPr>
      <w:bookmarkStart w:id="6" w:name="_Toc21185"/>
      <w:bookmarkStart w:id="7" w:name="_Toc154755435"/>
      <w:r>
        <w:rPr>
          <w:rFonts w:hint="eastAsia"/>
          <w:szCs w:val="32"/>
        </w:rPr>
        <w:t>第一章招标公告</w:t>
      </w:r>
      <w:bookmarkEnd w:id="5"/>
      <w:bookmarkEnd w:id="6"/>
      <w:bookmarkEnd w:id="7"/>
    </w:p>
    <w:p w14:paraId="6201DE13">
      <w:pPr>
        <w:outlineLvl w:val="1"/>
        <w:rPr>
          <w:b/>
          <w:sz w:val="28"/>
          <w:szCs w:val="28"/>
        </w:rPr>
      </w:pPr>
      <w:bookmarkStart w:id="8" w:name="_Toc4300"/>
      <w:bookmarkStart w:id="9" w:name="_Toc5418"/>
      <w:r>
        <w:rPr>
          <w:b/>
          <w:sz w:val="28"/>
          <w:szCs w:val="28"/>
        </w:rPr>
        <w:t xml:space="preserve">1. </w:t>
      </w:r>
      <w:r>
        <w:rPr>
          <w:rFonts w:hint="eastAsia"/>
          <w:b/>
          <w:sz w:val="28"/>
          <w:szCs w:val="28"/>
        </w:rPr>
        <w:t>招标条件</w:t>
      </w:r>
      <w:bookmarkEnd w:id="8"/>
      <w:bookmarkEnd w:id="9"/>
    </w:p>
    <w:p w14:paraId="54F033FE">
      <w:pPr>
        <w:spacing w:line="360" w:lineRule="auto"/>
        <w:ind w:firstLine="480" w:firstLineChars="200"/>
        <w:rPr>
          <w:rFonts w:hint="eastAsia" w:ascii="宋体" w:hAnsi="宋体"/>
          <w:sz w:val="24"/>
          <w:szCs w:val="24"/>
          <w:u w:val="none"/>
          <w:lang w:val="en-US" w:eastAsia="zh-CN"/>
        </w:rPr>
      </w:pPr>
      <w:bookmarkStart w:id="10" w:name="_Toc236805279"/>
      <w:bookmarkStart w:id="11" w:name="_Toc144974481"/>
      <w:bookmarkStart w:id="12" w:name="_Toc8182"/>
      <w:bookmarkStart w:id="13" w:name="_Toc152045513"/>
      <w:bookmarkStart w:id="14" w:name="_Toc179632529"/>
      <w:bookmarkStart w:id="15" w:name="_Toc152042289"/>
      <w:bookmarkStart w:id="16" w:name="_Toc28382"/>
      <w:r>
        <w:rPr>
          <w:rFonts w:hint="eastAsia" w:ascii="宋体" w:hAnsi="宋体"/>
          <w:sz w:val="24"/>
          <w:szCs w:val="24"/>
          <w:u w:val="single"/>
          <w:lang w:eastAsia="zh-CN"/>
        </w:rPr>
        <w:t>海南省机电工程学校直播教室设备采购项目</w:t>
      </w:r>
      <w:r>
        <w:rPr>
          <w:rFonts w:hint="eastAsia" w:ascii="宋体" w:hAnsi="宋体"/>
          <w:sz w:val="24"/>
          <w:szCs w:val="24"/>
          <w:u w:val="none"/>
          <w:lang w:val="en-US" w:eastAsia="zh-CN"/>
        </w:rPr>
        <w:t>的潜在供应商应在（海南省政府采购 网 (https://www.ccgp-hainan.gov.cn/zhuzhan/）海南省政府采购电子化交易管理系统获取招标文件，并于2024年07月30日09点00分（北京时间）前递交响应文件。</w:t>
      </w:r>
    </w:p>
    <w:p w14:paraId="5B2C9F2C">
      <w:pPr>
        <w:outlineLvl w:val="1"/>
        <w:rPr>
          <w:b/>
          <w:sz w:val="28"/>
          <w:szCs w:val="28"/>
        </w:rPr>
      </w:pPr>
      <w:r>
        <w:rPr>
          <w:b/>
          <w:sz w:val="28"/>
          <w:szCs w:val="28"/>
        </w:rPr>
        <w:t xml:space="preserve">2. </w:t>
      </w:r>
      <w:r>
        <w:rPr>
          <w:rFonts w:hint="eastAsia"/>
          <w:b/>
          <w:sz w:val="28"/>
          <w:szCs w:val="28"/>
        </w:rPr>
        <w:t>项目概况</w:t>
      </w:r>
      <w:bookmarkEnd w:id="10"/>
      <w:bookmarkEnd w:id="11"/>
      <w:bookmarkEnd w:id="12"/>
      <w:bookmarkEnd w:id="13"/>
      <w:bookmarkEnd w:id="14"/>
      <w:bookmarkEnd w:id="15"/>
      <w:bookmarkEnd w:id="16"/>
    </w:p>
    <w:p w14:paraId="7A781A10">
      <w:pPr>
        <w:snapToGrid w:val="0"/>
        <w:spacing w:line="500" w:lineRule="exact"/>
        <w:ind w:firstLine="480" w:firstLineChars="200"/>
        <w:contextualSpacing/>
        <w:rPr>
          <w:rFonts w:hint="eastAsia" w:ascii="宋体" w:hAnsi="宋体" w:eastAsia="宋体"/>
          <w:sz w:val="24"/>
          <w:szCs w:val="24"/>
          <w:lang w:eastAsia="zh-CN"/>
        </w:rPr>
      </w:pPr>
      <w:bookmarkStart w:id="17" w:name="_Hlk514230715"/>
      <w:r>
        <w:rPr>
          <w:rFonts w:ascii="宋体" w:hAnsi="宋体"/>
          <w:sz w:val="24"/>
          <w:szCs w:val="24"/>
        </w:rPr>
        <w:t xml:space="preserve">2.1 </w:t>
      </w:r>
      <w:r>
        <w:rPr>
          <w:rFonts w:hint="eastAsia" w:ascii="宋体" w:hAnsi="宋体"/>
          <w:sz w:val="24"/>
          <w:szCs w:val="24"/>
        </w:rPr>
        <w:t>项目名称：</w:t>
      </w:r>
      <w:r>
        <w:rPr>
          <w:rFonts w:hint="eastAsia" w:ascii="宋体" w:hAnsi="宋体"/>
          <w:sz w:val="24"/>
          <w:szCs w:val="24"/>
          <w:lang w:eastAsia="zh-CN"/>
        </w:rPr>
        <w:t>海南省机电工程学校直播教室设备采购项目</w:t>
      </w:r>
    </w:p>
    <w:p w14:paraId="2C857DA9">
      <w:pPr>
        <w:snapToGrid w:val="0"/>
        <w:spacing w:line="500" w:lineRule="exact"/>
        <w:ind w:firstLine="480" w:firstLineChars="200"/>
        <w:contextualSpacing/>
        <w:rPr>
          <w:rFonts w:hint="eastAsia" w:ascii="宋体" w:hAnsi="宋体"/>
          <w:sz w:val="24"/>
          <w:szCs w:val="24"/>
          <w:lang w:eastAsia="zh-CN"/>
        </w:rPr>
      </w:pPr>
      <w:r>
        <w:rPr>
          <w:rFonts w:ascii="宋体" w:hAnsi="宋体"/>
          <w:sz w:val="24"/>
          <w:szCs w:val="24"/>
        </w:rPr>
        <w:t xml:space="preserve">2.2 </w:t>
      </w:r>
      <w:r>
        <w:rPr>
          <w:rFonts w:hint="eastAsia" w:ascii="宋体" w:hAnsi="宋体"/>
          <w:sz w:val="24"/>
          <w:szCs w:val="24"/>
        </w:rPr>
        <w:t>项目编号：</w:t>
      </w:r>
      <w:r>
        <w:rPr>
          <w:rFonts w:hint="eastAsia" w:ascii="宋体" w:hAnsi="宋体"/>
          <w:sz w:val="24"/>
          <w:szCs w:val="24"/>
          <w:lang w:eastAsia="zh-CN"/>
        </w:rPr>
        <w:t>FZJTHN-CG-2024003</w:t>
      </w:r>
    </w:p>
    <w:p w14:paraId="00086BC8">
      <w:pPr>
        <w:snapToGrid w:val="0"/>
        <w:spacing w:line="500" w:lineRule="exact"/>
        <w:ind w:firstLine="480" w:firstLineChars="200"/>
        <w:contextualSpacing/>
        <w:rPr>
          <w:rFonts w:hint="default" w:ascii="宋体" w:hAnsi="宋体"/>
          <w:sz w:val="24"/>
          <w:szCs w:val="24"/>
          <w:lang w:val="en-US" w:eastAsia="zh-CN"/>
        </w:rPr>
      </w:pPr>
      <w:r>
        <w:rPr>
          <w:rFonts w:hint="eastAsia" w:ascii="宋体" w:hAnsi="宋体"/>
          <w:sz w:val="24"/>
          <w:szCs w:val="24"/>
          <w:lang w:val="en-US" w:eastAsia="zh-CN"/>
        </w:rPr>
        <w:t>2.3 招标控制价：招标控制价：3784000.00元,供应商报价需小于或等于控制价，超过控制价的报价按无效投标处理。所报单价包含一切应包含的费用（运输、税费、人工费等一切费用），原则上合同有效期内供应商所报的价格不随市场政策的变动而变动。</w:t>
      </w:r>
    </w:p>
    <w:p w14:paraId="3C526234">
      <w:pPr>
        <w:shd w:val="clear" w:color="auto" w:fill="FFFFFF"/>
        <w:wordWrap w:val="0"/>
        <w:spacing w:line="500" w:lineRule="exact"/>
        <w:ind w:firstLine="480" w:firstLineChars="200"/>
        <w:rPr>
          <w:rFonts w:hint="default" w:ascii="宋体" w:hAnsi="宋体" w:eastAsia="宋体"/>
          <w:sz w:val="24"/>
          <w:szCs w:val="24"/>
          <w:lang w:val="en-US" w:eastAsia="zh-CN"/>
        </w:rPr>
      </w:pPr>
      <w:r>
        <w:rPr>
          <w:rFonts w:hint="eastAsia" w:ascii="宋体" w:hAnsi="宋体"/>
          <w:sz w:val="24"/>
          <w:szCs w:val="24"/>
        </w:rPr>
        <w:t>2.</w:t>
      </w:r>
      <w:r>
        <w:rPr>
          <w:rFonts w:hint="eastAsia" w:ascii="宋体" w:hAnsi="宋体"/>
          <w:sz w:val="24"/>
          <w:szCs w:val="24"/>
          <w:lang w:val="en-US" w:eastAsia="zh-CN"/>
        </w:rPr>
        <w:t>4</w:t>
      </w:r>
      <w:r>
        <w:rPr>
          <w:rFonts w:hint="eastAsia" w:ascii="宋体" w:hAnsi="宋体"/>
          <w:sz w:val="24"/>
          <w:szCs w:val="24"/>
        </w:rPr>
        <w:t>用途：</w:t>
      </w:r>
      <w:r>
        <w:rPr>
          <w:rFonts w:hint="eastAsia" w:ascii="宋体" w:hAnsi="宋体"/>
          <w:sz w:val="24"/>
          <w:szCs w:val="24"/>
          <w:lang w:val="en-US" w:eastAsia="zh-CN"/>
        </w:rPr>
        <w:t>使用</w:t>
      </w:r>
      <w:r>
        <w:rPr>
          <w:rFonts w:hint="eastAsia" w:ascii="宋体" w:hAnsi="宋体" w:cs="Arial"/>
          <w:sz w:val="24"/>
        </w:rPr>
        <w:t>需要</w:t>
      </w:r>
      <w:r>
        <w:rPr>
          <w:rFonts w:hint="eastAsia" w:ascii="宋体" w:hAnsi="宋体"/>
          <w:sz w:val="24"/>
          <w:szCs w:val="24"/>
        </w:rPr>
        <w:t>。</w:t>
      </w:r>
    </w:p>
    <w:p w14:paraId="34B92678">
      <w:pPr>
        <w:snapToGrid w:val="0"/>
        <w:spacing w:line="500" w:lineRule="exact"/>
        <w:ind w:left="1919" w:leftChars="228" w:hanging="1440" w:hangingChars="600"/>
        <w:contextualSpacing/>
        <w:rPr>
          <w:rFonts w:ascii="宋体" w:hAnsi="宋体"/>
          <w:sz w:val="24"/>
          <w:szCs w:val="24"/>
        </w:rPr>
      </w:pPr>
      <w:r>
        <w:rPr>
          <w:rFonts w:ascii="宋体" w:hAnsi="宋体"/>
          <w:sz w:val="24"/>
          <w:szCs w:val="24"/>
        </w:rPr>
        <w:t>2.</w:t>
      </w:r>
      <w:r>
        <w:rPr>
          <w:rFonts w:hint="eastAsia" w:ascii="宋体" w:hAnsi="宋体"/>
          <w:sz w:val="24"/>
          <w:szCs w:val="24"/>
          <w:lang w:val="en-US" w:eastAsia="zh-CN"/>
        </w:rPr>
        <w:t>5</w:t>
      </w:r>
      <w:r>
        <w:rPr>
          <w:rFonts w:hint="eastAsia" w:ascii="宋体" w:hAnsi="宋体"/>
          <w:sz w:val="24"/>
          <w:szCs w:val="24"/>
        </w:rPr>
        <w:t>交货地点：</w:t>
      </w:r>
      <w:r>
        <w:rPr>
          <w:rFonts w:hint="eastAsia" w:ascii="宋体" w:hAnsi="宋体"/>
          <w:sz w:val="24"/>
          <w:szCs w:val="24"/>
          <w:lang w:val="en-US" w:eastAsia="zh-CN"/>
        </w:rPr>
        <w:t>业主指定地点。</w:t>
      </w:r>
    </w:p>
    <w:p w14:paraId="18EC00CD">
      <w:pPr>
        <w:spacing w:line="420" w:lineRule="exact"/>
        <w:ind w:firstLine="480" w:firstLineChars="200"/>
        <w:jc w:val="left"/>
        <w:rPr>
          <w:rFonts w:ascii="宋体" w:hAnsi="宋体" w:cs="Arial"/>
          <w:sz w:val="24"/>
        </w:rPr>
      </w:pPr>
      <w:r>
        <w:rPr>
          <w:rFonts w:ascii="宋体" w:hAnsi="宋体"/>
          <w:sz w:val="24"/>
          <w:szCs w:val="24"/>
        </w:rPr>
        <w:t>2.</w:t>
      </w:r>
      <w:bookmarkEnd w:id="17"/>
      <w:r>
        <w:rPr>
          <w:rFonts w:hint="eastAsia" w:ascii="宋体" w:hAnsi="宋体"/>
          <w:sz w:val="24"/>
          <w:szCs w:val="24"/>
          <w:lang w:val="en-US" w:eastAsia="zh-CN"/>
        </w:rPr>
        <w:t>6</w:t>
      </w:r>
      <w:r>
        <w:rPr>
          <w:rFonts w:hint="eastAsia" w:ascii="宋体" w:hAnsi="宋体"/>
          <w:sz w:val="24"/>
          <w:szCs w:val="24"/>
        </w:rPr>
        <w:t>招标范围</w:t>
      </w:r>
      <w:r>
        <w:rPr>
          <w:rFonts w:hint="eastAsia" w:ascii="宋体" w:hAnsi="宋体" w:cs="Arial"/>
          <w:sz w:val="24"/>
        </w:rPr>
        <w:t>：</w:t>
      </w:r>
      <w:r>
        <w:rPr>
          <w:rFonts w:hint="eastAsia" w:ascii="宋体" w:hAnsi="宋体"/>
          <w:sz w:val="24"/>
          <w:lang w:val="en-US" w:eastAsia="zh-CN"/>
        </w:rPr>
        <w:t>详见采购需求书《直播教室设备采购项目预算审核汇总表》</w:t>
      </w:r>
      <w:r>
        <w:rPr>
          <w:rFonts w:hint="eastAsia" w:ascii="宋体" w:hAnsi="宋体"/>
          <w:sz w:val="24"/>
        </w:rPr>
        <w:t>。</w:t>
      </w:r>
    </w:p>
    <w:p w14:paraId="3FB4C2BA">
      <w:pPr>
        <w:spacing w:line="360" w:lineRule="auto"/>
        <w:outlineLvl w:val="1"/>
        <w:rPr>
          <w:rFonts w:hint="eastAsia" w:eastAsia="宋体"/>
          <w:b/>
          <w:sz w:val="28"/>
          <w:szCs w:val="28"/>
          <w:lang w:eastAsia="zh-CN"/>
        </w:rPr>
      </w:pPr>
      <w:bookmarkStart w:id="18" w:name="_Toc2726"/>
      <w:bookmarkStart w:id="19" w:name="_Toc24934"/>
      <w:r>
        <w:rPr>
          <w:b/>
          <w:sz w:val="28"/>
          <w:szCs w:val="28"/>
        </w:rPr>
        <w:t xml:space="preserve">3. </w:t>
      </w:r>
      <w:r>
        <w:rPr>
          <w:rFonts w:hint="eastAsia"/>
          <w:b/>
          <w:sz w:val="28"/>
          <w:szCs w:val="28"/>
          <w:lang w:eastAsia="zh-CN"/>
        </w:rPr>
        <w:t>供应商</w:t>
      </w:r>
      <w:r>
        <w:rPr>
          <w:rFonts w:hint="eastAsia"/>
          <w:b/>
          <w:sz w:val="28"/>
          <w:szCs w:val="28"/>
        </w:rPr>
        <w:t>资格要求</w:t>
      </w:r>
      <w:bookmarkEnd w:id="18"/>
      <w:bookmarkEnd w:id="19"/>
      <w:r>
        <w:rPr>
          <w:rFonts w:hint="eastAsia"/>
          <w:b/>
          <w:sz w:val="28"/>
          <w:szCs w:val="28"/>
          <w:lang w:eastAsia="zh-CN"/>
        </w:rPr>
        <w:t>：</w:t>
      </w:r>
    </w:p>
    <w:p w14:paraId="039D1351">
      <w:pPr>
        <w:spacing w:line="360" w:lineRule="auto"/>
        <w:outlineLvl w:val="1"/>
        <w:rPr>
          <w:rFonts w:ascii="微软雅黑" w:hAnsi="微软雅黑" w:eastAsia="微软雅黑" w:cs="微软雅黑"/>
          <w:i w:val="0"/>
          <w:iCs w:val="0"/>
          <w:caps w:val="0"/>
          <w:color w:val="333333"/>
          <w:spacing w:val="0"/>
          <w:sz w:val="24"/>
          <w:szCs w:val="24"/>
          <w:shd w:val="clear" w:fill="FFFFFF"/>
        </w:rPr>
      </w:pPr>
      <w:bookmarkStart w:id="20" w:name="_Toc330283616"/>
      <w:bookmarkStart w:id="21" w:name="_Toc22934"/>
      <w:bookmarkStart w:id="22" w:name="_Toc5440"/>
      <w:r>
        <w:rPr>
          <w:rFonts w:hint="eastAsia" w:ascii="微软雅黑" w:hAnsi="微软雅黑" w:eastAsia="微软雅黑" w:cs="微软雅黑"/>
          <w:i w:val="0"/>
          <w:iCs w:val="0"/>
          <w:caps w:val="0"/>
          <w:color w:val="333333"/>
          <w:spacing w:val="0"/>
          <w:sz w:val="24"/>
          <w:szCs w:val="24"/>
          <w:shd w:val="clear" w:fill="FFFFFF"/>
          <w:lang w:val="en-US" w:eastAsia="zh-CN"/>
        </w:rPr>
        <w:t>1</w:t>
      </w:r>
      <w:r>
        <w:rPr>
          <w:rFonts w:ascii="微软雅黑" w:hAnsi="微软雅黑" w:eastAsia="微软雅黑" w:cs="微软雅黑"/>
          <w:i w:val="0"/>
          <w:iCs w:val="0"/>
          <w:caps w:val="0"/>
          <w:color w:val="333333"/>
          <w:spacing w:val="0"/>
          <w:sz w:val="24"/>
          <w:szCs w:val="24"/>
          <w:shd w:val="clear" w:fill="FFFFFF"/>
        </w:rPr>
        <w:t>满足《中华人民共和国政府采购法》第二十二条规定；</w:t>
      </w:r>
    </w:p>
    <w:p w14:paraId="3DB7A088">
      <w:pPr>
        <w:spacing w:line="360" w:lineRule="auto"/>
        <w:outlineLvl w:val="1"/>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4"/>
          <w:szCs w:val="24"/>
          <w:shd w:val="clear" w:fill="FFFFFF"/>
          <w:lang w:val="en-US" w:eastAsia="zh-CN"/>
        </w:rPr>
        <w:t>2</w:t>
      </w:r>
      <w:r>
        <w:rPr>
          <w:rFonts w:hint="eastAsia" w:ascii="微软雅黑" w:hAnsi="微软雅黑" w:eastAsia="微软雅黑" w:cs="微软雅黑"/>
          <w:i w:val="0"/>
          <w:iCs w:val="0"/>
          <w:caps w:val="0"/>
          <w:color w:val="333333"/>
          <w:spacing w:val="0"/>
          <w:sz w:val="24"/>
          <w:szCs w:val="24"/>
          <w:shd w:val="clear" w:fill="FFFFFF"/>
        </w:rPr>
        <w:t>、具有独立承担民事责任的能力。</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是企业（包括合伙企业）的，提供在工商部门注册的有效的“企业法人营业执照”或“营业执照”；</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是事业单位的，提供有效的“事业单位法人证书”；</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是非企业专业服务机构的，如律师事务所，提供执业许可证等证明文件；</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是个体工商户的，提供有效的“个体工商户营业执照”；</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是自然人的，提供有效的自然人身份证明，只有中国公民才能以自然人的身份参加本项目的政府采购活动。如</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是银行、保险、石油石化、电力、电信行业等有行业特殊情况的，分支机构可参与本项目的政府采购活动。采购文件中涉及要求提供“法定代表人”相关证明材料的，提供分支机构“负责人”的相关证明材料。</w:t>
      </w:r>
      <w:r>
        <w:rPr>
          <w:rFonts w:hint="eastAsia" w:ascii="微软雅黑" w:hAnsi="微软雅黑" w:eastAsia="微软雅黑" w:cs="微软雅黑"/>
          <w:i w:val="0"/>
          <w:iCs w:val="0"/>
          <w:caps w:val="0"/>
          <w:color w:val="333333"/>
          <w:spacing w:val="0"/>
          <w:sz w:val="24"/>
          <w:szCs w:val="24"/>
          <w:shd w:val="clear" w:fill="FFFFFF"/>
          <w:lang w:eastAsia="zh-CN"/>
        </w:rPr>
        <w:t>（</w:t>
      </w:r>
      <w:r>
        <w:rPr>
          <w:rFonts w:hint="eastAsia" w:ascii="微软雅黑" w:hAnsi="微软雅黑" w:eastAsia="微软雅黑" w:cs="微软雅黑"/>
          <w:i w:val="0"/>
          <w:iCs w:val="0"/>
          <w:caps w:val="0"/>
          <w:color w:val="333333"/>
          <w:spacing w:val="0"/>
          <w:sz w:val="24"/>
          <w:szCs w:val="24"/>
          <w:shd w:val="clear" w:fill="FFFFFF"/>
        </w:rPr>
        <w:t>要求提供的相关证明资料为复印件加盖公章；</w:t>
      </w:r>
      <w:r>
        <w:rPr>
          <w:rFonts w:hint="eastAsia" w:ascii="微软雅黑" w:hAnsi="微软雅黑" w:eastAsia="微软雅黑" w:cs="微软雅黑"/>
          <w:i w:val="0"/>
          <w:iCs w:val="0"/>
          <w:caps w:val="0"/>
          <w:color w:val="333333"/>
          <w:spacing w:val="0"/>
          <w:sz w:val="24"/>
          <w:szCs w:val="24"/>
          <w:shd w:val="clear" w:fill="FFFFFF"/>
          <w:lang w:eastAsia="zh-CN"/>
        </w:rPr>
        <w:t>）</w:t>
      </w:r>
    </w:p>
    <w:p w14:paraId="5CC4595B">
      <w:pPr>
        <w:spacing w:line="360" w:lineRule="auto"/>
        <w:outlineLvl w:val="1"/>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3</w:t>
      </w:r>
      <w:r>
        <w:rPr>
          <w:rFonts w:hint="eastAsia" w:ascii="微软雅黑" w:hAnsi="微软雅黑" w:eastAsia="微软雅黑" w:cs="微软雅黑"/>
          <w:i w:val="0"/>
          <w:iCs w:val="0"/>
          <w:caps w:val="0"/>
          <w:color w:val="333333"/>
          <w:spacing w:val="0"/>
          <w:sz w:val="24"/>
          <w:szCs w:val="24"/>
          <w:shd w:val="clear" w:fill="FFFFFF"/>
        </w:rPr>
        <w:t>、具有良好的商业信誉和健全的财务会计制度，提供承诺函；</w:t>
      </w:r>
    </w:p>
    <w:p w14:paraId="33A00260">
      <w:pPr>
        <w:spacing w:line="360" w:lineRule="auto"/>
        <w:outlineLvl w:val="1"/>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4</w:t>
      </w:r>
      <w:r>
        <w:rPr>
          <w:rFonts w:hint="eastAsia" w:ascii="微软雅黑" w:hAnsi="微软雅黑" w:eastAsia="微软雅黑" w:cs="微软雅黑"/>
          <w:i w:val="0"/>
          <w:iCs w:val="0"/>
          <w:caps w:val="0"/>
          <w:color w:val="333333"/>
          <w:spacing w:val="0"/>
          <w:sz w:val="24"/>
          <w:szCs w:val="24"/>
          <w:shd w:val="clear" w:fill="FFFFFF"/>
        </w:rPr>
        <w:t>、具有依法缴纳税收和社会保障资金的良好记录，提供承诺函；</w:t>
      </w:r>
    </w:p>
    <w:p w14:paraId="45C6E882">
      <w:pPr>
        <w:spacing w:line="360" w:lineRule="auto"/>
        <w:outlineLvl w:val="1"/>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5</w:t>
      </w:r>
      <w:r>
        <w:rPr>
          <w:rFonts w:hint="eastAsia" w:ascii="微软雅黑" w:hAnsi="微软雅黑" w:eastAsia="微软雅黑" w:cs="微软雅黑"/>
          <w:i w:val="0"/>
          <w:iCs w:val="0"/>
          <w:caps w:val="0"/>
          <w:color w:val="333333"/>
          <w:spacing w:val="0"/>
          <w:sz w:val="24"/>
          <w:szCs w:val="24"/>
          <w:shd w:val="clear" w:fill="FFFFFF"/>
        </w:rPr>
        <w:t>、参加政府采购活动前三年内，在经营活动中没有重大违法记录，提供承诺函【</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注册成立时间不足三年的，从注册时间起算，加盖公章】；</w:t>
      </w:r>
    </w:p>
    <w:p w14:paraId="3109BB6F">
      <w:pPr>
        <w:spacing w:line="360" w:lineRule="auto"/>
        <w:outlineLvl w:val="1"/>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6</w:t>
      </w:r>
      <w:r>
        <w:rPr>
          <w:rFonts w:hint="eastAsia" w:ascii="微软雅黑" w:hAnsi="微软雅黑" w:eastAsia="微软雅黑" w:cs="微软雅黑"/>
          <w:i w:val="0"/>
          <w:iCs w:val="0"/>
          <w:caps w:val="0"/>
          <w:color w:val="333333"/>
          <w:spacing w:val="0"/>
          <w:sz w:val="24"/>
          <w:szCs w:val="24"/>
          <w:shd w:val="clear" w:fill="FFFFFF"/>
        </w:rPr>
        <w:t>、参加政府采购活动前三年内，在经营活动中没有环保类行政处罚记录，提供承诺函【</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注册成立时间不足三年的，从注册时间起算，加盖公章】；</w:t>
      </w:r>
    </w:p>
    <w:p w14:paraId="2E2BC6DD">
      <w:pPr>
        <w:spacing w:line="360" w:lineRule="auto"/>
        <w:outlineLvl w:val="1"/>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7</w:t>
      </w:r>
      <w:r>
        <w:rPr>
          <w:rFonts w:hint="eastAsia" w:ascii="微软雅黑" w:hAnsi="微软雅黑" w:eastAsia="微软雅黑" w:cs="微软雅黑"/>
          <w:i w:val="0"/>
          <w:iCs w:val="0"/>
          <w:caps w:val="0"/>
          <w:color w:val="333333"/>
          <w:spacing w:val="0"/>
          <w:sz w:val="24"/>
          <w:szCs w:val="24"/>
          <w:shd w:val="clear" w:fill="FFFFFF"/>
        </w:rPr>
        <w:t>、具有履行合同所必需的设备和专业技术能力，提供承诺函；</w:t>
      </w:r>
    </w:p>
    <w:p w14:paraId="725B5795">
      <w:pPr>
        <w:spacing w:line="360" w:lineRule="auto"/>
        <w:outlineLvl w:val="1"/>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8</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未被列入信用中国 (https://www.creditchina.gov.cn/)“重大税收违法失信主体”、“政府采购严重违法失信行为记录名单”，未被列入中国执行信息公开网（http://zxgk.court.gov.cn/shixin/）“ 失信被执行人”，未被列入中国政府采购网(http://www.ccgp.gov.cn/)“政府采购严重违法失信行为记录名单”，提供承诺函。</w:t>
      </w:r>
    </w:p>
    <w:p w14:paraId="44B5A829">
      <w:pPr>
        <w:pStyle w:val="2"/>
        <w:jc w:val="both"/>
        <w:rPr>
          <w:rFonts w:hint="default" w:eastAsia="微软雅黑"/>
          <w:lang w:val="en-US" w:eastAsia="zh-CN"/>
        </w:rPr>
      </w:pPr>
      <w:r>
        <w:rPr>
          <w:rFonts w:hint="eastAsia" w:ascii="微软雅黑" w:hAnsi="微软雅黑" w:eastAsia="微软雅黑" w:cs="微软雅黑"/>
          <w:b w:val="0"/>
          <w:bCs w:val="0"/>
          <w:i w:val="0"/>
          <w:iCs w:val="0"/>
          <w:caps w:val="0"/>
          <w:color w:val="333333"/>
          <w:spacing w:val="0"/>
          <w:sz w:val="24"/>
          <w:szCs w:val="24"/>
          <w:shd w:val="clear" w:fill="FFFFFF"/>
          <w:lang w:val="en-US" w:eastAsia="zh-CN"/>
        </w:rPr>
        <w:t>9、项目不接受联合体投标</w:t>
      </w:r>
    </w:p>
    <w:p w14:paraId="0E270C59">
      <w:pPr>
        <w:spacing w:line="360" w:lineRule="auto"/>
        <w:outlineLvl w:val="1"/>
        <w:rPr>
          <w:b/>
          <w:bCs/>
          <w:sz w:val="28"/>
          <w:szCs w:val="28"/>
        </w:rPr>
      </w:pPr>
      <w:r>
        <w:rPr>
          <w:b/>
          <w:bCs/>
          <w:sz w:val="28"/>
          <w:szCs w:val="28"/>
        </w:rPr>
        <w:t>4</w:t>
      </w:r>
      <w:r>
        <w:rPr>
          <w:rFonts w:hint="eastAsia"/>
          <w:b/>
          <w:bCs/>
          <w:sz w:val="28"/>
          <w:szCs w:val="28"/>
        </w:rPr>
        <w:t>．</w:t>
      </w:r>
      <w:bookmarkEnd w:id="20"/>
      <w:r>
        <w:rPr>
          <w:rFonts w:hint="eastAsia"/>
          <w:b/>
          <w:bCs/>
          <w:sz w:val="28"/>
          <w:szCs w:val="28"/>
        </w:rPr>
        <w:t>招标文件的获取</w:t>
      </w:r>
      <w:bookmarkEnd w:id="21"/>
      <w:bookmarkEnd w:id="22"/>
    </w:p>
    <w:p w14:paraId="34E3505F">
      <w:pPr>
        <w:outlineLvl w:val="1"/>
        <w:rPr>
          <w:ins w:id="0" w:author="ㅤ" w:date="2024-07-10T16:50:52Z"/>
          <w:rFonts w:hint="eastAsia"/>
          <w:b w:val="0"/>
          <w:bCs w:val="0"/>
          <w:sz w:val="28"/>
          <w:szCs w:val="28"/>
          <w:lang w:val="en-US" w:eastAsia="zh-CN"/>
        </w:rPr>
      </w:pPr>
      <w:bookmarkStart w:id="23" w:name="_Toc184635065"/>
      <w:bookmarkStart w:id="24" w:name="_Toc330283618"/>
      <w:bookmarkStart w:id="25" w:name="_Toc610"/>
      <w:bookmarkStart w:id="26" w:name="_Toc28443"/>
      <w:bookmarkStart w:id="27" w:name="_Toc12231"/>
      <w:bookmarkStart w:id="28" w:name="_Toc330283620"/>
      <w:bookmarkStart w:id="29" w:name="_Toc28671"/>
      <w:r>
        <w:rPr>
          <w:rFonts w:hint="eastAsia"/>
          <w:b w:val="0"/>
          <w:bCs w:val="0"/>
          <w:sz w:val="28"/>
          <w:szCs w:val="28"/>
          <w:lang w:val="en-US" w:eastAsia="zh-CN"/>
        </w:rPr>
        <w:t>时间：</w:t>
      </w:r>
      <w:ins w:id="1" w:author="ㅤ" w:date="2024-07-10T16:50:50Z">
        <w:r>
          <w:rPr>
            <w:rFonts w:hint="eastAsia"/>
            <w:b w:val="0"/>
            <w:bCs w:val="0"/>
            <w:sz w:val="28"/>
            <w:szCs w:val="28"/>
            <w:lang w:val="en-US" w:eastAsia="zh-CN"/>
          </w:rPr>
          <w:t>2024年07月9日至 2024 年 07月 16日,每天 00:01 至 12:00,12:01至 00:00.(北京时间，法定节假日除外)</w:t>
        </w:r>
      </w:ins>
      <w:bookmarkStart w:id="298" w:name="_GoBack"/>
      <w:bookmarkEnd w:id="298"/>
    </w:p>
    <w:p w14:paraId="27E1979F">
      <w:pPr>
        <w:outlineLvl w:val="1"/>
        <w:rPr>
          <w:b w:val="0"/>
          <w:bCs w:val="0"/>
          <w:sz w:val="28"/>
          <w:szCs w:val="28"/>
        </w:rPr>
      </w:pPr>
      <w:r>
        <w:rPr>
          <w:rFonts w:hint="eastAsia"/>
          <w:b w:val="0"/>
          <w:bCs w:val="0"/>
          <w:sz w:val="28"/>
          <w:szCs w:val="28"/>
          <w:lang w:val="en-US" w:eastAsia="zh-CN"/>
        </w:rPr>
        <w:t xml:space="preserve">地点：海南政府采购网(www.ccgp-hainan.gov.cn)-海南省政府采购电子化交易管理系统(新) </w:t>
      </w:r>
    </w:p>
    <w:p w14:paraId="0F6B9A74">
      <w:pPr>
        <w:outlineLvl w:val="1"/>
        <w:rPr>
          <w:b w:val="0"/>
          <w:bCs w:val="0"/>
          <w:sz w:val="28"/>
          <w:szCs w:val="28"/>
        </w:rPr>
      </w:pPr>
      <w:r>
        <w:rPr>
          <w:rFonts w:hint="eastAsia"/>
          <w:b w:val="0"/>
          <w:bCs w:val="0"/>
          <w:sz w:val="28"/>
          <w:szCs w:val="28"/>
          <w:lang w:val="en-US" w:eastAsia="zh-CN"/>
        </w:rPr>
        <w:t xml:space="preserve">方式：网上下载 </w:t>
      </w:r>
    </w:p>
    <w:p w14:paraId="2588876D">
      <w:pPr>
        <w:outlineLvl w:val="1"/>
        <w:rPr>
          <w:b w:val="0"/>
          <w:bCs w:val="0"/>
          <w:sz w:val="28"/>
          <w:szCs w:val="28"/>
        </w:rPr>
      </w:pPr>
      <w:r>
        <w:rPr>
          <w:rFonts w:hint="eastAsia"/>
          <w:b w:val="0"/>
          <w:bCs w:val="0"/>
          <w:sz w:val="28"/>
          <w:szCs w:val="28"/>
          <w:lang w:val="en-US" w:eastAsia="zh-CN"/>
        </w:rPr>
        <w:t>售价：0 元</w:t>
      </w:r>
    </w:p>
    <w:p w14:paraId="79461442">
      <w:pPr>
        <w:outlineLvl w:val="1"/>
        <w:rPr>
          <w:rFonts w:hint="default" w:eastAsia="宋体"/>
          <w:b/>
          <w:bCs/>
          <w:sz w:val="28"/>
          <w:szCs w:val="28"/>
          <w:lang w:val="en-US" w:eastAsia="zh-CN"/>
        </w:rPr>
      </w:pPr>
      <w:r>
        <w:rPr>
          <w:b/>
          <w:bCs/>
          <w:sz w:val="28"/>
          <w:szCs w:val="28"/>
        </w:rPr>
        <w:t>5</w:t>
      </w:r>
      <w:r>
        <w:rPr>
          <w:rFonts w:hint="eastAsia"/>
          <w:b/>
          <w:bCs/>
          <w:sz w:val="28"/>
          <w:szCs w:val="28"/>
        </w:rPr>
        <w:t>．</w:t>
      </w:r>
      <w:r>
        <w:rPr>
          <w:rFonts w:hint="eastAsia"/>
          <w:b/>
          <w:bCs/>
          <w:sz w:val="28"/>
          <w:szCs w:val="28"/>
          <w:lang w:eastAsia="zh-CN"/>
        </w:rPr>
        <w:t>响应文件</w:t>
      </w:r>
      <w:r>
        <w:rPr>
          <w:rFonts w:hint="eastAsia"/>
          <w:b/>
          <w:bCs/>
          <w:sz w:val="28"/>
          <w:szCs w:val="28"/>
        </w:rPr>
        <w:t>的递交</w:t>
      </w:r>
      <w:bookmarkEnd w:id="23"/>
      <w:bookmarkEnd w:id="24"/>
      <w:bookmarkEnd w:id="25"/>
      <w:bookmarkEnd w:id="26"/>
      <w:r>
        <w:rPr>
          <w:rFonts w:hint="eastAsia"/>
          <w:b/>
          <w:bCs/>
          <w:sz w:val="28"/>
          <w:szCs w:val="28"/>
          <w:lang w:val="en-US" w:eastAsia="zh-CN"/>
        </w:rPr>
        <w:t>及地点</w:t>
      </w:r>
    </w:p>
    <w:p w14:paraId="0EC346BF">
      <w:pPr>
        <w:spacing w:line="360" w:lineRule="auto"/>
        <w:outlineLvl w:val="1"/>
        <w:rPr>
          <w:rFonts w:hint="eastAsia" w:ascii="微软雅黑" w:hAnsi="微软雅黑" w:eastAsia="微软雅黑" w:cs="微软雅黑"/>
          <w:i w:val="0"/>
          <w:iCs w:val="0"/>
          <w:caps w:val="0"/>
          <w:color w:val="333333"/>
          <w:spacing w:val="0"/>
          <w:sz w:val="24"/>
          <w:szCs w:val="24"/>
          <w:shd w:val="clear" w:fill="FFFFFF"/>
          <w:lang w:val="en-US" w:eastAsia="zh-CN"/>
        </w:rPr>
      </w:pPr>
      <w:bookmarkStart w:id="30" w:name="_Toc184635066"/>
      <w:bookmarkStart w:id="31" w:name="_Toc330283619"/>
      <w:bookmarkStart w:id="32" w:name="_Toc11258"/>
      <w:bookmarkStart w:id="33" w:name="_Toc3420"/>
      <w:r>
        <w:rPr>
          <w:rFonts w:hint="eastAsia" w:ascii="微软雅黑" w:hAnsi="微软雅黑" w:eastAsia="微软雅黑" w:cs="微软雅黑"/>
          <w:i w:val="0"/>
          <w:iCs w:val="0"/>
          <w:caps w:val="0"/>
          <w:color w:val="333333"/>
          <w:spacing w:val="0"/>
          <w:sz w:val="24"/>
          <w:szCs w:val="24"/>
          <w:shd w:val="clear" w:fill="FFFFFF"/>
          <w:lang w:val="en-US" w:eastAsia="zh-CN"/>
        </w:rPr>
        <w:t xml:space="preserve">截止时间：2024年07月30日09点00分（北京时间） </w:t>
      </w:r>
    </w:p>
    <w:p w14:paraId="3E6064D6">
      <w:pPr>
        <w:spacing w:line="360" w:lineRule="auto"/>
        <w:outlineLvl w:val="1"/>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地点：海南政府采购网(www.ccgp-hainan.gov.cn)-海南省政府采购电子化交易管理系统(新)</w:t>
      </w:r>
    </w:p>
    <w:p w14:paraId="77BC1661">
      <w:pPr>
        <w:spacing w:line="360" w:lineRule="auto"/>
        <w:outlineLvl w:val="1"/>
        <w:rPr>
          <w:rFonts w:hint="eastAsia" w:ascii="微软雅黑" w:hAnsi="微软雅黑" w:eastAsia="微软雅黑" w:cs="微软雅黑"/>
          <w:i w:val="0"/>
          <w:iCs w:val="0"/>
          <w:caps w:val="0"/>
          <w:color w:val="333333"/>
          <w:spacing w:val="0"/>
          <w:sz w:val="24"/>
          <w:szCs w:val="24"/>
          <w:shd w:val="clear" w:fill="FFFFFF"/>
          <w:lang w:val="en-US" w:eastAsia="zh-CN"/>
        </w:rPr>
      </w:pPr>
    </w:p>
    <w:bookmarkEnd w:id="30"/>
    <w:bookmarkEnd w:id="31"/>
    <w:bookmarkEnd w:id="32"/>
    <w:bookmarkEnd w:id="33"/>
    <w:p w14:paraId="3B388CB7">
      <w:pPr>
        <w:widowControl/>
        <w:numPr>
          <w:ilvl w:val="0"/>
          <w:numId w:val="1"/>
        </w:numPr>
        <w:jc w:val="left"/>
        <w:outlineLvl w:val="1"/>
        <w:rPr>
          <w:rFonts w:hint="eastAsia"/>
          <w:b/>
          <w:bCs/>
          <w:sz w:val="28"/>
          <w:szCs w:val="28"/>
          <w:lang w:val="en-US" w:eastAsia="zh-CN"/>
        </w:rPr>
      </w:pPr>
      <w:r>
        <w:rPr>
          <w:rFonts w:hint="eastAsia"/>
          <w:b/>
          <w:bCs/>
          <w:sz w:val="28"/>
          <w:szCs w:val="28"/>
          <w:lang w:val="en-US" w:eastAsia="zh-CN"/>
        </w:rPr>
        <w:t>公告期限</w:t>
      </w:r>
    </w:p>
    <w:p w14:paraId="12AD84E7">
      <w:pPr>
        <w:widowControl/>
        <w:numPr>
          <w:ilvl w:val="0"/>
          <w:numId w:val="0"/>
        </w:numPr>
        <w:jc w:val="left"/>
        <w:outlineLvl w:val="1"/>
        <w:rPr>
          <w:rFonts w:hint="eastAsia"/>
          <w:b w:val="0"/>
          <w:bCs w:val="0"/>
          <w:sz w:val="28"/>
          <w:szCs w:val="28"/>
          <w:lang w:val="en-US" w:eastAsia="zh-CN"/>
        </w:rPr>
      </w:pPr>
      <w:r>
        <w:rPr>
          <w:rFonts w:hint="eastAsia"/>
          <w:b w:val="0"/>
          <w:bCs w:val="0"/>
          <w:sz w:val="28"/>
          <w:szCs w:val="28"/>
          <w:lang w:val="en-US" w:eastAsia="zh-CN"/>
        </w:rPr>
        <w:t>自本公告发布之日起 5 个工作日</w:t>
      </w:r>
    </w:p>
    <w:p w14:paraId="7ADFE9A6">
      <w:pPr>
        <w:widowControl/>
        <w:numPr>
          <w:ilvl w:val="0"/>
          <w:numId w:val="1"/>
        </w:numPr>
        <w:jc w:val="left"/>
        <w:outlineLvl w:val="1"/>
        <w:rPr>
          <w:rFonts w:hint="default"/>
          <w:b/>
          <w:bCs/>
          <w:sz w:val="28"/>
          <w:szCs w:val="28"/>
          <w:lang w:val="en-US" w:eastAsia="zh-CN"/>
        </w:rPr>
      </w:pPr>
      <w:r>
        <w:rPr>
          <w:rFonts w:hint="eastAsia"/>
          <w:b/>
          <w:bCs/>
          <w:sz w:val="28"/>
          <w:szCs w:val="28"/>
          <w:lang w:val="en-US" w:eastAsia="zh-CN"/>
        </w:rPr>
        <w:t>其他补充事宜</w:t>
      </w:r>
    </w:p>
    <w:p w14:paraId="419176E3">
      <w:pPr>
        <w:outlineLvl w:val="1"/>
        <w:rPr>
          <w:b w:val="0"/>
          <w:bCs/>
          <w:sz w:val="28"/>
          <w:szCs w:val="28"/>
        </w:rPr>
      </w:pPr>
      <w:r>
        <w:rPr>
          <w:rFonts w:hint="eastAsia"/>
          <w:b w:val="0"/>
          <w:bCs/>
          <w:sz w:val="28"/>
          <w:szCs w:val="28"/>
          <w:lang w:val="en-US" w:eastAsia="zh-CN"/>
        </w:rPr>
        <w:t xml:space="preserve">1、按以下步骤报名并获取文件 </w:t>
      </w:r>
    </w:p>
    <w:p w14:paraId="7CC99016">
      <w:pPr>
        <w:outlineLvl w:val="1"/>
        <w:rPr>
          <w:b w:val="0"/>
          <w:bCs/>
          <w:sz w:val="28"/>
          <w:szCs w:val="28"/>
        </w:rPr>
      </w:pPr>
      <w:r>
        <w:rPr>
          <w:rFonts w:hint="eastAsia"/>
          <w:b w:val="0"/>
          <w:bCs/>
          <w:sz w:val="28"/>
          <w:szCs w:val="28"/>
          <w:lang w:val="en-US" w:eastAsia="zh-CN"/>
        </w:rPr>
        <w:t xml:space="preserve">1、1 网上注册：供应商须在海南政府采购网(https://www.ccgp-hainan.gov.cn/zhuzhan/)中的海南省政府采购电子化交易管理系统平台进行注册。（平台操作咨询电话：0898-68546705） </w:t>
      </w:r>
    </w:p>
    <w:p w14:paraId="620F5995">
      <w:pPr>
        <w:outlineLvl w:val="1"/>
        <w:rPr>
          <w:b w:val="0"/>
          <w:bCs/>
          <w:sz w:val="28"/>
          <w:szCs w:val="28"/>
        </w:rPr>
      </w:pPr>
      <w:r>
        <w:rPr>
          <w:rFonts w:hint="eastAsia"/>
          <w:b w:val="0"/>
          <w:bCs/>
          <w:sz w:val="28"/>
          <w:szCs w:val="28"/>
          <w:lang w:val="en-US" w:eastAsia="zh-CN"/>
        </w:rPr>
        <w:t xml:space="preserve">1、2 投标报名进入投标报名首页，点击采购公告名称，可查看采购公告具体内容，点击需要参与的标包并填写报名相关信息，确认信息无误点击提交，完成报名并下载电子版的采购文件/招标文件及其他文件，未按时在系统平台报名的视为无效报名。 </w:t>
      </w:r>
    </w:p>
    <w:p w14:paraId="0DCBBAAC">
      <w:pPr>
        <w:outlineLvl w:val="1"/>
        <w:rPr>
          <w:b w:val="0"/>
          <w:bCs/>
          <w:sz w:val="28"/>
          <w:szCs w:val="28"/>
        </w:rPr>
      </w:pPr>
      <w:r>
        <w:rPr>
          <w:rFonts w:hint="eastAsia"/>
          <w:b w:val="0"/>
          <w:bCs/>
          <w:sz w:val="28"/>
          <w:szCs w:val="28"/>
          <w:lang w:val="en-US" w:eastAsia="zh-CN"/>
        </w:rPr>
        <w:t xml:space="preserve">2 、 本 项 目 采 购 信 息 指 定 发 布 媒 体 为 : 海 南 省 政 府 采 购 网 (https://www.ccgp-hainan.gov.cn/zhuzhan/)。关本项目采购文件的补遗、澄清及变更信息以上述网站公告为准，代理机构不再另行通知，采购文件与更正公告的内容相互矛盾时，以最后发出的更正公告内容为准。 </w:t>
      </w:r>
    </w:p>
    <w:p w14:paraId="7769C9BD">
      <w:pPr>
        <w:outlineLvl w:val="1"/>
        <w:rPr>
          <w:b w:val="0"/>
          <w:bCs/>
          <w:sz w:val="28"/>
          <w:szCs w:val="28"/>
        </w:rPr>
      </w:pPr>
      <w:r>
        <w:rPr>
          <w:rFonts w:hint="eastAsia"/>
          <w:b w:val="0"/>
          <w:bCs/>
          <w:sz w:val="28"/>
          <w:szCs w:val="28"/>
          <w:lang w:val="en-US" w:eastAsia="zh-CN"/>
        </w:rPr>
        <w:t xml:space="preserve">3、CA 办理：供应商制作响应文件、签到等需选择 CA 数字证书进行签章。海南 CA 数字证书办理相关事宜如下：（1 ）CA 数字证书所需材料：登录海南省数字证书认证中心网站（网址：http://www.hndca.com/CA/） “服务支持”中的“海南省电子招投标用户办理数字证书业务指南”下载。（可在线办理，也可现场办理）（2）CA 数字证书现场办理地址：海南省海口市美兰区大英山东三路 2 号海南数据谷二号营地 2 层 212 室。（3）数字证书咨询电话：0898-66668096、0898-66664947，（已注册备案通过并取得数字证书和电子签章的供应商不需要再重新备案） </w:t>
      </w:r>
    </w:p>
    <w:p w14:paraId="0A7BF7F5">
      <w:pPr>
        <w:outlineLvl w:val="1"/>
        <w:rPr>
          <w:b w:val="0"/>
          <w:bCs/>
          <w:sz w:val="28"/>
          <w:szCs w:val="28"/>
        </w:rPr>
      </w:pPr>
      <w:r>
        <w:rPr>
          <w:rFonts w:hint="eastAsia"/>
          <w:b w:val="0"/>
          <w:bCs/>
          <w:sz w:val="28"/>
          <w:szCs w:val="28"/>
          <w:lang w:val="en-US" w:eastAsia="zh-CN"/>
        </w:rPr>
        <w:t xml:space="preserve">4、响应文件的制作：本项目全流程电子化操作：必须使用最新版本的电子投标书编制工具制作电子版响应文件并使用 CA 数字证书（含手机 CA）的电子印章进行签章，且使用 CA 数字证书（含手机 CA）进行加密后在提交响应文件截止时间前上传至交易系统，否则视为无效投标（响应文件制作工具是配合政府采购交易系统制作响应文件的工具。供应商使用该工具打开从系统下载的招响应文件包【为 wtbwj 格式】，离线编辑完成的响应文件各组成部分导入 pdf 格式签章，最终生成加密的响应文件【为 wenc 格式】）。电子投标书编制工具、投标工具使用手册及供应商使用手册等均可在海南省政府采购电子化交易管理系统（http://218.77.183.212:8199/u/loginu/）-帮助中心下载。 </w:t>
      </w:r>
    </w:p>
    <w:p w14:paraId="35C38962">
      <w:pPr>
        <w:outlineLvl w:val="1"/>
        <w:rPr>
          <w:b w:val="0"/>
          <w:bCs/>
          <w:sz w:val="28"/>
          <w:szCs w:val="28"/>
        </w:rPr>
      </w:pPr>
      <w:r>
        <w:rPr>
          <w:rFonts w:hint="eastAsia"/>
          <w:b w:val="0"/>
          <w:bCs/>
          <w:sz w:val="28"/>
          <w:szCs w:val="28"/>
          <w:lang w:val="en-US" w:eastAsia="zh-CN"/>
        </w:rPr>
        <w:t xml:space="preserve">5、注意事项：本项目全流程电子化操作，供应商应详细阅读海南省政府采购网的通知《海南省财政厅关于进一步推进政府采购全流程电子化的通知》，下载查看操作手册，在使用交易系统遇到问题可致电技术支持：0898-68546705。因系统原因，在海南省政府采购电子化交易管理系统导 </w:t>
      </w:r>
    </w:p>
    <w:p w14:paraId="5F21D052">
      <w:pPr>
        <w:outlineLvl w:val="1"/>
        <w:rPr>
          <w:b w:val="0"/>
          <w:bCs/>
          <w:sz w:val="28"/>
          <w:szCs w:val="28"/>
        </w:rPr>
      </w:pPr>
      <w:r>
        <w:rPr>
          <w:rFonts w:hint="eastAsia"/>
          <w:b w:val="0"/>
          <w:bCs/>
          <w:sz w:val="28"/>
          <w:szCs w:val="28"/>
          <w:lang w:val="en-US" w:eastAsia="zh-CN"/>
        </w:rPr>
        <w:t xml:space="preserve">入的招标文件格式为图片版本 word 文件（下载的招响应文件包仍为为 wtbwj 格式）。 </w:t>
      </w:r>
    </w:p>
    <w:p w14:paraId="106EA3DA">
      <w:pPr>
        <w:outlineLvl w:val="1"/>
        <w:rPr>
          <w:b w:val="0"/>
          <w:bCs/>
          <w:sz w:val="28"/>
          <w:szCs w:val="28"/>
        </w:rPr>
      </w:pPr>
      <w:r>
        <w:rPr>
          <w:rFonts w:hint="eastAsia"/>
          <w:b w:val="0"/>
          <w:bCs/>
          <w:sz w:val="28"/>
          <w:szCs w:val="28"/>
          <w:lang w:val="en-US" w:eastAsia="zh-CN"/>
        </w:rPr>
        <w:t xml:space="preserve">6、供应商在开标（签到）倒计时结束前必须完成签到，要求在签到页面进行电子签章（从签到到开评标结束，供应商在系统签章统一使用企业电子公章）。供应商未签到，作为无效投标处理。到达开标时间，代理机构开标并【发起解密】，设定解密时长（30 分钟）以实际发起时间为准，显示解密倒计时，规定时间内未解密成功者，视为投标无效。解密（必须使用加密时的数字证书，否则无法解密）解密结束后，代理机构将发起开标结果确认，确认时长 （30 分钟）以实际发起时间为准，所有人完成确认则倒计时自动结束。供应商在开标结果页面进行电子签章，并确认成功。 </w:t>
      </w:r>
    </w:p>
    <w:p w14:paraId="0AE74EA2">
      <w:pPr>
        <w:outlineLvl w:val="1"/>
        <w:rPr>
          <w:b w:val="0"/>
          <w:bCs/>
          <w:sz w:val="28"/>
          <w:szCs w:val="28"/>
        </w:rPr>
      </w:pPr>
      <w:r>
        <w:rPr>
          <w:rFonts w:hint="eastAsia"/>
          <w:b w:val="0"/>
          <w:bCs/>
          <w:sz w:val="28"/>
          <w:szCs w:val="28"/>
          <w:lang w:val="en-US" w:eastAsia="zh-CN"/>
        </w:rPr>
        <w:t>8、本项目支持节能产品、环境标志产品、中小微企业发展、监狱企业发展及残疾人福利性单位等相关扶持政策。</w:t>
      </w:r>
    </w:p>
    <w:p w14:paraId="0A0309EB">
      <w:pPr>
        <w:outlineLvl w:val="1"/>
        <w:rPr>
          <w:b/>
          <w:sz w:val="28"/>
          <w:szCs w:val="28"/>
        </w:rPr>
      </w:pPr>
      <w:r>
        <w:rPr>
          <w:b/>
          <w:sz w:val="28"/>
          <w:szCs w:val="28"/>
        </w:rPr>
        <w:t>7</w:t>
      </w:r>
      <w:r>
        <w:rPr>
          <w:rFonts w:hint="eastAsia"/>
          <w:b/>
          <w:sz w:val="28"/>
          <w:szCs w:val="28"/>
        </w:rPr>
        <w:t>．联系方式</w:t>
      </w:r>
      <w:bookmarkEnd w:id="27"/>
      <w:bookmarkEnd w:id="28"/>
      <w:bookmarkEnd w:id="29"/>
    </w:p>
    <w:p w14:paraId="1491DF18">
      <w:pPr>
        <w:snapToGrid w:val="0"/>
        <w:spacing w:line="500" w:lineRule="exact"/>
        <w:contextualSpacing/>
        <w:rPr>
          <w:rFonts w:ascii="宋体" w:hAnsi="宋体"/>
          <w:sz w:val="24"/>
          <w:szCs w:val="24"/>
        </w:rPr>
      </w:pPr>
      <w:r>
        <w:rPr>
          <w:rFonts w:hint="eastAsia" w:ascii="宋体" w:hAnsi="宋体"/>
          <w:sz w:val="24"/>
          <w:szCs w:val="24"/>
        </w:rPr>
        <w:t>招标人:</w:t>
      </w:r>
      <w:r>
        <w:rPr>
          <w:rFonts w:hint="eastAsia" w:ascii="宋体" w:hAnsi="宋体"/>
          <w:sz w:val="24"/>
          <w:szCs w:val="24"/>
          <w:lang w:eastAsia="zh-CN"/>
        </w:rPr>
        <w:t>海南省机电工程学校</w:t>
      </w:r>
      <w:r>
        <w:rPr>
          <w:rFonts w:hint="eastAsia" w:ascii="宋体" w:hAnsi="宋体"/>
          <w:sz w:val="24"/>
          <w:szCs w:val="24"/>
        </w:rPr>
        <w:tab/>
      </w:r>
    </w:p>
    <w:p w14:paraId="25A4EBC4">
      <w:pPr>
        <w:snapToGrid w:val="0"/>
        <w:spacing w:line="500" w:lineRule="exact"/>
        <w:contextualSpacing/>
        <w:rPr>
          <w:rFonts w:ascii="宋体" w:hAnsi="宋体"/>
          <w:sz w:val="24"/>
          <w:szCs w:val="24"/>
        </w:rPr>
      </w:pPr>
      <w:r>
        <w:rPr>
          <w:rFonts w:hint="eastAsia" w:ascii="宋体" w:hAnsi="宋体"/>
          <w:sz w:val="24"/>
          <w:szCs w:val="24"/>
        </w:rPr>
        <w:t xml:space="preserve">地址：海口市美兰区振洋路15号          </w:t>
      </w:r>
    </w:p>
    <w:p w14:paraId="00103464">
      <w:pPr>
        <w:snapToGrid w:val="0"/>
        <w:spacing w:line="500" w:lineRule="exact"/>
        <w:contextualSpacing/>
        <w:rPr>
          <w:rFonts w:ascii="宋体" w:hAnsi="宋体"/>
          <w:sz w:val="24"/>
          <w:szCs w:val="24"/>
        </w:rPr>
      </w:pPr>
      <w:r>
        <w:rPr>
          <w:rFonts w:hint="eastAsia" w:ascii="宋体" w:hAnsi="宋体"/>
          <w:sz w:val="24"/>
          <w:szCs w:val="24"/>
        </w:rPr>
        <w:t>联系人：</w:t>
      </w:r>
      <w:r>
        <w:rPr>
          <w:rFonts w:hint="eastAsia" w:ascii="宋体" w:hAnsi="宋体"/>
          <w:color w:val="000000" w:themeColor="text1"/>
          <w:sz w:val="24"/>
          <w:szCs w:val="24"/>
          <w:lang w:val="en-US" w:eastAsia="zh-CN"/>
          <w14:textFill>
            <w14:solidFill>
              <w14:schemeClr w14:val="tx1"/>
            </w14:solidFill>
          </w14:textFill>
        </w:rPr>
        <w:t>王老师</w:t>
      </w:r>
      <w:r>
        <w:rPr>
          <w:rFonts w:hint="eastAsia" w:ascii="宋体" w:hAnsi="宋体"/>
          <w:sz w:val="24"/>
          <w:szCs w:val="24"/>
        </w:rPr>
        <w:tab/>
      </w:r>
    </w:p>
    <w:p w14:paraId="2EDFED71">
      <w:pPr>
        <w:snapToGrid w:val="0"/>
        <w:spacing w:line="500" w:lineRule="exact"/>
        <w:contextualSpacing/>
        <w:rPr>
          <w:rFonts w:ascii="宋体" w:hAnsi="宋体"/>
          <w:sz w:val="24"/>
          <w:szCs w:val="24"/>
        </w:rPr>
      </w:pPr>
      <w:r>
        <w:rPr>
          <w:rFonts w:hint="eastAsia" w:ascii="宋体" w:hAnsi="宋体"/>
          <w:sz w:val="24"/>
          <w:szCs w:val="24"/>
        </w:rPr>
        <w:t>电话：</w:t>
      </w:r>
      <w:r>
        <w:rPr>
          <w:rFonts w:hint="eastAsia" w:ascii="宋体" w:hAnsi="宋体"/>
          <w:sz w:val="24"/>
          <w:szCs w:val="24"/>
          <w:lang w:val="en-US" w:eastAsia="zh-CN"/>
        </w:rPr>
        <w:t>18976060298</w:t>
      </w:r>
      <w:r>
        <w:rPr>
          <w:rFonts w:hint="eastAsia" w:ascii="宋体" w:hAnsi="宋体"/>
          <w:sz w:val="24"/>
          <w:szCs w:val="24"/>
        </w:rPr>
        <w:tab/>
      </w:r>
    </w:p>
    <w:p w14:paraId="35DAEAE8">
      <w:pPr>
        <w:snapToGrid w:val="0"/>
        <w:spacing w:line="500" w:lineRule="exact"/>
        <w:ind w:firstLine="482"/>
        <w:contextualSpacing/>
        <w:rPr>
          <w:rFonts w:ascii="宋体" w:hAnsi="宋体"/>
          <w:sz w:val="24"/>
          <w:szCs w:val="24"/>
        </w:rPr>
      </w:pPr>
    </w:p>
    <w:p w14:paraId="11E157CB">
      <w:pPr>
        <w:snapToGrid w:val="0"/>
        <w:spacing w:line="500" w:lineRule="exact"/>
        <w:ind w:firstLine="482"/>
        <w:contextualSpacing/>
        <w:rPr>
          <w:rFonts w:ascii="宋体" w:hAnsi="宋体"/>
          <w:sz w:val="24"/>
          <w:szCs w:val="24"/>
        </w:rPr>
      </w:pPr>
    </w:p>
    <w:p w14:paraId="19ECB75F">
      <w:pPr>
        <w:spacing w:before="120"/>
        <w:rPr>
          <w:rFonts w:ascii="宋体" w:hAnsi="宋体"/>
          <w:sz w:val="24"/>
          <w:szCs w:val="24"/>
        </w:rPr>
      </w:pPr>
      <w:r>
        <w:rPr>
          <w:rFonts w:hint="eastAsia" w:ascii="宋体" w:hAnsi="宋体"/>
          <w:sz w:val="24"/>
          <w:szCs w:val="24"/>
        </w:rPr>
        <w:t>代理机构：</w:t>
      </w:r>
      <w:r>
        <w:rPr>
          <w:rFonts w:hint="eastAsia"/>
          <w:sz w:val="24"/>
          <w:szCs w:val="28"/>
          <w:lang w:eastAsia="zh-CN"/>
        </w:rPr>
        <w:t>法正项目管理集团有限公司</w:t>
      </w:r>
      <w:r>
        <w:rPr>
          <w:rFonts w:hint="eastAsia"/>
          <w:sz w:val="24"/>
          <w:szCs w:val="28"/>
        </w:rPr>
        <w:t xml:space="preserve"> </w:t>
      </w:r>
    </w:p>
    <w:p w14:paraId="0B5B83D0">
      <w:pPr>
        <w:spacing w:before="120"/>
        <w:rPr>
          <w:sz w:val="24"/>
          <w:szCs w:val="28"/>
        </w:rPr>
      </w:pPr>
      <w:r>
        <w:rPr>
          <w:rFonts w:hint="eastAsia" w:ascii="宋体" w:hAnsi="宋体"/>
          <w:sz w:val="24"/>
          <w:szCs w:val="24"/>
        </w:rPr>
        <w:t>地址：</w:t>
      </w:r>
      <w:r>
        <w:rPr>
          <w:rFonts w:hint="eastAsia" w:hAnsi="宋体" w:eastAsia="宋体"/>
          <w:sz w:val="24"/>
        </w:rPr>
        <w:t>山东省菏泽市人民路数码大厦A幢5楼</w:t>
      </w:r>
    </w:p>
    <w:p w14:paraId="04729AEB">
      <w:pPr>
        <w:snapToGrid w:val="0"/>
        <w:spacing w:line="500" w:lineRule="exact"/>
        <w:contextualSpacing/>
        <w:rPr>
          <w:rFonts w:ascii="宋体" w:hAnsi="宋体"/>
          <w:sz w:val="24"/>
          <w:szCs w:val="24"/>
          <w:lang w:val="en-GB"/>
        </w:rPr>
      </w:pPr>
      <w:r>
        <w:rPr>
          <w:rFonts w:hint="eastAsia" w:ascii="宋体" w:hAnsi="宋体"/>
          <w:sz w:val="24"/>
          <w:szCs w:val="24"/>
        </w:rPr>
        <w:t>联系人：蔡工</w:t>
      </w:r>
    </w:p>
    <w:p w14:paraId="72FF62B1">
      <w:pPr>
        <w:spacing w:before="120"/>
        <w:rPr>
          <w:b/>
          <w:sz w:val="40"/>
          <w:szCs w:val="40"/>
        </w:rPr>
      </w:pPr>
      <w:r>
        <w:rPr>
          <w:rFonts w:hint="eastAsia" w:ascii="宋体" w:hAnsi="宋体"/>
          <w:sz w:val="24"/>
          <w:szCs w:val="24"/>
        </w:rPr>
        <w:t>电话：</w:t>
      </w:r>
      <w:bookmarkStart w:id="34" w:name="_Toc246826104"/>
      <w:r>
        <w:rPr>
          <w:rFonts w:eastAsia="宋体"/>
          <w:sz w:val="24"/>
        </w:rPr>
        <w:t>0898-66724708</w:t>
      </w:r>
    </w:p>
    <w:bookmarkEnd w:id="34"/>
    <w:p w14:paraId="03156851">
      <w:pPr>
        <w:snapToGrid w:val="0"/>
        <w:spacing w:line="500" w:lineRule="exact"/>
        <w:ind w:firstLine="482"/>
        <w:contextualSpacing/>
        <w:rPr>
          <w:rFonts w:ascii="宋体" w:hAnsi="宋体"/>
          <w:sz w:val="24"/>
          <w:szCs w:val="24"/>
        </w:rPr>
      </w:pPr>
    </w:p>
    <w:p w14:paraId="74867F34">
      <w:pPr>
        <w:spacing w:line="300" w:lineRule="exact"/>
        <w:rPr>
          <w:szCs w:val="32"/>
        </w:rPr>
      </w:pPr>
    </w:p>
    <w:p w14:paraId="2D6480AE">
      <w:pPr>
        <w:spacing w:line="300" w:lineRule="exact"/>
        <w:rPr>
          <w:szCs w:val="32"/>
        </w:rPr>
      </w:pPr>
    </w:p>
    <w:p w14:paraId="3102DB97">
      <w:pPr>
        <w:spacing w:line="300" w:lineRule="exact"/>
        <w:rPr>
          <w:szCs w:val="32"/>
        </w:rPr>
      </w:pPr>
    </w:p>
    <w:p w14:paraId="3DB684DA">
      <w:pPr>
        <w:rPr>
          <w:szCs w:val="32"/>
        </w:rPr>
      </w:pPr>
    </w:p>
    <w:p w14:paraId="0C5247F1">
      <w:pPr>
        <w:rPr>
          <w:szCs w:val="32"/>
        </w:rPr>
      </w:pPr>
    </w:p>
    <w:p w14:paraId="6D621B89">
      <w:pPr>
        <w:rPr>
          <w:szCs w:val="32"/>
        </w:rPr>
      </w:pPr>
    </w:p>
    <w:p w14:paraId="31E8CC17">
      <w:pPr>
        <w:rPr>
          <w:szCs w:val="32"/>
        </w:rPr>
      </w:pPr>
    </w:p>
    <w:p w14:paraId="6AC04CD4">
      <w:pPr>
        <w:rPr>
          <w:szCs w:val="32"/>
        </w:rPr>
      </w:pPr>
    </w:p>
    <w:p w14:paraId="091E5A90">
      <w:pPr>
        <w:rPr>
          <w:szCs w:val="32"/>
        </w:rPr>
      </w:pPr>
    </w:p>
    <w:p w14:paraId="45A593B7">
      <w:pPr>
        <w:rPr>
          <w:szCs w:val="32"/>
        </w:rPr>
      </w:pPr>
    </w:p>
    <w:p w14:paraId="1A7C80B7">
      <w:pPr>
        <w:rPr>
          <w:szCs w:val="32"/>
        </w:rPr>
      </w:pPr>
      <w:bookmarkStart w:id="35" w:name="_Toc154744405"/>
      <w:bookmarkStart w:id="36" w:name="_Toc154755438"/>
    </w:p>
    <w:p w14:paraId="42D37B6E">
      <w:pPr>
        <w:pStyle w:val="2"/>
        <w:rPr>
          <w:szCs w:val="32"/>
        </w:rPr>
      </w:pPr>
    </w:p>
    <w:p w14:paraId="686E4814">
      <w:pPr>
        <w:rPr>
          <w:szCs w:val="32"/>
        </w:rPr>
      </w:pPr>
    </w:p>
    <w:p w14:paraId="7F13A1C7">
      <w:pPr>
        <w:pStyle w:val="2"/>
        <w:rPr>
          <w:szCs w:val="32"/>
        </w:rPr>
      </w:pPr>
    </w:p>
    <w:p w14:paraId="18EFB2C8">
      <w:pPr>
        <w:rPr>
          <w:szCs w:val="32"/>
        </w:rPr>
      </w:pPr>
    </w:p>
    <w:p w14:paraId="03F73EB6">
      <w:pPr>
        <w:pStyle w:val="2"/>
        <w:rPr>
          <w:szCs w:val="32"/>
        </w:rPr>
      </w:pPr>
    </w:p>
    <w:p w14:paraId="5591B5E5"/>
    <w:p w14:paraId="64B07B9A">
      <w:pPr>
        <w:pStyle w:val="3"/>
        <w:rPr>
          <w:szCs w:val="32"/>
        </w:rPr>
      </w:pPr>
      <w:bookmarkStart w:id="37" w:name="_Toc7444"/>
      <w:r>
        <w:rPr>
          <w:rFonts w:hint="eastAsia"/>
          <w:szCs w:val="32"/>
        </w:rPr>
        <w:t>第二章</w:t>
      </w:r>
      <w:r>
        <w:rPr>
          <w:rFonts w:hint="eastAsia"/>
          <w:szCs w:val="32"/>
          <w:lang w:eastAsia="zh-CN"/>
        </w:rPr>
        <w:t>供应商</w:t>
      </w:r>
      <w:r>
        <w:rPr>
          <w:rFonts w:hint="eastAsia"/>
          <w:szCs w:val="32"/>
        </w:rPr>
        <w:t>须知</w:t>
      </w:r>
      <w:bookmarkEnd w:id="35"/>
      <w:bookmarkEnd w:id="36"/>
      <w:bookmarkEnd w:id="37"/>
    </w:p>
    <w:p w14:paraId="77B3E758">
      <w:pPr>
        <w:jc w:val="center"/>
        <w:outlineLvl w:val="1"/>
        <w:rPr>
          <w:rFonts w:ascii="Times New Roman" w:hAnsi="Times New Roman" w:eastAsia="黑体"/>
          <w:b/>
          <w:bCs/>
          <w:kern w:val="44"/>
          <w:sz w:val="32"/>
          <w:szCs w:val="32"/>
        </w:rPr>
      </w:pPr>
      <w:bookmarkStart w:id="38" w:name="_Toc13121"/>
      <w:bookmarkStart w:id="39" w:name="_Toc13806"/>
      <w:r>
        <w:rPr>
          <w:rFonts w:hint="eastAsia" w:ascii="Times New Roman" w:hAnsi="Times New Roman" w:eastAsia="黑体"/>
          <w:b/>
          <w:bCs/>
          <w:kern w:val="44"/>
          <w:sz w:val="32"/>
          <w:szCs w:val="32"/>
          <w:lang w:eastAsia="zh-CN"/>
        </w:rPr>
        <w:t>供应商</w:t>
      </w:r>
      <w:r>
        <w:rPr>
          <w:rFonts w:hint="eastAsia" w:ascii="Times New Roman" w:hAnsi="Times New Roman" w:eastAsia="黑体"/>
          <w:b/>
          <w:bCs/>
          <w:kern w:val="44"/>
          <w:sz w:val="32"/>
          <w:szCs w:val="32"/>
        </w:rPr>
        <w:t>须知前附表</w:t>
      </w:r>
      <w:bookmarkEnd w:id="38"/>
      <w:bookmarkEnd w:id="39"/>
    </w:p>
    <w:p w14:paraId="72FAEE40">
      <w:pPr>
        <w:pStyle w:val="10"/>
        <w:jc w:val="both"/>
      </w:pPr>
    </w:p>
    <w:tbl>
      <w:tblPr>
        <w:tblStyle w:val="29"/>
        <w:tblW w:w="9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2577"/>
        <w:gridCol w:w="5984"/>
      </w:tblGrid>
      <w:tr w14:paraId="04CF4B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142" w:type="dxa"/>
            <w:tcBorders>
              <w:top w:val="single" w:color="auto" w:sz="4" w:space="0"/>
              <w:left w:val="single" w:color="auto" w:sz="4" w:space="0"/>
            </w:tcBorders>
            <w:vAlign w:val="center"/>
          </w:tcPr>
          <w:p w14:paraId="24314526">
            <w:pPr>
              <w:jc w:val="center"/>
              <w:rPr>
                <w:b/>
                <w:szCs w:val="21"/>
              </w:rPr>
            </w:pPr>
            <w:r>
              <w:rPr>
                <w:rFonts w:hAnsi="宋体"/>
                <w:b/>
                <w:szCs w:val="21"/>
              </w:rPr>
              <w:t>条款号</w:t>
            </w:r>
          </w:p>
        </w:tc>
        <w:tc>
          <w:tcPr>
            <w:tcW w:w="2577" w:type="dxa"/>
            <w:tcBorders>
              <w:top w:val="single" w:color="auto" w:sz="4" w:space="0"/>
            </w:tcBorders>
            <w:vAlign w:val="center"/>
          </w:tcPr>
          <w:p w14:paraId="6D5DE1D7">
            <w:pPr>
              <w:jc w:val="center"/>
              <w:rPr>
                <w:b/>
                <w:szCs w:val="21"/>
              </w:rPr>
            </w:pPr>
            <w:r>
              <w:rPr>
                <w:rFonts w:hAnsi="宋体"/>
                <w:b/>
                <w:szCs w:val="21"/>
              </w:rPr>
              <w:t>条款名称</w:t>
            </w:r>
          </w:p>
        </w:tc>
        <w:tc>
          <w:tcPr>
            <w:tcW w:w="5984" w:type="dxa"/>
            <w:tcBorders>
              <w:top w:val="single" w:color="auto" w:sz="4" w:space="0"/>
              <w:right w:val="single" w:color="auto" w:sz="4" w:space="0"/>
            </w:tcBorders>
            <w:vAlign w:val="center"/>
          </w:tcPr>
          <w:p w14:paraId="2A80A3AC">
            <w:pPr>
              <w:jc w:val="center"/>
              <w:rPr>
                <w:b/>
                <w:szCs w:val="21"/>
              </w:rPr>
            </w:pPr>
            <w:r>
              <w:rPr>
                <w:rFonts w:hAnsi="宋体"/>
                <w:b/>
                <w:szCs w:val="21"/>
              </w:rPr>
              <w:t>编列内容</w:t>
            </w:r>
          </w:p>
        </w:tc>
      </w:tr>
      <w:tr w14:paraId="6900D18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1142" w:type="dxa"/>
            <w:tcBorders>
              <w:left w:val="single" w:color="auto" w:sz="4" w:space="0"/>
            </w:tcBorders>
            <w:vAlign w:val="center"/>
          </w:tcPr>
          <w:p w14:paraId="622E3D65">
            <w:pPr>
              <w:jc w:val="center"/>
              <w:rPr>
                <w:rFonts w:ascii="宋体" w:hAnsi="宋体"/>
                <w:sz w:val="24"/>
                <w:szCs w:val="24"/>
              </w:rPr>
            </w:pPr>
            <w:r>
              <w:rPr>
                <w:rFonts w:hint="eastAsia" w:ascii="宋体" w:hAnsi="宋体"/>
                <w:sz w:val="24"/>
                <w:szCs w:val="24"/>
              </w:rPr>
              <w:t>1</w:t>
            </w:r>
          </w:p>
        </w:tc>
        <w:tc>
          <w:tcPr>
            <w:tcW w:w="2577" w:type="dxa"/>
            <w:vAlign w:val="center"/>
          </w:tcPr>
          <w:p w14:paraId="171ABF52">
            <w:pPr>
              <w:jc w:val="center"/>
              <w:rPr>
                <w:rFonts w:ascii="宋体" w:hAnsi="宋体"/>
                <w:sz w:val="24"/>
                <w:szCs w:val="24"/>
              </w:rPr>
            </w:pPr>
            <w:r>
              <w:rPr>
                <w:rFonts w:ascii="宋体" w:hAnsi="宋体"/>
                <w:sz w:val="24"/>
                <w:szCs w:val="24"/>
              </w:rPr>
              <w:t>招标人</w:t>
            </w:r>
          </w:p>
        </w:tc>
        <w:tc>
          <w:tcPr>
            <w:tcW w:w="5984" w:type="dxa"/>
            <w:tcBorders>
              <w:right w:val="single" w:color="auto" w:sz="4" w:space="0"/>
            </w:tcBorders>
            <w:vAlign w:val="center"/>
          </w:tcPr>
          <w:p w14:paraId="3B675650">
            <w:pPr>
              <w:jc w:val="left"/>
              <w:rPr>
                <w:rFonts w:hint="eastAsia" w:ascii="宋体" w:hAnsi="宋体" w:eastAsia="宋体"/>
                <w:sz w:val="24"/>
                <w:szCs w:val="24"/>
                <w:lang w:eastAsia="zh-CN"/>
              </w:rPr>
            </w:pPr>
            <w:r>
              <w:rPr>
                <w:rFonts w:ascii="宋体" w:hAnsi="宋体"/>
                <w:sz w:val="24"/>
                <w:szCs w:val="24"/>
              </w:rPr>
              <w:t>名称</w:t>
            </w:r>
            <w:r>
              <w:rPr>
                <w:rFonts w:hint="eastAsia" w:ascii="宋体" w:hAnsi="宋体"/>
                <w:sz w:val="24"/>
                <w:szCs w:val="24"/>
              </w:rPr>
              <w:t>：</w:t>
            </w:r>
            <w:r>
              <w:rPr>
                <w:rFonts w:hint="eastAsia" w:ascii="宋体" w:hAnsi="宋体"/>
                <w:sz w:val="24"/>
                <w:szCs w:val="24"/>
                <w:lang w:eastAsia="zh-CN"/>
              </w:rPr>
              <w:t>海南省机电工程学校</w:t>
            </w:r>
          </w:p>
          <w:p w14:paraId="0993BFF8">
            <w:pPr>
              <w:jc w:val="left"/>
              <w:rPr>
                <w:rFonts w:ascii="宋体" w:hAnsi="宋体"/>
                <w:sz w:val="24"/>
                <w:szCs w:val="24"/>
              </w:rPr>
            </w:pPr>
            <w:r>
              <w:rPr>
                <w:rFonts w:ascii="宋体" w:hAnsi="宋体"/>
                <w:sz w:val="24"/>
                <w:szCs w:val="24"/>
              </w:rPr>
              <w:t>地址：</w:t>
            </w:r>
            <w:r>
              <w:rPr>
                <w:rFonts w:hint="eastAsia" w:ascii="宋体" w:hAnsi="宋体"/>
                <w:sz w:val="24"/>
                <w:szCs w:val="24"/>
              </w:rPr>
              <w:t>海口市美兰区振洋路15号</w:t>
            </w:r>
          </w:p>
          <w:p w14:paraId="14EDCAAF">
            <w:pPr>
              <w:snapToGrid w:val="0"/>
              <w:spacing w:line="500" w:lineRule="exact"/>
              <w:contextualSpacing/>
              <w:rPr>
                <w:rFonts w:ascii="宋体" w:hAnsi="宋体"/>
                <w:sz w:val="24"/>
                <w:szCs w:val="24"/>
              </w:rPr>
            </w:pPr>
            <w:r>
              <w:rPr>
                <w:rFonts w:ascii="宋体" w:hAnsi="宋体"/>
                <w:sz w:val="24"/>
                <w:szCs w:val="24"/>
              </w:rPr>
              <w:t>联系人：</w:t>
            </w:r>
            <w:r>
              <w:rPr>
                <w:rFonts w:hint="eastAsia" w:ascii="宋体" w:hAnsi="宋体"/>
                <w:color w:val="000000" w:themeColor="text1"/>
                <w:sz w:val="24"/>
                <w:szCs w:val="24"/>
                <w:lang w:val="en-US" w:eastAsia="zh-CN"/>
                <w14:textFill>
                  <w14:solidFill>
                    <w14:schemeClr w14:val="tx1"/>
                  </w14:solidFill>
                </w14:textFill>
              </w:rPr>
              <w:t>王老师</w:t>
            </w:r>
          </w:p>
          <w:p w14:paraId="06D108AE">
            <w:pPr>
              <w:jc w:val="left"/>
              <w:rPr>
                <w:rFonts w:ascii="宋体" w:hAnsi="宋体"/>
                <w:sz w:val="24"/>
                <w:szCs w:val="24"/>
              </w:rPr>
            </w:pPr>
            <w:r>
              <w:rPr>
                <w:rFonts w:hint="eastAsia" w:ascii="宋体" w:hAnsi="宋体"/>
                <w:sz w:val="24"/>
                <w:szCs w:val="24"/>
              </w:rPr>
              <w:t>电话：</w:t>
            </w:r>
            <w:r>
              <w:rPr>
                <w:rFonts w:hint="eastAsia" w:ascii="宋体" w:hAnsi="宋体"/>
                <w:sz w:val="24"/>
                <w:szCs w:val="24"/>
                <w:lang w:val="en-US" w:eastAsia="zh-CN"/>
              </w:rPr>
              <w:t>18976060298</w:t>
            </w:r>
          </w:p>
        </w:tc>
      </w:tr>
      <w:tr w14:paraId="2DA44D9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1142" w:type="dxa"/>
            <w:tcBorders>
              <w:left w:val="single" w:color="auto" w:sz="4" w:space="0"/>
            </w:tcBorders>
            <w:vAlign w:val="center"/>
          </w:tcPr>
          <w:p w14:paraId="412E49F7">
            <w:pPr>
              <w:jc w:val="center"/>
              <w:rPr>
                <w:rFonts w:ascii="宋体" w:hAnsi="宋体"/>
                <w:sz w:val="24"/>
                <w:szCs w:val="24"/>
              </w:rPr>
            </w:pPr>
            <w:r>
              <w:rPr>
                <w:rFonts w:hint="eastAsia" w:ascii="宋体" w:hAnsi="宋体"/>
                <w:sz w:val="24"/>
                <w:szCs w:val="24"/>
              </w:rPr>
              <w:t>2</w:t>
            </w:r>
          </w:p>
        </w:tc>
        <w:tc>
          <w:tcPr>
            <w:tcW w:w="2577" w:type="dxa"/>
            <w:vAlign w:val="center"/>
          </w:tcPr>
          <w:p w14:paraId="7AD1AB18">
            <w:pPr>
              <w:jc w:val="center"/>
              <w:rPr>
                <w:rFonts w:ascii="宋体" w:hAnsi="宋体"/>
                <w:sz w:val="24"/>
                <w:szCs w:val="24"/>
              </w:rPr>
            </w:pPr>
            <w:r>
              <w:rPr>
                <w:rFonts w:ascii="宋体" w:hAnsi="宋体"/>
                <w:sz w:val="24"/>
                <w:szCs w:val="24"/>
              </w:rPr>
              <w:t>招标代理机构</w:t>
            </w:r>
          </w:p>
        </w:tc>
        <w:tc>
          <w:tcPr>
            <w:tcW w:w="5984" w:type="dxa"/>
            <w:tcBorders>
              <w:right w:val="single" w:color="auto" w:sz="4" w:space="0"/>
            </w:tcBorders>
            <w:vAlign w:val="center"/>
          </w:tcPr>
          <w:p w14:paraId="0574FDB8">
            <w:pPr>
              <w:rPr>
                <w:rFonts w:ascii="宋体" w:hAnsi="宋体"/>
                <w:sz w:val="24"/>
                <w:szCs w:val="24"/>
              </w:rPr>
            </w:pPr>
            <w:r>
              <w:rPr>
                <w:rFonts w:hint="eastAsia" w:ascii="宋体" w:hAnsi="宋体"/>
                <w:sz w:val="24"/>
                <w:szCs w:val="24"/>
              </w:rPr>
              <w:t>名称：</w:t>
            </w:r>
            <w:r>
              <w:rPr>
                <w:rFonts w:hint="eastAsia" w:ascii="宋体" w:hAnsi="宋体" w:cs="宋体"/>
                <w:bCs/>
                <w:sz w:val="24"/>
                <w:lang w:val="en-GB" w:eastAsia="zh-CN"/>
              </w:rPr>
              <w:t>法正项目管理集团有限公司</w:t>
            </w:r>
            <w:r>
              <w:rPr>
                <w:rFonts w:hint="eastAsia" w:ascii="宋体" w:hAnsi="宋体" w:cs="宋体"/>
                <w:bCs/>
                <w:sz w:val="24"/>
                <w:lang w:val="en-GB"/>
              </w:rPr>
              <w:t xml:space="preserve"> </w:t>
            </w:r>
          </w:p>
          <w:p w14:paraId="657ED88C">
            <w:pPr>
              <w:spacing w:before="120"/>
              <w:rPr>
                <w:sz w:val="24"/>
                <w:szCs w:val="28"/>
              </w:rPr>
            </w:pPr>
            <w:r>
              <w:rPr>
                <w:rFonts w:hint="eastAsia" w:ascii="宋体" w:hAnsi="宋体"/>
                <w:sz w:val="24"/>
                <w:szCs w:val="24"/>
              </w:rPr>
              <w:t>地址：</w:t>
            </w:r>
            <w:r>
              <w:rPr>
                <w:rFonts w:hint="eastAsia" w:hAnsi="宋体" w:eastAsia="宋体"/>
                <w:sz w:val="24"/>
              </w:rPr>
              <w:t>山东省菏泽市人民路数码大厦A幢5楼</w:t>
            </w:r>
          </w:p>
          <w:p w14:paraId="44816B28">
            <w:pPr>
              <w:snapToGrid w:val="0"/>
              <w:spacing w:line="500" w:lineRule="exact"/>
              <w:contextualSpacing/>
              <w:rPr>
                <w:rFonts w:ascii="宋体" w:hAnsi="宋体"/>
                <w:sz w:val="24"/>
                <w:szCs w:val="24"/>
                <w:lang w:val="en-GB"/>
              </w:rPr>
            </w:pPr>
            <w:r>
              <w:rPr>
                <w:rFonts w:hint="eastAsia" w:ascii="宋体" w:hAnsi="宋体"/>
                <w:sz w:val="24"/>
                <w:szCs w:val="24"/>
              </w:rPr>
              <w:t>联系人：蔡工</w:t>
            </w:r>
          </w:p>
          <w:p w14:paraId="74C915EE">
            <w:pPr>
              <w:rPr>
                <w:rFonts w:ascii="宋体" w:hAnsi="宋体"/>
                <w:sz w:val="24"/>
                <w:szCs w:val="24"/>
              </w:rPr>
            </w:pPr>
            <w:r>
              <w:rPr>
                <w:rFonts w:hint="eastAsia" w:ascii="宋体" w:hAnsi="宋体"/>
                <w:sz w:val="24"/>
                <w:szCs w:val="24"/>
              </w:rPr>
              <w:t>电话：</w:t>
            </w:r>
            <w:r>
              <w:rPr>
                <w:rFonts w:eastAsia="宋体"/>
                <w:sz w:val="24"/>
              </w:rPr>
              <w:t>0898-66724708</w:t>
            </w:r>
          </w:p>
        </w:tc>
      </w:tr>
      <w:tr w14:paraId="6175BAC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42" w:type="dxa"/>
            <w:tcBorders>
              <w:left w:val="single" w:color="auto" w:sz="4" w:space="0"/>
            </w:tcBorders>
            <w:vAlign w:val="center"/>
          </w:tcPr>
          <w:p w14:paraId="020E5979">
            <w:pPr>
              <w:jc w:val="center"/>
              <w:rPr>
                <w:rFonts w:ascii="宋体" w:hAnsi="宋体"/>
                <w:sz w:val="24"/>
                <w:szCs w:val="24"/>
              </w:rPr>
            </w:pPr>
            <w:r>
              <w:rPr>
                <w:rFonts w:hint="eastAsia" w:ascii="宋体" w:hAnsi="宋体"/>
                <w:sz w:val="24"/>
                <w:szCs w:val="24"/>
              </w:rPr>
              <w:t>3</w:t>
            </w:r>
          </w:p>
        </w:tc>
        <w:tc>
          <w:tcPr>
            <w:tcW w:w="2577" w:type="dxa"/>
            <w:vAlign w:val="center"/>
          </w:tcPr>
          <w:p w14:paraId="163547F3">
            <w:pPr>
              <w:jc w:val="center"/>
              <w:rPr>
                <w:rFonts w:ascii="宋体" w:hAnsi="宋体"/>
                <w:sz w:val="24"/>
                <w:szCs w:val="24"/>
              </w:rPr>
            </w:pPr>
            <w:r>
              <w:rPr>
                <w:rFonts w:ascii="宋体" w:hAnsi="宋体"/>
                <w:sz w:val="24"/>
                <w:szCs w:val="24"/>
              </w:rPr>
              <w:t>项目名称</w:t>
            </w:r>
          </w:p>
        </w:tc>
        <w:tc>
          <w:tcPr>
            <w:tcW w:w="5984" w:type="dxa"/>
            <w:tcBorders>
              <w:right w:val="single" w:color="auto" w:sz="4" w:space="0"/>
            </w:tcBorders>
            <w:vAlign w:val="center"/>
          </w:tcPr>
          <w:p w14:paraId="3CD44479">
            <w:pPr>
              <w:spacing w:line="320" w:lineRule="exact"/>
              <w:rPr>
                <w:rFonts w:hint="eastAsia" w:ascii="宋体" w:hAnsi="宋体" w:eastAsia="宋体"/>
                <w:sz w:val="24"/>
                <w:szCs w:val="24"/>
                <w:lang w:eastAsia="zh-CN"/>
              </w:rPr>
            </w:pPr>
            <w:r>
              <w:rPr>
                <w:rFonts w:hint="eastAsia" w:ascii="宋体" w:hAnsi="宋体"/>
                <w:sz w:val="24"/>
                <w:szCs w:val="24"/>
                <w:lang w:eastAsia="zh-CN"/>
              </w:rPr>
              <w:t>海南省机电工程学校直播教室设备采购项目</w:t>
            </w:r>
          </w:p>
        </w:tc>
      </w:tr>
      <w:tr w14:paraId="5327D39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142" w:type="dxa"/>
            <w:tcBorders>
              <w:left w:val="single" w:color="auto" w:sz="4" w:space="0"/>
            </w:tcBorders>
            <w:vAlign w:val="center"/>
          </w:tcPr>
          <w:p w14:paraId="1FE2E2BE">
            <w:pPr>
              <w:jc w:val="center"/>
              <w:rPr>
                <w:rFonts w:ascii="宋体" w:hAnsi="宋体"/>
                <w:sz w:val="24"/>
                <w:szCs w:val="24"/>
              </w:rPr>
            </w:pPr>
            <w:r>
              <w:rPr>
                <w:rFonts w:hint="eastAsia" w:ascii="宋体" w:hAnsi="宋体"/>
                <w:sz w:val="24"/>
                <w:szCs w:val="24"/>
              </w:rPr>
              <w:t>4</w:t>
            </w:r>
          </w:p>
        </w:tc>
        <w:tc>
          <w:tcPr>
            <w:tcW w:w="2577" w:type="dxa"/>
            <w:vAlign w:val="center"/>
          </w:tcPr>
          <w:p w14:paraId="5D59F760">
            <w:pPr>
              <w:jc w:val="center"/>
              <w:rPr>
                <w:rFonts w:ascii="宋体" w:hAnsi="宋体"/>
                <w:sz w:val="24"/>
                <w:szCs w:val="24"/>
              </w:rPr>
            </w:pPr>
            <w:r>
              <w:rPr>
                <w:rFonts w:hint="eastAsia" w:ascii="宋体" w:hAnsi="宋体"/>
                <w:sz w:val="24"/>
                <w:szCs w:val="24"/>
              </w:rPr>
              <w:t>交货</w:t>
            </w:r>
            <w:r>
              <w:rPr>
                <w:rFonts w:ascii="宋体" w:hAnsi="宋体"/>
                <w:sz w:val="24"/>
                <w:szCs w:val="24"/>
              </w:rPr>
              <w:t>地点</w:t>
            </w:r>
          </w:p>
        </w:tc>
        <w:tc>
          <w:tcPr>
            <w:tcW w:w="5984" w:type="dxa"/>
            <w:tcBorders>
              <w:right w:val="single" w:color="auto" w:sz="4" w:space="0"/>
            </w:tcBorders>
            <w:vAlign w:val="center"/>
          </w:tcPr>
          <w:p w14:paraId="1206FD30">
            <w:pPr>
              <w:spacing w:line="320" w:lineRule="exact"/>
              <w:rPr>
                <w:rFonts w:hint="default" w:ascii="宋体" w:hAnsi="宋体" w:eastAsia="宋体"/>
                <w:sz w:val="24"/>
                <w:szCs w:val="24"/>
                <w:lang w:val="en-US" w:eastAsia="zh-CN"/>
              </w:rPr>
            </w:pPr>
            <w:r>
              <w:rPr>
                <w:rFonts w:hint="eastAsia" w:ascii="宋体" w:hAnsi="宋体" w:cs="宋体"/>
                <w:kern w:val="44"/>
                <w:sz w:val="24"/>
                <w:lang w:val="en-US" w:eastAsia="zh-CN"/>
              </w:rPr>
              <w:t>业主指定地点</w:t>
            </w:r>
          </w:p>
        </w:tc>
      </w:tr>
      <w:tr w14:paraId="3C43060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42" w:type="dxa"/>
            <w:tcBorders>
              <w:left w:val="single" w:color="auto" w:sz="4" w:space="0"/>
            </w:tcBorders>
            <w:vAlign w:val="center"/>
          </w:tcPr>
          <w:p w14:paraId="5BE0C3CD">
            <w:pPr>
              <w:jc w:val="center"/>
              <w:rPr>
                <w:rFonts w:ascii="宋体" w:hAnsi="宋体"/>
                <w:sz w:val="24"/>
                <w:szCs w:val="24"/>
              </w:rPr>
            </w:pPr>
            <w:r>
              <w:rPr>
                <w:rFonts w:hint="eastAsia" w:ascii="宋体" w:hAnsi="宋体"/>
                <w:sz w:val="24"/>
                <w:szCs w:val="24"/>
              </w:rPr>
              <w:t>5</w:t>
            </w:r>
          </w:p>
        </w:tc>
        <w:tc>
          <w:tcPr>
            <w:tcW w:w="2577" w:type="dxa"/>
            <w:vAlign w:val="center"/>
          </w:tcPr>
          <w:p w14:paraId="7CA3FE7B">
            <w:pPr>
              <w:jc w:val="center"/>
              <w:rPr>
                <w:rFonts w:ascii="宋体" w:hAnsi="宋体"/>
                <w:sz w:val="24"/>
                <w:szCs w:val="24"/>
              </w:rPr>
            </w:pPr>
            <w:r>
              <w:rPr>
                <w:rFonts w:ascii="宋体" w:hAnsi="宋体"/>
                <w:sz w:val="24"/>
                <w:szCs w:val="24"/>
              </w:rPr>
              <w:t>资金来源</w:t>
            </w:r>
          </w:p>
        </w:tc>
        <w:tc>
          <w:tcPr>
            <w:tcW w:w="5984" w:type="dxa"/>
            <w:tcBorders>
              <w:right w:val="single" w:color="auto" w:sz="4" w:space="0"/>
            </w:tcBorders>
            <w:vAlign w:val="center"/>
          </w:tcPr>
          <w:p w14:paraId="2E4E0AF0">
            <w:pPr>
              <w:spacing w:line="320" w:lineRule="exact"/>
              <w:rPr>
                <w:rFonts w:hint="default" w:ascii="宋体" w:hAnsi="宋体" w:eastAsia="宋体"/>
                <w:sz w:val="24"/>
                <w:szCs w:val="24"/>
                <w:lang w:val="en-US" w:eastAsia="zh-CN"/>
              </w:rPr>
            </w:pPr>
            <w:r>
              <w:rPr>
                <w:rFonts w:hint="eastAsia" w:ascii="宋体" w:hAnsi="宋体"/>
                <w:sz w:val="24"/>
                <w:szCs w:val="24"/>
                <w:lang w:val="en-US" w:eastAsia="zh-CN"/>
              </w:rPr>
              <w:t>财政资金</w:t>
            </w:r>
          </w:p>
        </w:tc>
      </w:tr>
      <w:tr w14:paraId="1859C5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42" w:type="dxa"/>
            <w:tcBorders>
              <w:left w:val="single" w:color="auto" w:sz="4" w:space="0"/>
            </w:tcBorders>
            <w:vAlign w:val="center"/>
          </w:tcPr>
          <w:p w14:paraId="682F14E2">
            <w:pPr>
              <w:jc w:val="center"/>
              <w:rPr>
                <w:rFonts w:ascii="宋体" w:hAnsi="宋体"/>
                <w:sz w:val="24"/>
                <w:szCs w:val="24"/>
              </w:rPr>
            </w:pPr>
            <w:r>
              <w:rPr>
                <w:rFonts w:hint="eastAsia" w:ascii="宋体" w:hAnsi="宋体"/>
                <w:sz w:val="24"/>
                <w:szCs w:val="24"/>
              </w:rPr>
              <w:t>6</w:t>
            </w:r>
          </w:p>
        </w:tc>
        <w:tc>
          <w:tcPr>
            <w:tcW w:w="2577" w:type="dxa"/>
            <w:vAlign w:val="center"/>
          </w:tcPr>
          <w:p w14:paraId="64002AE2">
            <w:pPr>
              <w:jc w:val="center"/>
              <w:rPr>
                <w:rFonts w:ascii="宋体" w:hAnsi="宋体"/>
                <w:sz w:val="24"/>
                <w:szCs w:val="24"/>
              </w:rPr>
            </w:pPr>
            <w:r>
              <w:rPr>
                <w:rFonts w:ascii="宋体" w:hAnsi="宋体"/>
                <w:sz w:val="24"/>
                <w:szCs w:val="24"/>
              </w:rPr>
              <w:t>资金落实情况</w:t>
            </w:r>
          </w:p>
        </w:tc>
        <w:tc>
          <w:tcPr>
            <w:tcW w:w="5984" w:type="dxa"/>
            <w:tcBorders>
              <w:right w:val="single" w:color="auto" w:sz="4" w:space="0"/>
            </w:tcBorders>
            <w:vAlign w:val="center"/>
          </w:tcPr>
          <w:p w14:paraId="0A66F4E4">
            <w:pPr>
              <w:spacing w:line="320" w:lineRule="exact"/>
              <w:rPr>
                <w:rFonts w:ascii="宋体" w:hAnsi="宋体"/>
                <w:sz w:val="24"/>
                <w:szCs w:val="24"/>
              </w:rPr>
            </w:pPr>
            <w:r>
              <w:rPr>
                <w:rFonts w:hint="eastAsia" w:ascii="宋体" w:hAnsi="宋体"/>
                <w:sz w:val="24"/>
                <w:szCs w:val="24"/>
              </w:rPr>
              <w:t>已落实</w:t>
            </w:r>
          </w:p>
        </w:tc>
      </w:tr>
      <w:tr w14:paraId="5C66A9A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42" w:type="dxa"/>
            <w:tcBorders>
              <w:left w:val="single" w:color="auto" w:sz="4" w:space="0"/>
            </w:tcBorders>
            <w:vAlign w:val="center"/>
          </w:tcPr>
          <w:p w14:paraId="149C028A">
            <w:pPr>
              <w:jc w:val="center"/>
              <w:rPr>
                <w:rFonts w:ascii="宋体" w:hAnsi="宋体"/>
                <w:sz w:val="24"/>
                <w:szCs w:val="24"/>
              </w:rPr>
            </w:pPr>
            <w:r>
              <w:rPr>
                <w:rFonts w:hint="eastAsia" w:ascii="宋体" w:hAnsi="宋体"/>
                <w:sz w:val="24"/>
                <w:szCs w:val="24"/>
              </w:rPr>
              <w:t>7</w:t>
            </w:r>
          </w:p>
        </w:tc>
        <w:tc>
          <w:tcPr>
            <w:tcW w:w="2577" w:type="dxa"/>
            <w:vAlign w:val="center"/>
          </w:tcPr>
          <w:p w14:paraId="440B5BD7">
            <w:pPr>
              <w:jc w:val="center"/>
              <w:rPr>
                <w:rFonts w:ascii="宋体" w:hAnsi="宋体"/>
                <w:sz w:val="24"/>
                <w:szCs w:val="24"/>
              </w:rPr>
            </w:pPr>
            <w:r>
              <w:rPr>
                <w:rFonts w:hint="eastAsia" w:ascii="宋体" w:hAnsi="宋体"/>
                <w:sz w:val="24"/>
                <w:szCs w:val="24"/>
              </w:rPr>
              <w:t>招标范围</w:t>
            </w:r>
          </w:p>
        </w:tc>
        <w:tc>
          <w:tcPr>
            <w:tcW w:w="5984" w:type="dxa"/>
            <w:tcBorders>
              <w:right w:val="single" w:color="auto" w:sz="4" w:space="0"/>
            </w:tcBorders>
            <w:vAlign w:val="center"/>
          </w:tcPr>
          <w:p w14:paraId="53ED7452">
            <w:pPr>
              <w:snapToGrid w:val="0"/>
              <w:spacing w:line="500" w:lineRule="exact"/>
              <w:ind w:left="105" w:leftChars="50"/>
              <w:contextualSpacing/>
              <w:jc w:val="left"/>
              <w:rPr>
                <w:rFonts w:ascii="宋体" w:hAnsi="宋体" w:cs="Arial"/>
                <w:sz w:val="24"/>
              </w:rPr>
            </w:pPr>
            <w:r>
              <w:rPr>
                <w:rFonts w:hint="eastAsia" w:ascii="宋体" w:hAnsi="宋体"/>
                <w:sz w:val="24"/>
                <w:lang w:val="en-US" w:eastAsia="zh-CN"/>
              </w:rPr>
              <w:t>详见采购需求书《直播教室设备采购项目预算审核汇总表》</w:t>
            </w:r>
          </w:p>
        </w:tc>
      </w:tr>
      <w:tr w14:paraId="20444F9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142" w:type="dxa"/>
            <w:tcBorders>
              <w:left w:val="single" w:color="auto" w:sz="4" w:space="0"/>
            </w:tcBorders>
            <w:vAlign w:val="center"/>
          </w:tcPr>
          <w:p w14:paraId="1F1666B1">
            <w:pPr>
              <w:jc w:val="center"/>
              <w:rPr>
                <w:rFonts w:ascii="宋体" w:hAnsi="宋体"/>
                <w:sz w:val="24"/>
                <w:szCs w:val="24"/>
              </w:rPr>
            </w:pPr>
            <w:r>
              <w:rPr>
                <w:rFonts w:hint="eastAsia" w:ascii="宋体" w:hAnsi="宋体"/>
                <w:sz w:val="24"/>
                <w:szCs w:val="24"/>
              </w:rPr>
              <w:t>8</w:t>
            </w:r>
          </w:p>
        </w:tc>
        <w:tc>
          <w:tcPr>
            <w:tcW w:w="2577" w:type="dxa"/>
            <w:vAlign w:val="center"/>
          </w:tcPr>
          <w:p w14:paraId="3C781BCA">
            <w:pPr>
              <w:spacing w:line="320" w:lineRule="exact"/>
              <w:jc w:val="center"/>
              <w:rPr>
                <w:rFonts w:hint="eastAsia" w:ascii="宋体" w:hAnsi="宋体" w:eastAsia="宋体" w:cs="宋体"/>
                <w:kern w:val="44"/>
                <w:sz w:val="24"/>
                <w:lang w:eastAsia="zh-CN"/>
              </w:rPr>
            </w:pPr>
            <w:r>
              <w:rPr>
                <w:rFonts w:hint="eastAsia" w:ascii="宋体" w:hAnsi="宋体" w:cs="宋体"/>
                <w:kern w:val="44"/>
                <w:sz w:val="24"/>
                <w:lang w:eastAsia="zh-CN"/>
              </w:rPr>
              <w:t>交货时间</w:t>
            </w:r>
          </w:p>
        </w:tc>
        <w:tc>
          <w:tcPr>
            <w:tcW w:w="5984" w:type="dxa"/>
            <w:tcBorders>
              <w:right w:val="single" w:color="auto" w:sz="4" w:space="0"/>
            </w:tcBorders>
            <w:vAlign w:val="center"/>
          </w:tcPr>
          <w:p w14:paraId="29CFAA00">
            <w:pPr>
              <w:spacing w:line="320" w:lineRule="exact"/>
              <w:rPr>
                <w:rFonts w:ascii="宋体" w:hAnsi="宋体" w:cs="宋体"/>
                <w:kern w:val="44"/>
                <w:sz w:val="24"/>
              </w:rPr>
            </w:pPr>
            <w:r>
              <w:rPr>
                <w:rFonts w:hint="eastAsia" w:ascii="宋体" w:hAnsi="宋体" w:cs="宋体"/>
                <w:kern w:val="44"/>
                <w:sz w:val="24"/>
                <w:lang w:val="en-US" w:eastAsia="zh-CN"/>
              </w:rPr>
              <w:t>合同签订后一个月内</w:t>
            </w:r>
          </w:p>
        </w:tc>
      </w:tr>
      <w:tr w14:paraId="0B1366D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142" w:type="dxa"/>
            <w:tcBorders>
              <w:left w:val="single" w:color="auto" w:sz="4" w:space="0"/>
            </w:tcBorders>
            <w:vAlign w:val="center"/>
          </w:tcPr>
          <w:p w14:paraId="5B2C144E">
            <w:pPr>
              <w:jc w:val="center"/>
              <w:rPr>
                <w:rFonts w:ascii="宋体" w:hAnsi="宋体"/>
                <w:sz w:val="24"/>
                <w:szCs w:val="24"/>
              </w:rPr>
            </w:pPr>
            <w:r>
              <w:rPr>
                <w:rFonts w:hint="eastAsia" w:ascii="宋体" w:hAnsi="宋体"/>
                <w:sz w:val="24"/>
                <w:szCs w:val="24"/>
              </w:rPr>
              <w:t>9</w:t>
            </w:r>
          </w:p>
        </w:tc>
        <w:tc>
          <w:tcPr>
            <w:tcW w:w="2577" w:type="dxa"/>
            <w:vAlign w:val="center"/>
          </w:tcPr>
          <w:p w14:paraId="660ED649">
            <w:pPr>
              <w:jc w:val="center"/>
              <w:rPr>
                <w:rFonts w:ascii="宋体" w:hAnsi="宋体"/>
                <w:sz w:val="24"/>
                <w:szCs w:val="24"/>
              </w:rPr>
            </w:pPr>
            <w:r>
              <w:rPr>
                <w:rFonts w:hint="eastAsia" w:ascii="宋体" w:hAnsi="宋体"/>
                <w:sz w:val="24"/>
                <w:szCs w:val="24"/>
              </w:rPr>
              <w:t>质量标准</w:t>
            </w:r>
          </w:p>
        </w:tc>
        <w:tc>
          <w:tcPr>
            <w:tcW w:w="5984" w:type="dxa"/>
            <w:tcBorders>
              <w:right w:val="single" w:color="auto" w:sz="4" w:space="0"/>
            </w:tcBorders>
            <w:vAlign w:val="center"/>
          </w:tcPr>
          <w:p w14:paraId="5ECC1C42">
            <w:pPr>
              <w:spacing w:line="320" w:lineRule="exact"/>
              <w:rPr>
                <w:rFonts w:hint="eastAsia" w:ascii="宋体" w:hAnsi="宋体" w:eastAsia="宋体"/>
                <w:sz w:val="24"/>
                <w:szCs w:val="24"/>
                <w:lang w:eastAsia="zh-CN"/>
              </w:rPr>
            </w:pPr>
            <w:r>
              <w:rPr>
                <w:rFonts w:hint="eastAsia" w:ascii="宋体" w:hAnsi="宋体"/>
                <w:sz w:val="24"/>
                <w:szCs w:val="24"/>
                <w:lang w:val="en-US" w:eastAsia="zh-CN"/>
              </w:rPr>
              <w:t>合格</w:t>
            </w:r>
          </w:p>
        </w:tc>
      </w:tr>
      <w:tr w14:paraId="0FAB359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142" w:type="dxa"/>
            <w:tcBorders>
              <w:left w:val="single" w:color="auto" w:sz="4" w:space="0"/>
            </w:tcBorders>
            <w:vAlign w:val="center"/>
          </w:tcPr>
          <w:p w14:paraId="57E986B7">
            <w:pPr>
              <w:jc w:val="center"/>
              <w:rPr>
                <w:rFonts w:hint="default" w:ascii="宋体" w:hAnsi="宋体" w:eastAsia="宋体"/>
                <w:sz w:val="24"/>
                <w:szCs w:val="24"/>
                <w:lang w:val="en-US" w:eastAsia="zh-CN"/>
              </w:rPr>
            </w:pPr>
            <w:r>
              <w:rPr>
                <w:rFonts w:hint="eastAsia" w:ascii="宋体" w:hAnsi="宋体"/>
                <w:sz w:val="24"/>
                <w:szCs w:val="24"/>
                <w:lang w:val="en-US" w:eastAsia="zh-CN"/>
              </w:rPr>
              <w:t>10</w:t>
            </w:r>
          </w:p>
        </w:tc>
        <w:tc>
          <w:tcPr>
            <w:tcW w:w="2577" w:type="dxa"/>
            <w:vAlign w:val="center"/>
          </w:tcPr>
          <w:p w14:paraId="2554E07C">
            <w:pPr>
              <w:jc w:val="center"/>
              <w:rPr>
                <w:rFonts w:hint="eastAsia" w:ascii="宋体" w:hAnsi="宋体" w:eastAsia="宋体"/>
                <w:sz w:val="24"/>
                <w:szCs w:val="24"/>
                <w:lang w:val="en-US" w:eastAsia="zh-CN"/>
              </w:rPr>
            </w:pPr>
            <w:r>
              <w:rPr>
                <w:rFonts w:hint="eastAsia" w:ascii="宋体" w:hAnsi="宋体"/>
                <w:sz w:val="24"/>
                <w:szCs w:val="24"/>
                <w:lang w:val="en-US" w:eastAsia="zh-CN"/>
              </w:rPr>
              <w:t>质保期</w:t>
            </w:r>
          </w:p>
        </w:tc>
        <w:tc>
          <w:tcPr>
            <w:tcW w:w="5984" w:type="dxa"/>
            <w:tcBorders>
              <w:right w:val="single" w:color="auto" w:sz="4" w:space="0"/>
            </w:tcBorders>
            <w:vAlign w:val="center"/>
          </w:tcPr>
          <w:p w14:paraId="17202230">
            <w:pPr>
              <w:spacing w:line="320" w:lineRule="exact"/>
              <w:rPr>
                <w:rFonts w:hint="default" w:ascii="宋体" w:hAnsi="宋体"/>
                <w:sz w:val="24"/>
                <w:szCs w:val="24"/>
                <w:lang w:val="en-US" w:eastAsia="zh-CN"/>
              </w:rPr>
            </w:pPr>
            <w:r>
              <w:rPr>
                <w:rFonts w:hint="eastAsia" w:ascii="宋体" w:hAnsi="宋体"/>
                <w:sz w:val="24"/>
                <w:szCs w:val="24"/>
                <w:lang w:val="en-US" w:eastAsia="zh-CN"/>
              </w:rPr>
              <w:t>2年</w:t>
            </w:r>
          </w:p>
        </w:tc>
      </w:tr>
      <w:tr w14:paraId="3F192B3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42" w:type="dxa"/>
            <w:tcBorders>
              <w:left w:val="single" w:color="auto" w:sz="4" w:space="0"/>
            </w:tcBorders>
            <w:vAlign w:val="center"/>
          </w:tcPr>
          <w:p w14:paraId="029E7006">
            <w:pPr>
              <w:jc w:val="center"/>
              <w:rPr>
                <w:rFonts w:hint="default" w:ascii="宋体" w:hAnsi="宋体" w:eastAsia="宋体"/>
                <w:sz w:val="24"/>
                <w:szCs w:val="24"/>
                <w:lang w:val="en-US" w:eastAsia="zh-CN"/>
              </w:rPr>
            </w:pPr>
            <w:r>
              <w:rPr>
                <w:rFonts w:hint="eastAsia" w:ascii="宋体" w:hAnsi="宋体"/>
                <w:sz w:val="24"/>
                <w:szCs w:val="24"/>
                <w:lang w:val="en-US" w:eastAsia="zh-CN"/>
              </w:rPr>
              <w:t>11</w:t>
            </w:r>
          </w:p>
        </w:tc>
        <w:tc>
          <w:tcPr>
            <w:tcW w:w="2577" w:type="dxa"/>
            <w:vAlign w:val="center"/>
          </w:tcPr>
          <w:p w14:paraId="5C7055EC">
            <w:pPr>
              <w:jc w:val="center"/>
              <w:rPr>
                <w:rFonts w:ascii="宋体" w:hAnsi="宋体"/>
                <w:sz w:val="24"/>
                <w:szCs w:val="24"/>
              </w:rPr>
            </w:pPr>
            <w:r>
              <w:rPr>
                <w:rFonts w:hint="eastAsia" w:ascii="宋体" w:hAnsi="宋体"/>
                <w:sz w:val="24"/>
                <w:szCs w:val="24"/>
              </w:rPr>
              <w:t>投标有效期</w:t>
            </w:r>
          </w:p>
        </w:tc>
        <w:tc>
          <w:tcPr>
            <w:tcW w:w="5984" w:type="dxa"/>
            <w:tcBorders>
              <w:right w:val="single" w:color="auto" w:sz="4" w:space="0"/>
            </w:tcBorders>
            <w:vAlign w:val="center"/>
          </w:tcPr>
          <w:p w14:paraId="7A18C185">
            <w:pPr>
              <w:spacing w:line="360" w:lineRule="auto"/>
              <w:rPr>
                <w:rFonts w:ascii="宋体" w:hAnsi="宋体"/>
                <w:sz w:val="24"/>
                <w:szCs w:val="24"/>
              </w:rPr>
            </w:pPr>
            <w:r>
              <w:rPr>
                <w:rFonts w:ascii="宋体" w:hAnsi="宋体"/>
                <w:sz w:val="24"/>
                <w:szCs w:val="24"/>
              </w:rPr>
              <w:t>90日历天（从投标截止之日算起）</w:t>
            </w:r>
          </w:p>
        </w:tc>
      </w:tr>
      <w:tr w14:paraId="62FE71A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42" w:type="dxa"/>
            <w:tcBorders>
              <w:left w:val="single" w:color="auto" w:sz="4" w:space="0"/>
            </w:tcBorders>
            <w:vAlign w:val="center"/>
          </w:tcPr>
          <w:p w14:paraId="20482ED5">
            <w:pPr>
              <w:jc w:val="center"/>
              <w:rPr>
                <w:rFonts w:hint="default" w:ascii="宋体" w:hAnsi="宋体" w:eastAsia="宋体"/>
                <w:sz w:val="24"/>
                <w:szCs w:val="24"/>
                <w:lang w:val="en-US" w:eastAsia="zh-CN"/>
              </w:rPr>
            </w:pPr>
            <w:r>
              <w:rPr>
                <w:rFonts w:hint="eastAsia" w:ascii="宋体" w:hAnsi="宋体"/>
                <w:sz w:val="24"/>
                <w:szCs w:val="24"/>
                <w:lang w:val="en-US" w:eastAsia="zh-CN"/>
              </w:rPr>
              <w:t>12</w:t>
            </w:r>
          </w:p>
        </w:tc>
        <w:tc>
          <w:tcPr>
            <w:tcW w:w="2577" w:type="dxa"/>
            <w:vAlign w:val="center"/>
          </w:tcPr>
          <w:p w14:paraId="7034D281">
            <w:pPr>
              <w:jc w:val="center"/>
              <w:rPr>
                <w:rFonts w:ascii="宋体" w:hAnsi="宋体"/>
                <w:sz w:val="24"/>
                <w:szCs w:val="24"/>
              </w:rPr>
            </w:pPr>
            <w:r>
              <w:rPr>
                <w:rFonts w:hint="eastAsia" w:ascii="宋体" w:hAnsi="宋体"/>
                <w:sz w:val="24"/>
                <w:szCs w:val="24"/>
              </w:rPr>
              <w:t>投标保证金</w:t>
            </w:r>
          </w:p>
        </w:tc>
        <w:tc>
          <w:tcPr>
            <w:tcW w:w="5984" w:type="dxa"/>
            <w:tcBorders>
              <w:right w:val="single" w:color="auto" w:sz="4" w:space="0"/>
            </w:tcBorders>
            <w:vAlign w:val="center"/>
          </w:tcPr>
          <w:p w14:paraId="237AD421">
            <w:pPr>
              <w:spacing w:line="360" w:lineRule="auto"/>
              <w:rPr>
                <w:rFonts w:hint="eastAsia" w:eastAsia="宋体"/>
                <w:lang w:eastAsia="zh-CN"/>
              </w:rPr>
            </w:pPr>
            <w:r>
              <w:rPr>
                <w:rFonts w:hint="eastAsia" w:ascii="宋体" w:hAnsi="宋体"/>
                <w:sz w:val="24"/>
                <w:lang w:val="en-US" w:eastAsia="zh-CN"/>
              </w:rPr>
              <w:t>不做要求</w:t>
            </w:r>
          </w:p>
        </w:tc>
      </w:tr>
      <w:tr w14:paraId="7C4FE56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42" w:type="dxa"/>
            <w:tcBorders>
              <w:left w:val="single" w:color="auto" w:sz="4" w:space="0"/>
            </w:tcBorders>
            <w:vAlign w:val="center"/>
          </w:tcPr>
          <w:p w14:paraId="1FB213CB">
            <w:pPr>
              <w:jc w:val="center"/>
              <w:rPr>
                <w:rFonts w:hint="default" w:ascii="宋体" w:hAnsi="宋体" w:eastAsia="宋体"/>
                <w:sz w:val="24"/>
                <w:szCs w:val="24"/>
                <w:lang w:val="en-US" w:eastAsia="zh-CN"/>
              </w:rPr>
            </w:pPr>
            <w:r>
              <w:rPr>
                <w:rFonts w:hint="eastAsia" w:ascii="宋体" w:hAnsi="宋体"/>
                <w:sz w:val="24"/>
                <w:szCs w:val="24"/>
                <w:lang w:val="en-US" w:eastAsia="zh-CN"/>
              </w:rPr>
              <w:t>13</w:t>
            </w:r>
          </w:p>
        </w:tc>
        <w:tc>
          <w:tcPr>
            <w:tcW w:w="2577" w:type="dxa"/>
            <w:vAlign w:val="center"/>
          </w:tcPr>
          <w:p w14:paraId="593DB9C2">
            <w:pPr>
              <w:jc w:val="center"/>
              <w:rPr>
                <w:rFonts w:hint="eastAsia" w:ascii="宋体" w:hAnsi="宋体"/>
                <w:sz w:val="24"/>
                <w:szCs w:val="24"/>
              </w:rPr>
            </w:pPr>
            <w:r>
              <w:rPr>
                <w:rFonts w:hint="eastAsia" w:ascii="宋体" w:hAnsi="宋体"/>
                <w:sz w:val="24"/>
                <w:szCs w:val="24"/>
                <w:lang w:val="en-US" w:eastAsia="zh-CN"/>
              </w:rPr>
              <w:t>验收方式及标准</w:t>
            </w:r>
          </w:p>
        </w:tc>
        <w:tc>
          <w:tcPr>
            <w:tcW w:w="5984" w:type="dxa"/>
            <w:tcBorders>
              <w:right w:val="single" w:color="auto" w:sz="4" w:space="0"/>
            </w:tcBorders>
            <w:vAlign w:val="center"/>
          </w:tcPr>
          <w:p w14:paraId="761360AE">
            <w:pPr>
              <w:spacing w:line="360" w:lineRule="auto"/>
              <w:rPr>
                <w:rFonts w:hint="eastAsia" w:ascii="宋体" w:hAnsi="宋体"/>
                <w:sz w:val="24"/>
                <w:lang w:val="en-US" w:eastAsia="zh-CN"/>
              </w:rPr>
            </w:pPr>
            <w:r>
              <w:rPr>
                <w:rFonts w:hint="eastAsia" w:ascii="宋体" w:hAnsi="宋体"/>
                <w:sz w:val="24"/>
                <w:lang w:val="en-US" w:eastAsia="zh-CN"/>
              </w:rPr>
              <w:t xml:space="preserve">按本招标文件和投标文件的内容及国家、地方和行业的相 关政策、法规实施。 </w:t>
            </w:r>
          </w:p>
        </w:tc>
      </w:tr>
      <w:tr w14:paraId="1A56F05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2" w:type="dxa"/>
            <w:tcBorders>
              <w:left w:val="single" w:color="auto" w:sz="4" w:space="0"/>
            </w:tcBorders>
            <w:vAlign w:val="center"/>
          </w:tcPr>
          <w:p w14:paraId="1BFF0C92">
            <w:pPr>
              <w:jc w:val="center"/>
              <w:rPr>
                <w:rFonts w:hint="default" w:ascii="宋体" w:hAnsi="宋体" w:eastAsia="宋体"/>
                <w:sz w:val="24"/>
                <w:szCs w:val="24"/>
                <w:lang w:val="en-US" w:eastAsia="zh-CN"/>
              </w:rPr>
            </w:pPr>
            <w:r>
              <w:rPr>
                <w:rFonts w:hint="eastAsia" w:ascii="宋体" w:hAnsi="宋体"/>
                <w:sz w:val="24"/>
                <w:szCs w:val="24"/>
                <w:lang w:val="en-US" w:eastAsia="zh-CN"/>
              </w:rPr>
              <w:t>14</w:t>
            </w:r>
          </w:p>
        </w:tc>
        <w:tc>
          <w:tcPr>
            <w:tcW w:w="2577" w:type="dxa"/>
            <w:vAlign w:val="center"/>
          </w:tcPr>
          <w:p w14:paraId="7C0ACA72">
            <w:pPr>
              <w:jc w:val="center"/>
              <w:rPr>
                <w:rFonts w:hint="eastAsia" w:ascii="宋体" w:hAnsi="宋体"/>
                <w:sz w:val="24"/>
                <w:szCs w:val="24"/>
              </w:rPr>
            </w:pPr>
            <w:r>
              <w:rPr>
                <w:rFonts w:hint="eastAsia" w:ascii="宋体" w:hAnsi="宋体"/>
                <w:sz w:val="24"/>
                <w:szCs w:val="24"/>
                <w:lang w:val="en-US" w:eastAsia="zh-CN"/>
              </w:rPr>
              <w:t>投标文件编制</w:t>
            </w:r>
          </w:p>
        </w:tc>
        <w:tc>
          <w:tcPr>
            <w:tcW w:w="5984" w:type="dxa"/>
            <w:tcBorders>
              <w:right w:val="single" w:color="auto" w:sz="4" w:space="0"/>
            </w:tcBorders>
            <w:vAlign w:val="center"/>
          </w:tcPr>
          <w:p w14:paraId="791B4E21">
            <w:pPr>
              <w:keepNext w:val="0"/>
              <w:keepLines w:val="0"/>
              <w:widowControl/>
              <w:suppressLineNumbers w:val="0"/>
              <w:jc w:val="left"/>
              <w:rPr>
                <w:rFonts w:hint="eastAsia" w:ascii="宋体" w:hAnsi="宋体"/>
                <w:sz w:val="24"/>
                <w:lang w:val="en-US" w:eastAsia="zh-CN"/>
              </w:rPr>
            </w:pPr>
            <w:r>
              <w:rPr>
                <w:rFonts w:hint="eastAsia" w:ascii="宋体" w:hAnsi="宋体" w:eastAsia="宋体" w:cs="宋体"/>
                <w:color w:val="000000"/>
                <w:kern w:val="0"/>
                <w:sz w:val="24"/>
                <w:szCs w:val="24"/>
                <w:lang w:val="en-US" w:eastAsia="zh-CN" w:bidi="ar"/>
              </w:rPr>
              <w:t>电子投标书编制工具、投标工具使用手册及供应商使用手册等均可在海南省政府采购电子化交易管理系统（</w:t>
            </w:r>
            <w:r>
              <w:rPr>
                <w:rFonts w:hint="default" w:ascii="Times New Roman" w:hAnsi="Times New Roman" w:eastAsia="宋体" w:cs="Times New Roman"/>
                <w:color w:val="000000"/>
                <w:kern w:val="0"/>
                <w:sz w:val="24"/>
                <w:szCs w:val="24"/>
                <w:lang w:val="en-US" w:eastAsia="zh-CN" w:bidi="ar"/>
              </w:rPr>
              <w:t>http://218. 77.183.212:8199/u/loginu/</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帮助中心下载。 </w:t>
            </w:r>
          </w:p>
        </w:tc>
      </w:tr>
      <w:tr w14:paraId="098678A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42" w:type="dxa"/>
            <w:tcBorders>
              <w:left w:val="single" w:color="auto" w:sz="4" w:space="0"/>
            </w:tcBorders>
            <w:vAlign w:val="center"/>
          </w:tcPr>
          <w:p w14:paraId="7C2C8A6F">
            <w:pPr>
              <w:jc w:val="center"/>
              <w:rPr>
                <w:rFonts w:hint="default" w:ascii="宋体" w:hAnsi="宋体" w:eastAsia="宋体"/>
                <w:sz w:val="24"/>
                <w:szCs w:val="24"/>
                <w:lang w:val="en-US" w:eastAsia="zh-CN"/>
              </w:rPr>
            </w:pPr>
            <w:r>
              <w:rPr>
                <w:rFonts w:hint="eastAsia" w:ascii="宋体" w:hAnsi="宋体"/>
                <w:sz w:val="24"/>
                <w:szCs w:val="24"/>
                <w:lang w:val="en-US" w:eastAsia="zh-CN"/>
              </w:rPr>
              <w:t>15</w:t>
            </w:r>
          </w:p>
        </w:tc>
        <w:tc>
          <w:tcPr>
            <w:tcW w:w="2577" w:type="dxa"/>
            <w:vAlign w:val="center"/>
          </w:tcPr>
          <w:p w14:paraId="348714AB">
            <w:pPr>
              <w:keepNext w:val="0"/>
              <w:keepLines w:val="0"/>
              <w:widowControl/>
              <w:suppressLineNumbers w:val="0"/>
              <w:jc w:val="left"/>
            </w:pPr>
            <w:r>
              <w:rPr>
                <w:rFonts w:hint="eastAsia" w:ascii="宋体" w:hAnsi="宋体" w:eastAsia="宋体" w:cs="宋体"/>
                <w:color w:val="000000"/>
                <w:kern w:val="0"/>
                <w:sz w:val="24"/>
                <w:szCs w:val="24"/>
                <w:lang w:val="en-US" w:eastAsia="zh-CN" w:bidi="ar"/>
              </w:rPr>
              <w:t>投标文件的提交</w:t>
            </w:r>
          </w:p>
          <w:p w14:paraId="3A28C34D">
            <w:pPr>
              <w:jc w:val="center"/>
              <w:rPr>
                <w:rFonts w:hint="eastAsia" w:ascii="宋体" w:hAnsi="宋体"/>
                <w:sz w:val="24"/>
                <w:szCs w:val="24"/>
              </w:rPr>
            </w:pPr>
          </w:p>
        </w:tc>
        <w:tc>
          <w:tcPr>
            <w:tcW w:w="5984" w:type="dxa"/>
            <w:tcBorders>
              <w:right w:val="single" w:color="auto" w:sz="4" w:space="0"/>
            </w:tcBorders>
            <w:vAlign w:val="center"/>
          </w:tcPr>
          <w:p w14:paraId="1C32FF84">
            <w:pPr>
              <w:spacing w:line="360" w:lineRule="auto"/>
              <w:rPr>
                <w:rFonts w:hint="eastAsia" w:ascii="宋体" w:hAnsi="宋体"/>
                <w:sz w:val="24"/>
                <w:lang w:val="en-US" w:eastAsia="zh-CN"/>
              </w:rPr>
            </w:pPr>
            <w:r>
              <w:rPr>
                <w:rFonts w:hint="eastAsia" w:ascii="宋体" w:hAnsi="宋体"/>
                <w:sz w:val="24"/>
                <w:lang w:val="en-US" w:eastAsia="zh-CN"/>
              </w:rPr>
              <w:t xml:space="preserve">提交投标文件截止时间前，将电子投标文件（wenc 格式） </w:t>
            </w:r>
          </w:p>
          <w:p w14:paraId="5BBBC7E1">
            <w:pPr>
              <w:spacing w:line="360" w:lineRule="auto"/>
              <w:rPr>
                <w:rFonts w:hint="eastAsia" w:ascii="宋体" w:hAnsi="宋体"/>
                <w:sz w:val="24"/>
                <w:lang w:val="en-US" w:eastAsia="zh-CN"/>
              </w:rPr>
            </w:pPr>
            <w:r>
              <w:rPr>
                <w:rFonts w:hint="eastAsia" w:ascii="宋体" w:hAnsi="宋体"/>
                <w:sz w:val="24"/>
                <w:lang w:val="en-US" w:eastAsia="zh-CN"/>
              </w:rPr>
              <w:t>上传至海南省政府采购电子化交易管理系统(新)（www.ccgp-hainan.gov.cn）。</w:t>
            </w:r>
          </w:p>
        </w:tc>
      </w:tr>
      <w:tr w14:paraId="6E3932F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42" w:type="dxa"/>
            <w:tcBorders>
              <w:left w:val="single" w:color="auto" w:sz="4" w:space="0"/>
            </w:tcBorders>
            <w:vAlign w:val="center"/>
          </w:tcPr>
          <w:p w14:paraId="0CCAE3A4">
            <w:pPr>
              <w:jc w:val="center"/>
              <w:rPr>
                <w:rFonts w:hint="default" w:ascii="宋体" w:hAnsi="宋体"/>
                <w:sz w:val="24"/>
                <w:szCs w:val="24"/>
                <w:lang w:val="en-US" w:eastAsia="zh-CN"/>
              </w:rPr>
            </w:pPr>
            <w:r>
              <w:rPr>
                <w:rFonts w:hint="eastAsia" w:ascii="宋体" w:hAnsi="宋体"/>
                <w:sz w:val="24"/>
                <w:szCs w:val="24"/>
                <w:lang w:val="en-US" w:eastAsia="zh-CN"/>
              </w:rPr>
              <w:t>16</w:t>
            </w:r>
          </w:p>
        </w:tc>
        <w:tc>
          <w:tcPr>
            <w:tcW w:w="2577" w:type="dxa"/>
            <w:vAlign w:val="center"/>
          </w:tcPr>
          <w:p w14:paraId="519D2001">
            <w:pPr>
              <w:spacing w:line="276" w:lineRule="auto"/>
              <w:jc w:val="center"/>
              <w:rPr>
                <w:rFonts w:hint="eastAsia" w:ascii="宋体" w:hAnsi="宋体"/>
                <w:sz w:val="24"/>
                <w:szCs w:val="24"/>
              </w:rPr>
            </w:pPr>
            <w:r>
              <w:rPr>
                <w:rFonts w:hint="eastAsia" w:ascii="宋体" w:hAnsi="宋体"/>
                <w:sz w:val="24"/>
                <w:szCs w:val="24"/>
                <w:lang w:val="en-US" w:eastAsia="zh-CN"/>
              </w:rPr>
              <w:t xml:space="preserve">签字和(或)盖章要 </w:t>
            </w:r>
          </w:p>
          <w:p w14:paraId="45093722">
            <w:pPr>
              <w:spacing w:line="276" w:lineRule="auto"/>
              <w:jc w:val="center"/>
              <w:rPr>
                <w:rFonts w:hint="eastAsia" w:ascii="宋体" w:hAnsi="宋体"/>
                <w:sz w:val="24"/>
                <w:szCs w:val="24"/>
              </w:rPr>
            </w:pPr>
            <w:r>
              <w:rPr>
                <w:rFonts w:hint="eastAsia" w:ascii="宋体" w:hAnsi="宋体"/>
                <w:sz w:val="24"/>
                <w:szCs w:val="24"/>
                <w:lang w:val="en-US" w:eastAsia="zh-CN"/>
              </w:rPr>
              <w:t xml:space="preserve">求 </w:t>
            </w:r>
          </w:p>
          <w:p w14:paraId="5E35B8B3">
            <w:pPr>
              <w:spacing w:line="276" w:lineRule="auto"/>
              <w:jc w:val="center"/>
              <w:rPr>
                <w:rFonts w:hint="eastAsia" w:ascii="宋体" w:hAnsi="宋体"/>
                <w:sz w:val="24"/>
                <w:szCs w:val="24"/>
              </w:rPr>
            </w:pPr>
          </w:p>
        </w:tc>
        <w:tc>
          <w:tcPr>
            <w:tcW w:w="5984" w:type="dxa"/>
            <w:tcBorders>
              <w:right w:val="single" w:color="auto" w:sz="4" w:space="0"/>
            </w:tcBorders>
            <w:vAlign w:val="center"/>
          </w:tcPr>
          <w:p w14:paraId="0D6C2BE8">
            <w:pPr>
              <w:spacing w:line="360" w:lineRule="auto"/>
              <w:rPr>
                <w:rFonts w:hint="eastAsia" w:ascii="宋体" w:hAnsi="宋体"/>
                <w:sz w:val="24"/>
                <w:szCs w:val="24"/>
                <w:lang w:val="en-US" w:eastAsia="zh-CN"/>
              </w:rPr>
            </w:pPr>
            <w:r>
              <w:rPr>
                <w:rFonts w:hint="eastAsia" w:ascii="宋体" w:hAnsi="宋体"/>
                <w:sz w:val="24"/>
                <w:szCs w:val="24"/>
                <w:lang w:val="en-US" w:eastAsia="zh-CN"/>
              </w:rPr>
              <w:t xml:space="preserve">招标文件中明确投标文件中需签字和盖章的地方应按要求进行电子签字或盖上电子章。 </w:t>
            </w:r>
          </w:p>
          <w:p w14:paraId="7A7FF612">
            <w:pPr>
              <w:spacing w:line="360" w:lineRule="auto"/>
              <w:rPr>
                <w:rFonts w:hint="eastAsia" w:ascii="宋体" w:hAnsi="宋体"/>
                <w:sz w:val="24"/>
                <w:szCs w:val="24"/>
                <w:lang w:val="en-US" w:eastAsia="zh-CN"/>
              </w:rPr>
            </w:pPr>
            <w:r>
              <w:rPr>
                <w:rFonts w:hint="eastAsia" w:ascii="宋体" w:hAnsi="宋体"/>
                <w:sz w:val="24"/>
                <w:szCs w:val="24"/>
                <w:lang w:val="en-US" w:eastAsia="zh-CN"/>
              </w:rPr>
              <w:t xml:space="preserve">投标函及投标函附录应在规定位置加盖投标单位及其法人或授权委托人电子签字或盖章（以联合体名义进行投标的仅需加盖牵头单位的电子签章） </w:t>
            </w:r>
          </w:p>
          <w:p w14:paraId="559F43B1">
            <w:pPr>
              <w:spacing w:line="360" w:lineRule="auto"/>
              <w:rPr>
                <w:rFonts w:hint="eastAsia" w:ascii="宋体" w:hAnsi="宋体"/>
                <w:sz w:val="24"/>
                <w:szCs w:val="24"/>
                <w:lang w:val="en-US" w:eastAsia="zh-CN"/>
              </w:rPr>
            </w:pPr>
            <w:r>
              <w:rPr>
                <w:rFonts w:hint="eastAsia" w:ascii="宋体" w:hAnsi="宋体"/>
                <w:sz w:val="24"/>
                <w:szCs w:val="24"/>
                <w:lang w:val="en-US" w:eastAsia="zh-CN"/>
              </w:rPr>
              <w:t xml:space="preserve">电子签字或盖章应使用对应使用人或单位的CA数字证书加盖，若CA数字证书信息与投标单位名称或其法人或授权委托人不符否决投标） </w:t>
            </w:r>
          </w:p>
          <w:p w14:paraId="28F3D15C">
            <w:pPr>
              <w:spacing w:line="360" w:lineRule="auto"/>
              <w:rPr>
                <w:rFonts w:hint="eastAsia" w:ascii="宋体" w:hAnsi="宋体"/>
                <w:sz w:val="24"/>
                <w:lang w:val="en-US" w:eastAsia="zh-CN"/>
              </w:rPr>
            </w:pPr>
            <w:r>
              <w:rPr>
                <w:rFonts w:hint="eastAsia" w:ascii="宋体" w:hAnsi="宋体"/>
                <w:sz w:val="24"/>
                <w:szCs w:val="24"/>
                <w:lang w:val="en-US" w:eastAsia="zh-CN"/>
              </w:rPr>
              <w:t xml:space="preserve">注：请投标人在使用电子投标工具完成盖章后仔细核对投标文件中的“投标函盖章集合”及“投标函附录盖章集合”的准确性。 </w:t>
            </w:r>
          </w:p>
        </w:tc>
      </w:tr>
      <w:tr w14:paraId="702C44D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jc w:val="center"/>
        </w:trPr>
        <w:tc>
          <w:tcPr>
            <w:tcW w:w="1142" w:type="dxa"/>
            <w:tcBorders>
              <w:left w:val="single" w:color="auto" w:sz="4" w:space="0"/>
            </w:tcBorders>
            <w:vAlign w:val="center"/>
          </w:tcPr>
          <w:p w14:paraId="19AD9899">
            <w:pPr>
              <w:spacing w:line="280" w:lineRule="exact"/>
              <w:jc w:val="center"/>
              <w:rPr>
                <w:rFonts w:hint="default" w:ascii="宋体" w:hAnsi="宋体" w:eastAsia="宋体"/>
                <w:sz w:val="24"/>
                <w:szCs w:val="24"/>
                <w:lang w:val="en-US" w:eastAsia="zh-CN"/>
              </w:rPr>
            </w:pPr>
            <w:r>
              <w:rPr>
                <w:rFonts w:hint="eastAsia" w:ascii="宋体" w:hAnsi="宋体"/>
                <w:sz w:val="24"/>
                <w:szCs w:val="24"/>
                <w:lang w:val="en-US" w:eastAsia="zh-CN"/>
              </w:rPr>
              <w:t>17</w:t>
            </w:r>
          </w:p>
        </w:tc>
        <w:tc>
          <w:tcPr>
            <w:tcW w:w="2577" w:type="dxa"/>
            <w:vAlign w:val="center"/>
          </w:tcPr>
          <w:p w14:paraId="5A189AD7">
            <w:pPr>
              <w:spacing w:line="360" w:lineRule="auto"/>
              <w:jc w:val="center"/>
              <w:rPr>
                <w:rFonts w:ascii="宋体" w:hAnsi="宋体"/>
                <w:sz w:val="24"/>
                <w:szCs w:val="24"/>
              </w:rPr>
            </w:pPr>
            <w:r>
              <w:rPr>
                <w:rFonts w:hint="eastAsia" w:ascii="宋体" w:hAnsi="宋体"/>
                <w:sz w:val="24"/>
                <w:szCs w:val="24"/>
              </w:rPr>
              <w:t>评标委员会的组建</w:t>
            </w:r>
          </w:p>
        </w:tc>
        <w:tc>
          <w:tcPr>
            <w:tcW w:w="5984" w:type="dxa"/>
            <w:tcBorders>
              <w:right w:val="single" w:color="auto" w:sz="4" w:space="0"/>
            </w:tcBorders>
            <w:vAlign w:val="center"/>
          </w:tcPr>
          <w:p w14:paraId="372622A7">
            <w:pPr>
              <w:spacing w:line="360" w:lineRule="auto"/>
              <w:rPr>
                <w:rFonts w:ascii="宋体" w:hAnsi="宋体"/>
                <w:sz w:val="24"/>
                <w:szCs w:val="24"/>
              </w:rPr>
            </w:pPr>
            <w:r>
              <w:rPr>
                <w:rFonts w:ascii="宋体" w:hAnsi="宋体"/>
                <w:sz w:val="24"/>
                <w:szCs w:val="24"/>
              </w:rPr>
              <w:t>评标委员会</w:t>
            </w:r>
            <w:r>
              <w:rPr>
                <w:rFonts w:hint="eastAsia" w:ascii="宋体" w:hAnsi="宋体"/>
                <w:sz w:val="24"/>
                <w:szCs w:val="24"/>
              </w:rPr>
              <w:t>构成：</w:t>
            </w:r>
            <w:r>
              <w:rPr>
                <w:rFonts w:ascii="宋体" w:hAnsi="宋体"/>
                <w:sz w:val="24"/>
                <w:szCs w:val="24"/>
              </w:rPr>
              <w:t>5人；招标人委托代表</w:t>
            </w:r>
            <w:r>
              <w:rPr>
                <w:rFonts w:hint="eastAsia" w:ascii="宋体" w:hAnsi="宋体"/>
                <w:color w:val="auto"/>
                <w:sz w:val="24"/>
                <w:szCs w:val="24"/>
                <w:lang w:val="en-US" w:eastAsia="zh-CN"/>
              </w:rPr>
              <w:t>1</w:t>
            </w:r>
            <w:r>
              <w:rPr>
                <w:rFonts w:ascii="宋体" w:hAnsi="宋体"/>
                <w:sz w:val="24"/>
                <w:szCs w:val="24"/>
              </w:rPr>
              <w:t>人，专家</w:t>
            </w:r>
            <w:r>
              <w:rPr>
                <w:rFonts w:hint="eastAsia" w:ascii="宋体" w:hAnsi="宋体"/>
                <w:sz w:val="24"/>
                <w:szCs w:val="24"/>
                <w:lang w:val="en-US" w:eastAsia="zh-CN"/>
              </w:rPr>
              <w:t>4</w:t>
            </w:r>
            <w:r>
              <w:rPr>
                <w:rFonts w:ascii="宋体" w:hAnsi="宋体"/>
                <w:sz w:val="24"/>
                <w:szCs w:val="24"/>
              </w:rPr>
              <w:t>人；</w:t>
            </w:r>
          </w:p>
          <w:p w14:paraId="4CF6CE9B">
            <w:pPr>
              <w:spacing w:line="360" w:lineRule="auto"/>
              <w:rPr>
                <w:rFonts w:hint="eastAsia" w:ascii="宋体" w:hAnsi="宋体"/>
                <w:sz w:val="24"/>
                <w:szCs w:val="24"/>
              </w:rPr>
            </w:pPr>
            <w:r>
              <w:rPr>
                <w:rFonts w:hint="eastAsia" w:ascii="宋体" w:hAnsi="宋体"/>
                <w:sz w:val="24"/>
                <w:szCs w:val="24"/>
              </w:rPr>
              <w:t>评标专家确定方式：</w:t>
            </w:r>
          </w:p>
          <w:p w14:paraId="56ABE441">
            <w:pPr>
              <w:spacing w:line="360" w:lineRule="auto"/>
              <w:rPr>
                <w:rFonts w:hint="eastAsia" w:ascii="宋体" w:hAnsi="宋体"/>
                <w:sz w:val="24"/>
                <w:szCs w:val="24"/>
              </w:rPr>
            </w:pPr>
            <w:r>
              <w:rPr>
                <w:rFonts w:hint="eastAsia" w:ascii="宋体" w:hAnsi="宋体"/>
                <w:sz w:val="24"/>
                <w:szCs w:val="24"/>
                <w:lang w:val="en-US" w:eastAsia="zh-CN"/>
              </w:rPr>
              <w:t xml:space="preserve">（1）专家成员从 海南省综合评标专家库 中随机抽取； </w:t>
            </w:r>
          </w:p>
          <w:p w14:paraId="46C0655C">
            <w:pPr>
              <w:spacing w:line="360" w:lineRule="auto"/>
              <w:rPr>
                <w:rFonts w:ascii="宋体" w:hAnsi="宋体"/>
                <w:sz w:val="24"/>
                <w:szCs w:val="24"/>
              </w:rPr>
            </w:pPr>
            <w:r>
              <w:rPr>
                <w:rFonts w:hint="eastAsia" w:ascii="宋体" w:hAnsi="宋体"/>
                <w:sz w:val="24"/>
                <w:szCs w:val="24"/>
                <w:lang w:val="en-US" w:eastAsia="zh-CN"/>
              </w:rPr>
              <w:t>（2）技术、经济等方面专家不得少于三分之二；</w:t>
            </w:r>
          </w:p>
        </w:tc>
      </w:tr>
      <w:tr w14:paraId="1691811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142" w:type="dxa"/>
            <w:tcBorders>
              <w:left w:val="single" w:color="auto" w:sz="4" w:space="0"/>
            </w:tcBorders>
            <w:vAlign w:val="center"/>
          </w:tcPr>
          <w:p w14:paraId="1D357537">
            <w:pPr>
              <w:spacing w:line="280" w:lineRule="exact"/>
              <w:jc w:val="center"/>
              <w:rPr>
                <w:rFonts w:hint="default" w:ascii="宋体" w:hAnsi="宋体"/>
                <w:sz w:val="24"/>
                <w:szCs w:val="24"/>
                <w:lang w:val="en-US" w:eastAsia="zh-CN"/>
              </w:rPr>
            </w:pPr>
            <w:r>
              <w:rPr>
                <w:rFonts w:hint="eastAsia" w:ascii="宋体" w:hAnsi="宋体"/>
                <w:sz w:val="24"/>
                <w:szCs w:val="24"/>
                <w:lang w:val="en-US" w:eastAsia="zh-CN"/>
              </w:rPr>
              <w:t>18</w:t>
            </w:r>
          </w:p>
        </w:tc>
        <w:tc>
          <w:tcPr>
            <w:tcW w:w="2577" w:type="dxa"/>
            <w:vAlign w:val="center"/>
          </w:tcPr>
          <w:p w14:paraId="307380EA">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联合体投标</w:t>
            </w:r>
          </w:p>
        </w:tc>
        <w:tc>
          <w:tcPr>
            <w:tcW w:w="5984" w:type="dxa"/>
            <w:tcBorders>
              <w:right w:val="single" w:color="auto" w:sz="4" w:space="0"/>
            </w:tcBorders>
            <w:vAlign w:val="center"/>
          </w:tcPr>
          <w:p w14:paraId="12F60209">
            <w:pPr>
              <w:spacing w:line="360" w:lineRule="auto"/>
              <w:rPr>
                <w:rFonts w:hint="default" w:ascii="宋体" w:hAnsi="宋体"/>
                <w:sz w:val="24"/>
                <w:szCs w:val="24"/>
                <w:lang w:val="en-US" w:eastAsia="zh-CN"/>
              </w:rPr>
            </w:pPr>
            <w:r>
              <w:rPr>
                <w:rFonts w:hint="eastAsia" w:ascii="宋体" w:hAnsi="宋体"/>
                <w:sz w:val="24"/>
                <w:szCs w:val="24"/>
                <w:lang w:val="en-US" w:eastAsia="zh-CN"/>
              </w:rPr>
              <w:t>本项目不接受联合体投标</w:t>
            </w:r>
          </w:p>
        </w:tc>
      </w:tr>
      <w:tr w14:paraId="267E41F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42" w:type="dxa"/>
            <w:tcBorders>
              <w:left w:val="single" w:color="auto" w:sz="4" w:space="0"/>
            </w:tcBorders>
            <w:vAlign w:val="center"/>
          </w:tcPr>
          <w:p w14:paraId="4AE4ECE9">
            <w:pPr>
              <w:jc w:val="center"/>
              <w:rPr>
                <w:rFonts w:hint="default" w:ascii="宋体" w:hAnsi="宋体" w:eastAsia="宋体"/>
                <w:sz w:val="24"/>
                <w:szCs w:val="24"/>
                <w:lang w:val="en-US" w:eastAsia="zh-CN"/>
              </w:rPr>
            </w:pPr>
            <w:r>
              <w:rPr>
                <w:rFonts w:hint="eastAsia" w:ascii="宋体" w:hAnsi="宋体"/>
                <w:sz w:val="24"/>
                <w:szCs w:val="24"/>
                <w:lang w:val="en-US" w:eastAsia="zh-CN"/>
              </w:rPr>
              <w:t>19</w:t>
            </w:r>
          </w:p>
        </w:tc>
        <w:tc>
          <w:tcPr>
            <w:tcW w:w="2577" w:type="dxa"/>
            <w:tcBorders>
              <w:bottom w:val="single" w:color="auto" w:sz="4" w:space="0"/>
            </w:tcBorders>
            <w:vAlign w:val="center"/>
          </w:tcPr>
          <w:p w14:paraId="229814B3">
            <w:pPr>
              <w:spacing w:line="360" w:lineRule="auto"/>
              <w:jc w:val="left"/>
              <w:rPr>
                <w:rFonts w:ascii="宋体" w:hAnsi="宋体"/>
                <w:sz w:val="24"/>
                <w:szCs w:val="24"/>
              </w:rPr>
            </w:pPr>
            <w:r>
              <w:rPr>
                <w:rFonts w:hint="eastAsia" w:ascii="宋体" w:hAnsi="宋体"/>
                <w:sz w:val="24"/>
                <w:szCs w:val="24"/>
              </w:rPr>
              <w:t>是否授权评标委员会确定中标人</w:t>
            </w:r>
          </w:p>
        </w:tc>
        <w:tc>
          <w:tcPr>
            <w:tcW w:w="5984" w:type="dxa"/>
            <w:tcBorders>
              <w:bottom w:val="single" w:color="auto" w:sz="4" w:space="0"/>
              <w:right w:val="single" w:color="auto" w:sz="4" w:space="0"/>
            </w:tcBorders>
            <w:vAlign w:val="center"/>
          </w:tcPr>
          <w:p w14:paraId="131D650F">
            <w:pPr>
              <w:spacing w:line="360" w:lineRule="auto"/>
              <w:rPr>
                <w:rFonts w:ascii="宋体" w:hAnsi="宋体"/>
                <w:sz w:val="24"/>
                <w:szCs w:val="24"/>
              </w:rPr>
            </w:pPr>
            <w:r>
              <w:rPr>
                <w:rFonts w:hint="eastAsia" w:ascii="宋体" w:hAnsi="宋体"/>
                <w:sz w:val="24"/>
                <w:szCs w:val="24"/>
              </w:rPr>
              <w:t>是，推荐第一、二、三中标候选人</w:t>
            </w:r>
          </w:p>
        </w:tc>
      </w:tr>
      <w:tr w14:paraId="37BE2BC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42" w:type="dxa"/>
            <w:tcBorders>
              <w:left w:val="single" w:color="auto" w:sz="4" w:space="0"/>
            </w:tcBorders>
            <w:vAlign w:val="center"/>
          </w:tcPr>
          <w:p w14:paraId="700A855B">
            <w:pPr>
              <w:jc w:val="center"/>
              <w:rPr>
                <w:rFonts w:hint="default" w:ascii="宋体" w:hAnsi="宋体" w:eastAsia="宋体"/>
                <w:sz w:val="24"/>
                <w:szCs w:val="24"/>
                <w:lang w:val="en-US" w:eastAsia="zh-CN"/>
              </w:rPr>
            </w:pPr>
            <w:r>
              <w:rPr>
                <w:rFonts w:hint="eastAsia" w:ascii="宋体" w:hAnsi="宋体"/>
                <w:sz w:val="24"/>
                <w:szCs w:val="24"/>
                <w:lang w:val="en-US" w:eastAsia="zh-CN"/>
              </w:rPr>
              <w:t>20</w:t>
            </w:r>
          </w:p>
        </w:tc>
        <w:tc>
          <w:tcPr>
            <w:tcW w:w="2577" w:type="dxa"/>
            <w:tcBorders>
              <w:bottom w:val="single" w:color="auto" w:sz="4" w:space="0"/>
            </w:tcBorders>
            <w:vAlign w:val="center"/>
          </w:tcPr>
          <w:p w14:paraId="21192620">
            <w:pPr>
              <w:spacing w:line="360" w:lineRule="auto"/>
              <w:ind w:firstLine="480" w:firstLineChars="200"/>
              <w:jc w:val="left"/>
              <w:rPr>
                <w:rFonts w:ascii="宋体" w:hAnsi="宋体"/>
                <w:sz w:val="24"/>
                <w:szCs w:val="24"/>
              </w:rPr>
            </w:pPr>
            <w:r>
              <w:rPr>
                <w:rFonts w:hint="eastAsia" w:ascii="宋体" w:hAnsi="宋体"/>
                <w:sz w:val="24"/>
                <w:szCs w:val="24"/>
              </w:rPr>
              <w:t>合同授予</w:t>
            </w:r>
          </w:p>
        </w:tc>
        <w:tc>
          <w:tcPr>
            <w:tcW w:w="5984" w:type="dxa"/>
            <w:tcBorders>
              <w:bottom w:val="single" w:color="auto" w:sz="4" w:space="0"/>
              <w:right w:val="single" w:color="auto" w:sz="4" w:space="0"/>
            </w:tcBorders>
            <w:vAlign w:val="center"/>
          </w:tcPr>
          <w:p w14:paraId="55559B6B">
            <w:pPr>
              <w:spacing w:line="360" w:lineRule="auto"/>
              <w:rPr>
                <w:rFonts w:ascii="宋体" w:hAnsi="宋体"/>
                <w:sz w:val="24"/>
                <w:szCs w:val="24"/>
              </w:rPr>
            </w:pPr>
            <w:r>
              <w:rPr>
                <w:rFonts w:hint="eastAsia" w:ascii="宋体" w:hAnsi="宋体"/>
                <w:sz w:val="24"/>
                <w:szCs w:val="24"/>
              </w:rPr>
              <w:t>招标人与第一中标候选人签订项目合同。</w:t>
            </w:r>
          </w:p>
        </w:tc>
      </w:tr>
      <w:tr w14:paraId="7C43989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42" w:type="dxa"/>
            <w:tcBorders>
              <w:left w:val="single" w:color="auto" w:sz="4" w:space="0"/>
            </w:tcBorders>
            <w:vAlign w:val="center"/>
          </w:tcPr>
          <w:p w14:paraId="065A101C">
            <w:pPr>
              <w:jc w:val="center"/>
              <w:rPr>
                <w:rFonts w:hint="default" w:ascii="宋体" w:hAnsi="宋体" w:eastAsia="宋体"/>
                <w:sz w:val="24"/>
                <w:szCs w:val="24"/>
                <w:lang w:val="en-US" w:eastAsia="zh-CN"/>
              </w:rPr>
            </w:pPr>
            <w:r>
              <w:rPr>
                <w:rFonts w:hint="eastAsia" w:ascii="宋体" w:hAnsi="宋体"/>
                <w:sz w:val="24"/>
                <w:szCs w:val="24"/>
                <w:lang w:val="en-US" w:eastAsia="zh-CN"/>
              </w:rPr>
              <w:t>21</w:t>
            </w:r>
          </w:p>
        </w:tc>
        <w:tc>
          <w:tcPr>
            <w:tcW w:w="2577" w:type="dxa"/>
            <w:tcBorders>
              <w:bottom w:val="single" w:color="auto" w:sz="4" w:space="0"/>
            </w:tcBorders>
            <w:vAlign w:val="center"/>
          </w:tcPr>
          <w:p w14:paraId="4926189E">
            <w:pPr>
              <w:spacing w:line="360" w:lineRule="auto"/>
              <w:ind w:firstLine="480" w:firstLineChars="200"/>
              <w:jc w:val="left"/>
              <w:rPr>
                <w:rFonts w:ascii="宋体" w:hAnsi="宋体"/>
                <w:sz w:val="24"/>
                <w:szCs w:val="24"/>
              </w:rPr>
            </w:pPr>
            <w:r>
              <w:rPr>
                <w:rFonts w:hint="eastAsia" w:ascii="宋体" w:hAnsi="宋体"/>
                <w:sz w:val="24"/>
                <w:szCs w:val="24"/>
              </w:rPr>
              <w:t>付款条件</w:t>
            </w:r>
          </w:p>
        </w:tc>
        <w:tc>
          <w:tcPr>
            <w:tcW w:w="5984" w:type="dxa"/>
            <w:tcBorders>
              <w:bottom w:val="single" w:color="auto" w:sz="4" w:space="0"/>
              <w:right w:val="single" w:color="auto" w:sz="4" w:space="0"/>
            </w:tcBorders>
            <w:vAlign w:val="center"/>
          </w:tcPr>
          <w:p w14:paraId="41014F67">
            <w:pPr>
              <w:spacing w:line="360" w:lineRule="auto"/>
              <w:rPr>
                <w:rFonts w:ascii="宋体" w:hAnsi="宋体"/>
                <w:sz w:val="24"/>
                <w:szCs w:val="24"/>
              </w:rPr>
            </w:pPr>
            <w:r>
              <w:rPr>
                <w:rFonts w:hint="eastAsia" w:ascii="宋体" w:hAnsi="宋体"/>
                <w:sz w:val="24"/>
                <w:szCs w:val="22"/>
              </w:rPr>
              <w:t>具体内容详见合同付款条款。</w:t>
            </w:r>
          </w:p>
        </w:tc>
      </w:tr>
      <w:tr w14:paraId="1CE6950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42" w:type="dxa"/>
            <w:vMerge w:val="restart"/>
            <w:tcBorders>
              <w:left w:val="single" w:color="auto" w:sz="4" w:space="0"/>
            </w:tcBorders>
            <w:vAlign w:val="center"/>
          </w:tcPr>
          <w:p w14:paraId="4EA0E0B8">
            <w:pPr>
              <w:jc w:val="center"/>
              <w:rPr>
                <w:rFonts w:hint="default" w:ascii="宋体" w:hAnsi="宋体" w:eastAsia="宋体"/>
                <w:sz w:val="24"/>
                <w:szCs w:val="24"/>
                <w:lang w:val="en-US" w:eastAsia="zh-CN"/>
              </w:rPr>
            </w:pPr>
            <w:r>
              <w:rPr>
                <w:rFonts w:hint="eastAsia" w:ascii="宋体" w:hAnsi="宋体"/>
                <w:sz w:val="24"/>
                <w:szCs w:val="24"/>
                <w:lang w:val="en-US" w:eastAsia="zh-CN"/>
              </w:rPr>
              <w:t>22</w:t>
            </w:r>
          </w:p>
        </w:tc>
        <w:tc>
          <w:tcPr>
            <w:tcW w:w="2577" w:type="dxa"/>
            <w:shd w:val="clear" w:color="auto" w:fill="auto"/>
            <w:vAlign w:val="center"/>
          </w:tcPr>
          <w:p w14:paraId="59E6AD6F">
            <w:pPr>
              <w:spacing w:line="276" w:lineRule="auto"/>
              <w:jc w:val="center"/>
              <w:rPr>
                <w:rFonts w:ascii="宋体" w:hAnsi="宋体"/>
                <w:sz w:val="24"/>
                <w:szCs w:val="24"/>
              </w:rPr>
            </w:pPr>
            <w:r>
              <w:rPr>
                <w:rFonts w:hint="eastAsia" w:ascii="宋体" w:hAnsi="宋体"/>
                <w:sz w:val="24"/>
                <w:szCs w:val="24"/>
              </w:rPr>
              <w:t>履约担保形式</w:t>
            </w:r>
          </w:p>
        </w:tc>
        <w:tc>
          <w:tcPr>
            <w:tcW w:w="5984" w:type="dxa"/>
            <w:tcBorders>
              <w:bottom w:val="single" w:color="auto" w:sz="4" w:space="0"/>
              <w:right w:val="single" w:color="auto" w:sz="4" w:space="0"/>
            </w:tcBorders>
            <w:shd w:val="clear" w:color="auto" w:fill="auto"/>
            <w:vAlign w:val="center"/>
          </w:tcPr>
          <w:p w14:paraId="23D21080">
            <w:pPr>
              <w:spacing w:line="360" w:lineRule="auto"/>
              <w:rPr>
                <w:rFonts w:ascii="宋体" w:hAnsi="宋体"/>
                <w:sz w:val="24"/>
                <w:szCs w:val="24"/>
              </w:rPr>
            </w:pPr>
            <w:r>
              <w:rPr>
                <w:rFonts w:hint="eastAsia" w:ascii="宋体" w:hAnsi="宋体"/>
                <w:sz w:val="24"/>
                <w:szCs w:val="24"/>
              </w:rPr>
              <w:t>银行转账或保函形式</w:t>
            </w:r>
          </w:p>
        </w:tc>
      </w:tr>
      <w:tr w14:paraId="483AFB4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42" w:type="dxa"/>
            <w:vMerge w:val="continue"/>
            <w:tcBorders>
              <w:left w:val="single" w:color="auto" w:sz="4" w:space="0"/>
            </w:tcBorders>
            <w:vAlign w:val="center"/>
          </w:tcPr>
          <w:p w14:paraId="38BFD374">
            <w:pPr>
              <w:jc w:val="center"/>
              <w:rPr>
                <w:rFonts w:ascii="宋体" w:hAnsi="宋体"/>
                <w:sz w:val="24"/>
                <w:szCs w:val="24"/>
              </w:rPr>
            </w:pPr>
          </w:p>
        </w:tc>
        <w:tc>
          <w:tcPr>
            <w:tcW w:w="2577" w:type="dxa"/>
            <w:tcBorders>
              <w:bottom w:val="single" w:color="auto" w:sz="4" w:space="0"/>
            </w:tcBorders>
            <w:shd w:val="clear" w:color="auto" w:fill="auto"/>
            <w:vAlign w:val="center"/>
          </w:tcPr>
          <w:p w14:paraId="2D95AA5E">
            <w:pPr>
              <w:spacing w:line="276" w:lineRule="auto"/>
              <w:jc w:val="center"/>
              <w:rPr>
                <w:rFonts w:ascii="宋体" w:hAnsi="宋体"/>
                <w:sz w:val="24"/>
                <w:szCs w:val="24"/>
              </w:rPr>
            </w:pPr>
            <w:r>
              <w:rPr>
                <w:rFonts w:hint="eastAsia" w:ascii="宋体" w:hAnsi="宋体"/>
                <w:sz w:val="24"/>
                <w:szCs w:val="24"/>
              </w:rPr>
              <w:t>履约担保金额</w:t>
            </w:r>
          </w:p>
        </w:tc>
        <w:tc>
          <w:tcPr>
            <w:tcW w:w="5984" w:type="dxa"/>
            <w:tcBorders>
              <w:bottom w:val="single" w:color="auto" w:sz="4" w:space="0"/>
              <w:right w:val="single" w:color="auto" w:sz="4" w:space="0"/>
            </w:tcBorders>
            <w:shd w:val="clear" w:color="auto" w:fill="auto"/>
            <w:vAlign w:val="center"/>
          </w:tcPr>
          <w:p w14:paraId="7778FB49">
            <w:pPr>
              <w:spacing w:line="360" w:lineRule="auto"/>
              <w:rPr>
                <w:rFonts w:hint="default" w:ascii="宋体" w:hAnsi="宋体" w:eastAsia="宋体"/>
                <w:sz w:val="24"/>
                <w:szCs w:val="24"/>
                <w:lang w:val="en-US" w:eastAsia="zh-CN"/>
              </w:rPr>
            </w:pPr>
            <w:r>
              <w:rPr>
                <w:rFonts w:hint="eastAsia" w:ascii="宋体" w:hAnsi="宋体"/>
                <w:sz w:val="24"/>
                <w:szCs w:val="24"/>
                <w:lang w:val="en-US" w:eastAsia="zh-CN"/>
              </w:rPr>
              <w:t>签订合同价的10%</w:t>
            </w:r>
          </w:p>
        </w:tc>
      </w:tr>
      <w:tr w14:paraId="62CA00A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142" w:type="dxa"/>
            <w:tcBorders>
              <w:left w:val="single" w:color="auto" w:sz="4" w:space="0"/>
              <w:right w:val="single" w:color="auto" w:sz="4" w:space="0"/>
            </w:tcBorders>
            <w:vAlign w:val="center"/>
          </w:tcPr>
          <w:p w14:paraId="437014C9">
            <w:pPr>
              <w:jc w:val="center"/>
              <w:rPr>
                <w:rFonts w:hint="default" w:ascii="宋体" w:hAnsi="宋体" w:eastAsia="宋体"/>
                <w:sz w:val="24"/>
                <w:szCs w:val="24"/>
                <w:lang w:val="en-US" w:eastAsia="zh-CN"/>
              </w:rPr>
            </w:pPr>
            <w:r>
              <w:rPr>
                <w:rFonts w:hint="eastAsia" w:ascii="宋体" w:hAnsi="宋体"/>
                <w:sz w:val="24"/>
                <w:szCs w:val="24"/>
                <w:lang w:val="en-US" w:eastAsia="zh-CN"/>
              </w:rPr>
              <w:t>23</w:t>
            </w:r>
          </w:p>
        </w:tc>
        <w:tc>
          <w:tcPr>
            <w:tcW w:w="8561" w:type="dxa"/>
            <w:gridSpan w:val="2"/>
            <w:tcBorders>
              <w:top w:val="single" w:color="auto" w:sz="4" w:space="0"/>
              <w:left w:val="single" w:color="auto" w:sz="4" w:space="0"/>
              <w:bottom w:val="single" w:color="auto" w:sz="4" w:space="0"/>
              <w:right w:val="single" w:color="auto" w:sz="4" w:space="0"/>
            </w:tcBorders>
            <w:vAlign w:val="center"/>
          </w:tcPr>
          <w:p w14:paraId="08F24A66">
            <w:pPr>
              <w:spacing w:line="320" w:lineRule="exact"/>
              <w:jc w:val="center"/>
              <w:rPr>
                <w:rFonts w:ascii="宋体" w:hAnsi="宋体"/>
                <w:sz w:val="24"/>
                <w:szCs w:val="24"/>
              </w:rPr>
            </w:pPr>
            <w:r>
              <w:rPr>
                <w:rFonts w:hint="eastAsia" w:ascii="宋体" w:hAnsi="宋体"/>
                <w:sz w:val="24"/>
                <w:szCs w:val="24"/>
              </w:rPr>
              <w:t>需要补充的其他内容</w:t>
            </w:r>
          </w:p>
        </w:tc>
      </w:tr>
      <w:tr w14:paraId="0B43FF8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1142" w:type="dxa"/>
            <w:tcBorders>
              <w:left w:val="single" w:color="auto" w:sz="4" w:space="0"/>
            </w:tcBorders>
            <w:vAlign w:val="center"/>
          </w:tcPr>
          <w:p w14:paraId="59DEA56A">
            <w:pPr>
              <w:jc w:val="center"/>
              <w:rPr>
                <w:rFonts w:hint="default" w:ascii="宋体" w:hAnsi="宋体" w:eastAsia="宋体"/>
                <w:sz w:val="24"/>
                <w:szCs w:val="24"/>
                <w:lang w:val="en-US" w:eastAsia="zh-CN"/>
              </w:rPr>
            </w:pPr>
            <w:r>
              <w:rPr>
                <w:rFonts w:hint="eastAsia" w:ascii="宋体" w:hAnsi="宋体"/>
                <w:sz w:val="24"/>
                <w:szCs w:val="24"/>
                <w:lang w:val="en-US" w:eastAsia="zh-CN"/>
              </w:rPr>
              <w:t>23.1</w:t>
            </w:r>
          </w:p>
        </w:tc>
        <w:tc>
          <w:tcPr>
            <w:tcW w:w="2577" w:type="dxa"/>
            <w:tcBorders>
              <w:top w:val="single" w:color="auto" w:sz="4" w:space="0"/>
            </w:tcBorders>
            <w:vAlign w:val="center"/>
          </w:tcPr>
          <w:p w14:paraId="7973C70A">
            <w:pPr>
              <w:spacing w:line="320" w:lineRule="exact"/>
              <w:jc w:val="center"/>
              <w:rPr>
                <w:rFonts w:ascii="宋体" w:hAnsi="宋体"/>
                <w:sz w:val="24"/>
                <w:szCs w:val="24"/>
              </w:rPr>
            </w:pPr>
            <w:r>
              <w:rPr>
                <w:rFonts w:hint="eastAsia" w:ascii="宋体" w:hAnsi="宋体"/>
                <w:sz w:val="24"/>
                <w:szCs w:val="24"/>
              </w:rPr>
              <w:t>投标报价</w:t>
            </w:r>
          </w:p>
        </w:tc>
        <w:tc>
          <w:tcPr>
            <w:tcW w:w="5984" w:type="dxa"/>
            <w:tcBorders>
              <w:right w:val="single" w:color="auto" w:sz="4" w:space="0"/>
            </w:tcBorders>
            <w:vAlign w:val="center"/>
          </w:tcPr>
          <w:p w14:paraId="5928708F">
            <w:pPr>
              <w:spacing w:line="360" w:lineRule="auto"/>
              <w:rPr>
                <w:rFonts w:ascii="宋体" w:hAnsi="宋体" w:eastAsiaTheme="minorEastAsia"/>
                <w:sz w:val="24"/>
                <w:szCs w:val="24"/>
              </w:rPr>
            </w:pPr>
            <w:r>
              <w:rPr>
                <w:rFonts w:hint="eastAsia" w:ascii="宋体" w:hAnsi="宋体" w:cs="宋体"/>
                <w:kern w:val="44"/>
                <w:sz w:val="24"/>
              </w:rPr>
              <w:t>招标</w:t>
            </w:r>
            <w:r>
              <w:rPr>
                <w:rFonts w:hint="eastAsia" w:ascii="宋体" w:hAnsi="宋体"/>
                <w:sz w:val="24"/>
              </w:rPr>
              <w:t>控制价：3784</w:t>
            </w:r>
            <w:r>
              <w:rPr>
                <w:rFonts w:hint="eastAsia" w:ascii="宋体" w:hAnsi="宋体"/>
                <w:sz w:val="24"/>
                <w:lang w:val="en-US" w:eastAsia="zh-CN"/>
              </w:rPr>
              <w:t>000.00</w:t>
            </w:r>
            <w:r>
              <w:rPr>
                <w:rFonts w:hint="eastAsia" w:ascii="宋体" w:hAnsi="宋体"/>
                <w:sz w:val="24"/>
              </w:rPr>
              <w:t>元,</w:t>
            </w:r>
            <w:r>
              <w:rPr>
                <w:rFonts w:hint="eastAsia" w:ascii="宋体" w:hAnsi="宋体"/>
                <w:sz w:val="24"/>
                <w:lang w:eastAsia="zh-CN"/>
              </w:rPr>
              <w:t>供应商</w:t>
            </w:r>
            <w:r>
              <w:rPr>
                <w:rFonts w:hint="eastAsia" w:ascii="宋体" w:hAnsi="宋体"/>
                <w:sz w:val="24"/>
              </w:rPr>
              <w:t>报价需小于或等于控制价，超过控制价的报价按无效投标处理。所报单价包含一切应包含的费用（运输、税费、人工费等一切费用），原则上合同有效期内</w:t>
            </w:r>
            <w:r>
              <w:rPr>
                <w:rFonts w:hint="eastAsia" w:ascii="宋体" w:hAnsi="宋体"/>
                <w:sz w:val="24"/>
                <w:lang w:eastAsia="zh-CN"/>
              </w:rPr>
              <w:t>供应商</w:t>
            </w:r>
            <w:r>
              <w:rPr>
                <w:rFonts w:hint="eastAsia" w:ascii="宋体" w:hAnsi="宋体"/>
                <w:sz w:val="24"/>
              </w:rPr>
              <w:t>所报的价格不随市场政策的变动而变动。</w:t>
            </w:r>
          </w:p>
        </w:tc>
      </w:tr>
      <w:tr w14:paraId="1BB8DE2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2" w:type="dxa"/>
            <w:tcBorders>
              <w:left w:val="single" w:color="auto" w:sz="4" w:space="0"/>
            </w:tcBorders>
            <w:vAlign w:val="center"/>
          </w:tcPr>
          <w:p w14:paraId="597EF2AD">
            <w:pPr>
              <w:jc w:val="center"/>
              <w:rPr>
                <w:rFonts w:hint="default" w:ascii="宋体" w:hAnsi="宋体" w:eastAsia="宋体"/>
                <w:sz w:val="24"/>
                <w:szCs w:val="24"/>
                <w:lang w:val="en-US" w:eastAsia="zh-CN"/>
              </w:rPr>
            </w:pPr>
            <w:r>
              <w:rPr>
                <w:rFonts w:hint="eastAsia" w:ascii="宋体" w:hAnsi="宋体"/>
                <w:sz w:val="24"/>
                <w:szCs w:val="24"/>
                <w:lang w:val="en-US" w:eastAsia="zh-CN"/>
              </w:rPr>
              <w:t>23.2</w:t>
            </w:r>
          </w:p>
        </w:tc>
        <w:tc>
          <w:tcPr>
            <w:tcW w:w="2577" w:type="dxa"/>
            <w:vAlign w:val="center"/>
          </w:tcPr>
          <w:p w14:paraId="59BFB329">
            <w:pPr>
              <w:jc w:val="center"/>
              <w:rPr>
                <w:rFonts w:ascii="宋体" w:hAnsi="宋体"/>
                <w:sz w:val="24"/>
                <w:szCs w:val="24"/>
              </w:rPr>
            </w:pPr>
            <w:r>
              <w:rPr>
                <w:rFonts w:hint="eastAsia" w:ascii="宋体" w:hAnsi="宋体"/>
                <w:sz w:val="24"/>
                <w:szCs w:val="24"/>
              </w:rPr>
              <w:t>报价说明</w:t>
            </w:r>
          </w:p>
        </w:tc>
        <w:tc>
          <w:tcPr>
            <w:tcW w:w="5984" w:type="dxa"/>
            <w:tcBorders>
              <w:right w:val="single" w:color="auto" w:sz="4" w:space="0"/>
            </w:tcBorders>
            <w:vAlign w:val="center"/>
          </w:tcPr>
          <w:p w14:paraId="02A0DACE">
            <w:pPr>
              <w:widowControl/>
              <w:spacing w:line="26" w:lineRule="atLeast"/>
              <w:jc w:val="left"/>
              <w:rPr>
                <w:rFonts w:ascii="宋体" w:hAnsi="宋体"/>
                <w:sz w:val="24"/>
                <w:szCs w:val="24"/>
              </w:rPr>
            </w:pPr>
            <w:r>
              <w:rPr>
                <w:rFonts w:hint="eastAsia" w:ascii="宋体" w:hAnsi="宋体"/>
                <w:sz w:val="24"/>
                <w:szCs w:val="24"/>
              </w:rPr>
              <w:t>投标报价有以下情形之一的，评标委员会应当将其作为无效投标处理；</w:t>
            </w:r>
          </w:p>
          <w:p w14:paraId="484D193E">
            <w:pPr>
              <w:widowControl/>
              <w:spacing w:line="26" w:lineRule="atLeast"/>
              <w:jc w:val="left"/>
              <w:rPr>
                <w:rFonts w:ascii="宋体" w:hAnsi="宋体"/>
                <w:sz w:val="24"/>
                <w:szCs w:val="24"/>
              </w:rPr>
            </w:pPr>
            <w:r>
              <w:rPr>
                <w:rFonts w:ascii="宋体" w:hAnsi="宋体"/>
                <w:sz w:val="24"/>
                <w:szCs w:val="24"/>
              </w:rPr>
              <w:t>1.投标报价超过招标控制价；</w:t>
            </w:r>
          </w:p>
          <w:p w14:paraId="54574D81">
            <w:pPr>
              <w:pStyle w:val="3"/>
              <w:jc w:val="both"/>
            </w:pPr>
            <w:bookmarkStart w:id="40" w:name="_Toc154755441"/>
            <w:bookmarkStart w:id="41" w:name="_Toc154744408"/>
            <w:bookmarkStart w:id="42" w:name="_Toc30410"/>
            <w:r>
              <w:rPr>
                <w:rFonts w:ascii="宋体" w:hAnsi="宋体" w:eastAsia="宋体"/>
                <w:b w:val="0"/>
                <w:bCs w:val="0"/>
                <w:kern w:val="2"/>
                <w:sz w:val="24"/>
                <w:szCs w:val="24"/>
              </w:rPr>
              <w:t>2.投标报价不唯一；</w:t>
            </w:r>
            <w:bookmarkEnd w:id="40"/>
            <w:bookmarkEnd w:id="41"/>
            <w:bookmarkEnd w:id="42"/>
          </w:p>
        </w:tc>
      </w:tr>
      <w:tr w14:paraId="67D16C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142" w:type="dxa"/>
            <w:tcBorders>
              <w:left w:val="single" w:color="auto" w:sz="4" w:space="0"/>
            </w:tcBorders>
            <w:vAlign w:val="center"/>
          </w:tcPr>
          <w:p w14:paraId="2C57D7DC">
            <w:pPr>
              <w:jc w:val="center"/>
              <w:rPr>
                <w:rFonts w:hint="eastAsia" w:ascii="宋体" w:hAnsi="宋体" w:eastAsia="宋体"/>
                <w:sz w:val="24"/>
                <w:szCs w:val="24"/>
                <w:lang w:eastAsia="zh-CN"/>
              </w:rPr>
            </w:pPr>
            <w:r>
              <w:rPr>
                <w:rFonts w:hint="eastAsia" w:ascii="宋体" w:hAnsi="宋体"/>
                <w:sz w:val="24"/>
                <w:szCs w:val="24"/>
                <w:lang w:val="en-US" w:eastAsia="zh-CN"/>
              </w:rPr>
              <w:t>23</w:t>
            </w:r>
            <w:r>
              <w:rPr>
                <w:rFonts w:ascii="宋体" w:hAnsi="宋体"/>
                <w:sz w:val="24"/>
                <w:szCs w:val="24"/>
              </w:rPr>
              <w:t>.</w:t>
            </w:r>
            <w:r>
              <w:rPr>
                <w:rFonts w:hint="eastAsia" w:ascii="宋体" w:hAnsi="宋体"/>
                <w:sz w:val="24"/>
                <w:szCs w:val="24"/>
                <w:lang w:val="en-US" w:eastAsia="zh-CN"/>
              </w:rPr>
              <w:t>3</w:t>
            </w:r>
          </w:p>
        </w:tc>
        <w:tc>
          <w:tcPr>
            <w:tcW w:w="2577" w:type="dxa"/>
            <w:vAlign w:val="center"/>
          </w:tcPr>
          <w:p w14:paraId="1C8F115C">
            <w:pPr>
              <w:jc w:val="center"/>
              <w:rPr>
                <w:rFonts w:ascii="宋体" w:hAnsi="宋体"/>
                <w:sz w:val="24"/>
                <w:szCs w:val="24"/>
              </w:rPr>
            </w:pPr>
            <w:r>
              <w:rPr>
                <w:rFonts w:hint="eastAsia" w:ascii="宋体" w:hAnsi="宋体"/>
                <w:sz w:val="24"/>
                <w:szCs w:val="24"/>
              </w:rPr>
              <w:t>服务费</w:t>
            </w:r>
          </w:p>
        </w:tc>
        <w:tc>
          <w:tcPr>
            <w:tcW w:w="5984" w:type="dxa"/>
            <w:tcBorders>
              <w:right w:val="single" w:color="auto" w:sz="4" w:space="0"/>
            </w:tcBorders>
            <w:vAlign w:val="center"/>
          </w:tcPr>
          <w:p w14:paraId="0BD9935A">
            <w:pPr>
              <w:spacing w:before="120"/>
              <w:ind w:firstLine="361" w:firstLineChars="150"/>
              <w:rPr>
                <w:b/>
                <w:bCs/>
                <w:sz w:val="24"/>
                <w:szCs w:val="24"/>
              </w:rPr>
            </w:pPr>
            <w:r>
              <w:rPr>
                <w:rFonts w:hint="eastAsia"/>
                <w:b/>
                <w:bCs/>
                <w:sz w:val="24"/>
                <w:szCs w:val="24"/>
              </w:rPr>
              <w:t>本项目招标代理服务费由采购代理机构向中标单位收取，标准如下：按照《海南省机电工程学校直播教室设备采购项目招标代理合同》</w:t>
            </w:r>
            <w:r>
              <w:rPr>
                <w:rFonts w:hint="eastAsia"/>
                <w:b/>
                <w:bCs/>
                <w:sz w:val="24"/>
                <w:szCs w:val="24"/>
                <w:lang w:eastAsia="zh-CN"/>
              </w:rPr>
              <w:t>的</w:t>
            </w:r>
            <w:r>
              <w:rPr>
                <w:rFonts w:hint="eastAsia"/>
                <w:b/>
                <w:bCs/>
                <w:sz w:val="24"/>
                <w:szCs w:val="24"/>
                <w:lang w:val="en-US" w:eastAsia="zh-CN"/>
              </w:rPr>
              <w:t>合同价人民币</w:t>
            </w:r>
            <w:r>
              <w:rPr>
                <w:rFonts w:hint="eastAsia"/>
                <w:b/>
                <w:bCs/>
                <w:sz w:val="24"/>
                <w:szCs w:val="24"/>
                <w:u w:val="single"/>
                <w:lang w:val="en-US" w:eastAsia="zh-CN"/>
              </w:rPr>
              <w:t>45624.00元（大写：肆万伍仟陆佰贰拾肆元整）</w:t>
            </w:r>
            <w:r>
              <w:rPr>
                <w:rFonts w:hint="eastAsia"/>
                <w:b/>
                <w:bCs/>
                <w:sz w:val="24"/>
                <w:szCs w:val="24"/>
              </w:rPr>
              <w:t>计取</w:t>
            </w:r>
            <w:r>
              <w:rPr>
                <w:rFonts w:hint="eastAsia"/>
                <w:b/>
                <w:bCs/>
                <w:sz w:val="24"/>
                <w:szCs w:val="24"/>
                <w:lang w:val="zh-CN"/>
              </w:rPr>
              <w:t>，由中标单位支付，在取成交通知书前一次性付清。</w:t>
            </w:r>
          </w:p>
          <w:p w14:paraId="36480D67">
            <w:pPr>
              <w:widowControl/>
              <w:spacing w:line="26" w:lineRule="atLeast"/>
              <w:jc w:val="left"/>
              <w:rPr>
                <w:rFonts w:ascii="宋体" w:hAnsi="宋体"/>
                <w:sz w:val="24"/>
                <w:szCs w:val="24"/>
              </w:rPr>
            </w:pPr>
          </w:p>
        </w:tc>
      </w:tr>
      <w:tr w14:paraId="02C7E0F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142" w:type="dxa"/>
            <w:tcBorders>
              <w:left w:val="single" w:color="auto" w:sz="4" w:space="0"/>
            </w:tcBorders>
            <w:vAlign w:val="center"/>
          </w:tcPr>
          <w:p w14:paraId="77382C5F">
            <w:pPr>
              <w:jc w:val="center"/>
              <w:rPr>
                <w:rFonts w:hint="eastAsia" w:ascii="宋体" w:hAnsi="宋体" w:eastAsia="宋体"/>
                <w:sz w:val="24"/>
                <w:szCs w:val="24"/>
                <w:lang w:eastAsia="zh-CN"/>
              </w:rPr>
            </w:pPr>
            <w:r>
              <w:rPr>
                <w:rFonts w:hint="eastAsia" w:ascii="宋体" w:hAnsi="宋体"/>
                <w:sz w:val="24"/>
                <w:szCs w:val="24"/>
                <w:lang w:val="en-US" w:eastAsia="zh-CN"/>
              </w:rPr>
              <w:t>23</w:t>
            </w:r>
            <w:r>
              <w:rPr>
                <w:rFonts w:ascii="宋体" w:hAnsi="宋体"/>
                <w:sz w:val="24"/>
                <w:szCs w:val="24"/>
              </w:rPr>
              <w:t>.</w:t>
            </w:r>
            <w:r>
              <w:rPr>
                <w:rFonts w:hint="eastAsia" w:ascii="宋体" w:hAnsi="宋体"/>
                <w:sz w:val="24"/>
                <w:szCs w:val="24"/>
                <w:lang w:val="en-US" w:eastAsia="zh-CN"/>
              </w:rPr>
              <w:t>4</w:t>
            </w:r>
          </w:p>
        </w:tc>
        <w:tc>
          <w:tcPr>
            <w:tcW w:w="2577" w:type="dxa"/>
            <w:vAlign w:val="center"/>
          </w:tcPr>
          <w:p w14:paraId="4EAC6BA7">
            <w:pPr>
              <w:jc w:val="center"/>
              <w:rPr>
                <w:rFonts w:ascii="宋体" w:hAnsi="宋体"/>
                <w:sz w:val="24"/>
                <w:szCs w:val="24"/>
              </w:rPr>
            </w:pPr>
            <w:r>
              <w:rPr>
                <w:rFonts w:hint="eastAsia" w:ascii="宋体" w:hAnsi="宋体"/>
                <w:sz w:val="24"/>
                <w:szCs w:val="24"/>
              </w:rPr>
              <w:t>废标处理规定</w:t>
            </w:r>
          </w:p>
        </w:tc>
        <w:tc>
          <w:tcPr>
            <w:tcW w:w="5984" w:type="dxa"/>
            <w:tcBorders>
              <w:right w:val="single" w:color="auto" w:sz="4" w:space="0"/>
            </w:tcBorders>
            <w:vAlign w:val="center"/>
          </w:tcPr>
          <w:p w14:paraId="2664057E">
            <w:pPr>
              <w:spacing w:line="500" w:lineRule="exact"/>
              <w:rPr>
                <w:rFonts w:ascii="宋体" w:hAnsi="宋体"/>
                <w:sz w:val="24"/>
              </w:rPr>
            </w:pPr>
            <w:r>
              <w:rPr>
                <w:rFonts w:hint="eastAsia" w:ascii="宋体" w:hAnsi="宋体"/>
                <w:sz w:val="24"/>
                <w:lang w:eastAsia="zh-CN"/>
              </w:rPr>
              <w:t>响应文件</w:t>
            </w:r>
            <w:r>
              <w:rPr>
                <w:rFonts w:hint="eastAsia" w:ascii="宋体" w:hAnsi="宋体"/>
                <w:sz w:val="24"/>
              </w:rPr>
              <w:t>有下列情形之一，由评标委员会初审后按废标处理：</w:t>
            </w:r>
          </w:p>
          <w:p w14:paraId="26A9C013">
            <w:pPr>
              <w:spacing w:line="500" w:lineRule="exact"/>
              <w:rPr>
                <w:rFonts w:ascii="宋体" w:hAnsi="宋体"/>
                <w:sz w:val="24"/>
              </w:rPr>
            </w:pPr>
            <w:r>
              <w:rPr>
                <w:rFonts w:ascii="宋体" w:hAnsi="宋体"/>
                <w:sz w:val="24"/>
              </w:rPr>
              <w:t>1.</w:t>
            </w:r>
            <w:r>
              <w:rPr>
                <w:rFonts w:hint="eastAsia" w:ascii="宋体" w:hAnsi="宋体"/>
                <w:sz w:val="24"/>
                <w:lang w:eastAsia="zh-CN"/>
              </w:rPr>
              <w:t>响应文件</w:t>
            </w:r>
            <w:r>
              <w:rPr>
                <w:rFonts w:ascii="宋体" w:hAnsi="宋体"/>
                <w:sz w:val="24"/>
              </w:rPr>
              <w:t>中的投标函未加盖</w:t>
            </w:r>
            <w:r>
              <w:rPr>
                <w:rFonts w:hint="eastAsia" w:ascii="宋体" w:hAnsi="宋体"/>
                <w:sz w:val="24"/>
                <w:lang w:eastAsia="zh-CN"/>
              </w:rPr>
              <w:t>供应商</w:t>
            </w:r>
            <w:r>
              <w:rPr>
                <w:rFonts w:ascii="宋体" w:hAnsi="宋体"/>
                <w:sz w:val="24"/>
              </w:rPr>
              <w:t>的公章及企业法定代表人印章的，或者企业法定代表人委托代理人没有合法、有效的委托书（原件）及委托代理人印章的；</w:t>
            </w:r>
          </w:p>
          <w:p w14:paraId="7133CBAF">
            <w:pPr>
              <w:spacing w:line="500" w:lineRule="exact"/>
              <w:rPr>
                <w:rFonts w:ascii="宋体" w:hAnsi="宋体"/>
                <w:sz w:val="24"/>
              </w:rPr>
            </w:pPr>
            <w:r>
              <w:rPr>
                <w:rFonts w:ascii="宋体" w:hAnsi="宋体"/>
                <w:sz w:val="24"/>
              </w:rPr>
              <w:t xml:space="preserve">2.未按招标文件要求提供投标保证金的或保函； </w:t>
            </w:r>
          </w:p>
          <w:p w14:paraId="075B0FA4">
            <w:pPr>
              <w:spacing w:line="500" w:lineRule="exact"/>
              <w:rPr>
                <w:rFonts w:ascii="宋体" w:hAnsi="宋体"/>
                <w:sz w:val="24"/>
              </w:rPr>
            </w:pPr>
            <w:r>
              <w:rPr>
                <w:rFonts w:ascii="宋体" w:hAnsi="宋体"/>
                <w:sz w:val="24"/>
              </w:rPr>
              <w:t>3.</w:t>
            </w:r>
            <w:r>
              <w:rPr>
                <w:rFonts w:hint="eastAsia" w:ascii="宋体" w:hAnsi="宋体"/>
                <w:sz w:val="24"/>
                <w:lang w:eastAsia="zh-CN"/>
              </w:rPr>
              <w:t>供应商</w:t>
            </w:r>
            <w:r>
              <w:rPr>
                <w:rFonts w:ascii="宋体" w:hAnsi="宋体"/>
                <w:sz w:val="24"/>
              </w:rPr>
              <w:t>递交两份或多份内容不同的</w:t>
            </w:r>
            <w:r>
              <w:rPr>
                <w:rFonts w:hint="eastAsia" w:ascii="宋体" w:hAnsi="宋体"/>
                <w:sz w:val="24"/>
                <w:lang w:eastAsia="zh-CN"/>
              </w:rPr>
              <w:t>响应文件</w:t>
            </w:r>
            <w:r>
              <w:rPr>
                <w:rFonts w:ascii="宋体" w:hAnsi="宋体"/>
                <w:sz w:val="24"/>
              </w:rPr>
              <w:t>，或在一份</w:t>
            </w:r>
            <w:r>
              <w:rPr>
                <w:rFonts w:hint="eastAsia" w:ascii="宋体" w:hAnsi="宋体"/>
                <w:sz w:val="24"/>
                <w:lang w:eastAsia="zh-CN"/>
              </w:rPr>
              <w:t>响应文件</w:t>
            </w:r>
            <w:r>
              <w:rPr>
                <w:rFonts w:ascii="宋体" w:hAnsi="宋体"/>
                <w:sz w:val="24"/>
              </w:rPr>
              <w:t xml:space="preserve">中对同一招标项目报有两个或多个报价，且未声明哪一个有效，按招标文件规定提交备选投标方案的除外； </w:t>
            </w:r>
          </w:p>
          <w:p w14:paraId="1BF1CA02">
            <w:pPr>
              <w:spacing w:line="500" w:lineRule="exact"/>
              <w:rPr>
                <w:rFonts w:ascii="宋体" w:hAnsi="宋体"/>
                <w:sz w:val="24"/>
              </w:rPr>
            </w:pPr>
            <w:r>
              <w:rPr>
                <w:rFonts w:ascii="宋体" w:hAnsi="宋体"/>
                <w:sz w:val="24"/>
              </w:rPr>
              <w:t>4．</w:t>
            </w:r>
            <w:r>
              <w:rPr>
                <w:rFonts w:hint="eastAsia" w:ascii="宋体" w:hAnsi="宋体"/>
                <w:sz w:val="24"/>
                <w:lang w:eastAsia="zh-CN"/>
              </w:rPr>
              <w:t>供应商</w:t>
            </w:r>
            <w:r>
              <w:rPr>
                <w:rFonts w:ascii="宋体" w:hAnsi="宋体"/>
                <w:sz w:val="24"/>
              </w:rPr>
              <w:t>资格条件不符合国家有关规定或招标文件要求的；</w:t>
            </w:r>
          </w:p>
          <w:p w14:paraId="2EE375FD">
            <w:pPr>
              <w:spacing w:line="500" w:lineRule="exact"/>
              <w:rPr>
                <w:rFonts w:ascii="宋体" w:hAnsi="宋体"/>
                <w:sz w:val="24"/>
              </w:rPr>
            </w:pPr>
            <w:r>
              <w:rPr>
                <w:rFonts w:ascii="宋体" w:hAnsi="宋体"/>
                <w:sz w:val="24"/>
              </w:rPr>
              <w:t>5．</w:t>
            </w:r>
            <w:r>
              <w:rPr>
                <w:rFonts w:hint="eastAsia" w:ascii="宋体" w:hAnsi="宋体"/>
                <w:sz w:val="24"/>
                <w:lang w:eastAsia="zh-CN"/>
              </w:rPr>
              <w:t>响应文件</w:t>
            </w:r>
            <w:r>
              <w:rPr>
                <w:rFonts w:ascii="宋体" w:hAnsi="宋体"/>
                <w:sz w:val="24"/>
              </w:rPr>
              <w:t xml:space="preserve">载明的招标项目完成期限超过招标文件规定的期限； </w:t>
            </w:r>
          </w:p>
          <w:p w14:paraId="19671CAE">
            <w:pPr>
              <w:spacing w:line="500" w:lineRule="exact"/>
              <w:rPr>
                <w:rFonts w:ascii="宋体" w:hAnsi="宋体"/>
                <w:sz w:val="24"/>
              </w:rPr>
            </w:pPr>
            <w:r>
              <w:rPr>
                <w:rFonts w:ascii="宋体" w:hAnsi="宋体"/>
                <w:sz w:val="24"/>
              </w:rPr>
              <w:t xml:space="preserve">6.明显不符合技术规范、技术标准的要求； </w:t>
            </w:r>
          </w:p>
          <w:p w14:paraId="6C31504C">
            <w:pPr>
              <w:spacing w:line="500" w:lineRule="exact"/>
              <w:rPr>
                <w:rFonts w:ascii="宋体" w:hAnsi="宋体"/>
                <w:sz w:val="24"/>
              </w:rPr>
            </w:pPr>
            <w:r>
              <w:rPr>
                <w:rFonts w:ascii="宋体" w:hAnsi="宋体"/>
                <w:sz w:val="24"/>
              </w:rPr>
              <w:t>7.不同</w:t>
            </w:r>
            <w:r>
              <w:rPr>
                <w:rFonts w:hint="eastAsia" w:ascii="宋体" w:hAnsi="宋体"/>
                <w:sz w:val="24"/>
                <w:lang w:eastAsia="zh-CN"/>
              </w:rPr>
              <w:t>供应商</w:t>
            </w:r>
            <w:r>
              <w:rPr>
                <w:rFonts w:ascii="宋体" w:hAnsi="宋体"/>
                <w:sz w:val="24"/>
              </w:rPr>
              <w:t>的</w:t>
            </w:r>
            <w:r>
              <w:rPr>
                <w:rFonts w:hint="eastAsia" w:ascii="宋体" w:hAnsi="宋体"/>
                <w:sz w:val="24"/>
                <w:lang w:eastAsia="zh-CN"/>
              </w:rPr>
              <w:t>响应文件</w:t>
            </w:r>
            <w:r>
              <w:rPr>
                <w:rFonts w:ascii="宋体" w:hAnsi="宋体"/>
                <w:sz w:val="24"/>
              </w:rPr>
              <w:t>出现了评标委员会认为不应当雷同的情况</w:t>
            </w:r>
            <w:r>
              <w:rPr>
                <w:rFonts w:hint="eastAsia" w:ascii="宋体" w:hAnsi="宋体"/>
                <w:sz w:val="24"/>
              </w:rPr>
              <w:t>；</w:t>
            </w:r>
          </w:p>
          <w:p w14:paraId="182BB54E">
            <w:pPr>
              <w:spacing w:line="500" w:lineRule="exact"/>
              <w:rPr>
                <w:rFonts w:ascii="宋体" w:hAnsi="宋体"/>
                <w:sz w:val="24"/>
              </w:rPr>
            </w:pPr>
            <w:r>
              <w:rPr>
                <w:rFonts w:ascii="宋体" w:hAnsi="宋体"/>
                <w:sz w:val="24"/>
              </w:rPr>
              <w:t>8.以他人的名义投标、串通投标、以行贿手段谋取中标或者以其他弄虚作假方式投标的；</w:t>
            </w:r>
          </w:p>
          <w:p w14:paraId="7962D484">
            <w:pPr>
              <w:spacing w:line="500" w:lineRule="exact"/>
              <w:rPr>
                <w:rFonts w:ascii="宋体" w:hAnsi="宋体"/>
                <w:sz w:val="24"/>
              </w:rPr>
            </w:pPr>
            <w:r>
              <w:rPr>
                <w:rFonts w:ascii="宋体" w:hAnsi="宋体"/>
                <w:sz w:val="24"/>
              </w:rPr>
              <w:t>9.经评标委员会认定</w:t>
            </w:r>
            <w:r>
              <w:rPr>
                <w:rFonts w:hint="eastAsia" w:ascii="宋体" w:hAnsi="宋体"/>
                <w:sz w:val="24"/>
                <w:lang w:eastAsia="zh-CN"/>
              </w:rPr>
              <w:t>供应商</w:t>
            </w:r>
            <w:r>
              <w:rPr>
                <w:rFonts w:ascii="宋体" w:hAnsi="宋体"/>
                <w:sz w:val="24"/>
              </w:rPr>
              <w:t>的投标报价低于成本价的；</w:t>
            </w:r>
          </w:p>
          <w:p w14:paraId="018A02E7">
            <w:pPr>
              <w:spacing w:line="500" w:lineRule="exact"/>
              <w:rPr>
                <w:rFonts w:hint="default" w:ascii="宋体" w:hAnsi="宋体" w:eastAsia="宋体"/>
                <w:sz w:val="24"/>
                <w:lang w:val="en-US" w:eastAsia="zh-CN"/>
              </w:rPr>
            </w:pPr>
            <w:r>
              <w:rPr>
                <w:rFonts w:hint="eastAsia" w:ascii="宋体" w:hAnsi="宋体"/>
                <w:sz w:val="24"/>
                <w:lang w:val="en-US" w:eastAsia="zh-CN"/>
              </w:rPr>
              <w:t>10.开标或评标过程中符合条件的供应商不满足3家；</w:t>
            </w:r>
          </w:p>
          <w:p w14:paraId="7CDCE629">
            <w:pPr>
              <w:spacing w:line="500" w:lineRule="exact"/>
              <w:rPr>
                <w:rFonts w:ascii="宋体" w:hAnsi="宋体"/>
                <w:sz w:val="24"/>
                <w:szCs w:val="24"/>
              </w:rPr>
            </w:pPr>
            <w:r>
              <w:rPr>
                <w:rFonts w:ascii="宋体" w:hAnsi="宋体"/>
                <w:sz w:val="24"/>
              </w:rPr>
              <w:t>1</w:t>
            </w:r>
            <w:r>
              <w:rPr>
                <w:rFonts w:hint="eastAsia" w:ascii="宋体" w:hAnsi="宋体"/>
                <w:sz w:val="24"/>
                <w:lang w:val="en-US" w:eastAsia="zh-CN"/>
              </w:rPr>
              <w:t>1</w:t>
            </w:r>
            <w:r>
              <w:rPr>
                <w:rFonts w:ascii="宋体" w:hAnsi="宋体"/>
                <w:sz w:val="24"/>
              </w:rPr>
              <w:t>.招标文件明确规定可以废标的其他情形。</w:t>
            </w:r>
          </w:p>
        </w:tc>
      </w:tr>
      <w:tr w14:paraId="34129AB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142" w:type="dxa"/>
            <w:tcBorders>
              <w:left w:val="single" w:color="auto" w:sz="4" w:space="0"/>
            </w:tcBorders>
            <w:vAlign w:val="center"/>
          </w:tcPr>
          <w:p w14:paraId="32FB8386">
            <w:pPr>
              <w:jc w:val="center"/>
              <w:rPr>
                <w:rFonts w:hint="eastAsia" w:ascii="宋体" w:hAnsi="宋体" w:eastAsia="宋体"/>
                <w:sz w:val="24"/>
                <w:szCs w:val="24"/>
                <w:lang w:eastAsia="zh-CN"/>
              </w:rPr>
            </w:pPr>
            <w:r>
              <w:rPr>
                <w:rFonts w:hint="eastAsia" w:ascii="宋体" w:hAnsi="宋体"/>
                <w:sz w:val="24"/>
                <w:szCs w:val="24"/>
                <w:lang w:val="en-US" w:eastAsia="zh-CN"/>
              </w:rPr>
              <w:t>23</w:t>
            </w:r>
            <w:r>
              <w:rPr>
                <w:rFonts w:ascii="宋体" w:hAnsi="宋体"/>
                <w:sz w:val="24"/>
                <w:szCs w:val="24"/>
              </w:rPr>
              <w:t>.</w:t>
            </w:r>
            <w:r>
              <w:rPr>
                <w:rFonts w:hint="eastAsia" w:ascii="宋体" w:hAnsi="宋体"/>
                <w:sz w:val="24"/>
                <w:szCs w:val="24"/>
                <w:lang w:val="en-US" w:eastAsia="zh-CN"/>
              </w:rPr>
              <w:t>5</w:t>
            </w:r>
          </w:p>
        </w:tc>
        <w:tc>
          <w:tcPr>
            <w:tcW w:w="2577" w:type="dxa"/>
            <w:vAlign w:val="center"/>
          </w:tcPr>
          <w:p w14:paraId="37E13033">
            <w:pPr>
              <w:widowControl/>
              <w:spacing w:line="26" w:lineRule="atLeast"/>
              <w:jc w:val="center"/>
              <w:rPr>
                <w:rFonts w:ascii="宋体" w:hAnsi="宋体"/>
                <w:sz w:val="24"/>
                <w:szCs w:val="24"/>
              </w:rPr>
            </w:pPr>
            <w:r>
              <w:rPr>
                <w:rFonts w:hint="eastAsia" w:ascii="宋体" w:hAnsi="宋体"/>
                <w:sz w:val="24"/>
                <w:szCs w:val="24"/>
              </w:rPr>
              <w:t>备注</w:t>
            </w:r>
          </w:p>
        </w:tc>
        <w:tc>
          <w:tcPr>
            <w:tcW w:w="5984" w:type="dxa"/>
            <w:tcBorders>
              <w:right w:val="single" w:color="auto" w:sz="4" w:space="0"/>
            </w:tcBorders>
            <w:vAlign w:val="center"/>
          </w:tcPr>
          <w:p w14:paraId="4196D51A">
            <w:pPr>
              <w:widowControl/>
              <w:spacing w:line="26" w:lineRule="atLeast"/>
              <w:jc w:val="left"/>
              <w:rPr>
                <w:rFonts w:ascii="宋体" w:hAnsi="宋体"/>
                <w:sz w:val="24"/>
                <w:szCs w:val="24"/>
              </w:rPr>
            </w:pPr>
            <w:r>
              <w:rPr>
                <w:rFonts w:ascii="宋体" w:hAnsi="宋体"/>
                <w:sz w:val="24"/>
                <w:szCs w:val="24"/>
              </w:rPr>
              <w:t>1.</w:t>
            </w:r>
            <w:r>
              <w:rPr>
                <w:rFonts w:hint="eastAsia" w:ascii="宋体" w:hAnsi="宋体"/>
                <w:sz w:val="24"/>
                <w:szCs w:val="24"/>
                <w:lang w:eastAsia="zh-CN"/>
              </w:rPr>
              <w:t>供应商</w:t>
            </w:r>
            <w:r>
              <w:rPr>
                <w:rFonts w:ascii="宋体" w:hAnsi="宋体"/>
                <w:sz w:val="24"/>
                <w:szCs w:val="24"/>
              </w:rPr>
              <w:t>不在招标人不合格</w:t>
            </w:r>
            <w:r>
              <w:rPr>
                <w:rFonts w:hint="eastAsia" w:ascii="宋体" w:hAnsi="宋体"/>
                <w:sz w:val="24"/>
                <w:szCs w:val="24"/>
                <w:lang w:eastAsia="zh-CN"/>
              </w:rPr>
              <w:t>供应商</w:t>
            </w:r>
            <w:r>
              <w:rPr>
                <w:rFonts w:ascii="宋体" w:hAnsi="宋体"/>
                <w:sz w:val="24"/>
                <w:szCs w:val="24"/>
              </w:rPr>
              <w:t>名单之列。</w:t>
            </w:r>
          </w:p>
          <w:p w14:paraId="7155B20A">
            <w:pPr>
              <w:widowControl/>
              <w:spacing w:line="26" w:lineRule="atLeast"/>
              <w:jc w:val="left"/>
              <w:rPr>
                <w:rFonts w:ascii="宋体" w:hAnsi="宋体"/>
                <w:sz w:val="24"/>
                <w:szCs w:val="24"/>
              </w:rPr>
            </w:pPr>
            <w:r>
              <w:rPr>
                <w:rFonts w:ascii="宋体" w:hAnsi="宋体"/>
                <w:sz w:val="24"/>
                <w:szCs w:val="24"/>
              </w:rPr>
              <w:t>2.中标人有项目分包情况，则视为违约事件，招标人即可终止合同，并将中标人列为招标人不合格</w:t>
            </w:r>
            <w:r>
              <w:rPr>
                <w:rFonts w:hint="eastAsia" w:ascii="宋体" w:hAnsi="宋体"/>
                <w:sz w:val="24"/>
                <w:szCs w:val="24"/>
                <w:lang w:eastAsia="zh-CN"/>
              </w:rPr>
              <w:t>供应商</w:t>
            </w:r>
            <w:r>
              <w:rPr>
                <w:rFonts w:ascii="宋体" w:hAnsi="宋体"/>
                <w:sz w:val="24"/>
                <w:szCs w:val="24"/>
              </w:rPr>
              <w:t>名单，不再与之合作。</w:t>
            </w:r>
          </w:p>
        </w:tc>
      </w:tr>
    </w:tbl>
    <w:p w14:paraId="084B4F67">
      <w:pPr>
        <w:keepNext/>
        <w:keepLines/>
        <w:rPr>
          <w:rFonts w:ascii="宋体" w:hAnsi="宋体" w:cs="宋体"/>
          <w:sz w:val="28"/>
          <w:szCs w:val="28"/>
        </w:rPr>
      </w:pPr>
      <w:bookmarkStart w:id="43" w:name="_Toc264541209"/>
      <w:bookmarkStart w:id="44" w:name="_Toc218916872"/>
      <w:bookmarkStart w:id="45" w:name="_Toc229324220"/>
    </w:p>
    <w:p w14:paraId="428954BB">
      <w:pPr>
        <w:pStyle w:val="2"/>
        <w:ind w:left="0" w:leftChars="0" w:firstLine="0" w:firstLineChars="0"/>
        <w:jc w:val="both"/>
        <w:rPr>
          <w:rFonts w:hint="eastAsia" w:cs="宋体"/>
          <w:sz w:val="28"/>
          <w:szCs w:val="28"/>
        </w:rPr>
      </w:pPr>
      <w:bookmarkStart w:id="46" w:name="_Toc154744409"/>
      <w:bookmarkStart w:id="47" w:name="_Toc29434"/>
      <w:bookmarkStart w:id="48" w:name="_Toc154755442"/>
    </w:p>
    <w:p w14:paraId="044010F3">
      <w:pPr>
        <w:pStyle w:val="2"/>
        <w:ind w:firstLine="0"/>
        <w:jc w:val="both"/>
        <w:rPr>
          <w:rFonts w:hint="eastAsia"/>
        </w:rPr>
      </w:pPr>
    </w:p>
    <w:p w14:paraId="567C1CB6">
      <w:pPr>
        <w:pStyle w:val="2"/>
        <w:ind w:left="0" w:leftChars="0" w:firstLine="0" w:firstLineChars="0"/>
        <w:jc w:val="both"/>
        <w:rPr>
          <w:rFonts w:cs="宋体"/>
          <w:sz w:val="28"/>
          <w:szCs w:val="28"/>
        </w:rPr>
      </w:pPr>
      <w:r>
        <w:rPr>
          <w:rFonts w:hint="eastAsia" w:cs="宋体"/>
          <w:sz w:val="28"/>
          <w:szCs w:val="28"/>
        </w:rPr>
        <w:t>（一）总则</w:t>
      </w:r>
      <w:bookmarkEnd w:id="46"/>
      <w:bookmarkEnd w:id="47"/>
      <w:bookmarkEnd w:id="48"/>
    </w:p>
    <w:p w14:paraId="2F5B030A">
      <w:pPr>
        <w:tabs>
          <w:tab w:val="left" w:pos="4680"/>
        </w:tabs>
        <w:snapToGrid w:val="0"/>
        <w:spacing w:line="440" w:lineRule="exact"/>
        <w:outlineLvl w:val="1"/>
        <w:rPr>
          <w:rFonts w:ascii="宋体" w:hAnsi="宋体" w:cs="宋体"/>
          <w:b/>
          <w:bCs/>
          <w:sz w:val="24"/>
        </w:rPr>
      </w:pPr>
      <w:bookmarkStart w:id="49" w:name="_Toc468811081"/>
      <w:bookmarkStart w:id="50" w:name="_Toc238907002"/>
      <w:bookmarkStart w:id="51" w:name="_Toc501985148"/>
      <w:bookmarkStart w:id="52" w:name="_Toc154755443"/>
      <w:bookmarkStart w:id="53" w:name="_Toc154744410"/>
      <w:bookmarkStart w:id="54" w:name="_Toc22134"/>
      <w:r>
        <w:rPr>
          <w:rFonts w:ascii="宋体" w:hAnsi="宋体" w:cs="宋体"/>
          <w:b/>
          <w:bCs/>
          <w:sz w:val="24"/>
        </w:rPr>
        <w:t>1．适用范围</w:t>
      </w:r>
      <w:bookmarkEnd w:id="49"/>
      <w:bookmarkEnd w:id="50"/>
      <w:bookmarkEnd w:id="51"/>
      <w:bookmarkEnd w:id="52"/>
      <w:bookmarkEnd w:id="53"/>
      <w:bookmarkEnd w:id="54"/>
    </w:p>
    <w:p w14:paraId="26BEB5EE">
      <w:pPr>
        <w:spacing w:line="440" w:lineRule="exact"/>
        <w:ind w:firstLine="480" w:firstLineChars="200"/>
        <w:rPr>
          <w:rFonts w:ascii="宋体" w:cs="宋体"/>
          <w:sz w:val="24"/>
        </w:rPr>
      </w:pPr>
      <w:r>
        <w:rPr>
          <w:rFonts w:hint="eastAsia" w:ascii="宋体" w:cs="宋体"/>
          <w:sz w:val="24"/>
        </w:rPr>
        <w:t>本招标文件仅适用于本次公开招标所叙述的货物项目采购。</w:t>
      </w:r>
    </w:p>
    <w:p w14:paraId="13561AA3">
      <w:pPr>
        <w:numPr>
          <w:ilvl w:val="0"/>
          <w:numId w:val="2"/>
        </w:numPr>
        <w:tabs>
          <w:tab w:val="left" w:pos="4680"/>
        </w:tabs>
        <w:snapToGrid w:val="0"/>
        <w:spacing w:line="440" w:lineRule="exact"/>
        <w:outlineLvl w:val="1"/>
        <w:rPr>
          <w:rFonts w:ascii="宋体" w:hAnsi="宋体" w:cs="宋体"/>
          <w:b/>
          <w:bCs/>
          <w:sz w:val="24"/>
        </w:rPr>
      </w:pPr>
      <w:bookmarkStart w:id="55" w:name="_Toc501985149"/>
      <w:bookmarkStart w:id="56" w:name="_Toc238907003"/>
      <w:bookmarkStart w:id="57" w:name="_Toc13451"/>
      <w:bookmarkStart w:id="58" w:name="_Toc154744411"/>
      <w:bookmarkStart w:id="59" w:name="_Toc154755444"/>
      <w:bookmarkStart w:id="60" w:name="_Toc468811082"/>
      <w:r>
        <w:rPr>
          <w:rFonts w:hint="eastAsia" w:ascii="宋体" w:hAnsi="宋体" w:cs="宋体"/>
          <w:b/>
          <w:bCs/>
          <w:sz w:val="24"/>
        </w:rPr>
        <w:t>合格的</w:t>
      </w:r>
      <w:bookmarkEnd w:id="55"/>
      <w:bookmarkEnd w:id="56"/>
      <w:bookmarkEnd w:id="57"/>
      <w:bookmarkEnd w:id="58"/>
      <w:bookmarkEnd w:id="59"/>
      <w:bookmarkEnd w:id="60"/>
      <w:r>
        <w:rPr>
          <w:rFonts w:hint="eastAsia" w:ascii="宋体" w:hAnsi="宋体" w:cs="宋体"/>
          <w:b/>
          <w:bCs/>
          <w:sz w:val="24"/>
          <w:lang w:eastAsia="zh-CN"/>
        </w:rPr>
        <w:t>供应商</w:t>
      </w:r>
    </w:p>
    <w:p w14:paraId="6572C215">
      <w:pPr>
        <w:spacing w:line="440" w:lineRule="exact"/>
        <w:ind w:firstLine="480" w:firstLineChars="200"/>
        <w:rPr>
          <w:rFonts w:ascii="宋体" w:cs="宋体"/>
          <w:sz w:val="24"/>
        </w:rPr>
      </w:pPr>
      <w:bookmarkStart w:id="61" w:name="_Toc468811083"/>
      <w:bookmarkStart w:id="62" w:name="_Toc238907004"/>
      <w:r>
        <w:rPr>
          <w:rFonts w:ascii="宋体" w:cs="宋体"/>
          <w:sz w:val="24"/>
        </w:rPr>
        <w:t xml:space="preserve">2.1 </w:t>
      </w:r>
      <w:r>
        <w:rPr>
          <w:rFonts w:hint="eastAsia" w:ascii="宋体" w:cs="宋体"/>
          <w:sz w:val="24"/>
        </w:rPr>
        <w:t>符合《政府采购法》规定的</w:t>
      </w:r>
      <w:r>
        <w:rPr>
          <w:rFonts w:hint="eastAsia" w:ascii="宋体" w:cs="宋体"/>
          <w:sz w:val="24"/>
          <w:lang w:eastAsia="zh-CN"/>
        </w:rPr>
        <w:t>供应商</w:t>
      </w:r>
      <w:r>
        <w:rPr>
          <w:rFonts w:hint="eastAsia" w:ascii="宋体" w:cs="宋体"/>
          <w:sz w:val="24"/>
        </w:rPr>
        <w:t>资格。</w:t>
      </w:r>
    </w:p>
    <w:p w14:paraId="4C4D9549">
      <w:pPr>
        <w:spacing w:line="440" w:lineRule="exact"/>
        <w:ind w:firstLine="480" w:firstLineChars="200"/>
        <w:rPr>
          <w:rFonts w:ascii="宋体" w:cs="宋体"/>
          <w:sz w:val="24"/>
        </w:rPr>
      </w:pPr>
      <w:r>
        <w:rPr>
          <w:rFonts w:ascii="宋体" w:cs="宋体"/>
          <w:sz w:val="24"/>
        </w:rPr>
        <w:t xml:space="preserve">2.2 </w:t>
      </w:r>
      <w:r>
        <w:rPr>
          <w:rFonts w:hint="eastAsia" w:ascii="宋体" w:cs="宋体"/>
          <w:sz w:val="24"/>
          <w:lang w:eastAsia="zh-CN"/>
        </w:rPr>
        <w:t>供应商</w:t>
      </w:r>
      <w:r>
        <w:rPr>
          <w:rFonts w:hint="eastAsia" w:ascii="宋体" w:cs="宋体"/>
          <w:sz w:val="24"/>
        </w:rPr>
        <w:t>其他合格条件详见本项目招标公告。</w:t>
      </w:r>
    </w:p>
    <w:p w14:paraId="698D50DB">
      <w:pPr>
        <w:spacing w:line="440" w:lineRule="exact"/>
        <w:ind w:firstLine="480" w:firstLineChars="200"/>
        <w:rPr>
          <w:rFonts w:ascii="宋体" w:cs="宋体"/>
          <w:sz w:val="24"/>
        </w:rPr>
      </w:pPr>
      <w:r>
        <w:rPr>
          <w:rFonts w:hint="eastAsia" w:ascii="宋体" w:cs="宋体"/>
          <w:sz w:val="24"/>
        </w:rPr>
        <w:t>2.3单位负责人为同一人或者存在直接控股、管理关系的不同</w:t>
      </w:r>
      <w:r>
        <w:rPr>
          <w:rFonts w:hint="eastAsia" w:ascii="宋体" w:cs="宋体"/>
          <w:sz w:val="24"/>
          <w:lang w:eastAsia="zh-CN"/>
        </w:rPr>
        <w:t>供应商</w:t>
      </w:r>
      <w:r>
        <w:rPr>
          <w:rFonts w:hint="eastAsia" w:ascii="宋体" w:cs="宋体"/>
          <w:sz w:val="24"/>
        </w:rPr>
        <w:t>，不得参加同一合同项下的政府采购活动。除单一来源采购项目外，为采购项目提供整体设计、规范编制或者项目管理、监理、检测等服务的</w:t>
      </w:r>
      <w:r>
        <w:rPr>
          <w:rFonts w:hint="eastAsia" w:ascii="宋体" w:cs="宋体"/>
          <w:sz w:val="24"/>
          <w:lang w:eastAsia="zh-CN"/>
        </w:rPr>
        <w:t>供应商</w:t>
      </w:r>
      <w:r>
        <w:rPr>
          <w:rFonts w:hint="eastAsia" w:ascii="宋体" w:cs="宋体"/>
          <w:sz w:val="24"/>
        </w:rPr>
        <w:t>，不得再参加该采购项目的其他采购活动。</w:t>
      </w:r>
    </w:p>
    <w:p w14:paraId="691EEEDD">
      <w:pPr>
        <w:spacing w:line="440" w:lineRule="exact"/>
        <w:ind w:firstLine="480" w:firstLineChars="200"/>
        <w:rPr>
          <w:rFonts w:hint="eastAsia" w:ascii="宋体" w:cs="宋体"/>
          <w:sz w:val="24"/>
        </w:rPr>
      </w:pPr>
      <w:r>
        <w:rPr>
          <w:rFonts w:hint="eastAsia" w:ascii="宋体" w:cs="宋体"/>
          <w:sz w:val="24"/>
          <w:lang w:val="en-US" w:eastAsia="zh-CN"/>
        </w:rPr>
        <w:t xml:space="preserve">2.4 采购项目需要落实的政府采购政策： </w:t>
      </w:r>
    </w:p>
    <w:p w14:paraId="7129193F">
      <w:pPr>
        <w:spacing w:line="440" w:lineRule="exact"/>
        <w:ind w:firstLine="480" w:firstLineChars="200"/>
        <w:rPr>
          <w:rFonts w:hint="eastAsia" w:ascii="宋体" w:cs="宋体"/>
          <w:sz w:val="24"/>
        </w:rPr>
      </w:pPr>
      <w:r>
        <w:rPr>
          <w:rFonts w:hint="eastAsia" w:ascii="宋体" w:cs="宋体"/>
          <w:sz w:val="24"/>
          <w:lang w:val="en-US" w:eastAsia="zh-CN"/>
        </w:rPr>
        <w:t xml:space="preserve">2.4.1 根据《政府采购促进中小企业发展管理办法》、《关于进一步加大政府采购支持中小企业力度的通知》、《财政部发展改革委生态环境部市场监管总局关于调整优化节能产品、环境标志产品政府采购执行机制的通知》、《关于促进残疾人就业政府采购政策的通知》、 《财政部 司法部关于政府采购支持监狱企业发展有关问题的通知》、《关于政府采购支持绿色建材促进建筑品质提升试点工作的通知》、《财政部农业农村部国家乡村振兴局关于运用政府采购政策支持乡村产业振兴的通知》、《海南省财政厅关于印发《海南省绿色产品政府采购实施意见（试行）》的通知》、《海南省财政厅 海南省工业和信息化厅关于落实超常规举措加大对中小企业政府采购支持的通知》，政府采购项目的政策优惠条件及要求如下： </w:t>
      </w:r>
    </w:p>
    <w:p w14:paraId="0E2B7530">
      <w:pPr>
        <w:spacing w:line="440" w:lineRule="exact"/>
        <w:ind w:firstLine="480" w:firstLineChars="200"/>
        <w:rPr>
          <w:rFonts w:hint="eastAsia" w:ascii="宋体" w:cs="宋体"/>
          <w:sz w:val="24"/>
        </w:rPr>
      </w:pPr>
      <w:r>
        <w:rPr>
          <w:rFonts w:hint="eastAsia" w:ascii="宋体" w:cs="宋体"/>
          <w:sz w:val="24"/>
          <w:lang w:val="en-US" w:eastAsia="zh-CN"/>
        </w:rPr>
        <w:t xml:space="preserve">2.4.1.1 价格评审优惠： </w:t>
      </w:r>
    </w:p>
    <w:p w14:paraId="62264773">
      <w:pPr>
        <w:spacing w:line="440" w:lineRule="exact"/>
        <w:ind w:firstLine="480" w:firstLineChars="200"/>
        <w:rPr>
          <w:rFonts w:hint="eastAsia" w:ascii="宋体" w:cs="宋体"/>
          <w:sz w:val="24"/>
        </w:rPr>
      </w:pPr>
      <w:r>
        <w:rPr>
          <w:rFonts w:hint="eastAsia" w:ascii="宋体" w:cs="宋体"/>
          <w:sz w:val="24"/>
          <w:lang w:val="en-US" w:eastAsia="zh-CN"/>
        </w:rPr>
        <w:t xml:space="preserve">(1) 对于经主管预算单位统筹后未预留份额专门面向中小企业采购的采购项目，以及预留份额项目中的非预留部分采购包，符合《关于印发＜政府采购促进中小企业发展管理办法＞的通知》（财库〔2020〕46 号）及《关于进一步加大政府采购支持中小企业力度的通知》（财库〔2022〕19 号）规定，货物服务项目给与小微企业 10%的价格扣除优惠，用扣除后的价格参加评审。适用招标投标法的政府采购工程建设项目，采用综合评估法但未采用低价优先法计算价格分的，评标时应当在采用原报价进行评分的基础上增加其价格得分的 3%作为其价格分。 </w:t>
      </w:r>
    </w:p>
    <w:p w14:paraId="0C1EFD19">
      <w:pPr>
        <w:spacing w:line="440" w:lineRule="exact"/>
        <w:ind w:firstLine="480" w:firstLineChars="200"/>
        <w:rPr>
          <w:rFonts w:hint="eastAsia" w:ascii="宋体" w:cs="宋体"/>
          <w:sz w:val="24"/>
        </w:rPr>
      </w:pPr>
      <w:r>
        <w:rPr>
          <w:rFonts w:hint="eastAsia" w:ascii="宋体" w:cs="宋体"/>
          <w:sz w:val="24"/>
          <w:lang w:val="en-US" w:eastAsia="zh-CN"/>
        </w:rPr>
        <w:t xml:space="preserve">(2) 接受大中型企业与小微企业组成联合体或者允许大中型企业向一家或者多家小微企业分包的采购项目，对于联合协议或者分包意向协议约定小微企业的合同份额占到合同总金额30%以上的，采购人、招标代理机构应当对联合体或者大中型企业的报价给予 4%（工程项目为 2%）的扣除，用扣除后的价格参加评审。适用招标投标法的政府采购工程建设项目，采用综合评估法但未采用低价优先法计算价格分的，评标时应当在采用原报价进行评分的基础上增加其价格得分的 2%作为其价格分。组成联合体或者接受分包的小微企业与联合体内其他企业、分包企业之间存在直接控股、管理关系的，不享受价格扣除优惠政策。 </w:t>
      </w:r>
    </w:p>
    <w:p w14:paraId="09252717">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(3) 在政府采购活动中，监狱企业、残疾人福利性单位视同小型、微型企业，享受评审中价格扣除等政府采购促进中小企业发展的政府采购政策。供应商为监狱企业，价格给予 10%的扣除，用扣除后的价格参与评审。供应商为残疾人福利性单位，价格给予 10%的扣除，用扣除后的价格参与评审。 </w:t>
      </w:r>
    </w:p>
    <w:p w14:paraId="6B6205BE">
      <w:pPr>
        <w:spacing w:line="440" w:lineRule="exact"/>
        <w:ind w:firstLine="480" w:firstLineChars="200"/>
        <w:rPr>
          <w:rFonts w:hint="eastAsia" w:ascii="宋体" w:cs="宋体"/>
          <w:sz w:val="24"/>
        </w:rPr>
      </w:pPr>
      <w:r>
        <w:rPr>
          <w:rFonts w:hint="eastAsia" w:ascii="宋体" w:cs="宋体"/>
          <w:sz w:val="24"/>
          <w:lang w:val="en-US" w:eastAsia="zh-CN"/>
        </w:rPr>
        <w:t xml:space="preserve">(4) 对于优先采购的节能产品和环境标志产品的投标单价给予 2%的扣除，用扣除后的价格参与评审。 </w:t>
      </w:r>
    </w:p>
    <w:p w14:paraId="06333262">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(5) 对于绿色产品的投标单价给予 2%的扣除，用扣除后的价格参与评审。 </w:t>
      </w:r>
    </w:p>
    <w:p w14:paraId="3D9773FB">
      <w:pPr>
        <w:spacing w:line="440" w:lineRule="exact"/>
        <w:ind w:firstLine="480" w:firstLineChars="200"/>
        <w:rPr>
          <w:rFonts w:hint="eastAsia" w:ascii="宋体" w:cs="宋体"/>
          <w:sz w:val="24"/>
          <w:lang w:val="en-US" w:eastAsia="zh-CN"/>
        </w:rPr>
      </w:pPr>
      <w:r>
        <w:rPr>
          <w:rFonts w:hint="eastAsia" w:ascii="宋体" w:cs="宋体"/>
          <w:sz w:val="24"/>
          <w:lang w:val="en-US" w:eastAsia="zh-CN"/>
        </w:rPr>
        <w:t>2.4.1.2 供应商符合本章第 2.4.1.1 款规定的，应提供相关证明资料。</w:t>
      </w:r>
    </w:p>
    <w:p w14:paraId="636B3187">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（2）中小企业：按《关于印发＜政府采购促进中小企业发展管理办法＞的通知》（财库〔2020〕46 号）规定，中小企业参加政府采购活动，应当出具《中小企业声明函》（附录2）。任何单位和个人不得要求供应商提供《中小企业声明函》之外的中小企业身份证明文件。供应商提供《中小企业声明函》内容不实的，属于“隐瞒真实情况”，提供虚假资料的情形，依照有关规定追究相应责任。 </w:t>
      </w:r>
    </w:p>
    <w:p w14:paraId="3256FDE2">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（3）监狱企业：按《关于政府采购支持监狱企业发展有关问题的通知》（财库〔2014〕68号）文件规定提供应当提供由省级以上监狱管理局、戒毒管理局（含新疆生产建设兵团）出具的属于监狱企业的证明文件。 </w:t>
      </w:r>
    </w:p>
    <w:p w14:paraId="1A869FB7">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（4）残疾人福利性单位：按《关于促进残疾人就业政府采购政策的通知》（财库〔2017〕141 号）文件规定提供《残疾人福利性单位声明函》（附录 3）。 </w:t>
      </w:r>
    </w:p>
    <w:p w14:paraId="3E19579B">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（5）绿色产品：提供国家确定的认证机构出具的、处于有效期之内的绿色产品认证证书（复印件）。 </w:t>
      </w:r>
    </w:p>
    <w:p w14:paraId="215BDE5E">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2.5.1.3 相关要求 </w:t>
      </w:r>
    </w:p>
    <w:p w14:paraId="20B59026">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(1) 价格扣除比例或者价格分加分比例对小型企业和微型企业同等对待，不作区分。 </w:t>
      </w:r>
    </w:p>
    <w:p w14:paraId="2B9FF8AC">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(2) 依据《关于印发＜政府采购促进中小企业发展管理办法＞的通知》（财库〔2020〕46号）规定享受扶持政策获得政府采购合同的，小微企业不得将合同分包给大中型企业，中型企业不得将合同分包给大型企业。 </w:t>
      </w:r>
    </w:p>
    <w:p w14:paraId="17F9E2A7">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(3) 采购标的对应的中小企业划分标准所属行业详见【供应商须知附表】。 </w:t>
      </w:r>
    </w:p>
    <w:p w14:paraId="7D8261C2">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(4) 中小企业在资金支付期限、预款比例等方面的优惠措施，依据国务院令第 728 号《保障中小企业款项支付条例》实施。 </w:t>
      </w:r>
    </w:p>
    <w:p w14:paraId="5A85C477">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(5) 在政府采购活动中，供应商提供的货物、工程或者服务符合下列情形的，享受本办法规定的中小企业扶持政策： </w:t>
      </w:r>
    </w:p>
    <w:p w14:paraId="4B28C530">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（一）在货物采购项目中，货物由中小企业制造，即货物由中小企业生产且使用该中小企业商号或者注册商标； </w:t>
      </w:r>
    </w:p>
    <w:p w14:paraId="5ACA6F19">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（二）在工程采购项目中，工程由中小企业承建，即工 程施工单位为中小企业； </w:t>
      </w:r>
    </w:p>
    <w:p w14:paraId="026B3E66">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三）在服务采购项目中，服务由中小企业承接，即提供服务的人员为中小企业依照《中华人民共和国劳动民法典》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 </w:t>
      </w:r>
    </w:p>
    <w:p w14:paraId="00FDF48F">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(6) 依据《政府采购促进中小企业发展管理办法》规定享受扶持政策获得政府采购合同的，小微企业不得将合同分包给大中型企业，中型企业不得将合同分包给大型企业； </w:t>
      </w:r>
    </w:p>
    <w:p w14:paraId="6503C544">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2.5.2 政府采购政策交叉与叠加 </w:t>
      </w:r>
    </w:p>
    <w:p w14:paraId="030BA7E5">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(1) 优先采购同时属于“节能产品”、“环境标志产品”的，评审时只有其中一项产品能享受优先采购优惠（供应商自行选择，并在投标文件中并填报相关信息及数据）； </w:t>
      </w:r>
    </w:p>
    <w:p w14:paraId="0C900275">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(2) 监狱企业、残疾人福利性单位同时属于小型、微型企业的，不重复享受价格评审优惠政策； </w:t>
      </w:r>
    </w:p>
    <w:p w14:paraId="4F838A5E">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(3) 小型和微型企业的价格评审优惠可以与同时属于“节能产品”、“环境标志产品”或“绿色产品”中的一项优先采购优惠累加计算。 </w:t>
      </w:r>
    </w:p>
    <w:p w14:paraId="4251D55B">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2.4.3 政府采购合同信用融资 </w:t>
      </w:r>
    </w:p>
    <w:p w14:paraId="37B76B57">
      <w:pPr>
        <w:spacing w:line="440" w:lineRule="exact"/>
        <w:ind w:firstLine="480" w:firstLineChars="200"/>
        <w:rPr>
          <w:rFonts w:hint="eastAsia" w:ascii="宋体" w:cs="宋体"/>
          <w:sz w:val="24"/>
          <w:lang w:val="en-US" w:eastAsia="zh-CN"/>
        </w:rPr>
      </w:pPr>
      <w:r>
        <w:rPr>
          <w:rFonts w:hint="eastAsia" w:ascii="宋体" w:cs="宋体"/>
          <w:sz w:val="24"/>
          <w:lang w:val="en-US" w:eastAsia="zh-CN"/>
        </w:rPr>
        <w:t>政府采购合同信用融资是银行机构以政府采购诚信考核和信用审查为基础，凭借中小企业取得并提供的政府采购合同，按优于一般中小企业贷款的利率直接向申请贷款的中小企业发放贷款的一种新融资方式。供应商在中标（成交）后需要融资时可以申请政府采购合同信用融资。供应商可登陆海南省政府采购网（https://www.ccgp-hainan.gov.cn）查看并操作</w:t>
      </w:r>
    </w:p>
    <w:p w14:paraId="6F83B79D">
      <w:pPr>
        <w:spacing w:line="440" w:lineRule="exact"/>
        <w:ind w:firstLine="480" w:firstLineChars="200"/>
        <w:rPr>
          <w:rFonts w:ascii="宋体" w:cs="宋体"/>
          <w:sz w:val="24"/>
        </w:rPr>
      </w:pPr>
      <w:r>
        <w:rPr>
          <w:rFonts w:hint="eastAsia" w:ascii="宋体" w:cs="宋体"/>
          <w:sz w:val="24"/>
        </w:rPr>
        <w:t>2.5招标（采购）文件中未明确规定允许进口产品参加的，均视为拒绝进口产品参加。（进口产品是指通过中国海关报关验放进入中国境内且产自关境外的产品）。</w:t>
      </w:r>
    </w:p>
    <w:p w14:paraId="42DB8F4E">
      <w:pPr>
        <w:spacing w:line="440" w:lineRule="exact"/>
        <w:ind w:firstLine="480" w:firstLineChars="200"/>
        <w:rPr>
          <w:rFonts w:ascii="宋体" w:cs="宋体"/>
          <w:sz w:val="24"/>
        </w:rPr>
      </w:pPr>
      <w:r>
        <w:rPr>
          <w:rFonts w:hint="eastAsia" w:ascii="宋体" w:cs="宋体"/>
          <w:sz w:val="24"/>
        </w:rPr>
        <w:t>2.6</w:t>
      </w:r>
      <w:r>
        <w:rPr>
          <w:rFonts w:hint="eastAsia" w:ascii="宋体" w:cs="宋体"/>
          <w:sz w:val="24"/>
          <w:lang w:eastAsia="zh-CN"/>
        </w:rPr>
        <w:t>供应商</w:t>
      </w:r>
      <w:r>
        <w:rPr>
          <w:rFonts w:hint="eastAsia" w:ascii="宋体" w:cs="宋体"/>
          <w:sz w:val="24"/>
        </w:rPr>
        <w:t>在本项目招标公告前三年内被列入失信被执行人、</w:t>
      </w:r>
      <w:r>
        <w:rPr>
          <w:rFonts w:hint="eastAsia" w:ascii="宋体" w:hAnsi="宋体"/>
          <w:sz w:val="24"/>
          <w:szCs w:val="24"/>
        </w:rPr>
        <w:t>重大税收违法失信主体</w:t>
      </w:r>
      <w:r>
        <w:rPr>
          <w:rFonts w:hint="eastAsia" w:ascii="宋体" w:cs="宋体"/>
          <w:sz w:val="24"/>
        </w:rPr>
        <w:t>、政府采购严重违法失信行为记录名单，以及存在其他不符合《中华人民共和国政府采购法》第二十二条规定的情况的</w:t>
      </w:r>
      <w:r>
        <w:rPr>
          <w:rFonts w:hint="eastAsia" w:ascii="宋体" w:cs="宋体"/>
          <w:sz w:val="24"/>
          <w:lang w:eastAsia="zh-CN"/>
        </w:rPr>
        <w:t>供应商</w:t>
      </w:r>
      <w:r>
        <w:rPr>
          <w:rFonts w:hint="eastAsia" w:ascii="宋体" w:cs="宋体"/>
          <w:sz w:val="24"/>
        </w:rPr>
        <w:t>不得参与投标。两个以上的自然人、法人或者其他组织组成一个联合体，以一个</w:t>
      </w:r>
      <w:r>
        <w:rPr>
          <w:rFonts w:hint="eastAsia" w:ascii="宋体" w:cs="宋体"/>
          <w:sz w:val="24"/>
          <w:lang w:eastAsia="zh-CN"/>
        </w:rPr>
        <w:t>供应商</w:t>
      </w:r>
      <w:r>
        <w:rPr>
          <w:rFonts w:hint="eastAsia" w:ascii="宋体" w:cs="宋体"/>
          <w:sz w:val="24"/>
        </w:rPr>
        <w:t>的身份共同参加政府采购活动，联合体任意成员存在不良信用记录的，视同联合体存在不良信用记录。</w:t>
      </w:r>
    </w:p>
    <w:p w14:paraId="7A5BBFFF">
      <w:pPr>
        <w:spacing w:line="440" w:lineRule="exact"/>
        <w:ind w:firstLine="480" w:firstLineChars="200"/>
        <w:rPr>
          <w:sz w:val="24"/>
        </w:rPr>
      </w:pPr>
      <w:r>
        <w:rPr>
          <w:rFonts w:hint="eastAsia" w:ascii="宋体" w:cs="宋体"/>
          <w:sz w:val="24"/>
        </w:rPr>
        <w:t>2.7本章2.6款的信用记录以“信用中国”网站（www.creditchina.gov.cn）或中国政府采购网（www.ccgp.gov.cn）、</w:t>
      </w:r>
      <w:r>
        <w:rPr>
          <w:rFonts w:hint="eastAsia" w:ascii="宋体" w:hAnsi="宋体"/>
          <w:sz w:val="24"/>
          <w:szCs w:val="24"/>
        </w:rPr>
        <w:t>中国执行信息公开网（</w:t>
      </w:r>
      <w:r>
        <w:rPr>
          <w:rFonts w:ascii="宋体" w:hAnsi="宋体"/>
          <w:sz w:val="24"/>
          <w:szCs w:val="24"/>
        </w:rPr>
        <w:t>http://zxgk.court.gov.cn/shixin/）</w:t>
      </w:r>
      <w:r>
        <w:rPr>
          <w:rFonts w:hint="eastAsia" w:ascii="宋体" w:cs="宋体"/>
          <w:sz w:val="24"/>
        </w:rPr>
        <w:t>上公布的信用记录为准。</w:t>
      </w:r>
    </w:p>
    <w:p w14:paraId="1E114EE1">
      <w:pPr>
        <w:tabs>
          <w:tab w:val="left" w:pos="4680"/>
        </w:tabs>
        <w:snapToGrid w:val="0"/>
        <w:spacing w:line="440" w:lineRule="exact"/>
        <w:outlineLvl w:val="1"/>
        <w:rPr>
          <w:rFonts w:ascii="宋体" w:hAnsi="宋体" w:cs="宋体"/>
          <w:b/>
          <w:bCs/>
          <w:sz w:val="24"/>
        </w:rPr>
      </w:pPr>
      <w:bookmarkStart w:id="63" w:name="_Toc501985150"/>
      <w:bookmarkStart w:id="64" w:name="_Toc3741"/>
      <w:bookmarkStart w:id="65" w:name="_Toc154755445"/>
      <w:bookmarkStart w:id="66" w:name="_Toc154744412"/>
      <w:r>
        <w:rPr>
          <w:rFonts w:hint="eastAsia" w:ascii="宋体" w:hAnsi="宋体" w:cs="宋体"/>
          <w:b/>
          <w:bCs/>
          <w:sz w:val="24"/>
        </w:rPr>
        <w:t>3．投标费用</w:t>
      </w:r>
      <w:bookmarkEnd w:id="61"/>
      <w:bookmarkEnd w:id="62"/>
      <w:bookmarkEnd w:id="63"/>
      <w:bookmarkEnd w:id="64"/>
      <w:bookmarkEnd w:id="65"/>
      <w:bookmarkEnd w:id="66"/>
    </w:p>
    <w:p w14:paraId="6247CA3D">
      <w:pPr>
        <w:adjustRightInd w:val="0"/>
        <w:snapToGrid w:val="0"/>
        <w:spacing w:line="440" w:lineRule="exact"/>
        <w:ind w:firstLine="480" w:firstLineChars="200"/>
        <w:rPr>
          <w:rFonts w:ascii="宋体"/>
          <w:sz w:val="24"/>
        </w:rPr>
      </w:pPr>
      <w:r>
        <w:rPr>
          <w:rFonts w:ascii="宋体" w:hAnsi="宋体" w:cs="宋体"/>
          <w:sz w:val="24"/>
        </w:rPr>
        <w:t>3.1</w:t>
      </w:r>
      <w:r>
        <w:rPr>
          <w:rFonts w:hint="eastAsia" w:ascii="宋体" w:hAnsi="宋体" w:cs="宋体"/>
          <w:sz w:val="24"/>
          <w:lang w:eastAsia="zh-CN"/>
        </w:rPr>
        <w:t>供应商</w:t>
      </w:r>
      <w:r>
        <w:rPr>
          <w:rFonts w:hint="eastAsia" w:ascii="宋体" w:hAnsi="宋体" w:cs="宋体"/>
          <w:sz w:val="24"/>
        </w:rPr>
        <w:t>应承担其编制</w:t>
      </w:r>
      <w:r>
        <w:rPr>
          <w:rFonts w:hint="eastAsia" w:ascii="宋体" w:hAnsi="宋体" w:cs="宋体"/>
          <w:sz w:val="24"/>
          <w:lang w:eastAsia="zh-CN"/>
        </w:rPr>
        <w:t>响应文件</w:t>
      </w:r>
      <w:r>
        <w:rPr>
          <w:rFonts w:hint="eastAsia" w:ascii="宋体" w:hAnsi="宋体" w:cs="宋体"/>
          <w:sz w:val="24"/>
        </w:rPr>
        <w:t>与递交</w:t>
      </w:r>
      <w:r>
        <w:rPr>
          <w:rFonts w:hint="eastAsia" w:ascii="宋体" w:hAnsi="宋体" w:cs="宋体"/>
          <w:sz w:val="24"/>
          <w:lang w:eastAsia="zh-CN"/>
        </w:rPr>
        <w:t>响应文件</w:t>
      </w:r>
      <w:r>
        <w:rPr>
          <w:rFonts w:hint="eastAsia" w:ascii="宋体" w:hAnsi="宋体" w:cs="宋体"/>
          <w:sz w:val="24"/>
        </w:rPr>
        <w:t>等投标过程中所涉及的一切费用，不论投标结果如何，招标人及采购代理机构将不予承担。</w:t>
      </w:r>
    </w:p>
    <w:p w14:paraId="24B450CF">
      <w:pPr>
        <w:spacing w:before="120"/>
        <w:ind w:firstLine="480" w:firstLineChars="200"/>
        <w:rPr>
          <w:rFonts w:ascii="宋体" w:hAnsi="宋体"/>
          <w:sz w:val="24"/>
        </w:rPr>
      </w:pPr>
      <w:r>
        <w:rPr>
          <w:rFonts w:ascii="宋体" w:hAnsi="宋体" w:cs="宋体"/>
          <w:sz w:val="24"/>
        </w:rPr>
        <w:t>3.2</w:t>
      </w:r>
      <w:r>
        <w:rPr>
          <w:rFonts w:hint="eastAsia" w:ascii="宋体" w:hAnsi="宋体"/>
          <w:sz w:val="24"/>
        </w:rPr>
        <w:t>本项目招标代理服务费计算依据：按照《海南省机电工程学校直播教室设备采购项目招标代理合同》</w:t>
      </w:r>
      <w:r>
        <w:rPr>
          <w:rFonts w:hint="eastAsia" w:ascii="宋体" w:hAnsi="宋体"/>
          <w:sz w:val="24"/>
          <w:lang w:eastAsia="zh-CN"/>
        </w:rPr>
        <w:t>的</w:t>
      </w:r>
      <w:r>
        <w:rPr>
          <w:rFonts w:hint="eastAsia" w:ascii="宋体" w:hAnsi="宋体"/>
          <w:sz w:val="24"/>
          <w:lang w:val="en-US" w:eastAsia="zh-CN"/>
        </w:rPr>
        <w:t>合同价人民币</w:t>
      </w:r>
      <w:r>
        <w:rPr>
          <w:rFonts w:hint="eastAsia" w:ascii="宋体" w:hAnsi="宋体"/>
          <w:sz w:val="24"/>
          <w:u w:val="single"/>
          <w:lang w:val="en-US" w:eastAsia="zh-CN"/>
        </w:rPr>
        <w:t>45624.00元（大写：肆万伍仟陆佰贰拾肆元整）</w:t>
      </w:r>
      <w:r>
        <w:rPr>
          <w:rFonts w:hint="eastAsia" w:ascii="宋体" w:hAnsi="宋体"/>
          <w:sz w:val="24"/>
        </w:rPr>
        <w:t>计取</w:t>
      </w:r>
      <w:r>
        <w:rPr>
          <w:rFonts w:hint="eastAsia" w:ascii="宋体" w:hAnsi="宋体"/>
          <w:sz w:val="24"/>
          <w:lang w:val="zh-CN"/>
        </w:rPr>
        <w:t>，由中标单位支付，在取成交通知书前一次性付清。</w:t>
      </w:r>
    </w:p>
    <w:p w14:paraId="35AABCB8">
      <w:pPr>
        <w:adjustRightInd w:val="0"/>
        <w:snapToGrid w:val="0"/>
        <w:spacing w:line="440" w:lineRule="exact"/>
        <w:ind w:firstLine="480" w:firstLineChars="200"/>
        <w:rPr>
          <w:rFonts w:ascii="宋体"/>
          <w:sz w:val="24"/>
        </w:rPr>
      </w:pPr>
      <w:r>
        <w:rPr>
          <w:rFonts w:hint="eastAsia" w:ascii="宋体" w:hAnsi="宋体" w:cs="宋体"/>
          <w:sz w:val="24"/>
        </w:rPr>
        <w:t>支付方式：采购代理费以公对公转账方式支付。</w:t>
      </w:r>
    </w:p>
    <w:p w14:paraId="34EA4D94">
      <w:pPr>
        <w:spacing w:before="120"/>
        <w:ind w:firstLine="720" w:firstLineChars="300"/>
        <w:rPr>
          <w:rFonts w:hint="eastAsia" w:ascii="宋体" w:hAnsi="宋体" w:eastAsia="宋体"/>
          <w:sz w:val="24"/>
          <w:lang w:eastAsia="zh-CN"/>
        </w:rPr>
      </w:pPr>
      <w:bookmarkStart w:id="67" w:name="_Toc238907005"/>
      <w:bookmarkStart w:id="68" w:name="_Toc468811084"/>
      <w:bookmarkStart w:id="69" w:name="_Toc501985151"/>
      <w:r>
        <w:rPr>
          <w:rFonts w:hint="eastAsia" w:ascii="宋体" w:hAnsi="宋体"/>
          <w:sz w:val="24"/>
        </w:rPr>
        <w:t>开户名: 法正项目管理集团有限公司海南分公司</w:t>
      </w:r>
    </w:p>
    <w:p w14:paraId="4470A807">
      <w:pPr>
        <w:spacing w:before="120"/>
        <w:ind w:firstLine="720" w:firstLineChars="300"/>
        <w:rPr>
          <w:rFonts w:ascii="宋体" w:hAnsi="宋体"/>
          <w:sz w:val="24"/>
        </w:rPr>
      </w:pPr>
      <w:r>
        <w:rPr>
          <w:rFonts w:hint="eastAsia" w:ascii="宋体" w:hAnsi="宋体"/>
          <w:sz w:val="24"/>
        </w:rPr>
        <w:t>开户行: 平安银行海口世贸支行</w:t>
      </w:r>
    </w:p>
    <w:p w14:paraId="770C6085">
      <w:pPr>
        <w:spacing w:before="120"/>
        <w:ind w:firstLine="600" w:firstLineChars="250"/>
        <w:rPr>
          <w:rFonts w:ascii="宋体" w:hAnsi="宋体"/>
          <w:sz w:val="24"/>
        </w:rPr>
      </w:pPr>
      <w:r>
        <w:rPr>
          <w:rFonts w:hint="eastAsia" w:ascii="宋体" w:hAnsi="宋体"/>
          <w:sz w:val="24"/>
        </w:rPr>
        <w:t>账  号: 11014862231007</w:t>
      </w:r>
    </w:p>
    <w:p w14:paraId="6A19C3A3">
      <w:pPr>
        <w:tabs>
          <w:tab w:val="left" w:pos="4680"/>
        </w:tabs>
        <w:snapToGrid w:val="0"/>
        <w:spacing w:line="440" w:lineRule="exact"/>
        <w:outlineLvl w:val="1"/>
        <w:rPr>
          <w:b/>
          <w:bCs/>
          <w:sz w:val="24"/>
        </w:rPr>
      </w:pPr>
      <w:bookmarkStart w:id="70" w:name="_Toc154755446"/>
      <w:bookmarkStart w:id="71" w:name="_Toc154744413"/>
      <w:bookmarkStart w:id="72" w:name="_Toc14758"/>
      <w:r>
        <w:rPr>
          <w:b/>
          <w:bCs/>
          <w:sz w:val="24"/>
        </w:rPr>
        <w:t>4</w:t>
      </w:r>
      <w:r>
        <w:rPr>
          <w:rFonts w:hint="eastAsia" w:cs="宋体"/>
          <w:b/>
          <w:bCs/>
          <w:sz w:val="24"/>
        </w:rPr>
        <w:t>．法律适用</w:t>
      </w:r>
      <w:bookmarkEnd w:id="67"/>
      <w:bookmarkEnd w:id="68"/>
      <w:bookmarkEnd w:id="69"/>
      <w:bookmarkEnd w:id="70"/>
      <w:bookmarkEnd w:id="71"/>
      <w:bookmarkEnd w:id="72"/>
    </w:p>
    <w:p w14:paraId="3344E639">
      <w:pPr>
        <w:spacing w:line="440" w:lineRule="exact"/>
        <w:ind w:firstLine="480" w:firstLineChars="200"/>
        <w:rPr>
          <w:rFonts w:ascii="宋体"/>
          <w:sz w:val="24"/>
        </w:rPr>
      </w:pPr>
      <w:r>
        <w:rPr>
          <w:rFonts w:hint="eastAsia" w:ascii="宋体" w:hAnsi="宋体" w:cs="宋体"/>
          <w:sz w:val="24"/>
        </w:rPr>
        <w:t>本次招标活动及由本次招标产生的合同受中华人民共和国的法律制约和保护。</w:t>
      </w:r>
    </w:p>
    <w:p w14:paraId="7A327040">
      <w:pPr>
        <w:tabs>
          <w:tab w:val="left" w:pos="4680"/>
        </w:tabs>
        <w:snapToGrid w:val="0"/>
        <w:spacing w:line="440" w:lineRule="exact"/>
        <w:outlineLvl w:val="1"/>
        <w:rPr>
          <w:b/>
          <w:bCs/>
          <w:sz w:val="24"/>
        </w:rPr>
      </w:pPr>
      <w:bookmarkStart w:id="73" w:name="_Toc154744414"/>
      <w:bookmarkStart w:id="74" w:name="_Toc2619"/>
      <w:bookmarkStart w:id="75" w:name="_Toc501985152"/>
      <w:bookmarkStart w:id="76" w:name="_Toc238907006"/>
      <w:bookmarkStart w:id="77" w:name="_Toc468811085"/>
      <w:bookmarkStart w:id="78" w:name="_Toc154755447"/>
      <w:r>
        <w:rPr>
          <w:b/>
          <w:bCs/>
          <w:sz w:val="24"/>
        </w:rPr>
        <w:t>5</w:t>
      </w:r>
      <w:r>
        <w:rPr>
          <w:rFonts w:hint="eastAsia" w:cs="宋体"/>
          <w:b/>
          <w:bCs/>
          <w:sz w:val="24"/>
        </w:rPr>
        <w:t>．招标文件的约束力</w:t>
      </w:r>
      <w:bookmarkEnd w:id="73"/>
      <w:bookmarkEnd w:id="74"/>
      <w:bookmarkEnd w:id="75"/>
      <w:bookmarkEnd w:id="76"/>
      <w:bookmarkEnd w:id="77"/>
      <w:bookmarkEnd w:id="78"/>
    </w:p>
    <w:p w14:paraId="69E85B64">
      <w:pPr>
        <w:snapToGrid w:val="0"/>
        <w:spacing w:line="440" w:lineRule="exact"/>
        <w:ind w:firstLine="480" w:firstLineChars="200"/>
        <w:rPr>
          <w:rFonts w:hAnsi="宋体" w:cs="宋体"/>
          <w:sz w:val="24"/>
        </w:rPr>
      </w:pPr>
      <w:bookmarkStart w:id="79" w:name="_Toc501985153"/>
      <w:bookmarkStart w:id="80" w:name="_Toc154755448"/>
      <w:bookmarkStart w:id="81" w:name="_Toc154744415"/>
      <w:r>
        <w:rPr>
          <w:rFonts w:hint="eastAsia" w:hAnsi="宋体" w:cs="宋体"/>
          <w:sz w:val="24"/>
        </w:rPr>
        <w:t>本招标文件由</w:t>
      </w:r>
      <w:r>
        <w:rPr>
          <w:rFonts w:hint="eastAsia" w:ascii="宋体" w:hAnsi="宋体"/>
          <w:sz w:val="24"/>
          <w:lang w:val="en-GB" w:eastAsia="zh-CN"/>
        </w:rPr>
        <w:t>法正项目管理集团有限公司</w:t>
      </w:r>
      <w:r>
        <w:rPr>
          <w:rFonts w:hint="eastAsia" w:hAnsi="宋体" w:cs="宋体"/>
          <w:sz w:val="24"/>
        </w:rPr>
        <w:t>负责解释。</w:t>
      </w:r>
      <w:bookmarkEnd w:id="79"/>
      <w:bookmarkEnd w:id="80"/>
      <w:bookmarkEnd w:id="81"/>
      <w:bookmarkStart w:id="82" w:name="_Toc238907007"/>
      <w:bookmarkStart w:id="83" w:name="_Toc468811086"/>
    </w:p>
    <w:p w14:paraId="414B7C2B">
      <w:pPr>
        <w:pStyle w:val="2"/>
        <w:jc w:val="both"/>
        <w:rPr>
          <w:rFonts w:hint="eastAsia" w:eastAsia="宋体" w:cs="宋体"/>
          <w:sz w:val="28"/>
          <w:szCs w:val="28"/>
          <w:lang w:val="en-US" w:eastAsia="zh-CN"/>
        </w:rPr>
      </w:pPr>
      <w:bookmarkStart w:id="84" w:name="_Toc501985154"/>
      <w:bookmarkStart w:id="85" w:name="_Toc27425"/>
      <w:r>
        <w:rPr>
          <w:rFonts w:hint="eastAsia" w:cs="宋体"/>
          <w:sz w:val="28"/>
          <w:szCs w:val="28"/>
        </w:rPr>
        <w:t>（二）招标文件</w:t>
      </w:r>
      <w:bookmarkEnd w:id="82"/>
      <w:bookmarkEnd w:id="83"/>
      <w:bookmarkEnd w:id="84"/>
      <w:bookmarkEnd w:id="85"/>
      <w:r>
        <w:rPr>
          <w:rFonts w:hint="eastAsia" w:cs="宋体"/>
          <w:sz w:val="28"/>
          <w:szCs w:val="28"/>
          <w:lang w:val="en-US" w:eastAsia="zh-CN"/>
        </w:rPr>
        <w:t xml:space="preserve"> </w:t>
      </w:r>
    </w:p>
    <w:p w14:paraId="70ACCA48">
      <w:pPr>
        <w:tabs>
          <w:tab w:val="left" w:pos="4680"/>
        </w:tabs>
        <w:snapToGrid w:val="0"/>
        <w:spacing w:line="360" w:lineRule="auto"/>
        <w:outlineLvl w:val="2"/>
        <w:rPr>
          <w:rFonts w:ascii="宋体" w:hAnsi="宋体" w:cs="宋体"/>
          <w:b/>
          <w:bCs/>
          <w:sz w:val="24"/>
        </w:rPr>
      </w:pPr>
      <w:bookmarkStart w:id="86" w:name="_Toc501985155"/>
      <w:bookmarkStart w:id="87" w:name="_Toc154744416"/>
      <w:bookmarkStart w:id="88" w:name="_Toc468811087"/>
      <w:bookmarkStart w:id="89" w:name="_Toc154755449"/>
      <w:bookmarkStart w:id="90" w:name="_Toc238907008"/>
      <w:r>
        <w:rPr>
          <w:rFonts w:hint="eastAsia" w:ascii="宋体" w:hAnsi="宋体" w:cs="宋体"/>
          <w:b/>
          <w:bCs/>
          <w:sz w:val="24"/>
        </w:rPr>
        <w:t>6．招标文件的组成</w:t>
      </w:r>
      <w:bookmarkEnd w:id="86"/>
      <w:bookmarkEnd w:id="87"/>
      <w:bookmarkEnd w:id="88"/>
      <w:bookmarkEnd w:id="89"/>
      <w:bookmarkEnd w:id="90"/>
    </w:p>
    <w:p w14:paraId="42A56A02">
      <w:pPr>
        <w:spacing w:line="440" w:lineRule="exact"/>
        <w:ind w:firstLine="480" w:firstLineChars="200"/>
        <w:rPr>
          <w:rFonts w:ascii="宋体"/>
          <w:sz w:val="24"/>
        </w:rPr>
      </w:pPr>
      <w:r>
        <w:rPr>
          <w:rFonts w:ascii="宋体" w:hAnsi="宋体" w:cs="宋体"/>
          <w:sz w:val="24"/>
        </w:rPr>
        <w:t xml:space="preserve">6.l </w:t>
      </w:r>
      <w:r>
        <w:rPr>
          <w:rFonts w:hint="eastAsia" w:ascii="宋体" w:hAnsi="宋体" w:cs="宋体"/>
          <w:sz w:val="24"/>
        </w:rPr>
        <w:t>招标文件由六部分组成，包括：</w:t>
      </w:r>
    </w:p>
    <w:p w14:paraId="2FD35884">
      <w:pPr>
        <w:spacing w:line="440" w:lineRule="exact"/>
        <w:ind w:firstLine="360" w:firstLineChars="150"/>
        <w:rPr>
          <w:rFonts w:ascii="宋体" w:hAnsi="宋体" w:cs="宋体"/>
          <w:sz w:val="24"/>
        </w:rPr>
      </w:pPr>
      <w:r>
        <w:rPr>
          <w:rFonts w:hint="eastAsia" w:ascii="宋体" w:hAnsi="宋体" w:cs="宋体"/>
          <w:sz w:val="24"/>
        </w:rPr>
        <w:t>第一章  招标公告</w:t>
      </w:r>
    </w:p>
    <w:p w14:paraId="3577F0B3">
      <w:pPr>
        <w:spacing w:line="440" w:lineRule="exact"/>
        <w:ind w:firstLine="360" w:firstLineChars="150"/>
        <w:rPr>
          <w:rFonts w:ascii="宋体" w:hAnsi="宋体" w:cs="宋体"/>
          <w:sz w:val="24"/>
        </w:rPr>
      </w:pPr>
      <w:r>
        <w:rPr>
          <w:rFonts w:hint="eastAsia" w:ascii="宋体" w:hAnsi="宋体" w:cs="宋体"/>
          <w:sz w:val="24"/>
        </w:rPr>
        <w:t xml:space="preserve">第二章  </w:t>
      </w:r>
      <w:r>
        <w:rPr>
          <w:rFonts w:hint="eastAsia" w:ascii="宋体" w:hAnsi="宋体" w:cs="宋体"/>
          <w:sz w:val="24"/>
          <w:lang w:eastAsia="zh-CN"/>
        </w:rPr>
        <w:t>供应商</w:t>
      </w:r>
      <w:r>
        <w:rPr>
          <w:rFonts w:hint="eastAsia" w:ascii="宋体" w:hAnsi="宋体" w:cs="宋体"/>
          <w:sz w:val="24"/>
        </w:rPr>
        <w:t>须知</w:t>
      </w:r>
    </w:p>
    <w:p w14:paraId="375E90AD">
      <w:pPr>
        <w:spacing w:line="440" w:lineRule="exact"/>
        <w:ind w:firstLine="360" w:firstLineChars="150"/>
        <w:rPr>
          <w:rFonts w:ascii="宋体" w:hAnsi="宋体" w:cs="宋体"/>
          <w:sz w:val="24"/>
        </w:rPr>
      </w:pPr>
      <w:r>
        <w:rPr>
          <w:rFonts w:hint="eastAsia" w:ascii="宋体" w:hAnsi="宋体" w:cs="宋体"/>
          <w:sz w:val="24"/>
        </w:rPr>
        <w:t>第三章  评标标准</w:t>
      </w:r>
    </w:p>
    <w:p w14:paraId="403FF114">
      <w:pPr>
        <w:spacing w:line="440" w:lineRule="exact"/>
        <w:ind w:firstLine="360" w:firstLineChars="150"/>
        <w:rPr>
          <w:rFonts w:ascii="宋体" w:hAnsi="宋体" w:cs="宋体"/>
          <w:sz w:val="24"/>
        </w:rPr>
      </w:pPr>
      <w:r>
        <w:rPr>
          <w:rFonts w:hint="eastAsia" w:ascii="宋体" w:hAnsi="宋体" w:cs="宋体"/>
          <w:sz w:val="24"/>
        </w:rPr>
        <w:t>第四章  合同条款及格式</w:t>
      </w:r>
    </w:p>
    <w:p w14:paraId="4A3791C4">
      <w:pPr>
        <w:spacing w:line="440" w:lineRule="exact"/>
        <w:ind w:firstLine="360" w:firstLineChars="150"/>
        <w:rPr>
          <w:rFonts w:hint="eastAsia" w:ascii="宋体" w:hAnsi="宋体" w:eastAsia="宋体" w:cs="宋体"/>
          <w:sz w:val="24"/>
          <w:lang w:eastAsia="zh-CN"/>
        </w:rPr>
      </w:pPr>
      <w:r>
        <w:rPr>
          <w:rFonts w:hint="eastAsia" w:ascii="宋体" w:hAnsi="宋体" w:cs="宋体"/>
          <w:sz w:val="24"/>
        </w:rPr>
        <w:t>第五章  </w:t>
      </w:r>
      <w:r>
        <w:rPr>
          <w:rFonts w:hint="eastAsia" w:ascii="宋体" w:hAnsi="宋体" w:cs="宋体"/>
          <w:sz w:val="24"/>
          <w:lang w:eastAsia="zh-CN"/>
        </w:rPr>
        <w:t>采购需求书</w:t>
      </w:r>
    </w:p>
    <w:p w14:paraId="1BDD42EC">
      <w:pPr>
        <w:spacing w:line="440" w:lineRule="exact"/>
        <w:ind w:firstLine="360" w:firstLineChars="150"/>
        <w:rPr>
          <w:rFonts w:ascii="宋体" w:hAnsi="宋体" w:cs="宋体"/>
          <w:sz w:val="24"/>
        </w:rPr>
      </w:pPr>
      <w:r>
        <w:rPr>
          <w:rFonts w:hint="eastAsia" w:ascii="宋体" w:hAnsi="宋体" w:cs="宋体"/>
          <w:sz w:val="24"/>
        </w:rPr>
        <w:t>第六章  </w:t>
      </w:r>
      <w:r>
        <w:rPr>
          <w:rFonts w:hint="eastAsia" w:ascii="宋体" w:hAnsi="宋体" w:cs="宋体"/>
          <w:sz w:val="24"/>
          <w:lang w:eastAsia="zh-CN"/>
        </w:rPr>
        <w:t>响应文件</w:t>
      </w:r>
      <w:r>
        <w:rPr>
          <w:rFonts w:hint="eastAsia" w:ascii="宋体" w:hAnsi="宋体" w:cs="宋体"/>
          <w:sz w:val="24"/>
        </w:rPr>
        <w:t>格式</w:t>
      </w:r>
    </w:p>
    <w:p w14:paraId="2B8E71E5">
      <w:pPr>
        <w:spacing w:line="440" w:lineRule="exact"/>
        <w:ind w:firstLine="360" w:firstLineChars="150"/>
        <w:rPr>
          <w:rFonts w:ascii="宋体"/>
          <w:sz w:val="24"/>
        </w:rPr>
      </w:pPr>
      <w:r>
        <w:rPr>
          <w:rFonts w:hint="eastAsia" w:ascii="宋体" w:hAnsi="宋体" w:cs="宋体"/>
          <w:sz w:val="24"/>
        </w:rPr>
        <w:t>请仔细检查招标文件是否齐全，如有缺漏，请立即与</w:t>
      </w:r>
      <w:r>
        <w:rPr>
          <w:rFonts w:hint="eastAsia" w:ascii="宋体" w:hAnsi="宋体" w:cs="宋体"/>
          <w:sz w:val="24"/>
          <w:lang w:eastAsia="zh-CN"/>
        </w:rPr>
        <w:t>法正项目管理集团有限公司</w:t>
      </w:r>
      <w:r>
        <w:rPr>
          <w:rFonts w:hint="eastAsia" w:ascii="宋体" w:hAnsi="宋体" w:cs="宋体"/>
          <w:sz w:val="24"/>
        </w:rPr>
        <w:t>联系解决。</w:t>
      </w:r>
    </w:p>
    <w:p w14:paraId="0E02E5F9">
      <w:pPr>
        <w:spacing w:line="440" w:lineRule="exact"/>
        <w:ind w:firstLine="480" w:firstLineChars="200"/>
        <w:rPr>
          <w:rFonts w:ascii="宋体"/>
          <w:sz w:val="24"/>
        </w:rPr>
      </w:pPr>
      <w:r>
        <w:rPr>
          <w:rFonts w:ascii="宋体" w:hAnsi="宋体" w:cs="宋体"/>
          <w:sz w:val="24"/>
        </w:rPr>
        <w:t xml:space="preserve">6.2 </w:t>
      </w:r>
      <w:r>
        <w:rPr>
          <w:rFonts w:hint="eastAsia" w:ascii="宋体" w:hAnsi="宋体" w:cs="宋体"/>
          <w:sz w:val="24"/>
          <w:lang w:eastAsia="zh-CN"/>
        </w:rPr>
        <w:t>供应商</w:t>
      </w:r>
      <w:r>
        <w:rPr>
          <w:rFonts w:hint="eastAsia" w:ascii="宋体" w:hAnsi="宋体" w:cs="宋体"/>
          <w:sz w:val="24"/>
        </w:rPr>
        <w:t>被视为充分熟悉本招标项目所在地的与履行合同有关的各种情况，包括自然环境、气候条件、劳动力及公用设施等，本招标文件不再对上述情况进行描述。</w:t>
      </w:r>
    </w:p>
    <w:p w14:paraId="48C3D932">
      <w:pPr>
        <w:spacing w:line="440" w:lineRule="exact"/>
        <w:ind w:firstLine="480" w:firstLineChars="200"/>
        <w:rPr>
          <w:rFonts w:ascii="宋体"/>
          <w:sz w:val="24"/>
        </w:rPr>
      </w:pPr>
      <w:r>
        <w:rPr>
          <w:rFonts w:ascii="宋体" w:hAnsi="宋体" w:cs="宋体"/>
          <w:sz w:val="24"/>
        </w:rPr>
        <w:t xml:space="preserve">6.3 </w:t>
      </w:r>
      <w:r>
        <w:rPr>
          <w:rFonts w:hint="eastAsia" w:ascii="宋体" w:hAnsi="宋体" w:cs="宋体"/>
          <w:sz w:val="24"/>
          <w:lang w:eastAsia="zh-CN"/>
        </w:rPr>
        <w:t>供应商</w:t>
      </w:r>
      <w:r>
        <w:rPr>
          <w:rFonts w:hint="eastAsia" w:ascii="宋体" w:hAnsi="宋体" w:cs="宋体"/>
          <w:sz w:val="24"/>
        </w:rPr>
        <w:t>必须详阅招标文件的所有条款、文件及表格格式。</w:t>
      </w:r>
      <w:r>
        <w:rPr>
          <w:rFonts w:hint="eastAsia" w:ascii="宋体" w:hAnsi="宋体" w:cs="宋体"/>
          <w:sz w:val="24"/>
          <w:lang w:eastAsia="zh-CN"/>
        </w:rPr>
        <w:t>供应商</w:t>
      </w:r>
      <w:r>
        <w:rPr>
          <w:rFonts w:hint="eastAsia" w:ascii="宋体" w:hAnsi="宋体" w:cs="宋体"/>
          <w:sz w:val="24"/>
        </w:rPr>
        <w:t>若未按招标文件的要求和规范编制、提交</w:t>
      </w:r>
      <w:r>
        <w:rPr>
          <w:rFonts w:hint="eastAsia" w:ascii="宋体" w:hAnsi="宋体" w:cs="宋体"/>
          <w:sz w:val="24"/>
          <w:lang w:eastAsia="zh-CN"/>
        </w:rPr>
        <w:t>响应文件</w:t>
      </w:r>
      <w:r>
        <w:rPr>
          <w:rFonts w:hint="eastAsia" w:ascii="宋体" w:hAnsi="宋体" w:cs="宋体"/>
          <w:sz w:val="24"/>
        </w:rPr>
        <w:t>，将有可能导致</w:t>
      </w:r>
      <w:r>
        <w:rPr>
          <w:rFonts w:hint="eastAsia" w:ascii="宋体" w:hAnsi="宋体" w:cs="宋体"/>
          <w:sz w:val="24"/>
          <w:lang w:eastAsia="zh-CN"/>
        </w:rPr>
        <w:t>响应文件</w:t>
      </w:r>
      <w:r>
        <w:rPr>
          <w:rFonts w:hint="eastAsia" w:ascii="宋体" w:hAnsi="宋体" w:cs="宋体"/>
          <w:sz w:val="24"/>
        </w:rPr>
        <w:t>被拒绝接受，所造成的负面后果由</w:t>
      </w:r>
      <w:r>
        <w:rPr>
          <w:rFonts w:hint="eastAsia" w:ascii="宋体" w:hAnsi="宋体" w:cs="宋体"/>
          <w:sz w:val="24"/>
          <w:lang w:eastAsia="zh-CN"/>
        </w:rPr>
        <w:t>供应商</w:t>
      </w:r>
      <w:r>
        <w:rPr>
          <w:rFonts w:hint="eastAsia" w:ascii="宋体" w:hAnsi="宋体" w:cs="宋体"/>
          <w:sz w:val="24"/>
        </w:rPr>
        <w:t>负责。</w:t>
      </w:r>
    </w:p>
    <w:p w14:paraId="0101C817">
      <w:pPr>
        <w:tabs>
          <w:tab w:val="left" w:pos="4680"/>
        </w:tabs>
        <w:snapToGrid w:val="0"/>
        <w:spacing w:line="440" w:lineRule="exact"/>
        <w:outlineLvl w:val="2"/>
        <w:rPr>
          <w:rFonts w:ascii="宋体" w:hAnsi="宋体" w:cs="宋体"/>
          <w:b/>
          <w:bCs/>
          <w:sz w:val="24"/>
        </w:rPr>
      </w:pPr>
      <w:bookmarkStart w:id="91" w:name="_Toc154744417"/>
      <w:bookmarkStart w:id="92" w:name="_Toc238907009"/>
      <w:bookmarkStart w:id="93" w:name="_Toc154755450"/>
      <w:bookmarkStart w:id="94" w:name="_Toc501985162"/>
      <w:bookmarkStart w:id="95" w:name="_Toc468811094"/>
      <w:r>
        <w:rPr>
          <w:rFonts w:hint="eastAsia" w:ascii="宋体" w:hAnsi="宋体" w:cs="宋体"/>
          <w:b/>
          <w:bCs/>
          <w:sz w:val="24"/>
        </w:rPr>
        <w:t>7．招标文件的澄清</w:t>
      </w:r>
      <w:bookmarkEnd w:id="91"/>
      <w:bookmarkEnd w:id="92"/>
      <w:bookmarkEnd w:id="93"/>
      <w:bookmarkEnd w:id="94"/>
      <w:bookmarkEnd w:id="95"/>
    </w:p>
    <w:p w14:paraId="17DE0740">
      <w:pPr>
        <w:spacing w:line="440" w:lineRule="exact"/>
        <w:ind w:firstLine="480" w:firstLineChars="200"/>
        <w:rPr>
          <w:rFonts w:ascii="宋体"/>
          <w:sz w:val="24"/>
        </w:rPr>
      </w:pPr>
      <w:r>
        <w:rPr>
          <w:rFonts w:ascii="宋体" w:hAnsi="宋体" w:cs="宋体"/>
          <w:sz w:val="24"/>
        </w:rPr>
        <w:t>7</w:t>
      </w:r>
      <w:r>
        <w:rPr>
          <w:rFonts w:ascii="宋体" w:cs="宋体"/>
          <w:sz w:val="24"/>
        </w:rPr>
        <w:t>.</w:t>
      </w:r>
      <w:r>
        <w:rPr>
          <w:rFonts w:ascii="宋体" w:hAnsi="宋体" w:cs="宋体"/>
          <w:sz w:val="24"/>
        </w:rPr>
        <w:t xml:space="preserve">1 </w:t>
      </w:r>
      <w:r>
        <w:rPr>
          <w:rFonts w:hint="eastAsia" w:ascii="宋体" w:hAnsi="宋体" w:cs="宋体"/>
          <w:sz w:val="24"/>
        </w:rPr>
        <w:t>招标采购单位对已发出的招标文件进行澄清或者修改，将在招标文件要求的提交</w:t>
      </w:r>
      <w:r>
        <w:rPr>
          <w:rFonts w:hint="eastAsia" w:ascii="宋体" w:hAnsi="宋体" w:cs="宋体"/>
          <w:sz w:val="24"/>
          <w:lang w:eastAsia="zh-CN"/>
        </w:rPr>
        <w:t>响应文件</w:t>
      </w:r>
      <w:r>
        <w:rPr>
          <w:rFonts w:hint="eastAsia" w:ascii="宋体" w:hAnsi="宋体" w:cs="宋体"/>
          <w:sz w:val="24"/>
        </w:rPr>
        <w:t>截止时间十五日前进行，并以书面形式将澄清或者修改的内容通知所有购买了招标文件的</w:t>
      </w:r>
      <w:r>
        <w:rPr>
          <w:rFonts w:hint="eastAsia" w:ascii="宋体" w:hAnsi="宋体" w:cs="宋体"/>
          <w:sz w:val="24"/>
          <w:lang w:eastAsia="zh-CN"/>
        </w:rPr>
        <w:t>供应商</w:t>
      </w:r>
      <w:r>
        <w:rPr>
          <w:rFonts w:hint="eastAsia" w:ascii="宋体" w:hAnsi="宋体" w:cs="宋体"/>
          <w:sz w:val="24"/>
        </w:rPr>
        <w:t>。该澄清或者修改的内容为招标文件的组成部分。</w:t>
      </w:r>
    </w:p>
    <w:p w14:paraId="5CCA6C97">
      <w:pPr>
        <w:spacing w:line="440" w:lineRule="exact"/>
        <w:ind w:firstLine="480" w:firstLineChars="200"/>
        <w:rPr>
          <w:rFonts w:ascii="宋体"/>
          <w:sz w:val="24"/>
        </w:rPr>
      </w:pPr>
      <w:r>
        <w:rPr>
          <w:rFonts w:ascii="宋体" w:hAnsi="宋体" w:cs="宋体"/>
          <w:sz w:val="24"/>
        </w:rPr>
        <w:t>7</w:t>
      </w:r>
      <w:r>
        <w:rPr>
          <w:rFonts w:ascii="宋体" w:cs="宋体"/>
          <w:b/>
          <w:bCs/>
          <w:sz w:val="24"/>
        </w:rPr>
        <w:t>.</w:t>
      </w:r>
      <w:r>
        <w:rPr>
          <w:rFonts w:ascii="宋体" w:hAnsi="宋体" w:cs="宋体"/>
          <w:sz w:val="24"/>
        </w:rPr>
        <w:t>2</w:t>
      </w:r>
      <w:r>
        <w:rPr>
          <w:rFonts w:hint="eastAsia" w:ascii="宋体" w:hAnsi="宋体" w:cs="宋体"/>
          <w:sz w:val="24"/>
          <w:lang w:eastAsia="zh-CN"/>
        </w:rPr>
        <w:t>供应商</w:t>
      </w:r>
      <w:r>
        <w:rPr>
          <w:rFonts w:hint="eastAsia" w:ascii="宋体" w:hAnsi="宋体" w:cs="宋体"/>
          <w:sz w:val="24"/>
        </w:rPr>
        <w:t>要求对招标文件进行澄清的，均应在投标截止日</w:t>
      </w:r>
      <w:r>
        <w:rPr>
          <w:rFonts w:ascii="宋体" w:hAnsi="宋体" w:cs="宋体"/>
          <w:sz w:val="24"/>
        </w:rPr>
        <w:t>15</w:t>
      </w:r>
      <w:r>
        <w:rPr>
          <w:rFonts w:hint="eastAsia" w:ascii="宋体" w:hAnsi="宋体" w:cs="宋体"/>
          <w:sz w:val="24"/>
        </w:rPr>
        <w:t>天前按招标文件中的联系方式，以书面形式通知采购代理机构。</w:t>
      </w:r>
    </w:p>
    <w:p w14:paraId="03CDC7B4">
      <w:pPr>
        <w:spacing w:line="440" w:lineRule="exact"/>
        <w:ind w:firstLine="480" w:firstLineChars="200"/>
        <w:rPr>
          <w:rFonts w:ascii="宋体"/>
          <w:sz w:val="24"/>
        </w:rPr>
      </w:pPr>
      <w:r>
        <w:rPr>
          <w:rFonts w:ascii="宋体" w:hAnsi="宋体" w:cs="宋体"/>
          <w:sz w:val="24"/>
        </w:rPr>
        <w:t xml:space="preserve">7.3 </w:t>
      </w:r>
      <w:r>
        <w:rPr>
          <w:rFonts w:hint="eastAsia" w:ascii="宋体" w:hAnsi="宋体" w:cs="宋体"/>
          <w:sz w:val="24"/>
        </w:rPr>
        <w:t>在投标截止时间前，招标采购单位可以视采购具体情况，延长投标截止时间和开标时间，并在招标文件要求提交</w:t>
      </w:r>
      <w:r>
        <w:rPr>
          <w:rFonts w:hint="eastAsia" w:ascii="宋体" w:hAnsi="宋体" w:cs="宋体"/>
          <w:sz w:val="24"/>
          <w:lang w:eastAsia="zh-CN"/>
        </w:rPr>
        <w:t>响应文件</w:t>
      </w:r>
      <w:r>
        <w:rPr>
          <w:rFonts w:hint="eastAsia" w:ascii="宋体" w:hAnsi="宋体" w:cs="宋体"/>
          <w:sz w:val="24"/>
        </w:rPr>
        <w:t>的截止时间三日前，将变更时间以书面形式通知所有购买了招标文件的</w:t>
      </w:r>
      <w:r>
        <w:rPr>
          <w:rFonts w:hint="eastAsia" w:ascii="宋体" w:hAnsi="宋体" w:cs="宋体"/>
          <w:sz w:val="24"/>
          <w:lang w:eastAsia="zh-CN"/>
        </w:rPr>
        <w:t>供应商</w:t>
      </w:r>
      <w:r>
        <w:rPr>
          <w:rFonts w:hint="eastAsia" w:ascii="宋体" w:hAnsi="宋体" w:cs="宋体"/>
          <w:sz w:val="24"/>
        </w:rPr>
        <w:t>。</w:t>
      </w:r>
    </w:p>
    <w:p w14:paraId="55FBFAF7">
      <w:pPr>
        <w:spacing w:line="440" w:lineRule="exact"/>
        <w:ind w:firstLine="542" w:firstLineChars="226"/>
        <w:rPr>
          <w:rFonts w:ascii="宋体"/>
          <w:sz w:val="24"/>
        </w:rPr>
      </w:pPr>
      <w:r>
        <w:rPr>
          <w:rFonts w:ascii="宋体" w:hAnsi="宋体" w:cs="宋体"/>
          <w:sz w:val="24"/>
        </w:rPr>
        <w:t xml:space="preserve">7.4 </w:t>
      </w:r>
      <w:r>
        <w:rPr>
          <w:rFonts w:hint="eastAsia" w:ascii="宋体" w:hAnsi="宋体" w:cs="宋体"/>
          <w:sz w:val="24"/>
          <w:lang w:eastAsia="zh-CN"/>
        </w:rPr>
        <w:t>供应商</w:t>
      </w:r>
      <w:r>
        <w:rPr>
          <w:rFonts w:hint="eastAsia" w:ascii="宋体" w:hAnsi="宋体" w:cs="宋体"/>
          <w:sz w:val="24"/>
        </w:rPr>
        <w:t>对采购代理机构提供的招标文件所做出的推论、解释和结论，采购代理机构概不负责。</w:t>
      </w:r>
      <w:r>
        <w:rPr>
          <w:rFonts w:hint="eastAsia" w:ascii="宋体" w:hAnsi="宋体" w:cs="宋体"/>
          <w:sz w:val="24"/>
          <w:lang w:eastAsia="zh-CN"/>
        </w:rPr>
        <w:t>供应商</w:t>
      </w:r>
      <w:r>
        <w:rPr>
          <w:rFonts w:hint="eastAsia" w:ascii="宋体" w:hAnsi="宋体" w:cs="宋体"/>
          <w:sz w:val="24"/>
        </w:rPr>
        <w:t>由于对招标文件的任何推论误解以及采购代理机构对有关问题的口头解释所造成的后果，均由</w:t>
      </w:r>
      <w:r>
        <w:rPr>
          <w:rFonts w:hint="eastAsia" w:ascii="宋体" w:hAnsi="宋体" w:cs="宋体"/>
          <w:sz w:val="24"/>
          <w:lang w:eastAsia="zh-CN"/>
        </w:rPr>
        <w:t>供应商</w:t>
      </w:r>
      <w:r>
        <w:rPr>
          <w:rFonts w:hint="eastAsia" w:ascii="宋体" w:hAnsi="宋体" w:cs="宋体"/>
          <w:sz w:val="24"/>
        </w:rPr>
        <w:t>自负。</w:t>
      </w:r>
      <w:bookmarkStart w:id="96" w:name="_Toc217446041"/>
      <w:bookmarkStart w:id="97" w:name="_Toc183682350"/>
      <w:bookmarkStart w:id="98" w:name="_Toc183582213"/>
      <w:bookmarkStart w:id="99" w:name="_Toc208848971"/>
    </w:p>
    <w:bookmarkEnd w:id="96"/>
    <w:bookmarkEnd w:id="97"/>
    <w:bookmarkEnd w:id="98"/>
    <w:bookmarkEnd w:id="99"/>
    <w:p w14:paraId="280C57A2">
      <w:pPr>
        <w:tabs>
          <w:tab w:val="left" w:pos="4680"/>
        </w:tabs>
        <w:snapToGrid w:val="0"/>
        <w:spacing w:line="440" w:lineRule="exact"/>
        <w:outlineLvl w:val="2"/>
        <w:rPr>
          <w:rFonts w:ascii="宋体" w:hAnsi="宋体" w:cs="宋体"/>
          <w:b/>
          <w:bCs/>
          <w:sz w:val="24"/>
        </w:rPr>
      </w:pPr>
      <w:bookmarkStart w:id="100" w:name="_Toc501985163"/>
      <w:bookmarkStart w:id="101" w:name="_Toc154744418"/>
      <w:bookmarkStart w:id="102" w:name="_Toc154755451"/>
      <w:bookmarkStart w:id="103" w:name="_Toc468811095"/>
      <w:bookmarkStart w:id="104" w:name="_Toc238907010"/>
      <w:r>
        <w:rPr>
          <w:rFonts w:hint="eastAsia" w:ascii="宋体" w:hAnsi="宋体" w:cs="宋体"/>
          <w:b/>
          <w:bCs/>
          <w:sz w:val="24"/>
        </w:rPr>
        <w:t>8．招标文件的更正或补充</w:t>
      </w:r>
      <w:bookmarkEnd w:id="100"/>
      <w:bookmarkEnd w:id="101"/>
      <w:bookmarkEnd w:id="102"/>
      <w:bookmarkEnd w:id="103"/>
      <w:bookmarkEnd w:id="104"/>
    </w:p>
    <w:p w14:paraId="0D4B46BE">
      <w:pPr>
        <w:spacing w:line="440" w:lineRule="exact"/>
        <w:ind w:firstLine="480" w:firstLineChars="200"/>
        <w:rPr>
          <w:rFonts w:ascii="宋体"/>
          <w:sz w:val="24"/>
        </w:rPr>
      </w:pPr>
      <w:r>
        <w:rPr>
          <w:rFonts w:ascii="宋体" w:hAnsi="宋体" w:cs="宋体"/>
          <w:sz w:val="24"/>
        </w:rPr>
        <w:t xml:space="preserve">8.l </w:t>
      </w:r>
      <w:r>
        <w:rPr>
          <w:rFonts w:hint="eastAsia" w:ascii="宋体" w:hAnsi="宋体" w:cs="宋体"/>
          <w:sz w:val="24"/>
        </w:rPr>
        <w:t>在投标截止时间前十五天，采购代理机构均可对招标文件用更正招标文件的方式进行修正。</w:t>
      </w:r>
    </w:p>
    <w:p w14:paraId="42D77B0F">
      <w:pPr>
        <w:spacing w:line="440" w:lineRule="exact"/>
        <w:ind w:firstLine="480" w:firstLineChars="200"/>
        <w:rPr>
          <w:rFonts w:ascii="宋体" w:hAnsi="宋体" w:cs="宋体"/>
          <w:sz w:val="24"/>
        </w:rPr>
      </w:pPr>
      <w:bookmarkStart w:id="105" w:name="_Toc501985164"/>
      <w:bookmarkStart w:id="106" w:name="_Toc154744419"/>
      <w:bookmarkStart w:id="107" w:name="_Toc497745166"/>
      <w:bookmarkStart w:id="108" w:name="_Toc154755452"/>
      <w:r>
        <w:rPr>
          <w:rFonts w:ascii="宋体" w:hAnsi="宋体" w:cs="宋体"/>
          <w:sz w:val="24"/>
        </w:rPr>
        <w:t xml:space="preserve">8.2 </w:t>
      </w:r>
      <w:r>
        <w:rPr>
          <w:rFonts w:hint="eastAsia" w:ascii="宋体" w:hAnsi="宋体" w:cs="宋体"/>
          <w:sz w:val="24"/>
        </w:rPr>
        <w:t>对招标文件的更正，将以书面形式通知所有</w:t>
      </w:r>
      <w:r>
        <w:rPr>
          <w:rFonts w:hint="eastAsia" w:ascii="宋体" w:hAnsi="宋体" w:cs="宋体"/>
          <w:sz w:val="24"/>
          <w:lang w:eastAsia="zh-CN"/>
        </w:rPr>
        <w:t>供应商</w:t>
      </w:r>
      <w:r>
        <w:rPr>
          <w:rFonts w:hint="eastAsia" w:ascii="宋体" w:hAnsi="宋体" w:cs="宋体"/>
          <w:sz w:val="24"/>
        </w:rPr>
        <w:t>。更正内容将作为招标文件的组成部分，对所有</w:t>
      </w:r>
      <w:r>
        <w:rPr>
          <w:rFonts w:hint="eastAsia" w:ascii="宋体" w:hAnsi="宋体" w:cs="宋体"/>
          <w:sz w:val="24"/>
          <w:lang w:eastAsia="zh-CN"/>
        </w:rPr>
        <w:t>供应商</w:t>
      </w:r>
      <w:r>
        <w:rPr>
          <w:rFonts w:hint="eastAsia" w:ascii="宋体" w:hAnsi="宋体" w:cs="宋体"/>
          <w:sz w:val="24"/>
        </w:rPr>
        <w:t>有约束力。</w:t>
      </w:r>
      <w:bookmarkEnd w:id="105"/>
      <w:bookmarkEnd w:id="106"/>
      <w:bookmarkEnd w:id="107"/>
      <w:bookmarkEnd w:id="108"/>
    </w:p>
    <w:p w14:paraId="559672FB">
      <w:pPr>
        <w:spacing w:line="440" w:lineRule="exact"/>
        <w:ind w:firstLine="480" w:firstLineChars="200"/>
        <w:rPr>
          <w:rFonts w:ascii="宋体" w:hAnsi="宋体" w:cs="宋体"/>
          <w:sz w:val="24"/>
        </w:rPr>
      </w:pPr>
      <w:r>
        <w:rPr>
          <w:rFonts w:ascii="宋体" w:hAnsi="宋体" w:cs="宋体"/>
          <w:sz w:val="24"/>
        </w:rPr>
        <w:t xml:space="preserve">8.3 </w:t>
      </w:r>
      <w:r>
        <w:rPr>
          <w:rFonts w:hint="eastAsia" w:ascii="宋体" w:hAnsi="宋体" w:cs="宋体"/>
          <w:sz w:val="24"/>
        </w:rPr>
        <w:t>当招标文件与更正内容相互矛盾时，以采购代理机构最后发出的更正内容为准。</w:t>
      </w:r>
    </w:p>
    <w:p w14:paraId="1A71C1EE">
      <w:pPr>
        <w:spacing w:line="440" w:lineRule="exact"/>
        <w:ind w:firstLine="480" w:firstLineChars="200"/>
        <w:rPr>
          <w:rFonts w:ascii="宋体" w:hAnsi="宋体" w:cs="宋体"/>
          <w:sz w:val="24"/>
        </w:rPr>
      </w:pPr>
      <w:bookmarkStart w:id="109" w:name="_Toc501985165"/>
      <w:bookmarkStart w:id="110" w:name="_Toc154755453"/>
      <w:bookmarkStart w:id="111" w:name="_Toc497745167"/>
      <w:bookmarkStart w:id="112" w:name="_Toc154744420"/>
      <w:r>
        <w:rPr>
          <w:rFonts w:ascii="宋体" w:hAnsi="宋体" w:cs="宋体"/>
          <w:sz w:val="24"/>
        </w:rPr>
        <w:t xml:space="preserve">8.4 </w:t>
      </w:r>
      <w:r>
        <w:rPr>
          <w:rFonts w:hint="eastAsia" w:ascii="宋体" w:hAnsi="宋体" w:cs="宋体"/>
          <w:sz w:val="24"/>
          <w:lang w:eastAsia="zh-CN"/>
        </w:rPr>
        <w:t>供应商</w:t>
      </w:r>
      <w:r>
        <w:rPr>
          <w:rFonts w:hint="eastAsia" w:ascii="宋体" w:hAnsi="宋体" w:cs="宋体"/>
          <w:sz w:val="24"/>
        </w:rPr>
        <w:t>在收到更正内容后，应于一个工作日内正式书面回函采购代理机构。逾期不回的，采购代理机构视同</w:t>
      </w:r>
      <w:r>
        <w:rPr>
          <w:rFonts w:hint="eastAsia" w:ascii="宋体" w:hAnsi="宋体" w:cs="宋体"/>
          <w:sz w:val="24"/>
          <w:lang w:eastAsia="zh-CN"/>
        </w:rPr>
        <w:t>供应商</w:t>
      </w:r>
      <w:r>
        <w:rPr>
          <w:rFonts w:hint="eastAsia" w:ascii="宋体" w:hAnsi="宋体" w:cs="宋体"/>
          <w:sz w:val="24"/>
        </w:rPr>
        <w:t>已收到更正公告。</w:t>
      </w:r>
      <w:bookmarkEnd w:id="109"/>
      <w:bookmarkEnd w:id="110"/>
      <w:bookmarkEnd w:id="111"/>
      <w:bookmarkEnd w:id="112"/>
    </w:p>
    <w:p w14:paraId="71AE37E8">
      <w:pPr>
        <w:spacing w:line="440" w:lineRule="exact"/>
        <w:ind w:firstLine="480" w:firstLineChars="200"/>
        <w:rPr>
          <w:rFonts w:ascii="宋体"/>
          <w:sz w:val="24"/>
        </w:rPr>
      </w:pPr>
      <w:r>
        <w:rPr>
          <w:rFonts w:ascii="宋体" w:hAnsi="宋体" w:cs="宋体"/>
          <w:sz w:val="24"/>
        </w:rPr>
        <w:t xml:space="preserve">8.5 </w:t>
      </w:r>
      <w:r>
        <w:rPr>
          <w:rFonts w:hint="eastAsia" w:ascii="宋体" w:hAnsi="宋体" w:cs="宋体"/>
          <w:sz w:val="24"/>
        </w:rPr>
        <w:t>为使</w:t>
      </w:r>
      <w:r>
        <w:rPr>
          <w:rFonts w:hint="eastAsia" w:ascii="宋体" w:hAnsi="宋体" w:cs="宋体"/>
          <w:sz w:val="24"/>
          <w:lang w:eastAsia="zh-CN"/>
        </w:rPr>
        <w:t>供应商</w:t>
      </w:r>
      <w:r>
        <w:rPr>
          <w:rFonts w:hint="eastAsia" w:ascii="宋体" w:hAnsi="宋体" w:cs="宋体"/>
          <w:sz w:val="24"/>
        </w:rPr>
        <w:t>有足够的时间按招标文件的更正要求修正</w:t>
      </w:r>
      <w:r>
        <w:rPr>
          <w:rFonts w:hint="eastAsia" w:ascii="宋体" w:hAnsi="宋体" w:cs="宋体"/>
          <w:sz w:val="24"/>
          <w:lang w:eastAsia="zh-CN"/>
        </w:rPr>
        <w:t>响应文件</w:t>
      </w:r>
      <w:r>
        <w:rPr>
          <w:rFonts w:hint="eastAsia" w:ascii="宋体" w:hAnsi="宋体" w:cs="宋体"/>
          <w:sz w:val="24"/>
        </w:rPr>
        <w:t>，采购代理机构有权决定推迟投标截止日期和开标时间，并将此变更书面通知所有购买了同一招标文件的</w:t>
      </w:r>
      <w:r>
        <w:rPr>
          <w:rFonts w:hint="eastAsia" w:ascii="宋体" w:hAnsi="宋体" w:cs="宋体"/>
          <w:sz w:val="24"/>
          <w:lang w:eastAsia="zh-CN"/>
        </w:rPr>
        <w:t>供应商</w:t>
      </w:r>
      <w:r>
        <w:rPr>
          <w:rFonts w:hint="eastAsia" w:ascii="宋体" w:hAnsi="宋体" w:cs="宋体"/>
          <w:sz w:val="24"/>
        </w:rPr>
        <w:t>。</w:t>
      </w:r>
      <w:bookmarkStart w:id="113" w:name="_Toc238907011"/>
      <w:bookmarkStart w:id="114" w:name="_Toc468811096"/>
    </w:p>
    <w:p w14:paraId="66791949">
      <w:pPr>
        <w:pStyle w:val="2"/>
        <w:jc w:val="both"/>
        <w:rPr>
          <w:rFonts w:hint="eastAsia" w:eastAsia="宋体" w:cs="宋体"/>
          <w:sz w:val="28"/>
          <w:szCs w:val="28"/>
          <w:lang w:eastAsia="zh-CN"/>
        </w:rPr>
      </w:pPr>
      <w:bookmarkStart w:id="115" w:name="_Toc14702"/>
      <w:bookmarkStart w:id="116" w:name="_Toc501985166"/>
      <w:r>
        <w:rPr>
          <w:rFonts w:hint="eastAsia" w:cs="宋体"/>
          <w:sz w:val="28"/>
          <w:szCs w:val="28"/>
        </w:rPr>
        <w:t>（三）</w:t>
      </w:r>
      <w:bookmarkEnd w:id="113"/>
      <w:bookmarkEnd w:id="114"/>
      <w:bookmarkEnd w:id="115"/>
      <w:bookmarkEnd w:id="116"/>
      <w:r>
        <w:rPr>
          <w:rFonts w:hint="eastAsia" w:cs="宋体"/>
          <w:sz w:val="28"/>
          <w:szCs w:val="28"/>
          <w:lang w:eastAsia="zh-CN"/>
        </w:rPr>
        <w:t>响应文件</w:t>
      </w:r>
    </w:p>
    <w:p w14:paraId="6C24D3D5">
      <w:pPr>
        <w:tabs>
          <w:tab w:val="left" w:pos="4680"/>
        </w:tabs>
        <w:snapToGrid w:val="0"/>
        <w:spacing w:line="440" w:lineRule="exact"/>
        <w:outlineLvl w:val="2"/>
        <w:rPr>
          <w:rFonts w:ascii="宋体" w:hAnsi="宋体" w:cs="宋体"/>
          <w:b/>
          <w:bCs/>
          <w:sz w:val="24"/>
        </w:rPr>
      </w:pPr>
      <w:bookmarkStart w:id="117" w:name="_Toc154755454"/>
      <w:bookmarkStart w:id="118" w:name="_Toc238907012"/>
      <w:bookmarkStart w:id="119" w:name="_Toc501985167"/>
      <w:bookmarkStart w:id="120" w:name="_Toc154744421"/>
      <w:bookmarkStart w:id="121" w:name="_Toc468811097"/>
      <w:r>
        <w:rPr>
          <w:rFonts w:hint="eastAsia" w:ascii="宋体" w:hAnsi="宋体" w:cs="宋体"/>
          <w:b/>
          <w:bCs/>
          <w:sz w:val="24"/>
        </w:rPr>
        <w:t>9．</w:t>
      </w:r>
      <w:r>
        <w:rPr>
          <w:rFonts w:hint="eastAsia" w:ascii="宋体" w:hAnsi="宋体" w:cs="宋体"/>
          <w:b/>
          <w:bCs/>
          <w:sz w:val="24"/>
          <w:lang w:eastAsia="zh-CN"/>
        </w:rPr>
        <w:t>响应文件</w:t>
      </w:r>
      <w:r>
        <w:rPr>
          <w:rFonts w:hint="eastAsia" w:ascii="宋体" w:hAnsi="宋体" w:cs="宋体"/>
          <w:b/>
          <w:bCs/>
          <w:sz w:val="24"/>
        </w:rPr>
        <w:t>的语言及度量衡</w:t>
      </w:r>
      <w:bookmarkEnd w:id="117"/>
      <w:bookmarkEnd w:id="118"/>
      <w:bookmarkEnd w:id="119"/>
      <w:bookmarkEnd w:id="120"/>
      <w:bookmarkEnd w:id="121"/>
    </w:p>
    <w:p w14:paraId="7F3F7DE0">
      <w:pPr>
        <w:spacing w:line="440" w:lineRule="exact"/>
        <w:ind w:firstLine="480" w:firstLineChars="200"/>
        <w:rPr>
          <w:rFonts w:ascii="宋体" w:hAnsi="宋体" w:cs="宋体"/>
          <w:sz w:val="24"/>
        </w:rPr>
      </w:pPr>
      <w:r>
        <w:rPr>
          <w:rFonts w:hint="eastAsia" w:ascii="宋体" w:hAnsi="宋体" w:cs="宋体"/>
          <w:sz w:val="24"/>
        </w:rPr>
        <w:t>9.1</w:t>
      </w:r>
      <w:r>
        <w:rPr>
          <w:rFonts w:hint="eastAsia" w:ascii="宋体" w:hAnsi="宋体" w:cs="宋体"/>
          <w:sz w:val="24"/>
          <w:lang w:eastAsia="zh-CN"/>
        </w:rPr>
        <w:t>供应商</w:t>
      </w:r>
      <w:r>
        <w:rPr>
          <w:rFonts w:hint="eastAsia" w:ascii="宋体" w:hAnsi="宋体" w:cs="宋体"/>
          <w:sz w:val="24"/>
        </w:rPr>
        <w:t>提交的</w:t>
      </w:r>
      <w:r>
        <w:rPr>
          <w:rFonts w:hint="eastAsia" w:ascii="宋体" w:hAnsi="宋体" w:cs="宋体"/>
          <w:sz w:val="24"/>
          <w:lang w:eastAsia="zh-CN"/>
        </w:rPr>
        <w:t>响应文件</w:t>
      </w:r>
      <w:r>
        <w:rPr>
          <w:rFonts w:hint="eastAsia" w:ascii="宋体" w:hAnsi="宋体" w:cs="宋体"/>
          <w:sz w:val="24"/>
        </w:rPr>
        <w:t>以及</w:t>
      </w:r>
      <w:r>
        <w:rPr>
          <w:rFonts w:hint="eastAsia" w:ascii="宋体" w:hAnsi="宋体" w:cs="宋体"/>
          <w:sz w:val="24"/>
          <w:lang w:eastAsia="zh-CN"/>
        </w:rPr>
        <w:t>供应商</w:t>
      </w:r>
      <w:r>
        <w:rPr>
          <w:rFonts w:hint="eastAsia" w:ascii="宋体" w:hAnsi="宋体" w:cs="宋体"/>
          <w:sz w:val="24"/>
        </w:rPr>
        <w:t>与招标采购单位就有关投标的所有来往书面文件均须使用</w:t>
      </w:r>
      <w:r>
        <w:rPr>
          <w:rFonts w:hint="eastAsia" w:ascii="宋体" w:hAnsi="宋体" w:cs="宋体"/>
          <w:b/>
          <w:bCs/>
          <w:sz w:val="24"/>
          <w:u w:val="single"/>
        </w:rPr>
        <w:t xml:space="preserve">中文 </w:t>
      </w:r>
      <w:r>
        <w:rPr>
          <w:rFonts w:hint="eastAsia" w:ascii="宋体" w:hAnsi="宋体" w:cs="宋体"/>
          <w:sz w:val="24"/>
        </w:rPr>
        <w:t>（语言文字）。</w:t>
      </w:r>
      <w:r>
        <w:rPr>
          <w:rFonts w:hint="eastAsia" w:ascii="宋体" w:hAnsi="宋体" w:cs="宋体"/>
          <w:sz w:val="24"/>
          <w:lang w:eastAsia="zh-CN"/>
        </w:rPr>
        <w:t>响应文件</w:t>
      </w:r>
      <w:r>
        <w:rPr>
          <w:rFonts w:hint="eastAsia" w:ascii="宋体" w:hAnsi="宋体" w:cs="宋体"/>
          <w:sz w:val="24"/>
        </w:rPr>
        <w:t>中如附有外文资料，必须逐一对应翻译成中文并加盖</w:t>
      </w:r>
      <w:r>
        <w:rPr>
          <w:rFonts w:hint="eastAsia" w:ascii="宋体" w:hAnsi="宋体" w:cs="宋体"/>
          <w:sz w:val="24"/>
          <w:lang w:eastAsia="zh-CN"/>
        </w:rPr>
        <w:t>供应商</w:t>
      </w:r>
      <w:r>
        <w:rPr>
          <w:rFonts w:hint="eastAsia" w:ascii="宋体" w:hAnsi="宋体" w:cs="宋体"/>
          <w:sz w:val="24"/>
        </w:rPr>
        <w:t>公章后附在相关外文资料后面，否则，</w:t>
      </w:r>
      <w:r>
        <w:rPr>
          <w:rFonts w:hint="eastAsia" w:ascii="宋体" w:hAnsi="宋体" w:cs="宋体"/>
          <w:sz w:val="24"/>
          <w:lang w:eastAsia="zh-CN"/>
        </w:rPr>
        <w:t>供应商</w:t>
      </w:r>
      <w:r>
        <w:rPr>
          <w:rFonts w:hint="eastAsia" w:ascii="宋体" w:hAnsi="宋体" w:cs="宋体"/>
          <w:sz w:val="24"/>
        </w:rPr>
        <w:t>的</w:t>
      </w:r>
      <w:r>
        <w:rPr>
          <w:rFonts w:hint="eastAsia" w:ascii="宋体" w:hAnsi="宋体" w:cs="宋体"/>
          <w:sz w:val="24"/>
          <w:lang w:eastAsia="zh-CN"/>
        </w:rPr>
        <w:t>响应文件</w:t>
      </w:r>
      <w:r>
        <w:rPr>
          <w:rFonts w:hint="eastAsia" w:ascii="宋体" w:hAnsi="宋体" w:cs="宋体"/>
          <w:sz w:val="24"/>
        </w:rPr>
        <w:t>将作为无效投标处理。</w:t>
      </w:r>
    </w:p>
    <w:p w14:paraId="65A9D0AC">
      <w:pPr>
        <w:spacing w:line="440" w:lineRule="exact"/>
        <w:ind w:firstLine="480" w:firstLineChars="200"/>
        <w:rPr>
          <w:rFonts w:ascii="宋体" w:hAnsi="宋体" w:cs="宋体"/>
          <w:sz w:val="24"/>
        </w:rPr>
      </w:pPr>
      <w:r>
        <w:rPr>
          <w:rFonts w:hint="eastAsia" w:ascii="宋体" w:hAnsi="宋体" w:cs="宋体"/>
          <w:sz w:val="24"/>
        </w:rPr>
        <w:t xml:space="preserve">9.2 </w:t>
      </w:r>
      <w:r>
        <w:rPr>
          <w:rFonts w:hint="eastAsia" w:ascii="宋体" w:hAnsi="宋体" w:cs="宋体"/>
          <w:sz w:val="24"/>
          <w:lang w:eastAsia="zh-CN"/>
        </w:rPr>
        <w:t>供应商</w:t>
      </w:r>
      <w:r>
        <w:rPr>
          <w:rFonts w:hint="eastAsia" w:ascii="宋体" w:hAnsi="宋体" w:cs="宋体"/>
          <w:sz w:val="24"/>
        </w:rPr>
        <w:t>已印刷好的资料如产品样本、说明书等可以用其他语言，但其中要点应附有中文译文。在解释</w:t>
      </w:r>
      <w:r>
        <w:rPr>
          <w:rFonts w:hint="eastAsia" w:ascii="宋体" w:hAnsi="宋体" w:cs="宋体"/>
          <w:sz w:val="24"/>
          <w:lang w:eastAsia="zh-CN"/>
        </w:rPr>
        <w:t>响应文件</w:t>
      </w:r>
      <w:r>
        <w:rPr>
          <w:rFonts w:hint="eastAsia" w:ascii="宋体" w:hAnsi="宋体" w:cs="宋体"/>
          <w:sz w:val="24"/>
        </w:rPr>
        <w:t>时，以译文为准。</w:t>
      </w:r>
    </w:p>
    <w:p w14:paraId="070A9157">
      <w:pPr>
        <w:spacing w:line="440" w:lineRule="exact"/>
        <w:ind w:firstLine="480" w:firstLineChars="200"/>
        <w:rPr>
          <w:rFonts w:ascii="宋体" w:hAnsi="宋体" w:cs="宋体"/>
          <w:sz w:val="24"/>
        </w:rPr>
      </w:pPr>
      <w:bookmarkStart w:id="122" w:name="_Toc154755455"/>
      <w:bookmarkStart w:id="123" w:name="_Toc154744422"/>
      <w:bookmarkStart w:id="124" w:name="_Toc497745170"/>
      <w:bookmarkStart w:id="125" w:name="_Toc501985168"/>
      <w:r>
        <w:rPr>
          <w:rFonts w:hint="eastAsia" w:ascii="宋体" w:hAnsi="宋体" w:cs="宋体"/>
          <w:sz w:val="24"/>
        </w:rPr>
        <w:t>9.3 除在招标文件中另有规定外，度量衡单位应使用国际单位制。</w:t>
      </w:r>
      <w:bookmarkEnd w:id="122"/>
      <w:bookmarkEnd w:id="123"/>
      <w:bookmarkEnd w:id="124"/>
      <w:bookmarkEnd w:id="125"/>
    </w:p>
    <w:p w14:paraId="5A2CBF96">
      <w:pPr>
        <w:spacing w:line="440" w:lineRule="exact"/>
        <w:ind w:firstLine="480" w:firstLineChars="200"/>
        <w:rPr>
          <w:rFonts w:ascii="宋体" w:hAnsi="宋体" w:cs="宋体"/>
          <w:sz w:val="24"/>
        </w:rPr>
      </w:pPr>
      <w:r>
        <w:rPr>
          <w:rFonts w:hint="eastAsia" w:ascii="宋体" w:hAnsi="宋体" w:cs="宋体"/>
          <w:sz w:val="24"/>
        </w:rPr>
        <w:t>9.4 本招标文件所表述的时间均为北京时间。</w:t>
      </w:r>
    </w:p>
    <w:p w14:paraId="5003D3EB">
      <w:pPr>
        <w:tabs>
          <w:tab w:val="left" w:pos="4680"/>
        </w:tabs>
        <w:snapToGrid w:val="0"/>
        <w:spacing w:line="440" w:lineRule="exact"/>
        <w:outlineLvl w:val="2"/>
        <w:rPr>
          <w:rFonts w:ascii="宋体" w:hAnsi="宋体" w:cs="宋体"/>
          <w:b/>
          <w:bCs/>
          <w:sz w:val="24"/>
        </w:rPr>
      </w:pPr>
      <w:bookmarkStart w:id="126" w:name="_Toc501985169"/>
      <w:bookmarkStart w:id="127" w:name="_Toc154755456"/>
      <w:bookmarkStart w:id="128" w:name="_Toc154744423"/>
      <w:bookmarkStart w:id="129" w:name="_Toc468811098"/>
      <w:bookmarkStart w:id="130" w:name="_Toc238907013"/>
      <w:bookmarkStart w:id="131" w:name="_Toc501985171"/>
      <w:bookmarkStart w:id="132" w:name="_Toc468811099"/>
      <w:bookmarkStart w:id="133" w:name="_Toc238907014"/>
      <w:r>
        <w:rPr>
          <w:rFonts w:hint="eastAsia" w:ascii="宋体" w:hAnsi="宋体" w:cs="宋体"/>
          <w:b/>
          <w:bCs/>
          <w:sz w:val="24"/>
        </w:rPr>
        <w:t>10．</w:t>
      </w:r>
      <w:r>
        <w:rPr>
          <w:rFonts w:hint="eastAsia" w:ascii="宋体" w:hAnsi="宋体" w:cs="宋体"/>
          <w:b/>
          <w:bCs/>
          <w:sz w:val="24"/>
          <w:lang w:eastAsia="zh-CN"/>
        </w:rPr>
        <w:t>响应文件</w:t>
      </w:r>
      <w:r>
        <w:rPr>
          <w:rFonts w:hint="eastAsia" w:ascii="宋体" w:hAnsi="宋体" w:cs="宋体"/>
          <w:b/>
          <w:bCs/>
          <w:sz w:val="24"/>
        </w:rPr>
        <w:t>的组成</w:t>
      </w:r>
      <w:bookmarkEnd w:id="126"/>
      <w:bookmarkEnd w:id="127"/>
      <w:bookmarkEnd w:id="128"/>
      <w:bookmarkEnd w:id="129"/>
      <w:bookmarkEnd w:id="130"/>
    </w:p>
    <w:p w14:paraId="6004C985">
      <w:pPr>
        <w:tabs>
          <w:tab w:val="left" w:pos="4680"/>
        </w:tabs>
        <w:snapToGrid w:val="0"/>
        <w:spacing w:line="440" w:lineRule="exact"/>
        <w:outlineLvl w:val="2"/>
        <w:rPr>
          <w:rFonts w:hint="eastAsia" w:ascii="宋体" w:hAnsi="宋体" w:cs="宋体"/>
          <w:b w:val="0"/>
          <w:bCs w:val="0"/>
          <w:sz w:val="24"/>
          <w:lang w:val="en-GB"/>
        </w:rPr>
      </w:pPr>
      <w:r>
        <w:rPr>
          <w:rFonts w:hint="eastAsia" w:ascii="宋体" w:hAnsi="宋体" w:cs="宋体"/>
          <w:b w:val="0"/>
          <w:bCs w:val="0"/>
          <w:sz w:val="24"/>
          <w:lang w:val="en-GB" w:eastAsia="zh-CN"/>
        </w:rPr>
        <w:t xml:space="preserve">供应商应按照招标文件的规定和要求编制投标文件。供应商拟在中标后将中标项目的非 </w:t>
      </w:r>
    </w:p>
    <w:p w14:paraId="24FD8AC6">
      <w:pPr>
        <w:tabs>
          <w:tab w:val="left" w:pos="4680"/>
        </w:tabs>
        <w:snapToGrid w:val="0"/>
        <w:spacing w:line="440" w:lineRule="exact"/>
        <w:outlineLvl w:val="2"/>
        <w:rPr>
          <w:rFonts w:hint="eastAsia" w:ascii="宋体" w:hAnsi="宋体" w:cs="宋体"/>
          <w:b w:val="0"/>
          <w:bCs w:val="0"/>
          <w:sz w:val="24"/>
          <w:lang w:val="en-GB"/>
        </w:rPr>
      </w:pPr>
      <w:r>
        <w:rPr>
          <w:rFonts w:hint="eastAsia" w:ascii="宋体" w:hAnsi="宋体" w:cs="宋体"/>
          <w:b w:val="0"/>
          <w:bCs w:val="0"/>
          <w:sz w:val="24"/>
          <w:lang w:val="en-GB" w:eastAsia="zh-CN"/>
        </w:rPr>
        <w:t xml:space="preserve">主体、非关键性工作交由他人完成的，应当在投标文件中载明。供应商编写的投标文件应包括下列部分： </w:t>
      </w:r>
    </w:p>
    <w:p w14:paraId="7A008D2D">
      <w:pPr>
        <w:tabs>
          <w:tab w:val="left" w:pos="4680"/>
        </w:tabs>
        <w:snapToGrid w:val="0"/>
        <w:spacing w:line="440" w:lineRule="exact"/>
        <w:outlineLvl w:val="2"/>
        <w:rPr>
          <w:rFonts w:hint="eastAsia" w:ascii="宋体" w:hAnsi="宋体" w:cs="宋体"/>
          <w:b w:val="0"/>
          <w:bCs w:val="0"/>
          <w:sz w:val="24"/>
          <w:lang w:val="en-GB"/>
        </w:rPr>
      </w:pPr>
      <w:r>
        <w:rPr>
          <w:rFonts w:hint="eastAsia" w:ascii="宋体" w:hAnsi="宋体" w:cs="宋体"/>
          <w:b w:val="0"/>
          <w:bCs w:val="0"/>
          <w:sz w:val="24"/>
          <w:lang w:val="en-GB" w:eastAsia="zh-CN"/>
        </w:rPr>
        <w:t>1</w:t>
      </w:r>
      <w:r>
        <w:rPr>
          <w:rFonts w:hint="eastAsia" w:ascii="宋体" w:hAnsi="宋体" w:cs="宋体"/>
          <w:b w:val="0"/>
          <w:bCs w:val="0"/>
          <w:sz w:val="24"/>
          <w:lang w:val="en-US" w:eastAsia="zh-CN"/>
        </w:rPr>
        <w:t>0</w:t>
      </w:r>
      <w:r>
        <w:rPr>
          <w:rFonts w:hint="eastAsia" w:ascii="宋体" w:hAnsi="宋体" w:cs="宋体"/>
          <w:b w:val="0"/>
          <w:bCs w:val="0"/>
          <w:sz w:val="24"/>
          <w:lang w:val="en-GB" w:eastAsia="zh-CN"/>
        </w:rPr>
        <w:t xml:space="preserve">.1 </w:t>
      </w:r>
      <w:r>
        <w:rPr>
          <w:rFonts w:hint="eastAsia" w:ascii="宋体" w:hAnsi="宋体" w:cs="宋体"/>
          <w:b/>
          <w:bCs/>
          <w:sz w:val="24"/>
          <w:lang w:val="en-GB" w:eastAsia="zh-CN"/>
        </w:rPr>
        <w:t>报价部分</w:t>
      </w:r>
      <w:r>
        <w:rPr>
          <w:rFonts w:hint="eastAsia" w:ascii="宋体" w:hAnsi="宋体" w:cs="宋体"/>
          <w:b w:val="0"/>
          <w:bCs w:val="0"/>
          <w:sz w:val="24"/>
          <w:lang w:val="en-GB" w:eastAsia="zh-CN"/>
        </w:rPr>
        <w:t xml:space="preserve">。供应商按照招标文件要求填写的“开标一览表”及“报价明细表”。 本 </w:t>
      </w:r>
    </w:p>
    <w:p w14:paraId="5403309D">
      <w:pPr>
        <w:tabs>
          <w:tab w:val="left" w:pos="4680"/>
        </w:tabs>
        <w:snapToGrid w:val="0"/>
        <w:spacing w:line="440" w:lineRule="exact"/>
        <w:outlineLvl w:val="2"/>
        <w:rPr>
          <w:rFonts w:hint="eastAsia" w:ascii="宋体" w:hAnsi="宋体" w:cs="宋体"/>
          <w:b w:val="0"/>
          <w:bCs w:val="0"/>
          <w:sz w:val="24"/>
          <w:lang w:val="en-GB"/>
        </w:rPr>
      </w:pPr>
      <w:r>
        <w:rPr>
          <w:rFonts w:hint="eastAsia" w:ascii="宋体" w:hAnsi="宋体" w:cs="宋体"/>
          <w:b w:val="0"/>
          <w:bCs w:val="0"/>
          <w:sz w:val="24"/>
          <w:lang w:val="en-GB" w:eastAsia="zh-CN"/>
        </w:rPr>
        <w:t xml:space="preserve">次招标报价要求： </w:t>
      </w:r>
    </w:p>
    <w:p w14:paraId="4886838C">
      <w:pPr>
        <w:tabs>
          <w:tab w:val="left" w:pos="4680"/>
        </w:tabs>
        <w:snapToGrid w:val="0"/>
        <w:spacing w:line="440" w:lineRule="exact"/>
        <w:outlineLvl w:val="2"/>
        <w:rPr>
          <w:rFonts w:hint="eastAsia" w:ascii="宋体" w:hAnsi="宋体" w:cs="宋体"/>
          <w:b w:val="0"/>
          <w:bCs w:val="0"/>
          <w:sz w:val="24"/>
          <w:lang w:val="en-GB"/>
        </w:rPr>
      </w:pPr>
      <w:r>
        <w:rPr>
          <w:rFonts w:hint="eastAsia" w:ascii="宋体" w:hAnsi="宋体" w:cs="宋体"/>
          <w:b w:val="0"/>
          <w:bCs w:val="0"/>
          <w:sz w:val="24"/>
          <w:lang w:val="en-GB" w:eastAsia="zh-CN"/>
        </w:rPr>
        <w:t xml:space="preserve">（1）供应商的报价是供应商响应招标项目要求的全部工作内容的价格体现，包括供应商完成本项目所需的一切费用。 </w:t>
      </w:r>
    </w:p>
    <w:p w14:paraId="31028849">
      <w:pPr>
        <w:tabs>
          <w:tab w:val="left" w:pos="4680"/>
        </w:tabs>
        <w:snapToGrid w:val="0"/>
        <w:spacing w:line="440" w:lineRule="exact"/>
        <w:outlineLvl w:val="2"/>
        <w:rPr>
          <w:rFonts w:hint="eastAsia" w:ascii="宋体" w:hAnsi="宋体" w:cs="宋体"/>
          <w:b w:val="0"/>
          <w:bCs w:val="0"/>
          <w:sz w:val="24"/>
          <w:lang w:val="en-GB"/>
        </w:rPr>
      </w:pPr>
      <w:r>
        <w:rPr>
          <w:rFonts w:hint="eastAsia" w:ascii="宋体" w:hAnsi="宋体" w:cs="宋体"/>
          <w:b w:val="0"/>
          <w:bCs w:val="0"/>
          <w:sz w:val="24"/>
          <w:lang w:val="en-GB" w:eastAsia="zh-CN"/>
        </w:rPr>
        <w:t xml:space="preserve">（2）供应商每种货物（服务）只允许有一个报价，并且在合同履行过程中是固定不变的，任何有选择或可调整的报价将不予接受，并按无效投标处理。 </w:t>
      </w:r>
    </w:p>
    <w:p w14:paraId="5D37EC7F">
      <w:pPr>
        <w:tabs>
          <w:tab w:val="left" w:pos="4680"/>
        </w:tabs>
        <w:snapToGrid w:val="0"/>
        <w:spacing w:line="440" w:lineRule="exact"/>
        <w:outlineLvl w:val="2"/>
        <w:rPr>
          <w:rFonts w:hint="eastAsia" w:ascii="宋体" w:hAnsi="宋体" w:cs="宋体"/>
          <w:b w:val="0"/>
          <w:bCs w:val="0"/>
          <w:sz w:val="24"/>
          <w:lang w:val="en-GB"/>
        </w:rPr>
      </w:pPr>
      <w:r>
        <w:rPr>
          <w:rFonts w:hint="eastAsia" w:ascii="宋体" w:hAnsi="宋体" w:cs="宋体"/>
          <w:b w:val="0"/>
          <w:bCs w:val="0"/>
          <w:sz w:val="24"/>
          <w:lang w:val="en-GB" w:eastAsia="zh-CN"/>
        </w:rPr>
        <w:t xml:space="preserve">（3）供应商不得低于成本价恶意报价，若报价与其他供应商相比明显过低，明显不符合市场价格，供应商则需要提供详细的成本分析说明，评审委员会经过综合评审认为可行，否则按无效投标处理；采购人有权要求中标人在签订合同前提供预算金额的 5%作为履约保证金，如中标人在合同履行过程中偷工减料、不按要求完成项目，则采购人有权终止合同，没收履约保证金，并报主管部门严肃处理。 </w:t>
      </w:r>
    </w:p>
    <w:p w14:paraId="18BD5ABA">
      <w:pPr>
        <w:tabs>
          <w:tab w:val="left" w:pos="4680"/>
        </w:tabs>
        <w:snapToGrid w:val="0"/>
        <w:spacing w:line="440" w:lineRule="exact"/>
        <w:outlineLvl w:val="2"/>
        <w:rPr>
          <w:rFonts w:hint="eastAsia" w:ascii="宋体" w:hAnsi="宋体" w:cs="宋体"/>
          <w:b w:val="0"/>
          <w:bCs w:val="0"/>
          <w:sz w:val="24"/>
          <w:lang w:val="en-GB" w:eastAsia="zh-CN"/>
        </w:rPr>
      </w:pPr>
      <w:r>
        <w:rPr>
          <w:rFonts w:hint="eastAsia" w:ascii="宋体" w:hAnsi="宋体" w:cs="宋体"/>
          <w:b w:val="0"/>
          <w:bCs w:val="0"/>
          <w:sz w:val="24"/>
          <w:lang w:val="en-GB" w:eastAsia="zh-CN"/>
        </w:rPr>
        <w:t>1</w:t>
      </w:r>
      <w:r>
        <w:rPr>
          <w:rFonts w:hint="eastAsia" w:ascii="宋体" w:hAnsi="宋体" w:cs="宋体"/>
          <w:b w:val="0"/>
          <w:bCs w:val="0"/>
          <w:sz w:val="24"/>
          <w:lang w:val="en-US" w:eastAsia="zh-CN"/>
        </w:rPr>
        <w:t>0</w:t>
      </w:r>
      <w:r>
        <w:rPr>
          <w:rFonts w:hint="eastAsia" w:ascii="宋体" w:hAnsi="宋体" w:cs="宋体"/>
          <w:b w:val="0"/>
          <w:bCs w:val="0"/>
          <w:sz w:val="24"/>
          <w:lang w:val="en-GB" w:eastAsia="zh-CN"/>
        </w:rPr>
        <w:t xml:space="preserve">.2 </w:t>
      </w:r>
      <w:r>
        <w:rPr>
          <w:rFonts w:hint="eastAsia" w:ascii="宋体" w:hAnsi="宋体" w:cs="宋体"/>
          <w:b/>
          <w:bCs/>
          <w:sz w:val="24"/>
          <w:lang w:val="en-GB" w:eastAsia="zh-CN"/>
        </w:rPr>
        <w:t>技术部分</w:t>
      </w:r>
      <w:r>
        <w:rPr>
          <w:rFonts w:hint="eastAsia" w:ascii="宋体" w:hAnsi="宋体" w:cs="宋体"/>
          <w:b w:val="0"/>
          <w:bCs w:val="0"/>
          <w:sz w:val="24"/>
          <w:lang w:val="en-GB" w:eastAsia="zh-CN"/>
        </w:rPr>
        <w:t xml:space="preserve">。供应商按照招标文件要求做出的技术应答，主要是针对招标项目的技术指标、参数和技术要求做出的实质性响应和满足。供应商的技术应答应包括下列内容：采购需求响应情况、根据综合评审要求提供相关资料。 </w:t>
      </w:r>
    </w:p>
    <w:p w14:paraId="5C965F19">
      <w:pPr>
        <w:tabs>
          <w:tab w:val="left" w:pos="4680"/>
        </w:tabs>
        <w:snapToGrid w:val="0"/>
        <w:spacing w:line="440" w:lineRule="exact"/>
        <w:outlineLvl w:val="2"/>
        <w:rPr>
          <w:rFonts w:hint="eastAsia" w:ascii="宋体" w:hAnsi="宋体" w:cs="宋体"/>
          <w:b w:val="0"/>
          <w:bCs w:val="0"/>
          <w:sz w:val="24"/>
          <w:lang w:val="en-GB" w:eastAsia="zh-CN"/>
        </w:rPr>
      </w:pPr>
      <w:r>
        <w:rPr>
          <w:rFonts w:hint="eastAsia" w:ascii="宋体" w:hAnsi="宋体" w:cs="宋体"/>
          <w:b w:val="0"/>
          <w:bCs w:val="0"/>
          <w:sz w:val="24"/>
          <w:lang w:val="en-GB" w:eastAsia="zh-CN"/>
        </w:rPr>
        <w:t>1</w:t>
      </w:r>
      <w:r>
        <w:rPr>
          <w:rFonts w:hint="eastAsia" w:ascii="宋体" w:hAnsi="宋体" w:cs="宋体"/>
          <w:b w:val="0"/>
          <w:bCs w:val="0"/>
          <w:sz w:val="24"/>
          <w:lang w:val="en-US" w:eastAsia="zh-CN"/>
        </w:rPr>
        <w:t>0</w:t>
      </w:r>
      <w:r>
        <w:rPr>
          <w:rFonts w:hint="eastAsia" w:ascii="宋体" w:hAnsi="宋体" w:cs="宋体"/>
          <w:b w:val="0"/>
          <w:bCs w:val="0"/>
          <w:sz w:val="24"/>
          <w:lang w:val="en-GB" w:eastAsia="zh-CN"/>
        </w:rPr>
        <w:t xml:space="preserve">.3 </w:t>
      </w:r>
      <w:r>
        <w:rPr>
          <w:rFonts w:hint="eastAsia" w:ascii="宋体" w:hAnsi="宋体" w:cs="宋体"/>
          <w:b/>
          <w:bCs/>
          <w:sz w:val="24"/>
          <w:lang w:val="en-GB" w:eastAsia="zh-CN"/>
        </w:rPr>
        <w:t>商务部分</w:t>
      </w:r>
      <w:r>
        <w:rPr>
          <w:rFonts w:hint="eastAsia" w:ascii="宋体" w:hAnsi="宋体" w:cs="宋体"/>
          <w:b w:val="0"/>
          <w:bCs w:val="0"/>
          <w:sz w:val="24"/>
          <w:lang w:val="en-GB" w:eastAsia="zh-CN"/>
        </w:rPr>
        <w:t xml:space="preserve">。供应商按照招标文件要求提供的有关证明材料及优惠承诺。包括根据招标文件第一章涉及的资格性内容和根据综合评分需要提供的相关资料及根据格式文件要求的其他相关内容。 </w:t>
      </w:r>
    </w:p>
    <w:p w14:paraId="213F09B7">
      <w:pPr>
        <w:tabs>
          <w:tab w:val="left" w:pos="4680"/>
        </w:tabs>
        <w:snapToGrid w:val="0"/>
        <w:spacing w:line="440" w:lineRule="exact"/>
        <w:outlineLvl w:val="2"/>
        <w:rPr>
          <w:rFonts w:hint="eastAsia" w:ascii="宋体" w:hAnsi="宋体" w:cs="宋体"/>
          <w:b w:val="0"/>
          <w:bCs w:val="0"/>
          <w:sz w:val="24"/>
          <w:lang w:val="en-GB" w:eastAsia="zh-CN"/>
        </w:rPr>
      </w:pPr>
      <w:r>
        <w:rPr>
          <w:rFonts w:hint="eastAsia" w:ascii="宋体" w:hAnsi="宋体" w:cs="宋体"/>
          <w:b w:val="0"/>
          <w:bCs w:val="0"/>
          <w:sz w:val="24"/>
          <w:lang w:val="en-GB" w:eastAsia="zh-CN"/>
        </w:rPr>
        <w:t>1</w:t>
      </w:r>
      <w:r>
        <w:rPr>
          <w:rFonts w:hint="eastAsia" w:ascii="宋体" w:hAnsi="宋体" w:cs="宋体"/>
          <w:b w:val="0"/>
          <w:bCs w:val="0"/>
          <w:sz w:val="24"/>
          <w:lang w:val="en-US" w:eastAsia="zh-CN"/>
        </w:rPr>
        <w:t>0</w:t>
      </w:r>
      <w:r>
        <w:rPr>
          <w:rFonts w:hint="eastAsia" w:ascii="宋体" w:hAnsi="宋体" w:cs="宋体"/>
          <w:b w:val="0"/>
          <w:bCs w:val="0"/>
          <w:sz w:val="24"/>
          <w:lang w:val="en-GB" w:eastAsia="zh-CN"/>
        </w:rPr>
        <w:t xml:space="preserve">.4 </w:t>
      </w:r>
      <w:r>
        <w:rPr>
          <w:rFonts w:hint="eastAsia" w:ascii="宋体" w:hAnsi="宋体" w:cs="宋体"/>
          <w:b/>
          <w:bCs/>
          <w:sz w:val="24"/>
          <w:lang w:val="en-GB" w:eastAsia="zh-CN"/>
        </w:rPr>
        <w:t>其他部分</w:t>
      </w:r>
      <w:r>
        <w:rPr>
          <w:rFonts w:hint="eastAsia" w:ascii="宋体" w:hAnsi="宋体" w:cs="宋体"/>
          <w:b w:val="0"/>
          <w:bCs w:val="0"/>
          <w:sz w:val="24"/>
          <w:lang w:val="en-GB" w:eastAsia="zh-CN"/>
        </w:rPr>
        <w:t xml:space="preserve">。供应商按照招标文件要求作出的其他应答和承诺。 </w:t>
      </w:r>
    </w:p>
    <w:p w14:paraId="77C7599A">
      <w:pPr>
        <w:tabs>
          <w:tab w:val="left" w:pos="4680"/>
        </w:tabs>
        <w:snapToGrid w:val="0"/>
        <w:spacing w:line="440" w:lineRule="exact"/>
        <w:outlineLvl w:val="2"/>
        <w:rPr>
          <w:rFonts w:ascii="宋体" w:hAnsi="宋体" w:cs="宋体"/>
          <w:b/>
          <w:bCs/>
          <w:sz w:val="24"/>
          <w:lang w:val="en-GB"/>
        </w:rPr>
      </w:pPr>
      <w:r>
        <w:rPr>
          <w:rFonts w:hint="eastAsia" w:ascii="宋体" w:hAnsi="宋体" w:cs="宋体"/>
          <w:b/>
          <w:bCs/>
          <w:sz w:val="24"/>
          <w:lang w:val="en-GB"/>
        </w:rPr>
        <w:t>1</w:t>
      </w:r>
      <w:r>
        <w:rPr>
          <w:rFonts w:hint="eastAsia" w:ascii="宋体" w:hAnsi="宋体" w:cs="宋体"/>
          <w:b/>
          <w:bCs/>
          <w:sz w:val="24"/>
        </w:rPr>
        <w:t>1</w:t>
      </w:r>
      <w:r>
        <w:rPr>
          <w:rFonts w:hint="eastAsia" w:ascii="宋体" w:hAnsi="宋体" w:cs="宋体"/>
          <w:b/>
          <w:bCs/>
          <w:sz w:val="24"/>
          <w:lang w:val="en-GB"/>
        </w:rPr>
        <w:t>、</w:t>
      </w:r>
      <w:r>
        <w:rPr>
          <w:rFonts w:hint="eastAsia" w:ascii="宋体" w:hAnsi="宋体" w:cs="宋体"/>
          <w:b/>
          <w:bCs/>
          <w:sz w:val="24"/>
          <w:lang w:val="en-GB" w:eastAsia="zh-CN"/>
        </w:rPr>
        <w:t>响应文件</w:t>
      </w:r>
      <w:r>
        <w:rPr>
          <w:rFonts w:hint="eastAsia" w:ascii="宋体" w:hAnsi="宋体" w:cs="宋体"/>
          <w:b/>
          <w:bCs/>
          <w:sz w:val="24"/>
          <w:lang w:val="en-GB"/>
        </w:rPr>
        <w:t>编制</w:t>
      </w:r>
    </w:p>
    <w:p w14:paraId="40525844">
      <w:pPr>
        <w:tabs>
          <w:tab w:val="left" w:pos="4680"/>
        </w:tabs>
        <w:snapToGrid w:val="0"/>
        <w:spacing w:line="440" w:lineRule="exact"/>
        <w:outlineLvl w:val="2"/>
        <w:rPr>
          <w:rFonts w:hint="eastAsia" w:ascii="宋体" w:hAnsi="宋体" w:cs="宋体"/>
          <w:b w:val="0"/>
          <w:bCs w:val="0"/>
          <w:sz w:val="24"/>
          <w:lang w:val="en-GB"/>
        </w:rPr>
      </w:pPr>
      <w:bookmarkStart w:id="134" w:name="_Toc154744424"/>
      <w:bookmarkStart w:id="135" w:name="_Toc154755457"/>
      <w:r>
        <w:rPr>
          <w:rFonts w:hint="eastAsia" w:ascii="宋体" w:hAnsi="宋体" w:cs="宋体"/>
          <w:b w:val="0"/>
          <w:bCs w:val="0"/>
          <w:sz w:val="24"/>
          <w:lang w:val="en-GB" w:eastAsia="zh-CN"/>
        </w:rPr>
        <w:t>1</w:t>
      </w:r>
      <w:r>
        <w:rPr>
          <w:rFonts w:hint="eastAsia" w:ascii="宋体" w:hAnsi="宋体" w:cs="宋体"/>
          <w:b w:val="0"/>
          <w:bCs w:val="0"/>
          <w:sz w:val="24"/>
          <w:lang w:val="en-US" w:eastAsia="zh-CN"/>
        </w:rPr>
        <w:t>1</w:t>
      </w:r>
      <w:r>
        <w:rPr>
          <w:rFonts w:hint="eastAsia" w:ascii="宋体" w:hAnsi="宋体" w:cs="宋体"/>
          <w:b w:val="0"/>
          <w:bCs w:val="0"/>
          <w:sz w:val="24"/>
          <w:lang w:val="en-GB" w:eastAsia="zh-CN"/>
        </w:rPr>
        <w:t xml:space="preserve">.1 供应商提交加密的电子投标文件（wenc 格式） 1 份，须在提交投标文件截止时间前成功上传至海南省政府采购电子化交易管理系统(新)（www.ccgp-hainan.gov.cn）。逾期上传或者错误方式上传的投标文件，视为无效投标文件。具体操作流程可参考《海南省政府采购电子化交易管理系统全程电子化操作手册-供应商》，指南可在“https://www.ccgp-hainan.gov.cn/zhuzhan/”下载。 </w:t>
      </w:r>
    </w:p>
    <w:p w14:paraId="342AACC8">
      <w:pPr>
        <w:tabs>
          <w:tab w:val="left" w:pos="4680"/>
        </w:tabs>
        <w:snapToGrid w:val="0"/>
        <w:spacing w:line="440" w:lineRule="exact"/>
        <w:outlineLvl w:val="2"/>
        <w:rPr>
          <w:rFonts w:hint="eastAsia" w:ascii="宋体" w:hAnsi="宋体" w:cs="宋体"/>
          <w:b/>
          <w:bCs/>
          <w:sz w:val="24"/>
          <w:lang w:val="en-GB"/>
        </w:rPr>
      </w:pPr>
      <w:r>
        <w:rPr>
          <w:rFonts w:hint="eastAsia" w:ascii="宋体" w:hAnsi="宋体" w:cs="宋体"/>
          <w:b w:val="0"/>
          <w:bCs w:val="0"/>
          <w:sz w:val="24"/>
          <w:lang w:val="en-GB" w:eastAsia="zh-CN"/>
        </w:rPr>
        <w:t>1</w:t>
      </w:r>
      <w:r>
        <w:rPr>
          <w:rFonts w:hint="eastAsia" w:ascii="宋体" w:hAnsi="宋体" w:cs="宋体"/>
          <w:b w:val="0"/>
          <w:bCs w:val="0"/>
          <w:sz w:val="24"/>
          <w:lang w:val="en-US" w:eastAsia="zh-CN"/>
        </w:rPr>
        <w:t>1</w:t>
      </w:r>
      <w:r>
        <w:rPr>
          <w:rFonts w:hint="eastAsia" w:ascii="宋体" w:hAnsi="宋体" w:cs="宋体"/>
          <w:b w:val="0"/>
          <w:bCs w:val="0"/>
          <w:sz w:val="24"/>
          <w:lang w:val="en-GB" w:eastAsia="zh-CN"/>
        </w:rPr>
        <w:t>.2 供应商完成签到后，代理机构【发起解密】，设定解密时长（30 分钟），显示解密倒计时，供应商在规定时间内自行解密，规定时间内未解密成功的供应商，视为投标无效。</w:t>
      </w:r>
      <w:r>
        <w:rPr>
          <w:rFonts w:hint="eastAsia" w:ascii="宋体" w:hAnsi="宋体" w:cs="宋体"/>
          <w:b/>
          <w:bCs/>
          <w:sz w:val="24"/>
          <w:lang w:val="en-GB" w:eastAsia="zh-CN"/>
        </w:rPr>
        <w:t xml:space="preserve"> </w:t>
      </w:r>
    </w:p>
    <w:p w14:paraId="66D6FA55">
      <w:pPr>
        <w:tabs>
          <w:tab w:val="left" w:pos="4680"/>
        </w:tabs>
        <w:snapToGrid w:val="0"/>
        <w:spacing w:line="440" w:lineRule="exact"/>
        <w:outlineLvl w:val="2"/>
        <w:rPr>
          <w:rFonts w:ascii="宋体" w:hAnsi="宋体" w:cs="宋体"/>
          <w:b/>
          <w:bCs/>
          <w:sz w:val="24"/>
          <w:lang w:val="en-GB"/>
        </w:rPr>
      </w:pPr>
      <w:r>
        <w:rPr>
          <w:rFonts w:hint="eastAsia" w:ascii="宋体" w:hAnsi="宋体" w:cs="宋体"/>
          <w:b/>
          <w:bCs/>
          <w:sz w:val="24"/>
          <w:lang w:val="en-GB"/>
        </w:rPr>
        <w:t>12．投标报价</w:t>
      </w:r>
      <w:bookmarkEnd w:id="131"/>
      <w:bookmarkEnd w:id="132"/>
      <w:bookmarkEnd w:id="133"/>
      <w:bookmarkEnd w:id="134"/>
      <w:bookmarkEnd w:id="135"/>
    </w:p>
    <w:p w14:paraId="7AF1C8B7">
      <w:pPr>
        <w:pStyle w:val="70"/>
        <w:spacing w:before="0" w:after="0" w:line="440" w:lineRule="exact"/>
        <w:ind w:firstLine="480" w:firstLineChars="200"/>
        <w:jc w:val="both"/>
        <w:rPr>
          <w:rFonts w:hAnsi="宋体" w:cs="宋体"/>
          <w:b/>
          <w:szCs w:val="24"/>
        </w:rPr>
      </w:pPr>
      <w:bookmarkStart w:id="136" w:name="_Toc238907015"/>
      <w:bookmarkStart w:id="137" w:name="_Toc468811100"/>
      <w:bookmarkStart w:id="138" w:name="_Toc501985173"/>
      <w:r>
        <w:rPr>
          <w:rFonts w:hint="eastAsia" w:hAnsi="宋体" w:cs="宋体"/>
          <w:szCs w:val="24"/>
        </w:rPr>
        <w:t xml:space="preserve">12.1 投标报价需小于或等于招标控制价（即 </w:t>
      </w:r>
      <w:r>
        <w:rPr>
          <w:rFonts w:hint="eastAsia" w:ascii="宋体" w:hAnsi="宋体"/>
          <w:sz w:val="24"/>
        </w:rPr>
        <w:t>3784</w:t>
      </w:r>
      <w:r>
        <w:rPr>
          <w:rFonts w:hint="eastAsia" w:ascii="宋体" w:hAnsi="宋体"/>
          <w:sz w:val="24"/>
          <w:lang w:val="en-US" w:eastAsia="zh-CN"/>
        </w:rPr>
        <w:t>000.00</w:t>
      </w:r>
      <w:r>
        <w:rPr>
          <w:rFonts w:hint="eastAsia" w:ascii="宋体" w:hAnsi="宋体"/>
          <w:sz w:val="24"/>
        </w:rPr>
        <w:t>元</w:t>
      </w:r>
      <w:r>
        <w:rPr>
          <w:rFonts w:hint="eastAsia" w:hAnsi="宋体" w:cs="宋体"/>
          <w:szCs w:val="24"/>
        </w:rPr>
        <w:t>），超过招标控制价的报价按无效投标处理。</w:t>
      </w:r>
    </w:p>
    <w:p w14:paraId="5D0B9D52">
      <w:pPr>
        <w:pStyle w:val="70"/>
        <w:spacing w:before="0" w:after="0" w:line="440" w:lineRule="exact"/>
        <w:ind w:firstLine="480" w:firstLineChars="200"/>
        <w:jc w:val="both"/>
        <w:rPr>
          <w:rFonts w:hAnsi="宋体" w:cs="宋体"/>
          <w:szCs w:val="24"/>
        </w:rPr>
      </w:pPr>
      <w:r>
        <w:rPr>
          <w:rFonts w:hint="eastAsia" w:hAnsi="宋体" w:cs="宋体"/>
          <w:szCs w:val="24"/>
        </w:rPr>
        <w:t>12.2 报价应</w:t>
      </w:r>
      <w:r>
        <w:rPr>
          <w:rFonts w:hint="eastAsia" w:hAnsi="宋体"/>
          <w:szCs w:val="24"/>
        </w:rPr>
        <w:t>含货款、税金、运输费、人工保险费、劳务费等一切应包含的费用。</w:t>
      </w:r>
    </w:p>
    <w:p w14:paraId="6648015E">
      <w:pPr>
        <w:pStyle w:val="70"/>
        <w:spacing w:before="0" w:after="0" w:line="440" w:lineRule="exact"/>
        <w:ind w:firstLine="480" w:firstLineChars="200"/>
        <w:jc w:val="both"/>
        <w:rPr>
          <w:rFonts w:hAnsi="宋体" w:cs="宋体"/>
          <w:szCs w:val="24"/>
        </w:rPr>
      </w:pPr>
      <w:r>
        <w:rPr>
          <w:rFonts w:hint="eastAsia" w:hAnsi="宋体" w:cs="宋体"/>
          <w:szCs w:val="24"/>
        </w:rPr>
        <w:t xml:space="preserve">12.3 </w:t>
      </w:r>
      <w:r>
        <w:rPr>
          <w:rFonts w:hint="eastAsia" w:hAnsi="宋体" w:cs="宋体"/>
          <w:szCs w:val="24"/>
          <w:lang w:eastAsia="zh-CN"/>
        </w:rPr>
        <w:t>供应商</w:t>
      </w:r>
      <w:r>
        <w:rPr>
          <w:rFonts w:hint="eastAsia" w:hAnsi="宋体" w:cs="宋体"/>
          <w:szCs w:val="24"/>
        </w:rPr>
        <w:t>应按投标一览表的要求报价，不能提供有选择的报价。</w:t>
      </w:r>
    </w:p>
    <w:p w14:paraId="3D3503CF">
      <w:pPr>
        <w:tabs>
          <w:tab w:val="left" w:pos="4680"/>
        </w:tabs>
        <w:snapToGrid w:val="0"/>
        <w:spacing w:line="440" w:lineRule="exact"/>
        <w:outlineLvl w:val="2"/>
        <w:rPr>
          <w:rFonts w:ascii="宋体" w:hAnsi="宋体" w:cs="宋体"/>
          <w:b/>
          <w:bCs/>
          <w:sz w:val="24"/>
          <w:lang w:val="en-GB"/>
        </w:rPr>
      </w:pPr>
      <w:r>
        <w:rPr>
          <w:rFonts w:hint="eastAsia" w:ascii="宋体" w:hAnsi="宋体" w:cs="宋体"/>
          <w:b/>
          <w:bCs/>
          <w:sz w:val="24"/>
          <w:lang w:val="en-GB"/>
        </w:rPr>
        <w:t xml:space="preserve">13. </w:t>
      </w:r>
      <w:bookmarkEnd w:id="136"/>
      <w:bookmarkEnd w:id="137"/>
      <w:bookmarkEnd w:id="138"/>
      <w:r>
        <w:rPr>
          <w:rFonts w:hint="eastAsia" w:ascii="宋体" w:hAnsi="宋体" w:cs="宋体"/>
          <w:b/>
          <w:bCs/>
          <w:sz w:val="24"/>
          <w:lang w:val="en-GB"/>
        </w:rPr>
        <w:t>备选方案</w:t>
      </w:r>
    </w:p>
    <w:p w14:paraId="5303076C">
      <w:pPr>
        <w:pStyle w:val="17"/>
        <w:adjustRightInd w:val="0"/>
        <w:snapToGrid w:val="0"/>
        <w:spacing w:line="440" w:lineRule="exact"/>
        <w:ind w:firstLine="480" w:firstLineChars="200"/>
        <w:rPr>
          <w:rFonts w:hAnsi="宋体" w:cs="宋体"/>
          <w:sz w:val="24"/>
        </w:rPr>
      </w:pPr>
      <w:r>
        <w:rPr>
          <w:rFonts w:hint="eastAsia" w:ascii="宋体" w:hAnsi="宋体" w:cs="宋体"/>
          <w:sz w:val="24"/>
          <w:szCs w:val="24"/>
        </w:rPr>
        <w:t xml:space="preserve">13.1 </w:t>
      </w:r>
      <w:r>
        <w:rPr>
          <w:rFonts w:hint="eastAsia" w:hAnsi="宋体" w:cs="宋体"/>
          <w:bCs/>
          <w:sz w:val="24"/>
          <w:lang w:val="en-GB"/>
        </w:rPr>
        <w:t>本次招标只允许</w:t>
      </w:r>
      <w:r>
        <w:rPr>
          <w:rFonts w:hint="eastAsia" w:hAnsi="宋体" w:cs="宋体"/>
          <w:bCs/>
          <w:sz w:val="24"/>
          <w:lang w:val="en-GB" w:eastAsia="zh-CN"/>
        </w:rPr>
        <w:t>供应商</w:t>
      </w:r>
      <w:r>
        <w:rPr>
          <w:rFonts w:hint="eastAsia" w:hAnsi="宋体" w:cs="宋体"/>
          <w:bCs/>
          <w:sz w:val="24"/>
          <w:lang w:val="en-GB"/>
        </w:rPr>
        <w:t>有一个投标方案，否则视其</w:t>
      </w:r>
      <w:r>
        <w:rPr>
          <w:rFonts w:hint="eastAsia" w:hAnsi="宋体" w:cs="宋体"/>
          <w:bCs/>
          <w:sz w:val="24"/>
          <w:lang w:val="en-GB" w:eastAsia="zh-CN"/>
        </w:rPr>
        <w:t>响应文件</w:t>
      </w:r>
      <w:r>
        <w:rPr>
          <w:rFonts w:hint="eastAsia" w:hAnsi="宋体" w:cs="宋体"/>
          <w:bCs/>
          <w:sz w:val="24"/>
          <w:lang w:val="en-GB"/>
        </w:rPr>
        <w:t>无效。</w:t>
      </w:r>
    </w:p>
    <w:p w14:paraId="31AEAE6C">
      <w:pPr>
        <w:tabs>
          <w:tab w:val="left" w:pos="4680"/>
        </w:tabs>
        <w:snapToGrid w:val="0"/>
        <w:spacing w:line="440" w:lineRule="exact"/>
        <w:outlineLvl w:val="2"/>
        <w:rPr>
          <w:rFonts w:ascii="宋体" w:hAnsi="宋体" w:cs="宋体"/>
          <w:b/>
          <w:bCs/>
          <w:sz w:val="24"/>
        </w:rPr>
      </w:pPr>
      <w:bookmarkStart w:id="139" w:name="_Toc154755458"/>
      <w:bookmarkStart w:id="140" w:name="_Toc468811101"/>
      <w:bookmarkStart w:id="141" w:name="_Toc154744425"/>
      <w:bookmarkStart w:id="142" w:name="_Toc501985174"/>
      <w:r>
        <w:rPr>
          <w:rFonts w:hint="eastAsia" w:ascii="宋体" w:hAnsi="宋体" w:cs="宋体"/>
          <w:b/>
          <w:bCs/>
          <w:sz w:val="24"/>
        </w:rPr>
        <w:t>14．投标保证金</w:t>
      </w:r>
      <w:bookmarkEnd w:id="139"/>
      <w:bookmarkEnd w:id="140"/>
      <w:bookmarkEnd w:id="141"/>
      <w:bookmarkEnd w:id="142"/>
    </w:p>
    <w:p w14:paraId="191DF26C">
      <w:pPr>
        <w:tabs>
          <w:tab w:val="left" w:pos="4680"/>
        </w:tabs>
        <w:snapToGrid w:val="0"/>
        <w:spacing w:line="440" w:lineRule="exact"/>
        <w:ind w:firstLine="480" w:firstLineChars="200"/>
        <w:outlineLvl w:val="2"/>
        <w:rPr>
          <w:rFonts w:hint="eastAsia" w:ascii="宋体" w:hAnsi="宋体" w:cs="宋体"/>
          <w:sz w:val="24"/>
          <w:lang w:val="en-US" w:eastAsia="zh-CN"/>
        </w:rPr>
      </w:pPr>
      <w:bookmarkStart w:id="143" w:name="_Toc468811102"/>
      <w:bookmarkStart w:id="144" w:name="_Toc154755467"/>
      <w:bookmarkStart w:id="145" w:name="_Toc501985179"/>
      <w:bookmarkStart w:id="146" w:name="_Toc238907017"/>
      <w:bookmarkStart w:id="147" w:name="_Toc154744434"/>
      <w:r>
        <w:rPr>
          <w:rFonts w:hint="eastAsia" w:ascii="宋体" w:hAnsi="宋体" w:cs="宋体"/>
          <w:sz w:val="24"/>
          <w:lang w:val="en-US" w:eastAsia="zh-CN"/>
        </w:rPr>
        <w:t>不做要求。</w:t>
      </w:r>
    </w:p>
    <w:p w14:paraId="6859B3CA">
      <w:pPr>
        <w:tabs>
          <w:tab w:val="left" w:pos="4680"/>
        </w:tabs>
        <w:snapToGrid w:val="0"/>
        <w:spacing w:line="440" w:lineRule="exact"/>
        <w:outlineLvl w:val="2"/>
        <w:rPr>
          <w:rFonts w:ascii="宋体" w:hAnsi="宋体" w:cs="宋体"/>
          <w:b/>
          <w:bCs/>
          <w:sz w:val="24"/>
        </w:rPr>
      </w:pPr>
      <w:r>
        <w:rPr>
          <w:rFonts w:ascii="宋体" w:hAnsi="宋体" w:cs="宋体"/>
          <w:b/>
          <w:bCs/>
          <w:sz w:val="24"/>
        </w:rPr>
        <w:t>15．投标有效期</w:t>
      </w:r>
      <w:bookmarkEnd w:id="143"/>
      <w:bookmarkEnd w:id="144"/>
      <w:bookmarkEnd w:id="145"/>
      <w:bookmarkEnd w:id="146"/>
      <w:bookmarkEnd w:id="147"/>
    </w:p>
    <w:p w14:paraId="30DAC0EE">
      <w:pPr>
        <w:spacing w:line="440" w:lineRule="exact"/>
        <w:ind w:firstLine="480" w:firstLineChars="200"/>
        <w:rPr>
          <w:rFonts w:ascii="宋体" w:hAnsi="宋体" w:cs="宋体"/>
          <w:sz w:val="24"/>
        </w:rPr>
      </w:pPr>
      <w:r>
        <w:rPr>
          <w:rFonts w:ascii="宋体" w:hAnsi="宋体" w:cs="宋体"/>
          <w:sz w:val="24"/>
        </w:rPr>
        <w:t xml:space="preserve">15.l </w:t>
      </w:r>
      <w:r>
        <w:rPr>
          <w:rFonts w:hint="eastAsia" w:ascii="宋体" w:hAnsi="宋体" w:cs="宋体"/>
          <w:sz w:val="24"/>
        </w:rPr>
        <w:t>投标有效期为从开标截止之日起计算的</w:t>
      </w:r>
      <w:r>
        <w:rPr>
          <w:rFonts w:ascii="宋体" w:hAnsi="宋体" w:cs="宋体"/>
          <w:b/>
          <w:bCs/>
          <w:sz w:val="24"/>
        </w:rPr>
        <w:t>90日历天</w:t>
      </w:r>
      <w:r>
        <w:rPr>
          <w:rFonts w:hint="eastAsia" w:ascii="宋体" w:hAnsi="宋体" w:cs="宋体"/>
          <w:sz w:val="24"/>
        </w:rPr>
        <w:t>，有效期短于此规定的</w:t>
      </w:r>
      <w:r>
        <w:rPr>
          <w:rFonts w:hint="eastAsia" w:ascii="宋体" w:hAnsi="宋体" w:cs="宋体"/>
          <w:sz w:val="24"/>
          <w:lang w:eastAsia="zh-CN"/>
        </w:rPr>
        <w:t>响应文件</w:t>
      </w:r>
      <w:r>
        <w:rPr>
          <w:rFonts w:hint="eastAsia" w:ascii="宋体" w:hAnsi="宋体" w:cs="宋体"/>
          <w:sz w:val="24"/>
        </w:rPr>
        <w:t>将被视为无效。</w:t>
      </w:r>
    </w:p>
    <w:p w14:paraId="0D7A0D5E">
      <w:pPr>
        <w:spacing w:line="440" w:lineRule="exact"/>
        <w:ind w:firstLine="480" w:firstLineChars="200"/>
        <w:rPr>
          <w:rFonts w:ascii="宋体" w:hAnsi="宋体" w:cs="宋体"/>
          <w:sz w:val="24"/>
        </w:rPr>
      </w:pPr>
      <w:r>
        <w:rPr>
          <w:rFonts w:ascii="宋体" w:hAnsi="宋体" w:cs="宋体"/>
          <w:sz w:val="24"/>
        </w:rPr>
        <w:t xml:space="preserve">15.2 </w:t>
      </w:r>
      <w:r>
        <w:rPr>
          <w:rFonts w:hint="eastAsia" w:ascii="宋体" w:hAnsi="宋体" w:cs="宋体"/>
          <w:sz w:val="24"/>
        </w:rPr>
        <w:t>在特殊情况下，采购代理机构可在投标有效期满之前，征得</w:t>
      </w:r>
      <w:r>
        <w:rPr>
          <w:rFonts w:hint="eastAsia" w:ascii="宋体" w:hAnsi="宋体" w:cs="宋体"/>
          <w:sz w:val="24"/>
          <w:lang w:eastAsia="zh-CN"/>
        </w:rPr>
        <w:t>供应商</w:t>
      </w:r>
      <w:r>
        <w:rPr>
          <w:rFonts w:hint="eastAsia" w:ascii="宋体" w:hAnsi="宋体" w:cs="宋体"/>
          <w:sz w:val="24"/>
        </w:rPr>
        <w:t>同意延长投标有效期，要求与答复均应以书面形式进行。</w:t>
      </w:r>
      <w:r>
        <w:rPr>
          <w:rFonts w:hint="eastAsia" w:ascii="宋体" w:hAnsi="宋体" w:cs="宋体"/>
          <w:sz w:val="24"/>
          <w:lang w:eastAsia="zh-CN"/>
        </w:rPr>
        <w:t>供应商</w:t>
      </w:r>
      <w:r>
        <w:rPr>
          <w:rFonts w:hint="eastAsia" w:ascii="宋体" w:hAnsi="宋体" w:cs="宋体"/>
          <w:sz w:val="24"/>
        </w:rPr>
        <w:t>可以拒绝接受这一要求而放弃投标，投标保证金将尽快无息退还。同意这一要求的</w:t>
      </w:r>
      <w:r>
        <w:rPr>
          <w:rFonts w:hint="eastAsia" w:ascii="宋体" w:hAnsi="宋体" w:cs="宋体"/>
          <w:sz w:val="24"/>
          <w:lang w:eastAsia="zh-CN"/>
        </w:rPr>
        <w:t>供应商</w:t>
      </w:r>
      <w:r>
        <w:rPr>
          <w:rFonts w:hint="eastAsia" w:ascii="宋体" w:hAnsi="宋体" w:cs="宋体"/>
          <w:sz w:val="24"/>
        </w:rPr>
        <w:t>，无需也不允许修改其</w:t>
      </w:r>
      <w:r>
        <w:rPr>
          <w:rFonts w:hint="eastAsia" w:ascii="宋体" w:hAnsi="宋体" w:cs="宋体"/>
          <w:sz w:val="24"/>
          <w:lang w:eastAsia="zh-CN"/>
        </w:rPr>
        <w:t>响应文件</w:t>
      </w:r>
      <w:r>
        <w:rPr>
          <w:rFonts w:hint="eastAsia" w:ascii="宋体" w:hAnsi="宋体" w:cs="宋体"/>
          <w:sz w:val="24"/>
        </w:rPr>
        <w:t>，但须相应延长投标保证金的有效期。受投标有效期制约的所有权利和义务均应延长至新的有效期。</w:t>
      </w:r>
    </w:p>
    <w:p w14:paraId="4AED8014">
      <w:pPr>
        <w:tabs>
          <w:tab w:val="left" w:pos="4680"/>
        </w:tabs>
        <w:snapToGrid w:val="0"/>
        <w:spacing w:line="440" w:lineRule="exact"/>
        <w:outlineLvl w:val="2"/>
        <w:rPr>
          <w:rFonts w:ascii="宋体" w:hAnsi="宋体" w:cs="宋体"/>
          <w:b/>
          <w:bCs/>
          <w:sz w:val="24"/>
        </w:rPr>
      </w:pPr>
      <w:bookmarkStart w:id="148" w:name="_Toc501985180"/>
      <w:bookmarkStart w:id="149" w:name="_Toc154755468"/>
      <w:bookmarkStart w:id="150" w:name="_Toc468811103"/>
      <w:bookmarkStart w:id="151" w:name="_Toc154744435"/>
      <w:bookmarkStart w:id="152" w:name="_Toc238907018"/>
      <w:r>
        <w:rPr>
          <w:rFonts w:ascii="宋体" w:hAnsi="宋体" w:cs="宋体"/>
          <w:b/>
          <w:bCs/>
          <w:sz w:val="24"/>
        </w:rPr>
        <w:t>16．</w:t>
      </w:r>
      <w:r>
        <w:rPr>
          <w:rFonts w:hint="eastAsia" w:ascii="宋体" w:hAnsi="宋体" w:cs="宋体"/>
          <w:b/>
          <w:bCs/>
          <w:sz w:val="24"/>
          <w:lang w:eastAsia="zh-CN"/>
        </w:rPr>
        <w:t>响应文件</w:t>
      </w:r>
      <w:r>
        <w:rPr>
          <w:rFonts w:ascii="宋体" w:hAnsi="宋体" w:cs="宋体"/>
          <w:b/>
          <w:bCs/>
          <w:sz w:val="24"/>
        </w:rPr>
        <w:t>的数量、签署及形式</w:t>
      </w:r>
      <w:bookmarkEnd w:id="148"/>
      <w:bookmarkEnd w:id="149"/>
      <w:bookmarkEnd w:id="150"/>
      <w:bookmarkEnd w:id="151"/>
      <w:bookmarkEnd w:id="152"/>
    </w:p>
    <w:p w14:paraId="301CB375">
      <w:pPr>
        <w:tabs>
          <w:tab w:val="left" w:pos="4680"/>
        </w:tabs>
        <w:snapToGrid w:val="0"/>
        <w:spacing w:line="440" w:lineRule="exact"/>
        <w:outlineLvl w:val="2"/>
        <w:rPr>
          <w:rFonts w:ascii="宋体" w:hAnsi="宋体" w:cs="宋体"/>
          <w:b w:val="0"/>
          <w:bCs w:val="0"/>
          <w:sz w:val="24"/>
        </w:rPr>
      </w:pPr>
      <w:bookmarkStart w:id="153" w:name="_Toc501985181"/>
      <w:bookmarkStart w:id="154" w:name="_Toc154755469"/>
      <w:bookmarkStart w:id="155" w:name="_Toc154744436"/>
      <w:r>
        <w:rPr>
          <w:rFonts w:hint="eastAsia" w:ascii="宋体" w:hAnsi="宋体" w:cs="宋体"/>
          <w:b w:val="0"/>
          <w:bCs w:val="0"/>
          <w:sz w:val="24"/>
          <w:lang w:val="en-US" w:eastAsia="zh-CN"/>
        </w:rPr>
        <w:t xml:space="preserve">16.1 供应商须递交 wenc 格式投标文件一份。 </w:t>
      </w:r>
    </w:p>
    <w:p w14:paraId="2845DD55">
      <w:pPr>
        <w:tabs>
          <w:tab w:val="left" w:pos="4680"/>
        </w:tabs>
        <w:snapToGrid w:val="0"/>
        <w:spacing w:line="440" w:lineRule="exact"/>
        <w:outlineLvl w:val="2"/>
        <w:rPr>
          <w:rFonts w:ascii="宋体" w:hAnsi="宋体" w:cs="宋体"/>
          <w:b w:val="0"/>
          <w:bCs w:val="0"/>
          <w:sz w:val="24"/>
        </w:rPr>
      </w:pPr>
      <w:r>
        <w:rPr>
          <w:rFonts w:hint="eastAsia" w:ascii="宋体" w:hAnsi="宋体" w:cs="宋体"/>
          <w:b w:val="0"/>
          <w:bCs w:val="0"/>
          <w:sz w:val="24"/>
          <w:lang w:val="en-US" w:eastAsia="zh-CN"/>
        </w:rPr>
        <w:t xml:space="preserve">16.2 投标文件须经供应商的法定代表人或其授权代理人在投标文件对应签字处签字或在对应的盖章加盖单位公章。 </w:t>
      </w:r>
    </w:p>
    <w:p w14:paraId="4FA104A4">
      <w:pPr>
        <w:tabs>
          <w:tab w:val="left" w:pos="4680"/>
        </w:tabs>
        <w:snapToGrid w:val="0"/>
        <w:spacing w:line="440" w:lineRule="exact"/>
        <w:outlineLvl w:val="2"/>
        <w:rPr>
          <w:rFonts w:ascii="宋体" w:hAnsi="宋体" w:cs="宋体"/>
          <w:b w:val="0"/>
          <w:bCs w:val="0"/>
          <w:sz w:val="24"/>
        </w:rPr>
      </w:pPr>
      <w:r>
        <w:rPr>
          <w:rFonts w:hint="eastAsia" w:ascii="宋体" w:hAnsi="宋体" w:cs="宋体"/>
          <w:b w:val="0"/>
          <w:bCs w:val="0"/>
          <w:sz w:val="24"/>
          <w:lang w:val="en-US" w:eastAsia="zh-CN"/>
        </w:rPr>
        <w:t xml:space="preserve">16.3 除供应商对错处作必要修改外，投标文件中不许有加行、涂沫或改写，若有修改须由签署投标文件的法定代表人或经其正式授权的代表进行签字并加盖公章。 </w:t>
      </w:r>
    </w:p>
    <w:p w14:paraId="74E90D51">
      <w:pPr>
        <w:tabs>
          <w:tab w:val="left" w:pos="4680"/>
        </w:tabs>
        <w:snapToGrid w:val="0"/>
        <w:spacing w:line="440" w:lineRule="exact"/>
        <w:outlineLvl w:val="2"/>
        <w:rPr>
          <w:rFonts w:ascii="宋体" w:hAnsi="宋体" w:cs="宋体"/>
          <w:b w:val="0"/>
          <w:bCs w:val="0"/>
          <w:sz w:val="24"/>
        </w:rPr>
      </w:pPr>
      <w:r>
        <w:rPr>
          <w:rFonts w:hint="eastAsia" w:ascii="宋体" w:hAnsi="宋体" w:cs="宋体"/>
          <w:b w:val="0"/>
          <w:bCs w:val="0"/>
          <w:sz w:val="24"/>
          <w:lang w:val="en-US" w:eastAsia="zh-CN"/>
        </w:rPr>
        <w:t xml:space="preserve">16.4 电报、电话、传真、邮寄形式的投标概不接受。 </w:t>
      </w:r>
    </w:p>
    <w:p w14:paraId="72130F61">
      <w:pPr>
        <w:tabs>
          <w:tab w:val="left" w:pos="4680"/>
        </w:tabs>
        <w:snapToGrid w:val="0"/>
        <w:spacing w:line="440" w:lineRule="exact"/>
        <w:outlineLvl w:val="2"/>
        <w:rPr>
          <w:rFonts w:ascii="宋体" w:hAnsi="宋体" w:cs="宋体"/>
          <w:b w:val="0"/>
          <w:bCs w:val="0"/>
          <w:sz w:val="24"/>
        </w:rPr>
      </w:pPr>
      <w:r>
        <w:rPr>
          <w:rFonts w:hint="eastAsia" w:ascii="宋体" w:hAnsi="宋体" w:cs="宋体"/>
          <w:b w:val="0"/>
          <w:bCs w:val="0"/>
          <w:sz w:val="24"/>
          <w:lang w:val="en-US" w:eastAsia="zh-CN"/>
        </w:rPr>
        <w:t>16.5 投标文件因字迹潦草或表达不清所引起的后果由供应商自行负责。</w:t>
      </w:r>
    </w:p>
    <w:p w14:paraId="73F55221">
      <w:pPr>
        <w:tabs>
          <w:tab w:val="left" w:pos="4680"/>
        </w:tabs>
        <w:snapToGrid w:val="0"/>
        <w:spacing w:line="440" w:lineRule="exact"/>
        <w:outlineLvl w:val="2"/>
        <w:rPr>
          <w:rFonts w:ascii="宋体" w:hAnsi="宋体" w:cs="宋体"/>
          <w:b/>
          <w:bCs/>
          <w:sz w:val="24"/>
        </w:rPr>
      </w:pPr>
      <w:r>
        <w:rPr>
          <w:rFonts w:ascii="宋体" w:hAnsi="宋体" w:cs="宋体"/>
          <w:b/>
          <w:bCs/>
          <w:sz w:val="24"/>
        </w:rPr>
        <w:t>17．联合体投标</w:t>
      </w:r>
      <w:bookmarkEnd w:id="153"/>
      <w:bookmarkEnd w:id="154"/>
      <w:bookmarkEnd w:id="155"/>
    </w:p>
    <w:p w14:paraId="223926AB">
      <w:pPr>
        <w:spacing w:line="440" w:lineRule="exact"/>
        <w:ind w:firstLine="480" w:firstLineChars="200"/>
        <w:rPr>
          <w:rFonts w:ascii="宋体" w:hAnsi="宋体" w:cs="宋体"/>
          <w:sz w:val="24"/>
        </w:rPr>
      </w:pPr>
      <w:r>
        <w:rPr>
          <w:rFonts w:ascii="宋体" w:hAnsi="宋体" w:cs="宋体"/>
          <w:sz w:val="24"/>
        </w:rPr>
        <w:t>17.1两个以上</w:t>
      </w:r>
      <w:r>
        <w:rPr>
          <w:rFonts w:hint="eastAsia" w:ascii="宋体" w:hAnsi="宋体" w:cs="宋体"/>
          <w:sz w:val="24"/>
          <w:lang w:eastAsia="zh-CN"/>
        </w:rPr>
        <w:t>供应商</w:t>
      </w:r>
      <w:r>
        <w:rPr>
          <w:rFonts w:ascii="宋体" w:hAnsi="宋体" w:cs="宋体"/>
          <w:sz w:val="24"/>
        </w:rPr>
        <w:t>可以组成一个投标联合体，以一个</w:t>
      </w:r>
      <w:r>
        <w:rPr>
          <w:rFonts w:hint="eastAsia" w:ascii="宋体" w:hAnsi="宋体" w:cs="宋体"/>
          <w:sz w:val="24"/>
          <w:lang w:eastAsia="zh-CN"/>
        </w:rPr>
        <w:t>供应商</w:t>
      </w:r>
      <w:r>
        <w:rPr>
          <w:rFonts w:ascii="宋体" w:hAnsi="宋体" w:cs="宋体"/>
          <w:sz w:val="24"/>
        </w:rPr>
        <w:t>的身份投标。以联合体形式参加投标的，联合体各方均应当符合《政府采购法》第二十二条第一款规定的条件。采购人根据采购项目的特殊要求规定</w:t>
      </w:r>
      <w:r>
        <w:rPr>
          <w:rFonts w:hint="eastAsia" w:ascii="宋体" w:hAnsi="宋体" w:cs="宋体"/>
          <w:sz w:val="24"/>
          <w:lang w:eastAsia="zh-CN"/>
        </w:rPr>
        <w:t>供应商</w:t>
      </w:r>
      <w:r>
        <w:rPr>
          <w:rFonts w:ascii="宋体" w:hAnsi="宋体" w:cs="宋体"/>
          <w:sz w:val="24"/>
        </w:rPr>
        <w:t>特定条件的，联合体各方中至少应当有一方符合采购人规定的特定条件。</w:t>
      </w:r>
    </w:p>
    <w:p w14:paraId="6F1B420A">
      <w:pPr>
        <w:spacing w:line="440" w:lineRule="exact"/>
        <w:ind w:firstLine="480" w:firstLineChars="200"/>
        <w:rPr>
          <w:rFonts w:ascii="宋体" w:hAnsi="宋体" w:cs="宋体"/>
          <w:sz w:val="24"/>
        </w:rPr>
      </w:pPr>
      <w:r>
        <w:rPr>
          <w:rFonts w:ascii="宋体" w:hAnsi="宋体" w:cs="宋体"/>
          <w:sz w:val="24"/>
        </w:rPr>
        <w:t>17.2联合体各方之间应当签订共同投标协议，明确约定联合体各方承担的工作和相应的责任，并将共同投标协议连同</w:t>
      </w:r>
      <w:r>
        <w:rPr>
          <w:rFonts w:hint="eastAsia" w:ascii="宋体" w:hAnsi="宋体" w:cs="宋体"/>
          <w:sz w:val="24"/>
          <w:lang w:eastAsia="zh-CN"/>
        </w:rPr>
        <w:t>响应文件</w:t>
      </w:r>
      <w:r>
        <w:rPr>
          <w:rFonts w:ascii="宋体" w:hAnsi="宋体" w:cs="宋体"/>
          <w:sz w:val="24"/>
        </w:rPr>
        <w:t>一并提交招标采购单位。联合体各方签订共同投标协议后，不得再以自己名义单独在同一项目中投标，也不得组成新的联合体参加同一项目投标。</w:t>
      </w:r>
    </w:p>
    <w:p w14:paraId="2EF154D0">
      <w:pPr>
        <w:spacing w:line="440" w:lineRule="exact"/>
        <w:ind w:firstLine="480" w:firstLineChars="200"/>
        <w:rPr>
          <w:rFonts w:ascii="宋体" w:hAnsi="宋体" w:cs="宋体"/>
          <w:sz w:val="24"/>
        </w:rPr>
      </w:pPr>
      <w:r>
        <w:rPr>
          <w:rFonts w:ascii="宋体" w:hAnsi="宋体" w:cs="宋体"/>
          <w:sz w:val="24"/>
        </w:rPr>
        <w:t xml:space="preserve">17.3 </w:t>
      </w:r>
      <w:r>
        <w:rPr>
          <w:rFonts w:hint="eastAsia" w:ascii="宋体" w:hAnsi="宋体" w:cs="宋体"/>
          <w:sz w:val="24"/>
        </w:rPr>
        <w:t>联合体应当确定其中一个单位为投标的全权代表，负责参加投标的一切事务，并承担投标及履约中应承担的全部责任与义务。</w:t>
      </w:r>
    </w:p>
    <w:p w14:paraId="021EFB5B">
      <w:pPr>
        <w:spacing w:line="440" w:lineRule="exact"/>
        <w:ind w:firstLine="480" w:firstLineChars="200"/>
        <w:rPr>
          <w:rFonts w:ascii="宋体" w:hAnsi="宋体" w:cs="宋体"/>
          <w:sz w:val="24"/>
        </w:rPr>
      </w:pPr>
      <w:r>
        <w:rPr>
          <w:rFonts w:ascii="宋体" w:hAnsi="宋体" w:cs="宋体"/>
          <w:sz w:val="24"/>
        </w:rPr>
        <w:t xml:space="preserve">17.4 </w:t>
      </w:r>
      <w:r>
        <w:rPr>
          <w:rFonts w:hint="eastAsia" w:ascii="宋体" w:hAnsi="宋体" w:cs="宋体"/>
          <w:sz w:val="24"/>
        </w:rPr>
        <w:t>联合体各方应当共同与采购人签订采购合同，就采购合同约定的事项对采购人承担连带责任。</w:t>
      </w:r>
    </w:p>
    <w:p w14:paraId="1A7929DB">
      <w:pPr>
        <w:spacing w:line="440" w:lineRule="exact"/>
        <w:ind w:firstLine="480" w:firstLineChars="200"/>
        <w:rPr>
          <w:rFonts w:ascii="宋体" w:hAnsi="宋体" w:cs="宋体"/>
          <w:color w:val="auto"/>
          <w:sz w:val="24"/>
        </w:rPr>
      </w:pPr>
      <w:r>
        <w:rPr>
          <w:rFonts w:ascii="宋体" w:hAnsi="宋体" w:cs="宋体"/>
          <w:color w:val="auto"/>
          <w:sz w:val="24"/>
        </w:rPr>
        <w:t>17.5本次采购活动不接受联合体投标。</w:t>
      </w:r>
    </w:p>
    <w:p w14:paraId="0799A1CF">
      <w:pPr>
        <w:tabs>
          <w:tab w:val="left" w:pos="4680"/>
        </w:tabs>
        <w:snapToGrid w:val="0"/>
        <w:spacing w:line="440" w:lineRule="exact"/>
        <w:outlineLvl w:val="2"/>
        <w:rPr>
          <w:rFonts w:ascii="宋体" w:hAnsi="宋体" w:cs="宋体"/>
          <w:b/>
          <w:bCs/>
          <w:sz w:val="24"/>
        </w:rPr>
      </w:pPr>
      <w:bookmarkStart w:id="156" w:name="_Toc217446047"/>
      <w:bookmarkStart w:id="157" w:name="_Toc154744437"/>
      <w:bookmarkStart w:id="158" w:name="_Toc501985182"/>
      <w:bookmarkStart w:id="159" w:name="_Toc154755470"/>
      <w:r>
        <w:rPr>
          <w:rFonts w:hint="eastAsia" w:ascii="宋体" w:hAnsi="宋体" w:cs="宋体"/>
          <w:b/>
          <w:bCs/>
          <w:sz w:val="24"/>
        </w:rPr>
        <w:t>18．知识产权</w:t>
      </w:r>
      <w:bookmarkEnd w:id="156"/>
      <w:bookmarkEnd w:id="157"/>
      <w:bookmarkEnd w:id="158"/>
      <w:bookmarkEnd w:id="159"/>
    </w:p>
    <w:p w14:paraId="0E907E30">
      <w:pPr>
        <w:pStyle w:val="15"/>
        <w:spacing w:line="440" w:lineRule="exact"/>
        <w:ind w:left="0" w:leftChars="0" w:firstLine="480" w:firstLineChars="200"/>
        <w:rPr>
          <w:rFonts w:hint="default" w:ascii="宋体" w:hAnsi="宋体" w:cs="宋体"/>
          <w:szCs w:val="24"/>
        </w:rPr>
      </w:pPr>
      <w:r>
        <w:rPr>
          <w:rFonts w:hint="default" w:ascii="宋体" w:hAnsi="宋体" w:cs="宋体"/>
          <w:szCs w:val="24"/>
        </w:rPr>
        <w:t xml:space="preserve">18.1 </w:t>
      </w:r>
      <w:r>
        <w:rPr>
          <w:rFonts w:hint="eastAsia" w:ascii="宋体" w:hAnsi="宋体" w:cs="宋体"/>
          <w:szCs w:val="24"/>
          <w:lang w:eastAsia="zh-CN"/>
        </w:rPr>
        <w:t>供应商</w:t>
      </w:r>
      <w:r>
        <w:rPr>
          <w:rFonts w:ascii="宋体" w:hAnsi="宋体" w:cs="宋体"/>
          <w:szCs w:val="24"/>
        </w:rPr>
        <w:t>应保证在本项目使用的任何产品和服务（包括部分使用）时，不会产生因第三方提出侵犯其专利权、商标权或其它知识产权而引起的法律和经济纠纷，如因专利权、商标权或其它知识产权而引起法律和经济纠纷，由</w:t>
      </w:r>
      <w:r>
        <w:rPr>
          <w:rFonts w:hint="eastAsia" w:ascii="宋体" w:hAnsi="宋体" w:cs="宋体"/>
          <w:szCs w:val="24"/>
          <w:lang w:eastAsia="zh-CN"/>
        </w:rPr>
        <w:t>供应商</w:t>
      </w:r>
      <w:r>
        <w:rPr>
          <w:rFonts w:ascii="宋体" w:hAnsi="宋体" w:cs="宋体"/>
          <w:szCs w:val="24"/>
        </w:rPr>
        <w:t>承担所有相关责任。</w:t>
      </w:r>
    </w:p>
    <w:p w14:paraId="07772B38">
      <w:pPr>
        <w:pStyle w:val="15"/>
        <w:spacing w:line="440" w:lineRule="exact"/>
        <w:ind w:left="0" w:leftChars="0" w:firstLine="480" w:firstLineChars="200"/>
        <w:rPr>
          <w:rFonts w:hint="default" w:ascii="宋体" w:hAnsi="宋体" w:cs="宋体"/>
          <w:szCs w:val="24"/>
        </w:rPr>
      </w:pPr>
      <w:r>
        <w:rPr>
          <w:rFonts w:hint="default" w:ascii="宋体" w:hAnsi="宋体" w:cs="宋体"/>
          <w:szCs w:val="24"/>
        </w:rPr>
        <w:t xml:space="preserve">18.2 </w:t>
      </w:r>
      <w:r>
        <w:rPr>
          <w:rFonts w:ascii="宋体" w:hAnsi="宋体" w:cs="宋体"/>
          <w:szCs w:val="24"/>
        </w:rPr>
        <w:t>采购人享有本项目实施过程中产生的知识成果及知识产权。</w:t>
      </w:r>
    </w:p>
    <w:p w14:paraId="115FDCF8">
      <w:pPr>
        <w:spacing w:line="440" w:lineRule="exact"/>
        <w:ind w:firstLine="480" w:firstLineChars="200"/>
        <w:rPr>
          <w:rFonts w:ascii="宋体" w:hAnsi="宋体" w:cs="宋体"/>
          <w:sz w:val="24"/>
        </w:rPr>
      </w:pPr>
      <w:r>
        <w:rPr>
          <w:rFonts w:ascii="宋体" w:hAnsi="宋体" w:cs="宋体"/>
          <w:sz w:val="24"/>
        </w:rPr>
        <w:t xml:space="preserve">18.3 </w:t>
      </w:r>
      <w:r>
        <w:rPr>
          <w:rFonts w:hint="eastAsia" w:ascii="宋体" w:hAnsi="宋体" w:cs="宋体"/>
          <w:sz w:val="24"/>
          <w:lang w:eastAsia="zh-CN"/>
        </w:rPr>
        <w:t>供应商</w:t>
      </w:r>
      <w:r>
        <w:rPr>
          <w:rFonts w:hint="eastAsia" w:ascii="宋体" w:hAnsi="宋体" w:cs="宋体"/>
          <w:sz w:val="24"/>
        </w:rPr>
        <w:t>如欲在项目实施过程中采用自有知识成果，需在</w:t>
      </w:r>
      <w:r>
        <w:rPr>
          <w:rFonts w:hint="eastAsia" w:ascii="宋体" w:hAnsi="宋体" w:cs="宋体"/>
          <w:sz w:val="24"/>
          <w:lang w:eastAsia="zh-CN"/>
        </w:rPr>
        <w:t>响应文件</w:t>
      </w:r>
      <w:r>
        <w:rPr>
          <w:rFonts w:hint="eastAsia" w:ascii="宋体" w:hAnsi="宋体" w:cs="宋体"/>
          <w:sz w:val="24"/>
        </w:rPr>
        <w:t>中声明，并提供相关知识产权证明文件。使用该知识成果后，</w:t>
      </w:r>
      <w:r>
        <w:rPr>
          <w:rFonts w:hint="eastAsia" w:ascii="宋体" w:hAnsi="宋体" w:cs="宋体"/>
          <w:sz w:val="24"/>
          <w:lang w:eastAsia="zh-CN"/>
        </w:rPr>
        <w:t>供应商</w:t>
      </w:r>
      <w:r>
        <w:rPr>
          <w:rFonts w:hint="eastAsia" w:ascii="宋体" w:hAnsi="宋体" w:cs="宋体"/>
          <w:sz w:val="24"/>
        </w:rPr>
        <w:t>需提供开发接口和开发手册等技术文档，并承诺提供无限期技术支持，采购人享有永久使用权。</w:t>
      </w:r>
    </w:p>
    <w:p w14:paraId="71C5E4BA">
      <w:pPr>
        <w:spacing w:line="440" w:lineRule="exact"/>
        <w:ind w:firstLine="480" w:firstLineChars="200"/>
        <w:rPr>
          <w:rFonts w:ascii="宋体"/>
          <w:sz w:val="24"/>
        </w:rPr>
      </w:pPr>
      <w:r>
        <w:rPr>
          <w:rFonts w:ascii="宋体" w:hAnsi="宋体" w:cs="宋体"/>
          <w:sz w:val="24"/>
        </w:rPr>
        <w:t xml:space="preserve">18.4 </w:t>
      </w:r>
      <w:r>
        <w:rPr>
          <w:rFonts w:hint="eastAsia" w:ascii="宋体" w:hAnsi="宋体" w:cs="宋体"/>
          <w:sz w:val="24"/>
        </w:rPr>
        <w:t>如采用</w:t>
      </w:r>
      <w:r>
        <w:rPr>
          <w:rFonts w:hint="eastAsia" w:ascii="宋体" w:hAnsi="宋体" w:cs="宋体"/>
          <w:sz w:val="24"/>
          <w:lang w:eastAsia="zh-CN"/>
        </w:rPr>
        <w:t>供应商</w:t>
      </w:r>
      <w:r>
        <w:rPr>
          <w:rFonts w:hint="eastAsia" w:ascii="宋体" w:hAnsi="宋体" w:cs="宋体"/>
          <w:sz w:val="24"/>
        </w:rPr>
        <w:t>所不拥有的知识产权，则在投标报价中必须包括合法获取该知识产权的相关费用。</w:t>
      </w:r>
      <w:bookmarkStart w:id="160" w:name="_Toc238907019"/>
      <w:bookmarkStart w:id="161" w:name="_Toc468811104"/>
    </w:p>
    <w:p w14:paraId="0F244611">
      <w:pPr>
        <w:pStyle w:val="2"/>
        <w:jc w:val="both"/>
        <w:rPr>
          <w:rFonts w:cs="宋体"/>
          <w:sz w:val="28"/>
          <w:szCs w:val="28"/>
        </w:rPr>
      </w:pPr>
      <w:bookmarkStart w:id="162" w:name="_Toc501985183"/>
      <w:bookmarkStart w:id="163" w:name="_Toc185"/>
      <w:r>
        <w:rPr>
          <w:rFonts w:hint="eastAsia" w:cs="宋体"/>
          <w:sz w:val="28"/>
          <w:szCs w:val="28"/>
        </w:rPr>
        <w:t>（四）</w:t>
      </w:r>
      <w:r>
        <w:rPr>
          <w:rFonts w:hint="eastAsia" w:cs="宋体"/>
          <w:sz w:val="28"/>
          <w:szCs w:val="28"/>
          <w:lang w:eastAsia="zh-CN"/>
        </w:rPr>
        <w:t>响应文件</w:t>
      </w:r>
      <w:r>
        <w:rPr>
          <w:rFonts w:hint="eastAsia" w:cs="宋体"/>
          <w:sz w:val="28"/>
          <w:szCs w:val="28"/>
        </w:rPr>
        <w:t>的递交</w:t>
      </w:r>
      <w:bookmarkEnd w:id="160"/>
      <w:bookmarkEnd w:id="161"/>
      <w:bookmarkEnd w:id="162"/>
      <w:bookmarkEnd w:id="163"/>
    </w:p>
    <w:p w14:paraId="53541603">
      <w:pPr>
        <w:spacing w:line="440" w:lineRule="exact"/>
        <w:ind w:firstLine="482" w:firstLineChars="200"/>
        <w:rPr>
          <w:rFonts w:ascii="宋体" w:hAnsi="宋体" w:cs="宋体"/>
          <w:bCs/>
          <w:sz w:val="24"/>
          <w:lang w:val="en-GB"/>
        </w:rPr>
      </w:pPr>
      <w:bookmarkStart w:id="164" w:name="_Toc154755471"/>
      <w:bookmarkStart w:id="165" w:name="_Toc238907020"/>
      <w:bookmarkStart w:id="166" w:name="_Toc154744438"/>
      <w:bookmarkStart w:id="167" w:name="_Toc501985184"/>
      <w:bookmarkStart w:id="168" w:name="_Toc468811105"/>
      <w:r>
        <w:rPr>
          <w:rFonts w:ascii="宋体" w:hAnsi="宋体" w:cs="宋体"/>
          <w:b/>
          <w:bCs/>
          <w:sz w:val="24"/>
        </w:rPr>
        <w:t>19．</w:t>
      </w:r>
      <w:bookmarkEnd w:id="164"/>
      <w:bookmarkEnd w:id="165"/>
      <w:bookmarkEnd w:id="166"/>
      <w:bookmarkEnd w:id="167"/>
      <w:bookmarkEnd w:id="168"/>
      <w:bookmarkStart w:id="169" w:name="_Toc501985187"/>
      <w:bookmarkStart w:id="170" w:name="_Toc468811106"/>
      <w:bookmarkStart w:id="171" w:name="_Toc238907021"/>
      <w:r>
        <w:rPr>
          <w:rFonts w:hint="eastAsia" w:ascii="宋体" w:hAnsi="宋体" w:cs="宋体"/>
          <w:sz w:val="24"/>
          <w:lang w:val="en-US" w:eastAsia="zh-CN"/>
        </w:rPr>
        <w:t>供应商应在不迟于招标公告中规定的截止日期和时间将投标文件递交至采购代理机构在招标公告中指明的地址。</w:t>
      </w:r>
      <w:r>
        <w:rPr>
          <w:rFonts w:hint="eastAsia" w:ascii="宋体" w:hAnsi="宋体" w:eastAsia="宋体" w:cs="宋体"/>
          <w:color w:val="000000"/>
          <w:kern w:val="0"/>
          <w:sz w:val="24"/>
          <w:szCs w:val="24"/>
          <w:lang w:val="en-US" w:eastAsia="zh-CN" w:bidi="ar"/>
        </w:rPr>
        <w:t xml:space="preserve"> </w:t>
      </w:r>
    </w:p>
    <w:bookmarkEnd w:id="169"/>
    <w:bookmarkEnd w:id="170"/>
    <w:bookmarkEnd w:id="171"/>
    <w:p w14:paraId="3070E7E7">
      <w:pPr>
        <w:tabs>
          <w:tab w:val="left" w:pos="4680"/>
        </w:tabs>
        <w:snapToGrid w:val="0"/>
        <w:spacing w:line="440" w:lineRule="exact"/>
        <w:outlineLvl w:val="2"/>
        <w:rPr>
          <w:rFonts w:ascii="宋体" w:hAnsi="宋体" w:cs="宋体"/>
          <w:b/>
          <w:bCs/>
          <w:sz w:val="28"/>
          <w:szCs w:val="21"/>
        </w:rPr>
      </w:pPr>
      <w:bookmarkStart w:id="172" w:name="_Toc468811108"/>
      <w:bookmarkStart w:id="173" w:name="_Toc154744442"/>
      <w:bookmarkStart w:id="174" w:name="_Toc238907023"/>
      <w:bookmarkStart w:id="175" w:name="_Toc501985190"/>
      <w:bookmarkStart w:id="176" w:name="_Toc154755475"/>
      <w:r>
        <w:rPr>
          <w:rFonts w:ascii="宋体" w:hAnsi="宋体" w:cs="宋体"/>
          <w:b/>
          <w:bCs/>
          <w:sz w:val="28"/>
          <w:szCs w:val="21"/>
        </w:rPr>
        <w:t>2</w:t>
      </w:r>
      <w:r>
        <w:rPr>
          <w:rFonts w:hint="eastAsia" w:ascii="宋体" w:hAnsi="宋体" w:cs="宋体"/>
          <w:b/>
          <w:bCs/>
          <w:sz w:val="28"/>
          <w:szCs w:val="21"/>
          <w:lang w:val="en-US" w:eastAsia="zh-CN"/>
        </w:rPr>
        <w:t>0</w:t>
      </w:r>
      <w:r>
        <w:rPr>
          <w:rFonts w:ascii="宋体" w:hAnsi="宋体" w:cs="宋体"/>
          <w:b/>
          <w:bCs/>
          <w:sz w:val="28"/>
          <w:szCs w:val="21"/>
        </w:rPr>
        <w:t>．</w:t>
      </w:r>
      <w:r>
        <w:rPr>
          <w:rFonts w:hint="eastAsia" w:ascii="宋体" w:hAnsi="宋体" w:cs="宋体"/>
          <w:b/>
          <w:bCs/>
          <w:sz w:val="28"/>
          <w:szCs w:val="21"/>
          <w:lang w:eastAsia="zh-CN"/>
        </w:rPr>
        <w:t>响应文件</w:t>
      </w:r>
      <w:r>
        <w:rPr>
          <w:rFonts w:ascii="宋体" w:hAnsi="宋体" w:cs="宋体"/>
          <w:b/>
          <w:bCs/>
          <w:sz w:val="28"/>
          <w:szCs w:val="21"/>
        </w:rPr>
        <w:t>的修改和撤回</w:t>
      </w:r>
      <w:bookmarkEnd w:id="172"/>
      <w:bookmarkEnd w:id="173"/>
      <w:bookmarkEnd w:id="174"/>
      <w:bookmarkEnd w:id="175"/>
      <w:bookmarkEnd w:id="176"/>
      <w:bookmarkStart w:id="177" w:name="_Toc17588"/>
    </w:p>
    <w:p w14:paraId="3267D96F">
      <w:pPr>
        <w:pStyle w:val="15"/>
        <w:spacing w:line="440" w:lineRule="exact"/>
        <w:ind w:left="0" w:leftChars="0" w:firstLine="480" w:firstLineChars="200"/>
        <w:rPr>
          <w:rFonts w:hint="eastAsia" w:ascii="宋体" w:hAnsi="宋体" w:cs="宋体"/>
          <w:szCs w:val="24"/>
          <w:lang w:val="en-US" w:eastAsia="zh-CN"/>
        </w:rPr>
      </w:pPr>
      <w:r>
        <w:rPr>
          <w:rFonts w:hint="eastAsia" w:ascii="宋体" w:hAnsi="宋体" w:cs="宋体"/>
          <w:szCs w:val="24"/>
          <w:lang w:val="en-US" w:eastAsia="zh-CN"/>
        </w:rPr>
        <w:t xml:space="preserve">20.1 供应商在递交了投标文件后，可以修改或撤回其投标文件，但必须在规定的投标截止时间前，以书面形式通知采购代理机构。 </w:t>
      </w:r>
    </w:p>
    <w:p w14:paraId="11EE6C0E">
      <w:pPr>
        <w:pStyle w:val="15"/>
        <w:spacing w:line="440" w:lineRule="exact"/>
        <w:ind w:left="0" w:leftChars="0" w:firstLine="480" w:firstLineChars="200"/>
        <w:rPr>
          <w:rFonts w:hint="eastAsia" w:ascii="宋体" w:hAnsi="宋体" w:cs="宋体"/>
          <w:szCs w:val="24"/>
          <w:lang w:val="en-US" w:eastAsia="zh-CN"/>
        </w:rPr>
      </w:pPr>
      <w:r>
        <w:rPr>
          <w:rFonts w:hint="eastAsia" w:ascii="宋体" w:hAnsi="宋体" w:cs="宋体"/>
          <w:szCs w:val="24"/>
          <w:lang w:val="en-US" w:eastAsia="zh-CN"/>
        </w:rPr>
        <w:t>20.2 供应商的修改书或撤回通知书，应由其法定代表人或授权代表签署并盖单位印章。</w:t>
      </w:r>
    </w:p>
    <w:p w14:paraId="5E53D855">
      <w:pPr>
        <w:pStyle w:val="15"/>
        <w:spacing w:line="440" w:lineRule="exact"/>
        <w:ind w:left="0" w:leftChars="0" w:firstLine="480" w:firstLineChars="200"/>
        <w:rPr>
          <w:rFonts w:hint="eastAsia" w:ascii="宋体" w:hAnsi="宋体" w:cs="宋体"/>
          <w:szCs w:val="24"/>
        </w:rPr>
      </w:pPr>
      <w:r>
        <w:rPr>
          <w:rFonts w:hint="eastAsia" w:ascii="宋体" w:hAnsi="宋体" w:cs="宋体"/>
          <w:szCs w:val="24"/>
          <w:lang w:val="en-US" w:eastAsia="zh-CN"/>
        </w:rPr>
        <w:t xml:space="preserve"> 20.3 在投标截止时间之后，供应商不得对其递交的投标文件做任何修改或撤回投标。 </w:t>
      </w:r>
    </w:p>
    <w:p w14:paraId="7EE50EE4">
      <w:pPr>
        <w:pStyle w:val="15"/>
        <w:spacing w:line="440" w:lineRule="exact"/>
        <w:ind w:left="0" w:leftChars="0" w:firstLine="480" w:firstLineChars="200"/>
        <w:rPr>
          <w:rFonts w:hint="eastAsia" w:ascii="宋体" w:hAnsi="宋体" w:cs="宋体"/>
          <w:szCs w:val="24"/>
        </w:rPr>
      </w:pPr>
      <w:r>
        <w:rPr>
          <w:rFonts w:hint="eastAsia" w:ascii="宋体" w:hAnsi="宋体" w:cs="宋体"/>
          <w:szCs w:val="24"/>
          <w:lang w:val="en-US" w:eastAsia="zh-CN"/>
        </w:rPr>
        <w:t xml:space="preserve">20.4 投标文件中如果出现计算上或累加上的算术错误，可按以下原则进行修改： </w:t>
      </w:r>
    </w:p>
    <w:p w14:paraId="4E52581B">
      <w:pPr>
        <w:pStyle w:val="15"/>
        <w:spacing w:line="440" w:lineRule="exact"/>
        <w:ind w:left="0" w:leftChars="0" w:firstLine="480" w:firstLineChars="200"/>
        <w:rPr>
          <w:rFonts w:hint="eastAsia" w:ascii="宋体" w:hAnsi="宋体" w:cs="宋体"/>
          <w:szCs w:val="24"/>
        </w:rPr>
      </w:pPr>
      <w:r>
        <w:rPr>
          <w:rFonts w:hint="eastAsia" w:ascii="宋体" w:hAnsi="宋体" w:cs="宋体"/>
          <w:szCs w:val="24"/>
          <w:lang w:val="en-US" w:eastAsia="zh-CN"/>
        </w:rPr>
        <w:t xml:space="preserve">（1）投标文件中开标一览表（报价表）内容与投标文件中相应内容不一致的，以开标一览表（报价表）为准； </w:t>
      </w:r>
    </w:p>
    <w:p w14:paraId="03E2DE7F">
      <w:pPr>
        <w:pStyle w:val="15"/>
        <w:spacing w:line="440" w:lineRule="exact"/>
        <w:ind w:left="0" w:leftChars="0" w:firstLine="480" w:firstLineChars="200"/>
        <w:rPr>
          <w:rFonts w:hint="eastAsia" w:ascii="宋体" w:hAnsi="宋体" w:cs="宋体"/>
          <w:szCs w:val="24"/>
        </w:rPr>
      </w:pPr>
      <w:r>
        <w:rPr>
          <w:rFonts w:hint="eastAsia" w:ascii="宋体" w:hAnsi="宋体" w:cs="宋体"/>
          <w:szCs w:val="24"/>
          <w:lang w:val="en-US" w:eastAsia="zh-CN"/>
        </w:rPr>
        <w:t xml:space="preserve">（2）大写金额和小写金额不一致的，以大写金额为准； </w:t>
      </w:r>
    </w:p>
    <w:p w14:paraId="6FB7E1C9">
      <w:pPr>
        <w:pStyle w:val="15"/>
        <w:spacing w:line="440" w:lineRule="exact"/>
        <w:ind w:left="0" w:leftChars="0" w:firstLine="480" w:firstLineChars="200"/>
        <w:rPr>
          <w:rFonts w:hint="eastAsia" w:ascii="宋体" w:hAnsi="宋体" w:cs="宋体"/>
          <w:szCs w:val="24"/>
        </w:rPr>
      </w:pPr>
      <w:r>
        <w:rPr>
          <w:rFonts w:hint="eastAsia" w:ascii="宋体" w:hAnsi="宋体" w:cs="宋体"/>
          <w:szCs w:val="24"/>
          <w:lang w:val="en-US" w:eastAsia="zh-CN"/>
        </w:rPr>
        <w:t xml:space="preserve">（3）单价金额小数点或者百分比有明显错位的，以开标一览表的总价为准，并修改单价； </w:t>
      </w:r>
    </w:p>
    <w:p w14:paraId="76875CE0">
      <w:pPr>
        <w:pStyle w:val="15"/>
        <w:spacing w:line="440" w:lineRule="exact"/>
        <w:ind w:left="0" w:leftChars="0" w:firstLine="480" w:firstLineChars="200"/>
        <w:rPr>
          <w:rFonts w:hint="eastAsia" w:ascii="宋体" w:hAnsi="宋体" w:cs="宋体"/>
          <w:szCs w:val="24"/>
        </w:rPr>
      </w:pPr>
      <w:r>
        <w:rPr>
          <w:rFonts w:hint="eastAsia" w:ascii="宋体" w:hAnsi="宋体" w:cs="宋体"/>
          <w:szCs w:val="24"/>
          <w:lang w:val="en-US" w:eastAsia="zh-CN"/>
        </w:rPr>
        <w:t xml:space="preserve">（4）总价金额与按单价汇总金额不一致的，以单价金额计算结果为准。 </w:t>
      </w:r>
    </w:p>
    <w:p w14:paraId="3B35D683">
      <w:pPr>
        <w:pStyle w:val="15"/>
        <w:spacing w:line="440" w:lineRule="exact"/>
        <w:ind w:left="0" w:leftChars="0" w:firstLine="480" w:firstLineChars="200"/>
        <w:rPr>
          <w:rFonts w:hint="eastAsia" w:ascii="宋体" w:hAnsi="宋体" w:cs="宋体"/>
          <w:szCs w:val="24"/>
        </w:rPr>
      </w:pPr>
      <w:r>
        <w:rPr>
          <w:rFonts w:hint="eastAsia" w:ascii="宋体" w:hAnsi="宋体" w:cs="宋体"/>
          <w:szCs w:val="24"/>
          <w:lang w:val="en-US" w:eastAsia="zh-CN"/>
        </w:rPr>
        <w:t xml:space="preserve">同时出现两种以上不一致的，按照以上规定的顺序修正。修正后的报价经供应商确认后产生约束力，供应商不确认的，其投标无效。 </w:t>
      </w:r>
    </w:p>
    <w:p w14:paraId="6DB655E2">
      <w:pPr>
        <w:tabs>
          <w:tab w:val="left" w:pos="4680"/>
        </w:tabs>
        <w:snapToGrid w:val="0"/>
        <w:spacing w:line="440" w:lineRule="exact"/>
        <w:outlineLvl w:val="2"/>
        <w:rPr>
          <w:rFonts w:hint="eastAsia" w:cs="宋体"/>
          <w:b w:val="0"/>
          <w:bCs w:val="0"/>
          <w:sz w:val="28"/>
          <w:szCs w:val="28"/>
        </w:rPr>
      </w:pPr>
    </w:p>
    <w:p w14:paraId="5EBB3AD1">
      <w:pPr>
        <w:pStyle w:val="2"/>
        <w:ind w:left="0" w:leftChars="0" w:firstLine="0" w:firstLineChars="0"/>
        <w:jc w:val="both"/>
        <w:rPr>
          <w:rFonts w:hint="default" w:eastAsia="宋体" w:cs="宋体"/>
          <w:sz w:val="28"/>
          <w:szCs w:val="28"/>
          <w:lang w:val="en-US" w:eastAsia="zh-CN"/>
        </w:rPr>
      </w:pPr>
      <w:r>
        <w:rPr>
          <w:rFonts w:hint="eastAsia" w:cs="宋体"/>
          <w:sz w:val="28"/>
          <w:szCs w:val="28"/>
        </w:rPr>
        <w:t>（五）</w:t>
      </w:r>
      <w:r>
        <w:rPr>
          <w:rFonts w:hint="eastAsia" w:cs="宋体"/>
          <w:sz w:val="28"/>
          <w:szCs w:val="28"/>
          <w:lang w:val="en-US" w:eastAsia="zh-CN"/>
        </w:rPr>
        <w:t>电子</w:t>
      </w:r>
      <w:r>
        <w:rPr>
          <w:rFonts w:hint="eastAsia" w:cs="宋体"/>
          <w:sz w:val="28"/>
          <w:szCs w:val="28"/>
        </w:rPr>
        <w:t>开标</w:t>
      </w:r>
      <w:bookmarkEnd w:id="177"/>
      <w:bookmarkStart w:id="178" w:name="_Toc364316041"/>
      <w:bookmarkStart w:id="179" w:name="_Toc364341437"/>
      <w:bookmarkStart w:id="180" w:name="_Toc248740530"/>
      <w:r>
        <w:rPr>
          <w:rFonts w:hint="eastAsia" w:cs="宋体"/>
          <w:sz w:val="28"/>
          <w:szCs w:val="28"/>
          <w:lang w:val="en-US" w:eastAsia="zh-CN"/>
        </w:rPr>
        <w:t>和中标</w:t>
      </w:r>
    </w:p>
    <w:bookmarkEnd w:id="178"/>
    <w:bookmarkEnd w:id="179"/>
    <w:bookmarkEnd w:id="180"/>
    <w:p w14:paraId="1E6065C1">
      <w:pPr>
        <w:pStyle w:val="15"/>
        <w:spacing w:line="440" w:lineRule="exact"/>
        <w:ind w:left="0" w:leftChars="0" w:firstLine="480" w:firstLineChars="200"/>
        <w:rPr>
          <w:rFonts w:hint="eastAsia" w:ascii="宋体" w:hAnsi="宋体" w:cs="宋体"/>
          <w:szCs w:val="24"/>
          <w:lang w:val="en-US" w:eastAsia="zh-CN"/>
        </w:rPr>
      </w:pPr>
      <w:bookmarkStart w:id="181" w:name="_Toc23008"/>
      <w:bookmarkStart w:id="182" w:name="_Toc45533821"/>
      <w:r>
        <w:rPr>
          <w:rFonts w:hint="eastAsia" w:ascii="宋体" w:hAnsi="宋体" w:cs="宋体"/>
          <w:szCs w:val="24"/>
          <w:lang w:val="en-US" w:eastAsia="zh-CN"/>
        </w:rPr>
        <w:t xml:space="preserve">21. 电子开标 </w:t>
      </w:r>
    </w:p>
    <w:p w14:paraId="45D2AAA9">
      <w:pPr>
        <w:pStyle w:val="15"/>
        <w:spacing w:line="440" w:lineRule="exact"/>
        <w:ind w:left="0" w:leftChars="0" w:firstLine="480" w:firstLineChars="200"/>
        <w:rPr>
          <w:rFonts w:hint="eastAsia" w:ascii="宋体" w:hAnsi="宋体" w:cs="宋体"/>
          <w:szCs w:val="24"/>
          <w:lang w:val="en-US" w:eastAsia="zh-CN"/>
        </w:rPr>
      </w:pPr>
      <w:r>
        <w:rPr>
          <w:rFonts w:hint="eastAsia" w:ascii="宋体" w:hAnsi="宋体" w:cs="宋体"/>
          <w:szCs w:val="24"/>
          <w:lang w:val="en-US" w:eastAsia="zh-CN"/>
        </w:rPr>
        <w:t xml:space="preserve">21.1 本项目为全程电子化开标，开标流程严格按照《海南省政府采购电子化交易管理系统全程电子化操作手册—代理机构》操作。 </w:t>
      </w:r>
    </w:p>
    <w:p w14:paraId="568DA67D">
      <w:pPr>
        <w:pStyle w:val="15"/>
        <w:spacing w:line="440" w:lineRule="exact"/>
        <w:ind w:left="0" w:leftChars="0" w:firstLine="480" w:firstLineChars="200"/>
        <w:rPr>
          <w:rFonts w:hint="eastAsia" w:ascii="宋体" w:hAnsi="宋体" w:cs="宋体"/>
          <w:szCs w:val="24"/>
          <w:lang w:val="en-US" w:eastAsia="zh-CN"/>
        </w:rPr>
      </w:pPr>
      <w:r>
        <w:rPr>
          <w:rFonts w:hint="eastAsia" w:ascii="宋体" w:hAnsi="宋体" w:cs="宋体"/>
          <w:szCs w:val="24"/>
          <w:lang w:val="en-US" w:eastAsia="zh-CN"/>
        </w:rPr>
        <w:t xml:space="preserve">22. 开标程序 </w:t>
      </w:r>
    </w:p>
    <w:p w14:paraId="24C306DA">
      <w:pPr>
        <w:pStyle w:val="15"/>
        <w:spacing w:line="440" w:lineRule="exact"/>
        <w:ind w:left="0" w:leftChars="0" w:firstLine="480" w:firstLineChars="200"/>
        <w:rPr>
          <w:rFonts w:hint="eastAsia" w:ascii="宋体" w:hAnsi="宋体" w:cs="宋体"/>
          <w:szCs w:val="24"/>
          <w:lang w:val="en-US" w:eastAsia="zh-CN"/>
        </w:rPr>
      </w:pPr>
      <w:r>
        <w:rPr>
          <w:rFonts w:hint="eastAsia" w:ascii="宋体" w:hAnsi="宋体" w:cs="宋体"/>
          <w:szCs w:val="24"/>
          <w:lang w:val="en-US" w:eastAsia="zh-CN"/>
        </w:rPr>
        <w:t xml:space="preserve">22.1 远程开标（签到）倒计时结束前供应商须在签到页面进行电子签章。供应商未按时签到的，作为无效投标处理，建议供应商提前 30 分钟进入开标大厅做准备。检查系统环境及签章工具情况。同时查看参与供应商数，及废标原因。 </w:t>
      </w:r>
    </w:p>
    <w:p w14:paraId="04E20280">
      <w:pPr>
        <w:pStyle w:val="15"/>
        <w:spacing w:line="440" w:lineRule="exact"/>
        <w:ind w:left="0" w:leftChars="0" w:firstLine="480" w:firstLineChars="200"/>
        <w:rPr>
          <w:rFonts w:hint="eastAsia" w:ascii="宋体" w:hAnsi="宋体" w:cs="宋体"/>
          <w:szCs w:val="24"/>
          <w:lang w:val="en-US" w:eastAsia="zh-CN"/>
        </w:rPr>
      </w:pPr>
      <w:r>
        <w:rPr>
          <w:rFonts w:hint="eastAsia" w:ascii="宋体" w:hAnsi="宋体" w:cs="宋体"/>
          <w:szCs w:val="24"/>
          <w:lang w:val="en-US" w:eastAsia="zh-CN"/>
        </w:rPr>
        <w:t xml:space="preserve">22.2 开标（签到）倒计时结束前必须完成签到，要求在签到页面进行电子签章。供应商未签到，作为无效投标处理。 </w:t>
      </w:r>
    </w:p>
    <w:p w14:paraId="4CD7840D">
      <w:pPr>
        <w:pStyle w:val="15"/>
        <w:spacing w:line="440" w:lineRule="exact"/>
        <w:ind w:left="0" w:leftChars="0" w:firstLine="480" w:firstLineChars="200"/>
        <w:rPr>
          <w:rFonts w:hint="eastAsia" w:ascii="宋体" w:hAnsi="宋体" w:cs="宋体"/>
          <w:szCs w:val="24"/>
          <w:lang w:val="en-US" w:eastAsia="zh-CN"/>
        </w:rPr>
      </w:pPr>
      <w:r>
        <w:rPr>
          <w:rFonts w:hint="eastAsia" w:ascii="宋体" w:hAnsi="宋体" w:cs="宋体"/>
          <w:szCs w:val="24"/>
          <w:lang w:val="en-US" w:eastAsia="zh-CN"/>
        </w:rPr>
        <w:t xml:space="preserve">22.3 代理机构【发起解密】，设定解密时长（30 分钟），显示解密倒计时，供应商在规定时间内自行解密，供应商未在规定时间内解密成功的或者解密未成功的，视为无效响应文件。 </w:t>
      </w:r>
    </w:p>
    <w:p w14:paraId="6653338A">
      <w:pPr>
        <w:pStyle w:val="15"/>
        <w:spacing w:line="440" w:lineRule="exact"/>
        <w:ind w:left="0" w:leftChars="0" w:firstLine="480" w:firstLineChars="200"/>
        <w:rPr>
          <w:rFonts w:hint="eastAsia" w:ascii="宋体" w:hAnsi="宋体" w:cs="宋体"/>
          <w:szCs w:val="24"/>
          <w:lang w:val="en-US" w:eastAsia="zh-CN"/>
        </w:rPr>
      </w:pPr>
      <w:r>
        <w:rPr>
          <w:rFonts w:hint="eastAsia" w:ascii="宋体" w:hAnsi="宋体" w:cs="宋体"/>
          <w:szCs w:val="24"/>
          <w:lang w:val="en-US" w:eastAsia="zh-CN"/>
        </w:rPr>
        <w:t xml:space="preserve">22.4 解密结束，采购代理机构发起结果确认，供应商应在（30 分钟）内完成确认，规定时间内未完成确认者，视为投标无效。 </w:t>
      </w:r>
    </w:p>
    <w:p w14:paraId="115A9B7C">
      <w:pPr>
        <w:pStyle w:val="15"/>
        <w:spacing w:line="440" w:lineRule="exact"/>
        <w:ind w:left="0" w:leftChars="0" w:firstLine="480" w:firstLineChars="200"/>
        <w:rPr>
          <w:rFonts w:hint="eastAsia" w:ascii="宋体" w:hAnsi="宋体" w:cs="宋体"/>
          <w:szCs w:val="24"/>
          <w:lang w:val="en-US" w:eastAsia="zh-CN"/>
        </w:rPr>
      </w:pPr>
      <w:r>
        <w:rPr>
          <w:rFonts w:hint="eastAsia" w:ascii="宋体" w:hAnsi="宋体" w:cs="宋体"/>
          <w:szCs w:val="24"/>
          <w:lang w:val="en-US" w:eastAsia="zh-CN"/>
        </w:rPr>
        <w:t xml:space="preserve">22.5 投标截止时间结束后参加投标的供应商不足三家的，除采购任务取消情形外，按照中华人民共和国财政部第 87 号令《政府采购货物和服务招标投标管理办法》第四十三条规定处理。 </w:t>
      </w:r>
    </w:p>
    <w:p w14:paraId="27E4CC9B">
      <w:pPr>
        <w:pStyle w:val="15"/>
        <w:spacing w:line="440" w:lineRule="exact"/>
        <w:ind w:left="0" w:leftChars="0" w:firstLine="480" w:firstLineChars="200"/>
        <w:rPr>
          <w:rFonts w:hint="eastAsia" w:ascii="宋体" w:hAnsi="宋体" w:cs="宋体"/>
          <w:szCs w:val="24"/>
          <w:lang w:val="en-US" w:eastAsia="zh-CN"/>
        </w:rPr>
      </w:pPr>
      <w:r>
        <w:rPr>
          <w:rFonts w:hint="eastAsia" w:ascii="宋体" w:hAnsi="宋体" w:cs="宋体"/>
          <w:szCs w:val="24"/>
          <w:lang w:val="en-US" w:eastAsia="zh-CN"/>
        </w:rPr>
        <w:t xml:space="preserve">23. 中标通知书 </w:t>
      </w:r>
    </w:p>
    <w:p w14:paraId="4F5BF8F8">
      <w:pPr>
        <w:pStyle w:val="15"/>
        <w:spacing w:line="440" w:lineRule="exact"/>
        <w:ind w:left="0" w:leftChars="0" w:firstLine="480" w:firstLineChars="200"/>
        <w:rPr>
          <w:rFonts w:hint="eastAsia" w:ascii="宋体" w:hAnsi="宋体" w:cs="宋体"/>
          <w:szCs w:val="24"/>
          <w:lang w:val="en-US" w:eastAsia="zh-CN"/>
        </w:rPr>
      </w:pPr>
      <w:r>
        <w:rPr>
          <w:rFonts w:hint="eastAsia" w:ascii="宋体" w:hAnsi="宋体" w:cs="宋体"/>
          <w:szCs w:val="24"/>
          <w:lang w:val="en-US" w:eastAsia="zh-CN"/>
        </w:rPr>
        <w:t xml:space="preserve">23.1 中标通知书为签订政府采购合同的依据，是合同的有效组成部分。 </w:t>
      </w:r>
    </w:p>
    <w:p w14:paraId="7FF7DCC7">
      <w:pPr>
        <w:pStyle w:val="15"/>
        <w:spacing w:line="440" w:lineRule="exact"/>
        <w:ind w:left="0" w:leftChars="0" w:firstLine="480" w:firstLineChars="200"/>
        <w:rPr>
          <w:rFonts w:hint="eastAsia" w:ascii="宋体" w:hAnsi="宋体" w:cs="宋体"/>
          <w:szCs w:val="24"/>
          <w:lang w:val="en-US" w:eastAsia="zh-CN"/>
        </w:rPr>
      </w:pPr>
      <w:r>
        <w:rPr>
          <w:rFonts w:hint="eastAsia" w:ascii="宋体" w:hAnsi="宋体" w:cs="宋体"/>
          <w:szCs w:val="24"/>
          <w:lang w:val="en-US" w:eastAsia="zh-CN"/>
        </w:rPr>
        <w:t xml:space="preserve">23.2 中标通知书对采购人和中标人均具有法律效力。中标通知书发出后，采购人改变中标结果，或者中标人无正当理由放弃中标的，应当承担相应的法律责任。 </w:t>
      </w:r>
    </w:p>
    <w:p w14:paraId="7ABCD446">
      <w:pPr>
        <w:pStyle w:val="15"/>
        <w:spacing w:line="440" w:lineRule="exact"/>
        <w:ind w:left="0" w:leftChars="0" w:firstLine="480" w:firstLineChars="200"/>
        <w:rPr>
          <w:rFonts w:hint="eastAsia" w:ascii="宋体" w:hAnsi="宋体" w:cs="宋体"/>
          <w:szCs w:val="24"/>
          <w:lang w:val="en-US" w:eastAsia="zh-CN"/>
        </w:rPr>
      </w:pPr>
      <w:r>
        <w:rPr>
          <w:rFonts w:hint="eastAsia" w:ascii="宋体" w:hAnsi="宋体" w:cs="宋体"/>
          <w:szCs w:val="24"/>
          <w:lang w:val="en-US" w:eastAsia="zh-CN"/>
        </w:rPr>
        <w:t xml:space="preserve">23.3 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 </w:t>
      </w:r>
    </w:p>
    <w:p w14:paraId="6B982C75">
      <w:pPr>
        <w:pStyle w:val="2"/>
        <w:jc w:val="both"/>
        <w:rPr>
          <w:rFonts w:cs="宋体"/>
          <w:sz w:val="28"/>
          <w:szCs w:val="28"/>
        </w:rPr>
      </w:pPr>
      <w:r>
        <w:rPr>
          <w:rFonts w:hint="eastAsia" w:cs="宋体"/>
          <w:sz w:val="28"/>
          <w:szCs w:val="28"/>
        </w:rPr>
        <w:t>（六）评标</w:t>
      </w:r>
      <w:bookmarkEnd w:id="181"/>
      <w:bookmarkEnd w:id="182"/>
      <w:bookmarkStart w:id="183" w:name="_Toc364316044"/>
      <w:bookmarkStart w:id="184" w:name="_Toc364341440"/>
      <w:bookmarkStart w:id="185" w:name="_Toc248740533"/>
    </w:p>
    <w:p w14:paraId="1B2EBFE6">
      <w:pPr>
        <w:spacing w:line="460" w:lineRule="exact"/>
        <w:rPr>
          <w:rFonts w:ascii="宋体" w:hAnsi="宋体"/>
          <w:sz w:val="24"/>
        </w:rPr>
      </w:pPr>
      <w:r>
        <w:rPr>
          <w:rFonts w:ascii="宋体" w:hAnsi="宋体"/>
          <w:sz w:val="24"/>
        </w:rPr>
        <w:t>24.1评标委员会</w:t>
      </w:r>
      <w:bookmarkEnd w:id="183"/>
      <w:bookmarkEnd w:id="184"/>
      <w:bookmarkEnd w:id="185"/>
    </w:p>
    <w:p w14:paraId="25F73A6E">
      <w:pPr>
        <w:spacing w:line="460" w:lineRule="exact"/>
        <w:ind w:firstLine="480" w:firstLineChars="200"/>
        <w:rPr>
          <w:rFonts w:ascii="宋体" w:hAnsi="宋体"/>
          <w:sz w:val="24"/>
        </w:rPr>
      </w:pPr>
      <w:r>
        <w:rPr>
          <w:rFonts w:ascii="宋体" w:hAnsi="宋体"/>
          <w:sz w:val="24"/>
        </w:rPr>
        <w:t xml:space="preserve">24.1.1 </w:t>
      </w:r>
      <w:r>
        <w:rPr>
          <w:rFonts w:hint="eastAsia" w:ascii="宋体" w:hAnsi="宋体"/>
          <w:sz w:val="24"/>
        </w:rPr>
        <w:t>评标由招标人依法组建的评标委员会负责。评标委员会由招标人或其委托的招标代理机构熟悉相关业务的代表，以及有关技术、经济等方面的专家组成。评标委员会成员人数组成详见</w:t>
      </w:r>
      <w:r>
        <w:rPr>
          <w:rFonts w:hint="eastAsia" w:ascii="宋体" w:hAnsi="宋体"/>
          <w:sz w:val="24"/>
          <w:lang w:eastAsia="zh-CN"/>
        </w:rPr>
        <w:t>供应商</w:t>
      </w:r>
      <w:r>
        <w:rPr>
          <w:rFonts w:hint="eastAsia" w:ascii="宋体" w:hAnsi="宋体"/>
          <w:sz w:val="24"/>
        </w:rPr>
        <w:t>须知前附表；</w:t>
      </w:r>
    </w:p>
    <w:p w14:paraId="4DC693B4">
      <w:pPr>
        <w:spacing w:line="460" w:lineRule="exact"/>
        <w:ind w:firstLine="480" w:firstLineChars="200"/>
        <w:rPr>
          <w:rFonts w:ascii="宋体" w:hAnsi="宋体"/>
          <w:sz w:val="24"/>
        </w:rPr>
      </w:pPr>
      <w:r>
        <w:rPr>
          <w:rFonts w:ascii="宋体" w:hAnsi="宋体"/>
          <w:sz w:val="24"/>
        </w:rPr>
        <w:t xml:space="preserve">24.1.2 </w:t>
      </w:r>
      <w:r>
        <w:rPr>
          <w:rFonts w:hint="eastAsia" w:ascii="宋体" w:hAnsi="宋体"/>
          <w:sz w:val="24"/>
        </w:rPr>
        <w:t>评标委员会成员有下列情形之一的，应当回避：</w:t>
      </w:r>
    </w:p>
    <w:p w14:paraId="4060FE72">
      <w:pPr>
        <w:spacing w:line="460" w:lineRule="exact"/>
        <w:ind w:firstLine="480" w:firstLineChars="200"/>
        <w:rPr>
          <w:rFonts w:ascii="宋体" w:hAnsi="宋体"/>
          <w:sz w:val="24"/>
        </w:rPr>
      </w:pPr>
      <w:r>
        <w:rPr>
          <w:rFonts w:hint="eastAsia" w:ascii="宋体" w:hAnsi="宋体"/>
          <w:sz w:val="24"/>
        </w:rPr>
        <w:t>（</w:t>
      </w:r>
      <w:r>
        <w:rPr>
          <w:rFonts w:ascii="宋体" w:hAnsi="宋体"/>
          <w:sz w:val="24"/>
        </w:rPr>
        <w:t>1）招标人或</w:t>
      </w:r>
      <w:r>
        <w:rPr>
          <w:rFonts w:hint="eastAsia" w:ascii="宋体" w:hAnsi="宋体"/>
          <w:sz w:val="24"/>
          <w:lang w:eastAsia="zh-CN"/>
        </w:rPr>
        <w:t>供应商</w:t>
      </w:r>
      <w:r>
        <w:rPr>
          <w:rFonts w:ascii="宋体" w:hAnsi="宋体"/>
          <w:sz w:val="24"/>
        </w:rPr>
        <w:t>的主要负责人的近亲属；</w:t>
      </w:r>
    </w:p>
    <w:p w14:paraId="60C43429">
      <w:pPr>
        <w:spacing w:line="460" w:lineRule="exact"/>
        <w:ind w:firstLine="480" w:firstLineChars="200"/>
        <w:rPr>
          <w:rFonts w:ascii="宋体" w:hAnsi="宋体"/>
          <w:sz w:val="24"/>
        </w:rPr>
      </w:pPr>
      <w:r>
        <w:rPr>
          <w:rFonts w:hint="eastAsia" w:ascii="宋体" w:hAnsi="宋体"/>
          <w:sz w:val="24"/>
        </w:rPr>
        <w:t>（</w:t>
      </w:r>
      <w:r>
        <w:rPr>
          <w:rFonts w:ascii="宋体" w:hAnsi="宋体"/>
          <w:sz w:val="24"/>
        </w:rPr>
        <w:t>2）项目主管部门或者行政监督部门的人员；</w:t>
      </w:r>
    </w:p>
    <w:p w14:paraId="112E963B">
      <w:pPr>
        <w:spacing w:line="460" w:lineRule="exact"/>
        <w:ind w:firstLine="480" w:firstLineChars="200"/>
        <w:rPr>
          <w:rFonts w:ascii="宋体" w:hAnsi="宋体"/>
          <w:sz w:val="24"/>
        </w:rPr>
      </w:pPr>
      <w:r>
        <w:rPr>
          <w:rFonts w:hint="eastAsia" w:ascii="宋体" w:hAnsi="宋体"/>
          <w:sz w:val="24"/>
        </w:rPr>
        <w:t>（</w:t>
      </w:r>
      <w:r>
        <w:rPr>
          <w:rFonts w:ascii="宋体" w:hAnsi="宋体"/>
          <w:sz w:val="24"/>
        </w:rPr>
        <w:t>3）与</w:t>
      </w:r>
      <w:r>
        <w:rPr>
          <w:rFonts w:hint="eastAsia" w:ascii="宋体" w:hAnsi="宋体"/>
          <w:sz w:val="24"/>
          <w:lang w:eastAsia="zh-CN"/>
        </w:rPr>
        <w:t>供应商</w:t>
      </w:r>
      <w:r>
        <w:rPr>
          <w:rFonts w:ascii="宋体" w:hAnsi="宋体"/>
          <w:sz w:val="24"/>
        </w:rPr>
        <w:t>有经济利益关系，可能影响对投标公正评审的；</w:t>
      </w:r>
    </w:p>
    <w:p w14:paraId="36C16892">
      <w:pPr>
        <w:spacing w:line="460" w:lineRule="exact"/>
        <w:ind w:firstLine="480" w:firstLineChars="200"/>
        <w:rPr>
          <w:rFonts w:ascii="宋体" w:hAnsi="宋体"/>
          <w:sz w:val="24"/>
        </w:rPr>
      </w:pPr>
      <w:r>
        <w:rPr>
          <w:rFonts w:hint="eastAsia" w:ascii="宋体" w:hAnsi="宋体"/>
          <w:sz w:val="24"/>
        </w:rPr>
        <w:t>（</w:t>
      </w:r>
      <w:r>
        <w:rPr>
          <w:rFonts w:ascii="宋体" w:hAnsi="宋体"/>
          <w:sz w:val="24"/>
        </w:rPr>
        <w:t xml:space="preserve">4）曾因在招标、评标以及其他与招标投标有关活动中从事违法行为而受过行政处罚或刑事处罚的。 </w:t>
      </w:r>
      <w:bookmarkStart w:id="186" w:name="_Toc248740534"/>
      <w:bookmarkStart w:id="187" w:name="_Toc364316045"/>
      <w:bookmarkStart w:id="188" w:name="_Toc364341441"/>
    </w:p>
    <w:p w14:paraId="359855A2">
      <w:pPr>
        <w:spacing w:line="460" w:lineRule="exact"/>
        <w:rPr>
          <w:rFonts w:ascii="宋体" w:hAnsi="宋体"/>
          <w:sz w:val="24"/>
        </w:rPr>
      </w:pPr>
      <w:r>
        <w:rPr>
          <w:rFonts w:ascii="宋体" w:hAnsi="宋体"/>
          <w:sz w:val="24"/>
        </w:rPr>
        <w:t>25.1评标原则</w:t>
      </w:r>
      <w:bookmarkEnd w:id="186"/>
      <w:bookmarkEnd w:id="187"/>
      <w:bookmarkEnd w:id="188"/>
      <w:r>
        <w:rPr>
          <w:rFonts w:ascii="宋体" w:hAnsi="宋体"/>
          <w:sz w:val="24"/>
        </w:rPr>
        <w:tab/>
      </w:r>
    </w:p>
    <w:p w14:paraId="267B7292">
      <w:pPr>
        <w:spacing w:line="460" w:lineRule="exact"/>
        <w:ind w:firstLine="480" w:firstLineChars="200"/>
        <w:rPr>
          <w:rFonts w:ascii="宋体" w:hAnsi="宋体"/>
          <w:sz w:val="24"/>
        </w:rPr>
      </w:pPr>
      <w:r>
        <w:rPr>
          <w:rFonts w:hint="eastAsia" w:ascii="宋体" w:hAnsi="宋体"/>
          <w:sz w:val="24"/>
        </w:rPr>
        <w:t>评标活动遵循公平、公正、科学和择优的原则。</w:t>
      </w:r>
      <w:bookmarkStart w:id="189" w:name="_Toc364316046"/>
      <w:bookmarkStart w:id="190" w:name="_Toc248740535"/>
      <w:bookmarkStart w:id="191" w:name="_Toc364341442"/>
    </w:p>
    <w:p w14:paraId="0B16AA33">
      <w:pPr>
        <w:spacing w:line="460" w:lineRule="exact"/>
        <w:rPr>
          <w:rFonts w:ascii="宋体" w:hAnsi="宋体"/>
          <w:sz w:val="24"/>
        </w:rPr>
      </w:pPr>
      <w:r>
        <w:rPr>
          <w:rFonts w:ascii="宋体" w:hAnsi="宋体"/>
          <w:sz w:val="24"/>
        </w:rPr>
        <w:t>26.1评标</w:t>
      </w:r>
      <w:bookmarkEnd w:id="189"/>
      <w:bookmarkEnd w:id="190"/>
      <w:bookmarkEnd w:id="191"/>
    </w:p>
    <w:p w14:paraId="18A92F30">
      <w:pPr>
        <w:spacing w:line="460" w:lineRule="exact"/>
        <w:ind w:firstLine="480" w:firstLineChars="200"/>
        <w:rPr>
          <w:rFonts w:ascii="宋体" w:hAnsi="宋体"/>
          <w:sz w:val="24"/>
        </w:rPr>
      </w:pPr>
      <w:r>
        <w:rPr>
          <w:rFonts w:hint="eastAsia" w:ascii="宋体" w:hAnsi="宋体"/>
          <w:sz w:val="24"/>
        </w:rPr>
        <w:t>评标委员会按照第三章“评标标准”规定的方法、评审因素、标准和程序对</w:t>
      </w:r>
      <w:r>
        <w:rPr>
          <w:rFonts w:hint="eastAsia" w:ascii="宋体" w:hAnsi="宋体"/>
          <w:sz w:val="24"/>
          <w:lang w:eastAsia="zh-CN"/>
        </w:rPr>
        <w:t>响应文件</w:t>
      </w:r>
      <w:r>
        <w:rPr>
          <w:rFonts w:hint="eastAsia" w:ascii="宋体" w:hAnsi="宋体"/>
          <w:sz w:val="24"/>
        </w:rPr>
        <w:t>进行评审。第三章“评标标准”没有规定的方法、评审因素和标准，不作为评标依据。</w:t>
      </w:r>
    </w:p>
    <w:p w14:paraId="450F1AF8">
      <w:pPr>
        <w:pStyle w:val="2"/>
        <w:jc w:val="both"/>
        <w:rPr>
          <w:rFonts w:cs="宋体"/>
          <w:sz w:val="28"/>
          <w:szCs w:val="28"/>
        </w:rPr>
      </w:pPr>
      <w:bookmarkStart w:id="192" w:name="_Toc45533822"/>
      <w:bookmarkStart w:id="193" w:name="_Toc10999"/>
      <w:r>
        <w:rPr>
          <w:rFonts w:hint="eastAsia" w:cs="宋体"/>
          <w:sz w:val="28"/>
          <w:szCs w:val="28"/>
        </w:rPr>
        <w:t>（七）合同授予</w:t>
      </w:r>
      <w:bookmarkEnd w:id="192"/>
      <w:bookmarkEnd w:id="193"/>
      <w:bookmarkStart w:id="194" w:name="_Toc248740537"/>
      <w:bookmarkStart w:id="195" w:name="_Toc364341444"/>
      <w:bookmarkStart w:id="196" w:name="_Toc364316048"/>
    </w:p>
    <w:p w14:paraId="72163E40">
      <w:pPr>
        <w:spacing w:line="560" w:lineRule="exact"/>
        <w:rPr>
          <w:rFonts w:ascii="宋体" w:hAnsi="宋体"/>
          <w:sz w:val="24"/>
        </w:rPr>
      </w:pPr>
      <w:r>
        <w:rPr>
          <w:rFonts w:ascii="宋体" w:hAnsi="宋体"/>
          <w:sz w:val="24"/>
        </w:rPr>
        <w:t>27.1</w:t>
      </w:r>
      <w:bookmarkEnd w:id="194"/>
      <w:bookmarkEnd w:id="195"/>
      <w:bookmarkEnd w:id="196"/>
      <w:bookmarkStart w:id="197" w:name="_Toc364341445"/>
      <w:bookmarkStart w:id="198" w:name="_Toc364316049"/>
      <w:bookmarkStart w:id="199" w:name="_Toc248740538"/>
      <w:r>
        <w:rPr>
          <w:rFonts w:hint="eastAsia" w:ascii="宋体" w:hAnsi="宋体"/>
          <w:sz w:val="24"/>
        </w:rPr>
        <w:t>定标原则</w:t>
      </w:r>
    </w:p>
    <w:p w14:paraId="3F551025">
      <w:pPr>
        <w:spacing w:line="460" w:lineRule="exact"/>
        <w:ind w:firstLine="480" w:firstLineChars="200"/>
        <w:rPr>
          <w:rFonts w:ascii="宋体" w:hAnsi="宋体"/>
          <w:sz w:val="24"/>
        </w:rPr>
      </w:pPr>
      <w:r>
        <w:rPr>
          <w:rFonts w:hint="eastAsia" w:ascii="宋体" w:hAnsi="宋体"/>
          <w:sz w:val="24"/>
          <w:szCs w:val="24"/>
        </w:rPr>
        <w:t>招标人将最终评标结果确定排名第一中标候选人为中标人并向其授予合同。排名第一的中标候选人因不可抗力或者自身原因不能履行合同，招标人将把合同授予排名第</w:t>
      </w:r>
      <w:r>
        <w:rPr>
          <w:rFonts w:hint="eastAsia" w:ascii="宋体" w:hAnsi="宋体"/>
          <w:sz w:val="24"/>
          <w:szCs w:val="24"/>
          <w:lang w:val="en-US" w:eastAsia="zh-CN"/>
        </w:rPr>
        <w:t>二</w:t>
      </w:r>
      <w:r>
        <w:rPr>
          <w:rFonts w:hint="eastAsia" w:ascii="宋体" w:hAnsi="宋体"/>
          <w:sz w:val="24"/>
          <w:szCs w:val="24"/>
        </w:rPr>
        <w:t>的中标候选人</w:t>
      </w:r>
      <w:r>
        <w:rPr>
          <w:rFonts w:hint="eastAsia" w:ascii="宋体" w:hAnsi="宋体"/>
          <w:sz w:val="24"/>
        </w:rPr>
        <w:t>。</w:t>
      </w:r>
    </w:p>
    <w:p w14:paraId="221157D4">
      <w:pPr>
        <w:spacing w:line="460" w:lineRule="exact"/>
        <w:rPr>
          <w:rFonts w:ascii="宋体" w:hAnsi="宋体"/>
          <w:sz w:val="24"/>
        </w:rPr>
      </w:pPr>
      <w:r>
        <w:rPr>
          <w:rFonts w:ascii="宋体" w:hAnsi="宋体"/>
          <w:sz w:val="24"/>
        </w:rPr>
        <w:t>27.2中标通知</w:t>
      </w:r>
      <w:bookmarkEnd w:id="197"/>
      <w:bookmarkEnd w:id="198"/>
      <w:bookmarkEnd w:id="199"/>
    </w:p>
    <w:p w14:paraId="5AE8C787">
      <w:pPr>
        <w:spacing w:line="560" w:lineRule="exact"/>
        <w:ind w:firstLine="480" w:firstLineChars="200"/>
        <w:rPr>
          <w:rFonts w:ascii="宋体" w:hAnsi="宋体"/>
          <w:sz w:val="24"/>
        </w:rPr>
      </w:pPr>
      <w:r>
        <w:rPr>
          <w:rFonts w:hint="eastAsia" w:ascii="宋体" w:hAnsi="宋体"/>
          <w:sz w:val="24"/>
        </w:rPr>
        <w:t>在本章</w:t>
      </w:r>
      <w:r>
        <w:rPr>
          <w:rFonts w:hint="eastAsia" w:ascii="宋体" w:hAnsi="宋体"/>
          <w:sz w:val="24"/>
          <w:lang w:eastAsia="zh-CN"/>
        </w:rPr>
        <w:t>供应商</w:t>
      </w:r>
      <w:r>
        <w:rPr>
          <w:rFonts w:hint="eastAsia" w:ascii="宋体" w:hAnsi="宋体"/>
          <w:sz w:val="24"/>
        </w:rPr>
        <w:t>须知前附表第</w:t>
      </w:r>
      <w:r>
        <w:rPr>
          <w:rFonts w:ascii="宋体" w:hAnsi="宋体"/>
          <w:sz w:val="24"/>
        </w:rPr>
        <w:t>24款规定的投标有效期内，招标人以书面形式向中标人发出中标通知书，同时将中标结果通知未中标的</w:t>
      </w:r>
      <w:r>
        <w:rPr>
          <w:rFonts w:hint="eastAsia" w:ascii="宋体" w:hAnsi="宋体"/>
          <w:sz w:val="24"/>
          <w:lang w:eastAsia="zh-CN"/>
        </w:rPr>
        <w:t>供应商</w:t>
      </w:r>
      <w:r>
        <w:rPr>
          <w:rFonts w:ascii="宋体" w:hAnsi="宋体"/>
          <w:sz w:val="24"/>
        </w:rPr>
        <w:t>。</w:t>
      </w:r>
    </w:p>
    <w:p w14:paraId="024F655C">
      <w:pPr>
        <w:spacing w:line="460" w:lineRule="exact"/>
        <w:rPr>
          <w:rFonts w:ascii="宋体" w:hAnsi="宋体"/>
          <w:sz w:val="24"/>
        </w:rPr>
      </w:pPr>
      <w:bookmarkStart w:id="200" w:name="_Toc364316050"/>
      <w:bookmarkStart w:id="201" w:name="_Toc248740539"/>
      <w:bookmarkStart w:id="202" w:name="_Toc364341446"/>
      <w:r>
        <w:rPr>
          <w:rFonts w:ascii="宋体" w:hAnsi="宋体"/>
          <w:sz w:val="24"/>
        </w:rPr>
        <w:t>27.3履约担保</w:t>
      </w:r>
      <w:bookmarkEnd w:id="200"/>
      <w:bookmarkEnd w:id="201"/>
      <w:bookmarkEnd w:id="202"/>
    </w:p>
    <w:p w14:paraId="6127DE67">
      <w:pPr>
        <w:keepNext/>
        <w:keepLines/>
        <w:spacing w:line="377" w:lineRule="auto"/>
        <w:ind w:firstLine="480" w:firstLineChars="200"/>
        <w:rPr>
          <w:sz w:val="24"/>
        </w:rPr>
      </w:pPr>
      <w:bookmarkStart w:id="203" w:name="_Toc154755476"/>
      <w:r>
        <w:rPr>
          <w:rFonts w:hint="eastAsia"/>
          <w:sz w:val="24"/>
        </w:rPr>
        <w:t>详见本章</w:t>
      </w:r>
      <w:r>
        <w:rPr>
          <w:rFonts w:hint="eastAsia"/>
          <w:sz w:val="24"/>
          <w:lang w:eastAsia="zh-CN"/>
        </w:rPr>
        <w:t>供应商</w:t>
      </w:r>
      <w:r>
        <w:rPr>
          <w:rFonts w:hint="eastAsia"/>
          <w:sz w:val="24"/>
        </w:rPr>
        <w:t>须知前附表。</w:t>
      </w:r>
      <w:bookmarkEnd w:id="203"/>
      <w:bookmarkStart w:id="204" w:name="_Toc364341447"/>
      <w:bookmarkStart w:id="205" w:name="_Toc248740540"/>
      <w:bookmarkStart w:id="206" w:name="_Toc364316051"/>
    </w:p>
    <w:p w14:paraId="75F60FCD">
      <w:pPr>
        <w:pStyle w:val="2"/>
        <w:jc w:val="both"/>
        <w:rPr>
          <w:rFonts w:cs="宋体"/>
          <w:sz w:val="28"/>
          <w:szCs w:val="28"/>
        </w:rPr>
      </w:pPr>
      <w:bookmarkStart w:id="207" w:name="_Toc10767"/>
      <w:r>
        <w:rPr>
          <w:rFonts w:hint="eastAsia" w:cs="宋体"/>
          <w:sz w:val="28"/>
          <w:szCs w:val="28"/>
        </w:rPr>
        <w:t>（八）签订合同</w:t>
      </w:r>
      <w:bookmarkEnd w:id="204"/>
      <w:bookmarkEnd w:id="205"/>
      <w:bookmarkEnd w:id="206"/>
      <w:bookmarkEnd w:id="207"/>
    </w:p>
    <w:p w14:paraId="45A9E566">
      <w:pPr>
        <w:spacing w:line="560" w:lineRule="exact"/>
        <w:rPr>
          <w:rFonts w:ascii="宋体" w:hAnsi="宋体"/>
          <w:sz w:val="24"/>
          <w:szCs w:val="24"/>
        </w:rPr>
      </w:pPr>
      <w:bookmarkStart w:id="208" w:name="_Toc45533823"/>
      <w:r>
        <w:rPr>
          <w:rFonts w:ascii="宋体" w:hAnsi="宋体"/>
          <w:sz w:val="24"/>
          <w:szCs w:val="24"/>
        </w:rPr>
        <w:t>28.1.1招标人有权在开标后对合同存在不违反招标法则的前提下进行合理细化。</w:t>
      </w:r>
    </w:p>
    <w:p w14:paraId="2AFF3B7D">
      <w:pPr>
        <w:spacing w:line="560" w:lineRule="exact"/>
        <w:rPr>
          <w:rFonts w:ascii="宋体" w:hAnsi="宋体"/>
          <w:sz w:val="24"/>
          <w:szCs w:val="24"/>
        </w:rPr>
      </w:pPr>
      <w:r>
        <w:rPr>
          <w:rFonts w:ascii="宋体" w:hAnsi="宋体"/>
          <w:sz w:val="24"/>
          <w:szCs w:val="24"/>
        </w:rPr>
        <w:t>28.1.2招标人与第一中标人签署合同。中标人收到中标通知书后，应按指定时间、地点与招标人签订合同。第一中标人因自身原因放弃中标，或因不可抗力提出不能履行合同，招标人可以与第</w:t>
      </w:r>
      <w:r>
        <w:rPr>
          <w:rFonts w:hint="eastAsia" w:ascii="宋体" w:hAnsi="宋体"/>
          <w:sz w:val="24"/>
          <w:szCs w:val="24"/>
          <w:lang w:val="en-US" w:eastAsia="zh-CN"/>
        </w:rPr>
        <w:t>二</w:t>
      </w:r>
      <w:r>
        <w:rPr>
          <w:rFonts w:ascii="宋体" w:hAnsi="宋体"/>
          <w:sz w:val="24"/>
          <w:szCs w:val="24"/>
        </w:rPr>
        <w:t>中标候选人签订合同。</w:t>
      </w:r>
    </w:p>
    <w:p w14:paraId="0358E6A3">
      <w:pPr>
        <w:spacing w:line="560" w:lineRule="exact"/>
        <w:rPr>
          <w:rFonts w:ascii="宋体" w:hAnsi="宋体"/>
          <w:sz w:val="24"/>
          <w:szCs w:val="24"/>
        </w:rPr>
      </w:pPr>
      <w:r>
        <w:rPr>
          <w:rFonts w:ascii="宋体" w:hAnsi="宋体"/>
          <w:sz w:val="24"/>
          <w:szCs w:val="24"/>
        </w:rPr>
        <w:t>28.1.3招标人和中标人应当自中标通知书发出之日起30天内，根据招标文件和中标人的</w:t>
      </w:r>
      <w:r>
        <w:rPr>
          <w:rFonts w:hint="eastAsia" w:ascii="宋体" w:hAnsi="宋体"/>
          <w:sz w:val="24"/>
          <w:szCs w:val="24"/>
          <w:lang w:eastAsia="zh-CN"/>
        </w:rPr>
        <w:t>响应文件</w:t>
      </w:r>
      <w:r>
        <w:rPr>
          <w:rFonts w:ascii="宋体" w:hAnsi="宋体"/>
          <w:sz w:val="24"/>
          <w:szCs w:val="24"/>
        </w:rPr>
        <w:t>订立书面合同。中标人无正当理由拒签合同的，招标人取消其中标资格，给招标人造成损失的，中标人应当予以赔偿。</w:t>
      </w:r>
    </w:p>
    <w:p w14:paraId="3ADFF6E5">
      <w:pPr>
        <w:spacing w:line="560" w:lineRule="exact"/>
        <w:rPr>
          <w:rFonts w:hint="eastAsia" w:ascii="宋体" w:hAnsi="宋体"/>
          <w:sz w:val="24"/>
          <w:szCs w:val="24"/>
          <w:lang w:eastAsia="zh-CN"/>
        </w:rPr>
      </w:pPr>
      <w:r>
        <w:rPr>
          <w:rFonts w:ascii="宋体" w:hAnsi="宋体"/>
          <w:sz w:val="24"/>
          <w:szCs w:val="24"/>
        </w:rPr>
        <w:t>28.1.4中标人的</w:t>
      </w:r>
      <w:r>
        <w:rPr>
          <w:rFonts w:hint="eastAsia" w:ascii="宋体" w:hAnsi="宋体"/>
          <w:sz w:val="24"/>
          <w:szCs w:val="24"/>
          <w:lang w:eastAsia="zh-CN"/>
        </w:rPr>
        <w:t>响应文件</w:t>
      </w:r>
      <w:r>
        <w:rPr>
          <w:rFonts w:ascii="宋体" w:hAnsi="宋体"/>
          <w:sz w:val="24"/>
          <w:szCs w:val="24"/>
        </w:rPr>
        <w:t>、对</w:t>
      </w:r>
      <w:r>
        <w:rPr>
          <w:rFonts w:hint="eastAsia" w:ascii="宋体" w:hAnsi="宋体"/>
          <w:sz w:val="24"/>
          <w:szCs w:val="24"/>
          <w:lang w:eastAsia="zh-CN"/>
        </w:rPr>
        <w:t>响应文件</w:t>
      </w:r>
      <w:r>
        <w:rPr>
          <w:rFonts w:ascii="宋体" w:hAnsi="宋体"/>
          <w:sz w:val="24"/>
          <w:szCs w:val="24"/>
        </w:rPr>
        <w:t>的书面澄清、中标通知书、本项目招标文件及补充与澄清等均应作为合同附件。</w:t>
      </w:r>
      <w:r>
        <w:rPr>
          <w:rFonts w:hint="eastAsia" w:ascii="宋体" w:hAnsi="宋体"/>
          <w:sz w:val="24"/>
          <w:szCs w:val="24"/>
          <w:lang w:eastAsia="zh-CN"/>
        </w:rPr>
        <w:t>、</w:t>
      </w:r>
    </w:p>
    <w:p w14:paraId="48F878A7">
      <w:pPr>
        <w:spacing w:line="560" w:lineRule="exact"/>
        <w:rPr>
          <w:rFonts w:hint="eastAsia" w:ascii="宋体" w:hAnsi="宋体"/>
          <w:sz w:val="24"/>
          <w:szCs w:val="24"/>
          <w:lang w:eastAsia="zh-CN"/>
        </w:rPr>
      </w:pPr>
      <w:r>
        <w:rPr>
          <w:rFonts w:hint="eastAsia" w:ascii="宋体" w:hAnsi="宋体"/>
          <w:sz w:val="24"/>
          <w:szCs w:val="24"/>
          <w:lang w:val="en-US" w:eastAsia="zh-CN"/>
        </w:rPr>
        <w:t xml:space="preserve">（八）质疑和投诉 </w:t>
      </w:r>
    </w:p>
    <w:p w14:paraId="13559582">
      <w:pPr>
        <w:spacing w:line="560" w:lineRule="exact"/>
        <w:rPr>
          <w:rFonts w:hint="eastAsia" w:ascii="宋体" w:hAnsi="宋体"/>
          <w:sz w:val="24"/>
          <w:szCs w:val="24"/>
          <w:lang w:eastAsia="zh-CN"/>
        </w:rPr>
      </w:pPr>
      <w:r>
        <w:rPr>
          <w:rFonts w:hint="eastAsia" w:ascii="宋体" w:hAnsi="宋体"/>
          <w:sz w:val="24"/>
          <w:szCs w:val="24"/>
          <w:lang w:val="en-US" w:eastAsia="zh-CN"/>
        </w:rPr>
        <w:t xml:space="preserve">29. 质疑、投诉的接收和处理严格按照《中华人共和国政府采购法》、《中华人共和国政府采购法实施条例》、《政府采购质疑和投诉办法》、《财政部关于加强政府采购供应商投诉受理审查工作的通知》的规定办理： </w:t>
      </w:r>
    </w:p>
    <w:p w14:paraId="2A953D57">
      <w:pPr>
        <w:spacing w:line="560" w:lineRule="exact"/>
        <w:rPr>
          <w:rFonts w:hint="eastAsia" w:ascii="宋体" w:hAnsi="宋体"/>
          <w:sz w:val="24"/>
          <w:szCs w:val="24"/>
          <w:lang w:eastAsia="zh-CN"/>
        </w:rPr>
      </w:pPr>
      <w:r>
        <w:rPr>
          <w:rFonts w:hint="eastAsia" w:ascii="宋体" w:hAnsi="宋体"/>
          <w:sz w:val="24"/>
          <w:szCs w:val="24"/>
          <w:lang w:val="en-US" w:eastAsia="zh-CN"/>
        </w:rPr>
        <w:t xml:space="preserve">29.1 供应商对政府采购活动事项有疑问的，可以向采购人或采购代理机构提出询问，采购人或采购代理机构应当及时作出答复，但答复的内容不得涉及商业秘密。 </w:t>
      </w:r>
    </w:p>
    <w:p w14:paraId="5639A94E">
      <w:pPr>
        <w:spacing w:line="560" w:lineRule="exact"/>
        <w:rPr>
          <w:rFonts w:hint="eastAsia" w:ascii="宋体" w:hAnsi="宋体"/>
          <w:sz w:val="24"/>
          <w:szCs w:val="24"/>
          <w:lang w:eastAsia="zh-CN"/>
        </w:rPr>
      </w:pPr>
      <w:r>
        <w:rPr>
          <w:rFonts w:hint="eastAsia" w:ascii="宋体" w:hAnsi="宋体"/>
          <w:sz w:val="24"/>
          <w:szCs w:val="24"/>
          <w:lang w:val="en-US" w:eastAsia="zh-CN"/>
        </w:rPr>
        <w:t xml:space="preserve">29.2 供应商认为采购文件、采购过程和中标、中标结果使自己的权益受到损害的，可以在知道或者应知其权益受到损害之日起 7 个工作日内，按照附录 1 以书面形式向采购人或采购代理机构提出质疑。 </w:t>
      </w:r>
    </w:p>
    <w:p w14:paraId="731777CA">
      <w:pPr>
        <w:spacing w:line="560" w:lineRule="exact"/>
        <w:rPr>
          <w:rFonts w:hint="eastAsia" w:ascii="宋体" w:hAnsi="宋体"/>
          <w:sz w:val="24"/>
          <w:szCs w:val="24"/>
          <w:lang w:eastAsia="zh-CN"/>
        </w:rPr>
      </w:pPr>
      <w:r>
        <w:rPr>
          <w:rFonts w:hint="eastAsia" w:ascii="宋体" w:hAnsi="宋体"/>
          <w:sz w:val="24"/>
          <w:szCs w:val="24"/>
          <w:lang w:val="en-US" w:eastAsia="zh-CN"/>
        </w:rPr>
        <w:t xml:space="preserve">29.3 接收质疑函的联系信息同采购文件第一章联系方式。 </w:t>
      </w:r>
    </w:p>
    <w:p w14:paraId="50F5C225">
      <w:pPr>
        <w:spacing w:line="560" w:lineRule="exact"/>
        <w:rPr>
          <w:rFonts w:hint="eastAsia" w:ascii="宋体" w:hAnsi="宋体"/>
          <w:sz w:val="24"/>
          <w:szCs w:val="24"/>
          <w:lang w:eastAsia="zh-CN"/>
        </w:rPr>
      </w:pPr>
      <w:r>
        <w:rPr>
          <w:rFonts w:hint="eastAsia" w:ascii="宋体" w:hAnsi="宋体"/>
          <w:sz w:val="24"/>
          <w:szCs w:val="24"/>
          <w:lang w:val="en-US" w:eastAsia="zh-CN"/>
        </w:rPr>
        <w:t xml:space="preserve">29.4 采购人或采购代理机构应当在收到供应商的书面质疑后 7 个工作日内作出答复，并以书面形式通知质疑供应商和其他有关供应商，但答复的内容不得涉及商业秘密。 </w:t>
      </w:r>
    </w:p>
    <w:p w14:paraId="6EF0FB08">
      <w:pPr>
        <w:spacing w:line="560" w:lineRule="exact"/>
        <w:rPr>
          <w:rFonts w:hint="eastAsia" w:ascii="宋体" w:hAnsi="宋体"/>
          <w:sz w:val="24"/>
          <w:szCs w:val="24"/>
          <w:lang w:eastAsia="zh-CN"/>
        </w:rPr>
      </w:pPr>
      <w:r>
        <w:rPr>
          <w:rFonts w:hint="eastAsia" w:ascii="宋体" w:hAnsi="宋体"/>
          <w:sz w:val="24"/>
          <w:szCs w:val="24"/>
          <w:lang w:val="en-US" w:eastAsia="zh-CN"/>
        </w:rPr>
        <w:t xml:space="preserve">29.5 质疑供应商对采购人、采购代理机构的答复不满意或者采购人、采购代理机构未在规定的时间内作出答复的，可以在答复期满后 15 个工作日内向同级政府采购监督管理部门投诉。 </w:t>
      </w:r>
    </w:p>
    <w:p w14:paraId="4052D9A9">
      <w:pPr>
        <w:spacing w:line="560" w:lineRule="exact"/>
        <w:rPr>
          <w:rFonts w:hint="eastAsia" w:ascii="宋体" w:hAnsi="宋体"/>
          <w:sz w:val="24"/>
          <w:szCs w:val="24"/>
          <w:lang w:eastAsia="zh-CN"/>
        </w:rPr>
      </w:pPr>
      <w:r>
        <w:rPr>
          <w:rFonts w:hint="eastAsia" w:ascii="宋体" w:hAnsi="宋体"/>
          <w:sz w:val="24"/>
          <w:szCs w:val="24"/>
          <w:lang w:val="en-US" w:eastAsia="zh-CN"/>
        </w:rPr>
        <w:t xml:space="preserve">29.6 政府采购监督管理部门应当在收到投诉后 30 个工作日内，对投诉事项作出处理决定，并以书面形式通知投诉人和与投诉事项有关的当事人。 </w:t>
      </w:r>
    </w:p>
    <w:p w14:paraId="775AE25C">
      <w:pPr>
        <w:spacing w:line="560" w:lineRule="exact"/>
        <w:rPr>
          <w:rFonts w:hint="eastAsia" w:ascii="宋体" w:hAnsi="宋体"/>
          <w:sz w:val="24"/>
          <w:szCs w:val="24"/>
          <w:lang w:eastAsia="zh-CN"/>
        </w:rPr>
      </w:pPr>
      <w:r>
        <w:rPr>
          <w:rFonts w:hint="eastAsia" w:ascii="宋体" w:hAnsi="宋体"/>
          <w:sz w:val="24"/>
          <w:szCs w:val="24"/>
          <w:lang w:val="en-US" w:eastAsia="zh-CN"/>
        </w:rPr>
        <w:t xml:space="preserve">29.7 政府采购监督管理部门在处理投诉事项期间，可以视具体情况书面通知采购人暂停采购活动，但暂停时间最长不得超过 30 日。 </w:t>
      </w:r>
    </w:p>
    <w:p w14:paraId="4DB90263">
      <w:pPr>
        <w:spacing w:line="560" w:lineRule="exact"/>
        <w:rPr>
          <w:rFonts w:hint="eastAsia" w:ascii="宋体" w:hAnsi="宋体"/>
          <w:sz w:val="24"/>
          <w:szCs w:val="24"/>
          <w:lang w:eastAsia="zh-CN"/>
        </w:rPr>
      </w:pPr>
      <w:r>
        <w:rPr>
          <w:rFonts w:hint="eastAsia" w:ascii="宋体" w:hAnsi="宋体"/>
          <w:sz w:val="24"/>
          <w:szCs w:val="24"/>
          <w:lang w:val="en-US" w:eastAsia="zh-CN"/>
        </w:rPr>
        <w:t xml:space="preserve">29.8 投诉人对政府采购监督管理部门的投诉处理决定不服或者政府采购监督管理部门逾期未作处理的，可以依法申请行政复议或者向人民法院提起行政诉讼。 </w:t>
      </w:r>
    </w:p>
    <w:p w14:paraId="76DF972C">
      <w:pPr>
        <w:spacing w:line="560" w:lineRule="exact"/>
        <w:rPr>
          <w:rFonts w:hint="eastAsia" w:ascii="宋体" w:hAnsi="宋体"/>
          <w:sz w:val="24"/>
          <w:szCs w:val="24"/>
          <w:lang w:val="en-US" w:eastAsia="zh-CN"/>
        </w:rPr>
      </w:pPr>
    </w:p>
    <w:p w14:paraId="6FB7DD5D">
      <w:pPr>
        <w:spacing w:line="560" w:lineRule="exact"/>
        <w:rPr>
          <w:rFonts w:hint="eastAsia" w:ascii="宋体" w:hAnsi="宋体"/>
          <w:sz w:val="24"/>
          <w:szCs w:val="24"/>
          <w:lang w:val="en-US" w:eastAsia="zh-CN"/>
        </w:rPr>
      </w:pPr>
    </w:p>
    <w:p w14:paraId="7C977C6D">
      <w:pPr>
        <w:spacing w:line="560" w:lineRule="exact"/>
        <w:rPr>
          <w:rFonts w:hint="eastAsia" w:ascii="宋体" w:hAnsi="宋体"/>
          <w:sz w:val="24"/>
          <w:szCs w:val="24"/>
          <w:lang w:val="en-US" w:eastAsia="zh-CN"/>
        </w:rPr>
      </w:pPr>
    </w:p>
    <w:p w14:paraId="76673018">
      <w:pPr>
        <w:spacing w:line="560" w:lineRule="exact"/>
        <w:rPr>
          <w:rFonts w:hint="eastAsia" w:ascii="宋体" w:hAnsi="宋体"/>
          <w:sz w:val="24"/>
          <w:szCs w:val="24"/>
          <w:lang w:val="en-US" w:eastAsia="zh-CN"/>
        </w:rPr>
      </w:pPr>
    </w:p>
    <w:p w14:paraId="73355B92">
      <w:pPr>
        <w:spacing w:line="560" w:lineRule="exact"/>
        <w:rPr>
          <w:rFonts w:hint="eastAsia" w:ascii="宋体" w:hAnsi="宋体"/>
          <w:sz w:val="24"/>
          <w:szCs w:val="24"/>
          <w:lang w:val="en-US" w:eastAsia="zh-CN"/>
        </w:rPr>
      </w:pPr>
    </w:p>
    <w:p w14:paraId="56525377">
      <w:pPr>
        <w:spacing w:line="560" w:lineRule="exact"/>
        <w:rPr>
          <w:rFonts w:hint="eastAsia" w:ascii="宋体" w:hAnsi="宋体"/>
          <w:sz w:val="24"/>
          <w:szCs w:val="24"/>
          <w:lang w:val="en-US" w:eastAsia="zh-CN"/>
        </w:rPr>
      </w:pPr>
    </w:p>
    <w:p w14:paraId="57D5FD8B">
      <w:pPr>
        <w:spacing w:line="560" w:lineRule="exact"/>
        <w:rPr>
          <w:rFonts w:hint="eastAsia" w:ascii="宋体" w:hAnsi="宋体"/>
          <w:sz w:val="24"/>
          <w:szCs w:val="24"/>
          <w:lang w:val="en-US" w:eastAsia="zh-CN"/>
        </w:rPr>
      </w:pPr>
    </w:p>
    <w:p w14:paraId="2B363DDA">
      <w:pPr>
        <w:spacing w:line="560" w:lineRule="exact"/>
        <w:rPr>
          <w:rFonts w:hint="eastAsia" w:ascii="宋体" w:hAnsi="宋体"/>
          <w:sz w:val="24"/>
          <w:szCs w:val="24"/>
          <w:lang w:val="en-US" w:eastAsia="zh-CN"/>
        </w:rPr>
      </w:pPr>
    </w:p>
    <w:p w14:paraId="7F44BE37">
      <w:pPr>
        <w:spacing w:line="560" w:lineRule="exact"/>
        <w:rPr>
          <w:rFonts w:hint="eastAsia" w:ascii="宋体" w:hAnsi="宋体"/>
          <w:sz w:val="24"/>
          <w:szCs w:val="24"/>
          <w:lang w:val="en-US" w:eastAsia="zh-CN"/>
        </w:rPr>
      </w:pPr>
    </w:p>
    <w:p w14:paraId="1F744C5D">
      <w:pPr>
        <w:spacing w:line="560" w:lineRule="exact"/>
        <w:rPr>
          <w:rFonts w:hint="eastAsia" w:ascii="宋体" w:hAnsi="宋体"/>
          <w:sz w:val="24"/>
          <w:szCs w:val="24"/>
          <w:lang w:val="en-US" w:eastAsia="zh-CN"/>
        </w:rPr>
      </w:pPr>
    </w:p>
    <w:p w14:paraId="3052600D">
      <w:pPr>
        <w:spacing w:line="560" w:lineRule="exact"/>
        <w:rPr>
          <w:rFonts w:hint="eastAsia" w:ascii="宋体" w:hAnsi="宋体"/>
          <w:sz w:val="24"/>
          <w:szCs w:val="24"/>
          <w:lang w:val="en-US" w:eastAsia="zh-CN"/>
        </w:rPr>
      </w:pPr>
    </w:p>
    <w:p w14:paraId="5A727765">
      <w:pPr>
        <w:spacing w:line="560" w:lineRule="exact"/>
        <w:rPr>
          <w:rFonts w:hint="eastAsia" w:ascii="宋体" w:hAnsi="宋体"/>
          <w:sz w:val="24"/>
          <w:szCs w:val="24"/>
          <w:lang w:val="en-US" w:eastAsia="zh-CN"/>
        </w:rPr>
      </w:pPr>
    </w:p>
    <w:p w14:paraId="1BFD0F07">
      <w:pPr>
        <w:spacing w:line="560" w:lineRule="exact"/>
        <w:rPr>
          <w:rFonts w:hint="eastAsia" w:ascii="宋体" w:hAnsi="宋体"/>
          <w:sz w:val="24"/>
          <w:szCs w:val="24"/>
          <w:lang w:val="en-US" w:eastAsia="zh-CN"/>
        </w:rPr>
      </w:pPr>
    </w:p>
    <w:p w14:paraId="62637944">
      <w:pPr>
        <w:pStyle w:val="2"/>
        <w:rPr>
          <w:rFonts w:hint="eastAsia"/>
          <w:lang w:val="en-US" w:eastAsia="zh-CN"/>
        </w:rPr>
      </w:pPr>
    </w:p>
    <w:p w14:paraId="34F8C3DF">
      <w:pPr>
        <w:spacing w:line="560" w:lineRule="exact"/>
        <w:rPr>
          <w:rFonts w:hint="eastAsia" w:ascii="宋体" w:hAnsi="宋体"/>
          <w:b/>
          <w:bCs/>
          <w:sz w:val="32"/>
          <w:szCs w:val="32"/>
          <w:lang w:eastAsia="zh-CN"/>
        </w:rPr>
      </w:pPr>
      <w:r>
        <w:rPr>
          <w:rFonts w:hint="eastAsia" w:ascii="宋体" w:hAnsi="宋体"/>
          <w:b/>
          <w:bCs/>
          <w:sz w:val="32"/>
          <w:szCs w:val="32"/>
          <w:lang w:val="en-US" w:eastAsia="zh-CN"/>
        </w:rPr>
        <w:t xml:space="preserve">附录 1： 质疑函范本 </w:t>
      </w:r>
    </w:p>
    <w:p w14:paraId="5A86804E">
      <w:pPr>
        <w:spacing w:line="560" w:lineRule="exact"/>
        <w:rPr>
          <w:rFonts w:hint="eastAsia" w:ascii="宋体" w:hAnsi="宋体"/>
          <w:sz w:val="24"/>
          <w:szCs w:val="24"/>
          <w:lang w:eastAsia="zh-CN"/>
        </w:rPr>
      </w:pPr>
      <w:r>
        <w:rPr>
          <w:rFonts w:hint="eastAsia" w:ascii="宋体" w:hAnsi="宋体"/>
          <w:sz w:val="24"/>
          <w:szCs w:val="24"/>
          <w:lang w:val="en-US" w:eastAsia="zh-CN"/>
        </w:rPr>
        <w:t xml:space="preserve">一、质疑供应商基本信息 </w:t>
      </w:r>
    </w:p>
    <w:p w14:paraId="154F13AB">
      <w:pPr>
        <w:spacing w:line="560" w:lineRule="exact"/>
        <w:rPr>
          <w:rFonts w:hint="eastAsia" w:ascii="宋体" w:hAnsi="宋体"/>
          <w:sz w:val="24"/>
          <w:szCs w:val="24"/>
          <w:lang w:eastAsia="zh-CN"/>
        </w:rPr>
      </w:pPr>
      <w:r>
        <w:rPr>
          <w:rFonts w:hint="eastAsia" w:ascii="宋体" w:hAnsi="宋体"/>
          <w:sz w:val="24"/>
          <w:szCs w:val="24"/>
          <w:lang w:val="en-US" w:eastAsia="zh-CN"/>
        </w:rPr>
        <w:t xml:space="preserve">质疑供应商： </w:t>
      </w:r>
    </w:p>
    <w:p w14:paraId="481B6116">
      <w:pPr>
        <w:spacing w:line="560" w:lineRule="exact"/>
        <w:rPr>
          <w:rFonts w:hint="eastAsia" w:ascii="宋体" w:hAnsi="宋体"/>
          <w:sz w:val="24"/>
          <w:szCs w:val="24"/>
          <w:lang w:eastAsia="zh-CN"/>
        </w:rPr>
      </w:pPr>
      <w:r>
        <w:rPr>
          <w:rFonts w:hint="eastAsia" w:ascii="宋体" w:hAnsi="宋体"/>
          <w:sz w:val="24"/>
          <w:szCs w:val="24"/>
          <w:lang w:val="en-US" w:eastAsia="zh-CN"/>
        </w:rPr>
        <w:t xml:space="preserve">地址： 邮编： </w:t>
      </w:r>
    </w:p>
    <w:p w14:paraId="1E749CCF">
      <w:pPr>
        <w:spacing w:line="560" w:lineRule="exact"/>
        <w:rPr>
          <w:rFonts w:hint="eastAsia" w:ascii="宋体" w:hAnsi="宋体"/>
          <w:sz w:val="24"/>
          <w:szCs w:val="24"/>
          <w:lang w:eastAsia="zh-CN"/>
        </w:rPr>
      </w:pPr>
      <w:r>
        <w:rPr>
          <w:rFonts w:hint="eastAsia" w:ascii="宋体" w:hAnsi="宋体"/>
          <w:sz w:val="24"/>
          <w:szCs w:val="24"/>
          <w:lang w:val="en-US" w:eastAsia="zh-CN"/>
        </w:rPr>
        <w:t xml:space="preserve">联系人： 联系电话： </w:t>
      </w:r>
    </w:p>
    <w:p w14:paraId="428AB1F7">
      <w:pPr>
        <w:spacing w:line="560" w:lineRule="exact"/>
        <w:rPr>
          <w:rFonts w:hint="eastAsia" w:ascii="宋体" w:hAnsi="宋体"/>
          <w:sz w:val="24"/>
          <w:szCs w:val="24"/>
          <w:lang w:eastAsia="zh-CN"/>
        </w:rPr>
      </w:pPr>
      <w:r>
        <w:rPr>
          <w:rFonts w:hint="eastAsia" w:ascii="宋体" w:hAnsi="宋体"/>
          <w:sz w:val="24"/>
          <w:szCs w:val="24"/>
          <w:lang w:val="en-US" w:eastAsia="zh-CN"/>
        </w:rPr>
        <w:t xml:space="preserve">授权代表： </w:t>
      </w:r>
    </w:p>
    <w:p w14:paraId="7FDF5C54">
      <w:pPr>
        <w:spacing w:line="560" w:lineRule="exact"/>
        <w:rPr>
          <w:rFonts w:hint="eastAsia" w:ascii="宋体" w:hAnsi="宋体"/>
          <w:sz w:val="24"/>
          <w:szCs w:val="24"/>
          <w:lang w:eastAsia="zh-CN"/>
        </w:rPr>
      </w:pPr>
      <w:r>
        <w:rPr>
          <w:rFonts w:hint="eastAsia" w:ascii="宋体" w:hAnsi="宋体"/>
          <w:sz w:val="24"/>
          <w:szCs w:val="24"/>
          <w:lang w:val="en-US" w:eastAsia="zh-CN"/>
        </w:rPr>
        <w:t xml:space="preserve">联系电话： </w:t>
      </w:r>
    </w:p>
    <w:p w14:paraId="55996643">
      <w:pPr>
        <w:spacing w:line="560" w:lineRule="exact"/>
        <w:rPr>
          <w:rFonts w:hint="eastAsia" w:ascii="宋体" w:hAnsi="宋体"/>
          <w:sz w:val="24"/>
          <w:szCs w:val="24"/>
          <w:lang w:eastAsia="zh-CN"/>
        </w:rPr>
      </w:pPr>
      <w:r>
        <w:rPr>
          <w:rFonts w:hint="eastAsia" w:ascii="宋体" w:hAnsi="宋体"/>
          <w:sz w:val="24"/>
          <w:szCs w:val="24"/>
          <w:lang w:val="en-US" w:eastAsia="zh-CN"/>
        </w:rPr>
        <w:t xml:space="preserve">地址： 邮编： </w:t>
      </w:r>
    </w:p>
    <w:p w14:paraId="346B6AD9">
      <w:pPr>
        <w:spacing w:line="560" w:lineRule="exact"/>
        <w:rPr>
          <w:rFonts w:hint="eastAsia" w:ascii="宋体" w:hAnsi="宋体"/>
          <w:sz w:val="24"/>
          <w:szCs w:val="24"/>
          <w:lang w:eastAsia="zh-CN"/>
        </w:rPr>
      </w:pPr>
      <w:r>
        <w:rPr>
          <w:rFonts w:hint="eastAsia" w:ascii="宋体" w:hAnsi="宋体"/>
          <w:sz w:val="24"/>
          <w:szCs w:val="24"/>
          <w:lang w:val="en-US" w:eastAsia="zh-CN"/>
        </w:rPr>
        <w:t xml:space="preserve">二、质疑项目基本情况 </w:t>
      </w:r>
    </w:p>
    <w:p w14:paraId="1215FA3E">
      <w:pPr>
        <w:spacing w:line="560" w:lineRule="exact"/>
        <w:rPr>
          <w:rFonts w:hint="eastAsia" w:ascii="宋体" w:hAnsi="宋体"/>
          <w:sz w:val="24"/>
          <w:szCs w:val="24"/>
          <w:lang w:eastAsia="zh-CN"/>
        </w:rPr>
      </w:pPr>
      <w:r>
        <w:rPr>
          <w:rFonts w:hint="eastAsia" w:ascii="宋体" w:hAnsi="宋体"/>
          <w:sz w:val="24"/>
          <w:szCs w:val="24"/>
          <w:lang w:val="en-US" w:eastAsia="zh-CN"/>
        </w:rPr>
        <w:t xml:space="preserve">质疑项目的名称： </w:t>
      </w:r>
    </w:p>
    <w:p w14:paraId="74C18D33">
      <w:pPr>
        <w:spacing w:line="560" w:lineRule="exact"/>
        <w:rPr>
          <w:rFonts w:hint="eastAsia" w:ascii="宋体" w:hAnsi="宋体"/>
          <w:sz w:val="24"/>
          <w:szCs w:val="24"/>
          <w:lang w:eastAsia="zh-CN"/>
        </w:rPr>
      </w:pPr>
      <w:r>
        <w:rPr>
          <w:rFonts w:hint="eastAsia" w:ascii="宋体" w:hAnsi="宋体"/>
          <w:sz w:val="24"/>
          <w:szCs w:val="24"/>
          <w:lang w:val="en-US" w:eastAsia="zh-CN"/>
        </w:rPr>
        <w:t xml:space="preserve">质疑项目的编号： 包号： </w:t>
      </w:r>
    </w:p>
    <w:p w14:paraId="71C922A2">
      <w:pPr>
        <w:spacing w:line="560" w:lineRule="exact"/>
        <w:rPr>
          <w:rFonts w:hint="eastAsia" w:ascii="宋体" w:hAnsi="宋体"/>
          <w:sz w:val="24"/>
          <w:szCs w:val="24"/>
          <w:lang w:eastAsia="zh-CN"/>
        </w:rPr>
      </w:pPr>
      <w:r>
        <w:rPr>
          <w:rFonts w:hint="eastAsia" w:ascii="宋体" w:hAnsi="宋体"/>
          <w:sz w:val="24"/>
          <w:szCs w:val="24"/>
          <w:lang w:val="en-US" w:eastAsia="zh-CN"/>
        </w:rPr>
        <w:t xml:space="preserve">采购人名称： </w:t>
      </w:r>
    </w:p>
    <w:p w14:paraId="25AE8E6F">
      <w:pPr>
        <w:spacing w:line="560" w:lineRule="exact"/>
        <w:rPr>
          <w:rFonts w:hint="eastAsia" w:ascii="宋体" w:hAnsi="宋体"/>
          <w:sz w:val="24"/>
          <w:szCs w:val="24"/>
          <w:lang w:eastAsia="zh-CN"/>
        </w:rPr>
      </w:pPr>
      <w:r>
        <w:rPr>
          <w:rFonts w:hint="eastAsia" w:ascii="宋体" w:hAnsi="宋体"/>
          <w:sz w:val="24"/>
          <w:szCs w:val="24"/>
          <w:lang w:val="en-US" w:eastAsia="zh-CN"/>
        </w:rPr>
        <w:t xml:space="preserve">采购文件获取日期： </w:t>
      </w:r>
    </w:p>
    <w:p w14:paraId="702E0290">
      <w:pPr>
        <w:spacing w:line="560" w:lineRule="exact"/>
        <w:rPr>
          <w:rFonts w:hint="eastAsia" w:ascii="宋体" w:hAnsi="宋体"/>
          <w:sz w:val="24"/>
          <w:szCs w:val="24"/>
          <w:lang w:eastAsia="zh-CN"/>
        </w:rPr>
      </w:pPr>
      <w:r>
        <w:rPr>
          <w:rFonts w:hint="eastAsia" w:ascii="宋体" w:hAnsi="宋体"/>
          <w:sz w:val="24"/>
          <w:szCs w:val="24"/>
          <w:lang w:val="en-US" w:eastAsia="zh-CN"/>
        </w:rPr>
        <w:t xml:space="preserve">三、质疑事项具体内容 </w:t>
      </w:r>
    </w:p>
    <w:p w14:paraId="723BF4C6">
      <w:pPr>
        <w:spacing w:line="560" w:lineRule="exact"/>
        <w:rPr>
          <w:rFonts w:hint="eastAsia" w:ascii="宋体" w:hAnsi="宋体"/>
          <w:sz w:val="24"/>
          <w:szCs w:val="24"/>
          <w:lang w:eastAsia="zh-CN"/>
        </w:rPr>
      </w:pPr>
      <w:r>
        <w:rPr>
          <w:rFonts w:hint="eastAsia" w:ascii="宋体" w:hAnsi="宋体"/>
          <w:sz w:val="24"/>
          <w:szCs w:val="24"/>
          <w:lang w:val="en-US" w:eastAsia="zh-CN"/>
        </w:rPr>
        <w:t xml:space="preserve">质疑事项 1： </w:t>
      </w:r>
    </w:p>
    <w:p w14:paraId="2B6923A2">
      <w:pPr>
        <w:spacing w:line="560" w:lineRule="exact"/>
        <w:rPr>
          <w:rFonts w:hint="eastAsia" w:ascii="宋体" w:hAnsi="宋体"/>
          <w:sz w:val="24"/>
          <w:szCs w:val="24"/>
          <w:lang w:eastAsia="zh-CN"/>
        </w:rPr>
      </w:pPr>
      <w:r>
        <w:rPr>
          <w:rFonts w:hint="eastAsia" w:ascii="宋体" w:hAnsi="宋体"/>
          <w:sz w:val="24"/>
          <w:szCs w:val="24"/>
          <w:lang w:val="en-US" w:eastAsia="zh-CN"/>
        </w:rPr>
        <w:t xml:space="preserve">事实依据： </w:t>
      </w:r>
    </w:p>
    <w:p w14:paraId="28AC3F6F">
      <w:pPr>
        <w:spacing w:line="560" w:lineRule="exact"/>
        <w:rPr>
          <w:rFonts w:hint="eastAsia" w:ascii="宋体" w:hAnsi="宋体"/>
          <w:sz w:val="24"/>
          <w:szCs w:val="24"/>
          <w:lang w:eastAsia="zh-CN"/>
        </w:rPr>
      </w:pPr>
      <w:r>
        <w:rPr>
          <w:rFonts w:hint="eastAsia" w:ascii="宋体" w:hAnsi="宋体"/>
          <w:sz w:val="24"/>
          <w:szCs w:val="24"/>
          <w:lang w:val="en-US" w:eastAsia="zh-CN"/>
        </w:rPr>
        <w:t xml:space="preserve">法律依据： </w:t>
      </w:r>
    </w:p>
    <w:p w14:paraId="6BA985E7">
      <w:pPr>
        <w:spacing w:line="560" w:lineRule="exact"/>
        <w:rPr>
          <w:rFonts w:hint="eastAsia" w:ascii="宋体" w:hAnsi="宋体"/>
          <w:sz w:val="24"/>
          <w:szCs w:val="24"/>
          <w:lang w:eastAsia="zh-CN"/>
        </w:rPr>
      </w:pPr>
      <w:r>
        <w:rPr>
          <w:rFonts w:hint="eastAsia" w:ascii="宋体" w:hAnsi="宋体"/>
          <w:sz w:val="24"/>
          <w:szCs w:val="24"/>
          <w:lang w:val="en-US" w:eastAsia="zh-CN"/>
        </w:rPr>
        <w:t xml:space="preserve">质疑事项 2 </w:t>
      </w:r>
    </w:p>
    <w:p w14:paraId="09BEFABA">
      <w:pPr>
        <w:spacing w:line="560" w:lineRule="exact"/>
        <w:rPr>
          <w:rFonts w:hint="eastAsia" w:ascii="宋体" w:hAnsi="宋体"/>
          <w:sz w:val="24"/>
          <w:szCs w:val="24"/>
          <w:lang w:eastAsia="zh-CN"/>
        </w:rPr>
      </w:pPr>
      <w:r>
        <w:rPr>
          <w:rFonts w:hint="eastAsia" w:ascii="宋体" w:hAnsi="宋体"/>
          <w:sz w:val="24"/>
          <w:szCs w:val="24"/>
          <w:lang w:val="en-US" w:eastAsia="zh-CN"/>
        </w:rPr>
        <w:t xml:space="preserve">…… </w:t>
      </w:r>
    </w:p>
    <w:p w14:paraId="540C72A1">
      <w:pPr>
        <w:spacing w:line="560" w:lineRule="exact"/>
        <w:rPr>
          <w:rFonts w:hint="eastAsia" w:ascii="宋体" w:hAnsi="宋体"/>
          <w:sz w:val="24"/>
          <w:szCs w:val="24"/>
          <w:lang w:eastAsia="zh-CN"/>
        </w:rPr>
      </w:pPr>
      <w:r>
        <w:rPr>
          <w:rFonts w:hint="eastAsia" w:ascii="宋体" w:hAnsi="宋体"/>
          <w:sz w:val="24"/>
          <w:szCs w:val="24"/>
          <w:lang w:val="en-US" w:eastAsia="zh-CN"/>
        </w:rPr>
        <w:t xml:space="preserve">四、与质疑事项相关的质疑请求 </w:t>
      </w:r>
    </w:p>
    <w:p w14:paraId="4AF0BF6B">
      <w:pPr>
        <w:spacing w:line="560" w:lineRule="exact"/>
        <w:rPr>
          <w:rFonts w:hint="eastAsia" w:ascii="宋体" w:hAnsi="宋体"/>
          <w:sz w:val="24"/>
          <w:szCs w:val="24"/>
          <w:lang w:eastAsia="zh-CN"/>
        </w:rPr>
      </w:pPr>
      <w:r>
        <w:rPr>
          <w:rFonts w:hint="eastAsia" w:ascii="宋体" w:hAnsi="宋体"/>
          <w:sz w:val="24"/>
          <w:szCs w:val="24"/>
          <w:lang w:val="en-US" w:eastAsia="zh-CN"/>
        </w:rPr>
        <w:t xml:space="preserve">请求： </w:t>
      </w:r>
    </w:p>
    <w:p w14:paraId="07B25B6F">
      <w:pPr>
        <w:spacing w:line="560" w:lineRule="exact"/>
        <w:rPr>
          <w:rFonts w:hint="eastAsia" w:ascii="宋体" w:hAnsi="宋体"/>
          <w:sz w:val="24"/>
          <w:szCs w:val="24"/>
          <w:lang w:eastAsia="zh-CN"/>
        </w:rPr>
      </w:pPr>
      <w:r>
        <w:rPr>
          <w:rFonts w:hint="eastAsia" w:ascii="宋体" w:hAnsi="宋体"/>
          <w:sz w:val="24"/>
          <w:szCs w:val="24"/>
          <w:lang w:val="en-US" w:eastAsia="zh-CN"/>
        </w:rPr>
        <w:t xml:space="preserve">签字(签章)： 公章： </w:t>
      </w:r>
    </w:p>
    <w:p w14:paraId="4A5F897F">
      <w:pPr>
        <w:spacing w:line="560" w:lineRule="exact"/>
        <w:rPr>
          <w:rFonts w:hint="eastAsia" w:ascii="宋体" w:hAnsi="宋体"/>
          <w:sz w:val="24"/>
          <w:szCs w:val="24"/>
          <w:lang w:val="en-US" w:eastAsia="zh-CN"/>
        </w:rPr>
      </w:pPr>
      <w:r>
        <w:rPr>
          <w:rFonts w:hint="eastAsia" w:ascii="宋体" w:hAnsi="宋体"/>
          <w:sz w:val="24"/>
          <w:szCs w:val="24"/>
          <w:lang w:val="en-US" w:eastAsia="zh-CN"/>
        </w:rPr>
        <w:t xml:space="preserve">日期： </w:t>
      </w:r>
    </w:p>
    <w:p w14:paraId="1DDBCFC7">
      <w:pPr>
        <w:spacing w:line="560" w:lineRule="exact"/>
        <w:rPr>
          <w:rFonts w:hint="eastAsia" w:ascii="宋体" w:hAnsi="宋体"/>
          <w:sz w:val="24"/>
          <w:szCs w:val="24"/>
          <w:lang w:val="en-US" w:eastAsia="zh-CN"/>
        </w:rPr>
      </w:pPr>
    </w:p>
    <w:p w14:paraId="283B4863">
      <w:pPr>
        <w:spacing w:line="560" w:lineRule="exact"/>
        <w:rPr>
          <w:rFonts w:hint="eastAsia" w:ascii="宋体" w:hAnsi="宋体"/>
          <w:sz w:val="24"/>
          <w:szCs w:val="24"/>
          <w:lang w:val="en-US" w:eastAsia="zh-CN"/>
        </w:rPr>
      </w:pPr>
    </w:p>
    <w:p w14:paraId="445FD5C2">
      <w:pPr>
        <w:spacing w:line="560" w:lineRule="exact"/>
        <w:rPr>
          <w:rFonts w:hint="eastAsia" w:ascii="宋体" w:hAnsi="宋体"/>
          <w:sz w:val="24"/>
          <w:szCs w:val="24"/>
          <w:lang w:eastAsia="zh-CN"/>
        </w:rPr>
      </w:pPr>
      <w:r>
        <w:rPr>
          <w:rFonts w:hint="eastAsia" w:ascii="宋体" w:hAnsi="宋体"/>
          <w:sz w:val="24"/>
          <w:szCs w:val="24"/>
          <w:lang w:val="en-US" w:eastAsia="zh-CN"/>
        </w:rPr>
        <w:t xml:space="preserve">质疑函制作说明： </w:t>
      </w:r>
    </w:p>
    <w:p w14:paraId="00D23073">
      <w:pPr>
        <w:spacing w:line="560" w:lineRule="exact"/>
        <w:rPr>
          <w:rFonts w:hint="eastAsia" w:ascii="宋体" w:hAnsi="宋体"/>
          <w:sz w:val="24"/>
          <w:szCs w:val="24"/>
          <w:lang w:eastAsia="zh-CN"/>
        </w:rPr>
      </w:pPr>
      <w:r>
        <w:rPr>
          <w:rFonts w:hint="eastAsia" w:ascii="宋体" w:hAnsi="宋体"/>
          <w:sz w:val="24"/>
          <w:szCs w:val="24"/>
          <w:lang w:val="en-US" w:eastAsia="zh-CN"/>
        </w:rPr>
        <w:t xml:space="preserve">1、供应商提出质疑时，应提交质疑函和必要的证明材料。 </w:t>
      </w:r>
    </w:p>
    <w:p w14:paraId="33087080">
      <w:pPr>
        <w:spacing w:line="560" w:lineRule="exact"/>
        <w:rPr>
          <w:rFonts w:hint="eastAsia" w:ascii="宋体" w:hAnsi="宋体"/>
          <w:sz w:val="24"/>
          <w:szCs w:val="24"/>
          <w:lang w:eastAsia="zh-CN"/>
        </w:rPr>
      </w:pPr>
      <w:r>
        <w:rPr>
          <w:rFonts w:hint="eastAsia" w:ascii="宋体" w:hAnsi="宋体"/>
          <w:sz w:val="24"/>
          <w:szCs w:val="24"/>
          <w:lang w:val="en-US" w:eastAsia="zh-CN"/>
        </w:rPr>
        <w:t xml:space="preserve">2、质疑供应商若委托代理人进行质疑的，质疑函应按要求列明“授权代表”的有关内容， </w:t>
      </w:r>
    </w:p>
    <w:p w14:paraId="4FEDBC04">
      <w:pPr>
        <w:spacing w:line="560" w:lineRule="exact"/>
        <w:rPr>
          <w:rFonts w:hint="eastAsia" w:ascii="宋体" w:hAnsi="宋体"/>
          <w:sz w:val="24"/>
          <w:szCs w:val="24"/>
          <w:lang w:eastAsia="zh-CN"/>
        </w:rPr>
      </w:pPr>
      <w:r>
        <w:rPr>
          <w:rFonts w:hint="eastAsia" w:ascii="宋体" w:hAnsi="宋体"/>
          <w:sz w:val="24"/>
          <w:szCs w:val="24"/>
          <w:lang w:val="en-US" w:eastAsia="zh-CN"/>
        </w:rPr>
        <w:t xml:space="preserve">并在附件中提交由质疑供应商签署的授权委托书。授权委托书应载明代理人的姓名或者名称、 </w:t>
      </w:r>
    </w:p>
    <w:p w14:paraId="723F38C6">
      <w:pPr>
        <w:spacing w:line="560" w:lineRule="exact"/>
        <w:rPr>
          <w:rFonts w:hint="eastAsia" w:ascii="宋体" w:hAnsi="宋体"/>
          <w:sz w:val="24"/>
          <w:szCs w:val="24"/>
          <w:lang w:eastAsia="zh-CN"/>
        </w:rPr>
      </w:pPr>
      <w:r>
        <w:rPr>
          <w:rFonts w:hint="eastAsia" w:ascii="宋体" w:hAnsi="宋体"/>
          <w:sz w:val="24"/>
          <w:szCs w:val="24"/>
          <w:lang w:val="en-US" w:eastAsia="zh-CN"/>
        </w:rPr>
        <w:t xml:space="preserve">代理事项、具体权限、期限和相关事项。 </w:t>
      </w:r>
    </w:p>
    <w:p w14:paraId="1A1D1232">
      <w:pPr>
        <w:spacing w:line="560" w:lineRule="exact"/>
        <w:rPr>
          <w:rFonts w:hint="eastAsia" w:ascii="宋体" w:hAnsi="宋体"/>
          <w:sz w:val="24"/>
          <w:szCs w:val="24"/>
          <w:lang w:eastAsia="zh-CN"/>
        </w:rPr>
      </w:pPr>
      <w:r>
        <w:rPr>
          <w:rFonts w:hint="eastAsia" w:ascii="宋体" w:hAnsi="宋体"/>
          <w:sz w:val="24"/>
          <w:szCs w:val="24"/>
          <w:lang w:val="en-US" w:eastAsia="zh-CN"/>
        </w:rPr>
        <w:t xml:space="preserve">3、质疑供应商若对项目的某一分包进行质疑，质疑函中应列明具体分包号。 </w:t>
      </w:r>
    </w:p>
    <w:p w14:paraId="41EBB7F7">
      <w:pPr>
        <w:spacing w:line="560" w:lineRule="exact"/>
        <w:rPr>
          <w:rFonts w:hint="eastAsia" w:ascii="宋体" w:hAnsi="宋体"/>
          <w:sz w:val="24"/>
          <w:szCs w:val="24"/>
          <w:lang w:eastAsia="zh-CN"/>
        </w:rPr>
      </w:pPr>
      <w:r>
        <w:rPr>
          <w:rFonts w:hint="eastAsia" w:ascii="宋体" w:hAnsi="宋体"/>
          <w:sz w:val="24"/>
          <w:szCs w:val="24"/>
          <w:lang w:val="en-US" w:eastAsia="zh-CN"/>
        </w:rPr>
        <w:t xml:space="preserve">4、质疑函的质疑事项应具体、明确，并有必要的事实依据和法律依据。 </w:t>
      </w:r>
    </w:p>
    <w:p w14:paraId="3F01E44A">
      <w:pPr>
        <w:spacing w:line="560" w:lineRule="exact"/>
        <w:rPr>
          <w:rFonts w:hint="eastAsia" w:ascii="宋体" w:hAnsi="宋体"/>
          <w:sz w:val="24"/>
          <w:szCs w:val="24"/>
          <w:lang w:eastAsia="zh-CN"/>
        </w:rPr>
      </w:pPr>
      <w:r>
        <w:rPr>
          <w:rFonts w:hint="eastAsia" w:ascii="宋体" w:hAnsi="宋体"/>
          <w:sz w:val="24"/>
          <w:szCs w:val="24"/>
          <w:lang w:val="en-US" w:eastAsia="zh-CN"/>
        </w:rPr>
        <w:t xml:space="preserve">5、质疑函的质疑请求应与质疑事项相关。 </w:t>
      </w:r>
    </w:p>
    <w:p w14:paraId="12957A0B">
      <w:pPr>
        <w:spacing w:line="560" w:lineRule="exact"/>
        <w:rPr>
          <w:rFonts w:hint="eastAsia" w:ascii="宋体" w:hAnsi="宋体"/>
          <w:sz w:val="24"/>
          <w:szCs w:val="24"/>
          <w:lang w:eastAsia="zh-CN"/>
        </w:rPr>
      </w:pPr>
      <w:r>
        <w:rPr>
          <w:rFonts w:hint="eastAsia" w:ascii="宋体" w:hAnsi="宋体"/>
          <w:sz w:val="24"/>
          <w:szCs w:val="24"/>
          <w:lang w:val="en-US" w:eastAsia="zh-CN"/>
        </w:rPr>
        <w:t xml:space="preserve">6、质疑供应商为自然人的，质疑函应由本人签字；质疑供应商为法人或者其他组织的， </w:t>
      </w:r>
    </w:p>
    <w:p w14:paraId="5CACDD74">
      <w:pPr>
        <w:spacing w:line="560" w:lineRule="exact"/>
        <w:rPr>
          <w:rFonts w:hint="eastAsia" w:ascii="宋体" w:hAnsi="宋体"/>
          <w:b w:val="0"/>
          <w:sz w:val="36"/>
          <w:szCs w:val="36"/>
        </w:rPr>
      </w:pPr>
      <w:r>
        <w:rPr>
          <w:rFonts w:hint="eastAsia" w:ascii="宋体" w:hAnsi="宋体"/>
          <w:sz w:val="24"/>
          <w:szCs w:val="24"/>
          <w:lang w:val="en-US" w:eastAsia="zh-CN"/>
        </w:rPr>
        <w:t>质疑函应由法定代表人、主要负责人签字或者盖章，并加盖单位公章。</w:t>
      </w:r>
      <w:bookmarkEnd w:id="208"/>
      <w:bookmarkStart w:id="209" w:name="_Toc154744444"/>
      <w:bookmarkStart w:id="210" w:name="_Toc154755485"/>
      <w:bookmarkStart w:id="211" w:name="_Toc32502"/>
    </w:p>
    <w:p w14:paraId="2B05250D">
      <w:pPr>
        <w:pStyle w:val="3"/>
        <w:jc w:val="both"/>
        <w:rPr>
          <w:rFonts w:hint="eastAsia" w:ascii="宋体" w:hAnsi="宋体"/>
          <w:b w:val="0"/>
          <w:sz w:val="36"/>
          <w:szCs w:val="36"/>
        </w:rPr>
      </w:pPr>
    </w:p>
    <w:p w14:paraId="6D3C6D5C">
      <w:pPr>
        <w:rPr>
          <w:rFonts w:hint="eastAsia" w:ascii="宋体" w:hAnsi="宋体"/>
          <w:b w:val="0"/>
          <w:sz w:val="36"/>
          <w:szCs w:val="36"/>
        </w:rPr>
      </w:pPr>
    </w:p>
    <w:p w14:paraId="4ED06DBC">
      <w:pPr>
        <w:rPr>
          <w:rFonts w:hint="eastAsia" w:ascii="宋体" w:hAnsi="宋体"/>
          <w:b w:val="0"/>
          <w:sz w:val="36"/>
          <w:szCs w:val="36"/>
        </w:rPr>
      </w:pPr>
    </w:p>
    <w:p w14:paraId="712652CE">
      <w:pPr>
        <w:rPr>
          <w:rFonts w:hint="eastAsia" w:ascii="宋体" w:hAnsi="宋体"/>
          <w:b w:val="0"/>
          <w:sz w:val="36"/>
          <w:szCs w:val="36"/>
        </w:rPr>
      </w:pPr>
    </w:p>
    <w:p w14:paraId="3F717D6C">
      <w:pPr>
        <w:rPr>
          <w:rFonts w:hint="eastAsia" w:ascii="宋体" w:hAnsi="宋体"/>
          <w:b w:val="0"/>
          <w:sz w:val="36"/>
          <w:szCs w:val="36"/>
        </w:rPr>
      </w:pPr>
    </w:p>
    <w:p w14:paraId="7D3DB844">
      <w:pPr>
        <w:rPr>
          <w:rFonts w:hint="eastAsia" w:ascii="宋体" w:hAnsi="宋体"/>
          <w:b w:val="0"/>
          <w:sz w:val="36"/>
          <w:szCs w:val="36"/>
        </w:rPr>
      </w:pPr>
    </w:p>
    <w:p w14:paraId="79159D74">
      <w:pPr>
        <w:rPr>
          <w:rFonts w:hint="eastAsia" w:ascii="宋体" w:hAnsi="宋体"/>
          <w:b w:val="0"/>
          <w:sz w:val="36"/>
          <w:szCs w:val="36"/>
        </w:rPr>
      </w:pPr>
    </w:p>
    <w:p w14:paraId="6E6211CB">
      <w:pPr>
        <w:rPr>
          <w:rFonts w:hint="eastAsia" w:ascii="宋体" w:hAnsi="宋体"/>
          <w:b w:val="0"/>
          <w:sz w:val="36"/>
          <w:szCs w:val="36"/>
        </w:rPr>
      </w:pPr>
    </w:p>
    <w:p w14:paraId="336EFBF4">
      <w:pPr>
        <w:rPr>
          <w:rFonts w:hint="eastAsia" w:ascii="宋体" w:hAnsi="宋体"/>
          <w:b w:val="0"/>
          <w:sz w:val="36"/>
          <w:szCs w:val="36"/>
        </w:rPr>
      </w:pPr>
    </w:p>
    <w:p w14:paraId="02C6F397">
      <w:pPr>
        <w:rPr>
          <w:rFonts w:hint="eastAsia" w:ascii="宋体" w:hAnsi="宋体"/>
          <w:b w:val="0"/>
          <w:sz w:val="36"/>
          <w:szCs w:val="36"/>
        </w:rPr>
      </w:pPr>
    </w:p>
    <w:p w14:paraId="01919C30">
      <w:pPr>
        <w:rPr>
          <w:rFonts w:hint="eastAsia" w:ascii="宋体" w:hAnsi="宋体"/>
          <w:b w:val="0"/>
          <w:sz w:val="36"/>
          <w:szCs w:val="36"/>
        </w:rPr>
      </w:pPr>
    </w:p>
    <w:p w14:paraId="45B07408">
      <w:pPr>
        <w:pStyle w:val="3"/>
        <w:rPr>
          <w:rFonts w:ascii="宋体" w:hAnsi="宋体"/>
          <w:b w:val="0"/>
          <w:sz w:val="36"/>
          <w:szCs w:val="36"/>
        </w:rPr>
      </w:pPr>
      <w:r>
        <w:rPr>
          <w:rFonts w:hint="eastAsia" w:ascii="宋体" w:hAnsi="宋体"/>
          <w:b w:val="0"/>
          <w:sz w:val="36"/>
          <w:szCs w:val="36"/>
        </w:rPr>
        <w:t>第三章评标标准（综合评估法）</w:t>
      </w:r>
      <w:bookmarkEnd w:id="209"/>
      <w:bookmarkEnd w:id="210"/>
      <w:bookmarkEnd w:id="211"/>
    </w:p>
    <w:p w14:paraId="41F994AC">
      <w:pPr>
        <w:pStyle w:val="4"/>
      </w:pPr>
      <w:bookmarkStart w:id="212" w:name="_Toc29824"/>
      <w:bookmarkStart w:id="213" w:name="_Toc364316063"/>
      <w:bookmarkStart w:id="214" w:name="_Toc154755486"/>
      <w:bookmarkStart w:id="215" w:name="_Toc364341459"/>
      <w:bookmarkStart w:id="216" w:name="_Toc264541210"/>
      <w:r>
        <w:rPr>
          <w:rFonts w:hint="eastAsia"/>
        </w:rPr>
        <w:t>评标标准前附表</w:t>
      </w:r>
      <w:bookmarkEnd w:id="212"/>
      <w:bookmarkEnd w:id="213"/>
      <w:bookmarkEnd w:id="214"/>
      <w:bookmarkEnd w:id="215"/>
      <w:bookmarkEnd w:id="216"/>
    </w:p>
    <w:p w14:paraId="46E93926"/>
    <w:tbl>
      <w:tblPr>
        <w:tblStyle w:val="29"/>
        <w:tblW w:w="9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5"/>
        <w:gridCol w:w="1221"/>
        <w:gridCol w:w="1697"/>
        <w:gridCol w:w="6090"/>
      </w:tblGrid>
      <w:tr w14:paraId="78231DF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076" w:type="dxa"/>
            <w:gridSpan w:val="3"/>
            <w:tcBorders>
              <w:top w:val="single" w:color="auto" w:sz="4" w:space="0"/>
              <w:left w:val="single" w:color="auto" w:sz="4" w:space="0"/>
              <w:bottom w:val="single" w:color="auto" w:sz="4" w:space="0"/>
              <w:right w:val="single" w:color="auto" w:sz="4" w:space="0"/>
            </w:tcBorders>
            <w:vAlign w:val="center"/>
          </w:tcPr>
          <w:p w14:paraId="153CB847">
            <w:pPr>
              <w:jc w:val="center"/>
              <w:rPr>
                <w:szCs w:val="24"/>
              </w:rPr>
            </w:pPr>
            <w:r>
              <w:rPr>
                <w:rFonts w:hint="eastAsia" w:ascii="宋体" w:hAnsi="宋体"/>
                <w:szCs w:val="21"/>
              </w:rPr>
              <w:t>条款号</w:t>
            </w:r>
          </w:p>
        </w:tc>
        <w:tc>
          <w:tcPr>
            <w:tcW w:w="1697" w:type="dxa"/>
            <w:tcBorders>
              <w:top w:val="single" w:color="auto" w:sz="4" w:space="0"/>
              <w:left w:val="single" w:color="auto" w:sz="4" w:space="0"/>
              <w:bottom w:val="single" w:color="auto" w:sz="4" w:space="0"/>
              <w:right w:val="single" w:color="auto" w:sz="4" w:space="0"/>
            </w:tcBorders>
            <w:vAlign w:val="center"/>
          </w:tcPr>
          <w:p w14:paraId="2A5B6552">
            <w:pPr>
              <w:jc w:val="center"/>
              <w:rPr>
                <w:szCs w:val="24"/>
              </w:rPr>
            </w:pPr>
            <w:r>
              <w:rPr>
                <w:rFonts w:hint="eastAsia" w:ascii="宋体" w:hAnsi="宋体"/>
                <w:szCs w:val="21"/>
              </w:rPr>
              <w:t>评审因素</w:t>
            </w:r>
          </w:p>
        </w:tc>
        <w:tc>
          <w:tcPr>
            <w:tcW w:w="6090" w:type="dxa"/>
            <w:tcBorders>
              <w:top w:val="single" w:color="auto" w:sz="4" w:space="0"/>
              <w:left w:val="single" w:color="auto" w:sz="4" w:space="0"/>
              <w:bottom w:val="single" w:color="auto" w:sz="4" w:space="0"/>
              <w:right w:val="single" w:color="auto" w:sz="4" w:space="0"/>
            </w:tcBorders>
            <w:vAlign w:val="center"/>
          </w:tcPr>
          <w:p w14:paraId="2CDEEC5A">
            <w:pPr>
              <w:jc w:val="center"/>
              <w:rPr>
                <w:szCs w:val="24"/>
              </w:rPr>
            </w:pPr>
            <w:r>
              <w:rPr>
                <w:rFonts w:hint="eastAsia" w:ascii="宋体" w:hAnsi="宋体"/>
                <w:szCs w:val="21"/>
              </w:rPr>
              <w:t>评审标准</w:t>
            </w:r>
          </w:p>
        </w:tc>
      </w:tr>
      <w:tr w14:paraId="08054EE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vMerge w:val="restart"/>
            <w:tcBorders>
              <w:top w:val="single" w:color="auto" w:sz="4" w:space="0"/>
              <w:left w:val="single" w:color="auto" w:sz="4" w:space="0"/>
              <w:bottom w:val="single" w:color="auto" w:sz="4" w:space="0"/>
              <w:right w:val="single" w:color="auto" w:sz="4" w:space="0"/>
            </w:tcBorders>
            <w:vAlign w:val="center"/>
          </w:tcPr>
          <w:p w14:paraId="4312032B">
            <w:pPr>
              <w:jc w:val="center"/>
              <w:rPr>
                <w:szCs w:val="24"/>
              </w:rPr>
            </w:pPr>
            <w:r>
              <w:t>1.1</w:t>
            </w:r>
          </w:p>
        </w:tc>
        <w:tc>
          <w:tcPr>
            <w:tcW w:w="1356" w:type="dxa"/>
            <w:gridSpan w:val="2"/>
            <w:vMerge w:val="restart"/>
            <w:tcBorders>
              <w:top w:val="single" w:color="auto" w:sz="4" w:space="0"/>
              <w:left w:val="single" w:color="auto" w:sz="4" w:space="0"/>
              <w:bottom w:val="single" w:color="auto" w:sz="4" w:space="0"/>
              <w:right w:val="single" w:color="auto" w:sz="4" w:space="0"/>
            </w:tcBorders>
            <w:vAlign w:val="center"/>
          </w:tcPr>
          <w:p w14:paraId="61A11EC1">
            <w:pPr>
              <w:jc w:val="center"/>
              <w:rPr>
                <w:rFonts w:hint="default" w:eastAsia="宋体"/>
                <w:szCs w:val="24"/>
                <w:lang w:val="en-US" w:eastAsia="zh-CN"/>
              </w:rPr>
            </w:pPr>
            <w:r>
              <w:rPr>
                <w:rFonts w:hint="eastAsia" w:ascii="宋体" w:hAnsi="宋体"/>
                <w:szCs w:val="21"/>
                <w:lang w:val="en-US" w:eastAsia="zh-CN"/>
              </w:rPr>
              <w:t>符合性评审</w:t>
            </w:r>
          </w:p>
        </w:tc>
        <w:tc>
          <w:tcPr>
            <w:tcW w:w="1697" w:type="dxa"/>
            <w:tcBorders>
              <w:top w:val="single" w:color="auto" w:sz="4" w:space="0"/>
              <w:left w:val="single" w:color="auto" w:sz="4" w:space="0"/>
              <w:bottom w:val="single" w:color="auto" w:sz="4" w:space="0"/>
              <w:right w:val="single" w:color="auto" w:sz="4" w:space="0"/>
            </w:tcBorders>
          </w:tcPr>
          <w:p w14:paraId="20C531F6">
            <w:pPr>
              <w:spacing w:line="360" w:lineRule="auto"/>
              <w:rPr>
                <w:szCs w:val="24"/>
              </w:rPr>
            </w:pPr>
            <w:r>
              <w:rPr>
                <w:rFonts w:hint="eastAsia" w:ascii="宋体" w:hAnsi="宋体"/>
                <w:szCs w:val="21"/>
                <w:lang w:eastAsia="zh-CN"/>
              </w:rPr>
              <w:t>供应商</w:t>
            </w:r>
            <w:r>
              <w:rPr>
                <w:rFonts w:hint="eastAsia" w:ascii="宋体" w:hAnsi="宋体"/>
                <w:szCs w:val="21"/>
              </w:rPr>
              <w:t>名称</w:t>
            </w:r>
          </w:p>
        </w:tc>
        <w:tc>
          <w:tcPr>
            <w:tcW w:w="6090" w:type="dxa"/>
            <w:tcBorders>
              <w:top w:val="single" w:color="auto" w:sz="4" w:space="0"/>
              <w:left w:val="single" w:color="auto" w:sz="4" w:space="0"/>
              <w:bottom w:val="single" w:color="auto" w:sz="4" w:space="0"/>
              <w:right w:val="single" w:color="auto" w:sz="4" w:space="0"/>
            </w:tcBorders>
          </w:tcPr>
          <w:p w14:paraId="54830C17">
            <w:pPr>
              <w:spacing w:line="360" w:lineRule="auto"/>
              <w:rPr>
                <w:szCs w:val="24"/>
              </w:rPr>
            </w:pPr>
            <w:r>
              <w:rPr>
                <w:rFonts w:hint="eastAsia" w:ascii="宋体" w:hAnsi="宋体"/>
                <w:szCs w:val="21"/>
              </w:rPr>
              <w:t>与营业执照一致</w:t>
            </w:r>
          </w:p>
        </w:tc>
      </w:tr>
      <w:tr w14:paraId="5249B8D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ins w:id="2" w:author="三闲" w:date="2024-07-09T09:57:18Z"/>
        </w:trPr>
        <w:tc>
          <w:tcPr>
            <w:tcW w:w="720" w:type="dxa"/>
            <w:vMerge w:val="continue"/>
            <w:tcBorders>
              <w:left w:val="single" w:color="auto" w:sz="4" w:space="0"/>
              <w:right w:val="single" w:color="auto" w:sz="4" w:space="0"/>
            </w:tcBorders>
            <w:vAlign w:val="center"/>
          </w:tcPr>
          <w:p w14:paraId="3E877D37">
            <w:pPr>
              <w:jc w:val="center"/>
              <w:rPr>
                <w:ins w:id="3" w:author="三闲" w:date="2024-07-09T09:57:18Z"/>
              </w:rPr>
            </w:pPr>
          </w:p>
        </w:tc>
        <w:tc>
          <w:tcPr>
            <w:tcW w:w="1356" w:type="dxa"/>
            <w:gridSpan w:val="2"/>
            <w:vMerge w:val="continue"/>
            <w:tcBorders>
              <w:left w:val="single" w:color="auto" w:sz="4" w:space="0"/>
              <w:right w:val="single" w:color="auto" w:sz="4" w:space="0"/>
            </w:tcBorders>
            <w:vAlign w:val="center"/>
          </w:tcPr>
          <w:p w14:paraId="2E4A64D8">
            <w:pPr>
              <w:jc w:val="center"/>
              <w:rPr>
                <w:rFonts w:hint="default" w:ascii="宋体" w:hAnsi="宋体"/>
                <w:szCs w:val="21"/>
                <w:lang w:val="en-US"/>
              </w:rPr>
            </w:pPr>
          </w:p>
        </w:tc>
        <w:tc>
          <w:tcPr>
            <w:tcW w:w="1697" w:type="dxa"/>
            <w:tcBorders>
              <w:top w:val="single" w:color="auto" w:sz="4" w:space="0"/>
              <w:left w:val="single" w:color="auto" w:sz="4" w:space="0"/>
              <w:bottom w:val="single" w:color="auto" w:sz="4" w:space="0"/>
              <w:right w:val="single" w:color="auto" w:sz="4" w:space="0"/>
            </w:tcBorders>
            <w:vAlign w:val="top"/>
          </w:tcPr>
          <w:p w14:paraId="529AC66B">
            <w:pPr>
              <w:spacing w:line="360" w:lineRule="auto"/>
              <w:rPr>
                <w:rFonts w:hint="eastAsia" w:ascii="宋体" w:hAnsi="宋体"/>
                <w:szCs w:val="21"/>
                <w:lang w:eastAsia="zh-CN"/>
              </w:rPr>
            </w:pPr>
            <w:r>
              <w:rPr>
                <w:rFonts w:hint="eastAsia" w:ascii="宋体" w:hAnsi="宋体"/>
                <w:szCs w:val="21"/>
              </w:rPr>
              <w:t>投标内容</w:t>
            </w:r>
          </w:p>
        </w:tc>
        <w:tc>
          <w:tcPr>
            <w:tcW w:w="6090" w:type="dxa"/>
            <w:tcBorders>
              <w:top w:val="single" w:color="auto" w:sz="4" w:space="0"/>
              <w:left w:val="single" w:color="auto" w:sz="4" w:space="0"/>
              <w:bottom w:val="single" w:color="auto" w:sz="4" w:space="0"/>
              <w:right w:val="single" w:color="auto" w:sz="4" w:space="0"/>
            </w:tcBorders>
            <w:vAlign w:val="top"/>
          </w:tcPr>
          <w:p w14:paraId="679A8253">
            <w:pPr>
              <w:spacing w:line="360" w:lineRule="auto"/>
              <w:rPr>
                <w:rFonts w:hint="default" w:ascii="宋体" w:hAnsi="宋体" w:eastAsia="宋体"/>
                <w:szCs w:val="21"/>
                <w:lang w:val="en-US" w:eastAsia="zh-CN"/>
              </w:rPr>
            </w:pPr>
            <w:r>
              <w:rPr>
                <w:rFonts w:hint="eastAsia" w:ascii="宋体" w:hAnsi="宋体"/>
                <w:szCs w:val="21"/>
                <w:lang w:val="en-US" w:eastAsia="zh-CN"/>
              </w:rPr>
              <w:t>符合招标文件要求</w:t>
            </w:r>
          </w:p>
        </w:tc>
      </w:tr>
      <w:tr w14:paraId="0D37121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ins w:id="4" w:author="三闲" w:date="2024-07-09T09:57:15Z"/>
        </w:trPr>
        <w:tc>
          <w:tcPr>
            <w:tcW w:w="720" w:type="dxa"/>
            <w:vMerge w:val="continue"/>
            <w:tcBorders>
              <w:left w:val="single" w:color="auto" w:sz="4" w:space="0"/>
              <w:right w:val="single" w:color="auto" w:sz="4" w:space="0"/>
            </w:tcBorders>
            <w:vAlign w:val="center"/>
          </w:tcPr>
          <w:p w14:paraId="64FB07B1">
            <w:pPr>
              <w:jc w:val="center"/>
              <w:rPr>
                <w:ins w:id="5" w:author="三闲" w:date="2024-07-09T09:57:15Z"/>
              </w:rPr>
            </w:pPr>
          </w:p>
        </w:tc>
        <w:tc>
          <w:tcPr>
            <w:tcW w:w="1356" w:type="dxa"/>
            <w:gridSpan w:val="2"/>
            <w:vMerge w:val="continue"/>
            <w:tcBorders>
              <w:left w:val="single" w:color="auto" w:sz="4" w:space="0"/>
              <w:right w:val="single" w:color="auto" w:sz="4" w:space="0"/>
            </w:tcBorders>
            <w:vAlign w:val="center"/>
          </w:tcPr>
          <w:p w14:paraId="0FE6600D">
            <w:pPr>
              <w:jc w:val="center"/>
              <w:rPr>
                <w:rFonts w:hint="default" w:ascii="宋体" w:hAnsi="宋体"/>
                <w:szCs w:val="21"/>
                <w:lang w:val="en-US"/>
              </w:rPr>
            </w:pPr>
          </w:p>
        </w:tc>
        <w:tc>
          <w:tcPr>
            <w:tcW w:w="1697" w:type="dxa"/>
            <w:tcBorders>
              <w:top w:val="single" w:color="auto" w:sz="4" w:space="0"/>
              <w:left w:val="single" w:color="auto" w:sz="4" w:space="0"/>
              <w:bottom w:val="single" w:color="auto" w:sz="4" w:space="0"/>
              <w:right w:val="single" w:color="auto" w:sz="4" w:space="0"/>
            </w:tcBorders>
            <w:vAlign w:val="top"/>
          </w:tcPr>
          <w:p w14:paraId="01AE349D">
            <w:pPr>
              <w:spacing w:line="360" w:lineRule="auto"/>
              <w:rPr>
                <w:rFonts w:hint="eastAsia" w:ascii="宋体" w:hAnsi="宋体"/>
                <w:szCs w:val="21"/>
                <w:lang w:eastAsia="zh-CN"/>
              </w:rPr>
            </w:pPr>
            <w:r>
              <w:rPr>
                <w:rFonts w:hint="eastAsia" w:ascii="宋体" w:hAnsi="宋体"/>
                <w:szCs w:val="21"/>
                <w:lang w:eastAsia="zh-CN"/>
              </w:rPr>
              <w:t>交货时间</w:t>
            </w:r>
          </w:p>
        </w:tc>
        <w:tc>
          <w:tcPr>
            <w:tcW w:w="6090" w:type="dxa"/>
            <w:tcBorders>
              <w:top w:val="single" w:color="auto" w:sz="4" w:space="0"/>
              <w:left w:val="single" w:color="auto" w:sz="4" w:space="0"/>
              <w:bottom w:val="single" w:color="auto" w:sz="4" w:space="0"/>
              <w:right w:val="single" w:color="auto" w:sz="4" w:space="0"/>
            </w:tcBorders>
            <w:vAlign w:val="top"/>
          </w:tcPr>
          <w:p w14:paraId="14B2A376">
            <w:pPr>
              <w:spacing w:line="360" w:lineRule="auto"/>
              <w:rPr>
                <w:rFonts w:hint="eastAsia" w:ascii="宋体" w:hAnsi="宋体"/>
                <w:szCs w:val="21"/>
              </w:rPr>
            </w:pPr>
            <w:r>
              <w:rPr>
                <w:rFonts w:hint="eastAsia" w:ascii="宋体" w:hAnsi="宋体"/>
                <w:szCs w:val="21"/>
                <w:lang w:val="en-US" w:eastAsia="zh-CN"/>
              </w:rPr>
              <w:t>符合招标文件要求</w:t>
            </w:r>
          </w:p>
        </w:tc>
      </w:tr>
      <w:tr w14:paraId="685BE83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ins w:id="6" w:author="三闲" w:date="2024-07-09T09:57:12Z"/>
        </w:trPr>
        <w:tc>
          <w:tcPr>
            <w:tcW w:w="720" w:type="dxa"/>
            <w:vMerge w:val="continue"/>
            <w:tcBorders>
              <w:left w:val="single" w:color="auto" w:sz="4" w:space="0"/>
              <w:right w:val="single" w:color="auto" w:sz="4" w:space="0"/>
            </w:tcBorders>
            <w:vAlign w:val="center"/>
          </w:tcPr>
          <w:p w14:paraId="7D7B5B57">
            <w:pPr>
              <w:jc w:val="center"/>
              <w:rPr>
                <w:ins w:id="7" w:author="三闲" w:date="2024-07-09T09:57:12Z"/>
              </w:rPr>
            </w:pPr>
          </w:p>
        </w:tc>
        <w:tc>
          <w:tcPr>
            <w:tcW w:w="1356" w:type="dxa"/>
            <w:gridSpan w:val="2"/>
            <w:vMerge w:val="continue"/>
            <w:tcBorders>
              <w:left w:val="single" w:color="auto" w:sz="4" w:space="0"/>
              <w:right w:val="single" w:color="auto" w:sz="4" w:space="0"/>
            </w:tcBorders>
            <w:vAlign w:val="center"/>
          </w:tcPr>
          <w:p w14:paraId="032C540C">
            <w:pPr>
              <w:jc w:val="center"/>
              <w:rPr>
                <w:rFonts w:hint="default" w:ascii="宋体" w:hAnsi="宋体"/>
                <w:szCs w:val="21"/>
                <w:lang w:val="en-US"/>
              </w:rPr>
            </w:pPr>
          </w:p>
        </w:tc>
        <w:tc>
          <w:tcPr>
            <w:tcW w:w="1697" w:type="dxa"/>
            <w:tcBorders>
              <w:top w:val="single" w:color="auto" w:sz="4" w:space="0"/>
              <w:left w:val="single" w:color="auto" w:sz="4" w:space="0"/>
              <w:bottom w:val="single" w:color="auto" w:sz="4" w:space="0"/>
              <w:right w:val="single" w:color="auto" w:sz="4" w:space="0"/>
            </w:tcBorders>
            <w:vAlign w:val="top"/>
          </w:tcPr>
          <w:p w14:paraId="61C3C86C">
            <w:pPr>
              <w:spacing w:line="360" w:lineRule="auto"/>
              <w:rPr>
                <w:rFonts w:hint="eastAsia" w:ascii="宋体" w:hAnsi="宋体"/>
                <w:szCs w:val="21"/>
                <w:lang w:eastAsia="zh-CN"/>
              </w:rPr>
            </w:pPr>
            <w:r>
              <w:rPr>
                <w:rFonts w:hint="eastAsia" w:ascii="宋体" w:hAnsi="宋体"/>
                <w:szCs w:val="21"/>
              </w:rPr>
              <w:t>投标有效期</w:t>
            </w:r>
          </w:p>
        </w:tc>
        <w:tc>
          <w:tcPr>
            <w:tcW w:w="6090" w:type="dxa"/>
            <w:tcBorders>
              <w:top w:val="single" w:color="auto" w:sz="4" w:space="0"/>
              <w:left w:val="single" w:color="auto" w:sz="4" w:space="0"/>
              <w:bottom w:val="single" w:color="auto" w:sz="4" w:space="0"/>
              <w:right w:val="single" w:color="auto" w:sz="4" w:space="0"/>
            </w:tcBorders>
            <w:vAlign w:val="top"/>
          </w:tcPr>
          <w:p w14:paraId="729DEDAE">
            <w:pPr>
              <w:spacing w:line="360" w:lineRule="auto"/>
              <w:rPr>
                <w:rFonts w:hint="eastAsia" w:ascii="宋体" w:hAnsi="宋体"/>
                <w:szCs w:val="21"/>
              </w:rPr>
            </w:pPr>
            <w:r>
              <w:rPr>
                <w:rFonts w:hint="eastAsia" w:ascii="宋体" w:hAnsi="宋体"/>
                <w:szCs w:val="21"/>
                <w:lang w:val="en-US" w:eastAsia="zh-CN"/>
              </w:rPr>
              <w:t>符合招标文件要求</w:t>
            </w:r>
          </w:p>
        </w:tc>
      </w:tr>
      <w:tr w14:paraId="1F42051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14:paraId="74A223C1">
            <w:pPr>
              <w:widowControl/>
              <w:jc w:val="left"/>
              <w:rPr>
                <w:szCs w:val="24"/>
              </w:rPr>
            </w:pPr>
          </w:p>
        </w:tc>
        <w:tc>
          <w:tcPr>
            <w:tcW w:w="1356" w:type="dxa"/>
            <w:gridSpan w:val="2"/>
            <w:vMerge w:val="continue"/>
            <w:tcBorders>
              <w:top w:val="single" w:color="auto" w:sz="4" w:space="0"/>
              <w:left w:val="single" w:color="auto" w:sz="4" w:space="0"/>
              <w:bottom w:val="single" w:color="auto" w:sz="4" w:space="0"/>
              <w:right w:val="single" w:color="auto" w:sz="4" w:space="0"/>
            </w:tcBorders>
            <w:vAlign w:val="center"/>
          </w:tcPr>
          <w:p w14:paraId="4A953FD4">
            <w:pPr>
              <w:widowControl/>
              <w:jc w:val="left"/>
              <w:rPr>
                <w:szCs w:val="24"/>
              </w:rPr>
            </w:pPr>
          </w:p>
        </w:tc>
        <w:tc>
          <w:tcPr>
            <w:tcW w:w="1697" w:type="dxa"/>
            <w:tcBorders>
              <w:top w:val="single" w:color="auto" w:sz="4" w:space="0"/>
              <w:left w:val="single" w:color="auto" w:sz="4" w:space="0"/>
              <w:bottom w:val="single" w:color="auto" w:sz="4" w:space="0"/>
              <w:right w:val="single" w:color="auto" w:sz="4" w:space="0"/>
            </w:tcBorders>
          </w:tcPr>
          <w:p w14:paraId="0F52EC92">
            <w:pPr>
              <w:spacing w:line="360" w:lineRule="auto"/>
              <w:rPr>
                <w:szCs w:val="24"/>
              </w:rPr>
            </w:pPr>
            <w:r>
              <w:rPr>
                <w:rFonts w:hint="eastAsia" w:ascii="宋体" w:hAnsi="宋体"/>
                <w:szCs w:val="21"/>
              </w:rPr>
              <w:t>投标承诺函签字盖章</w:t>
            </w:r>
          </w:p>
        </w:tc>
        <w:tc>
          <w:tcPr>
            <w:tcW w:w="6090" w:type="dxa"/>
            <w:tcBorders>
              <w:top w:val="single" w:color="auto" w:sz="4" w:space="0"/>
              <w:left w:val="single" w:color="auto" w:sz="4" w:space="0"/>
              <w:bottom w:val="single" w:color="auto" w:sz="4" w:space="0"/>
              <w:right w:val="single" w:color="auto" w:sz="4" w:space="0"/>
            </w:tcBorders>
          </w:tcPr>
          <w:p w14:paraId="1E3689B9">
            <w:pPr>
              <w:spacing w:line="360" w:lineRule="auto"/>
              <w:jc w:val="left"/>
              <w:rPr>
                <w:szCs w:val="24"/>
              </w:rPr>
            </w:pPr>
            <w:r>
              <w:rPr>
                <w:rFonts w:hint="eastAsia" w:ascii="宋体" w:hAnsi="宋体"/>
                <w:szCs w:val="21"/>
                <w:lang w:val="en-US" w:eastAsia="zh-CN"/>
              </w:rPr>
              <w:t>符合招标文件要求</w:t>
            </w:r>
          </w:p>
        </w:tc>
      </w:tr>
      <w:tr w14:paraId="2346B55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14:paraId="3B73B105">
            <w:pPr>
              <w:widowControl/>
              <w:jc w:val="left"/>
              <w:rPr>
                <w:szCs w:val="24"/>
              </w:rPr>
            </w:pPr>
          </w:p>
        </w:tc>
        <w:tc>
          <w:tcPr>
            <w:tcW w:w="1356" w:type="dxa"/>
            <w:gridSpan w:val="2"/>
            <w:vMerge w:val="continue"/>
            <w:tcBorders>
              <w:top w:val="single" w:color="auto" w:sz="4" w:space="0"/>
              <w:left w:val="single" w:color="auto" w:sz="4" w:space="0"/>
              <w:bottom w:val="single" w:color="auto" w:sz="4" w:space="0"/>
              <w:right w:val="single" w:color="auto" w:sz="4" w:space="0"/>
            </w:tcBorders>
            <w:vAlign w:val="center"/>
          </w:tcPr>
          <w:p w14:paraId="056B7A6C">
            <w:pPr>
              <w:widowControl/>
              <w:jc w:val="left"/>
              <w:rPr>
                <w:szCs w:val="24"/>
              </w:rPr>
            </w:pPr>
          </w:p>
        </w:tc>
        <w:tc>
          <w:tcPr>
            <w:tcW w:w="1697" w:type="dxa"/>
            <w:tcBorders>
              <w:top w:val="single" w:color="auto" w:sz="4" w:space="0"/>
              <w:left w:val="single" w:color="auto" w:sz="4" w:space="0"/>
              <w:bottom w:val="single" w:color="auto" w:sz="4" w:space="0"/>
              <w:right w:val="single" w:color="auto" w:sz="4" w:space="0"/>
            </w:tcBorders>
          </w:tcPr>
          <w:p w14:paraId="359DFE4E">
            <w:pPr>
              <w:spacing w:line="360" w:lineRule="auto"/>
              <w:rPr>
                <w:szCs w:val="24"/>
              </w:rPr>
            </w:pPr>
            <w:r>
              <w:rPr>
                <w:rFonts w:hint="eastAsia" w:ascii="宋体" w:hAnsi="宋体"/>
                <w:szCs w:val="21"/>
              </w:rPr>
              <w:t>报价唯一</w:t>
            </w:r>
          </w:p>
        </w:tc>
        <w:tc>
          <w:tcPr>
            <w:tcW w:w="6090" w:type="dxa"/>
            <w:tcBorders>
              <w:top w:val="single" w:color="auto" w:sz="4" w:space="0"/>
              <w:left w:val="single" w:color="auto" w:sz="4" w:space="0"/>
              <w:bottom w:val="single" w:color="auto" w:sz="4" w:space="0"/>
              <w:right w:val="single" w:color="auto" w:sz="4" w:space="0"/>
            </w:tcBorders>
          </w:tcPr>
          <w:p w14:paraId="487C0B60">
            <w:pPr>
              <w:spacing w:line="360" w:lineRule="auto"/>
              <w:rPr>
                <w:szCs w:val="24"/>
              </w:rPr>
            </w:pPr>
            <w:r>
              <w:rPr>
                <w:rFonts w:hint="eastAsia" w:ascii="宋体" w:hAnsi="宋体"/>
                <w:szCs w:val="21"/>
              </w:rPr>
              <w:t>只能有一个有效报价</w:t>
            </w:r>
          </w:p>
        </w:tc>
      </w:tr>
      <w:tr w14:paraId="3F0685F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vMerge w:val="restart"/>
            <w:tcBorders>
              <w:top w:val="single" w:color="auto" w:sz="4" w:space="0"/>
              <w:left w:val="single" w:color="auto" w:sz="4" w:space="0"/>
              <w:bottom w:val="single" w:color="auto" w:sz="4" w:space="0"/>
              <w:right w:val="single" w:color="auto" w:sz="4" w:space="0"/>
            </w:tcBorders>
            <w:vAlign w:val="center"/>
          </w:tcPr>
          <w:p w14:paraId="1CAF17D9">
            <w:pPr>
              <w:jc w:val="center"/>
              <w:rPr>
                <w:szCs w:val="24"/>
              </w:rPr>
            </w:pPr>
            <w:r>
              <w:t>1.2</w:t>
            </w:r>
          </w:p>
        </w:tc>
        <w:tc>
          <w:tcPr>
            <w:tcW w:w="1356" w:type="dxa"/>
            <w:gridSpan w:val="2"/>
            <w:vMerge w:val="restart"/>
            <w:tcBorders>
              <w:top w:val="single" w:color="auto" w:sz="4" w:space="0"/>
              <w:left w:val="single" w:color="auto" w:sz="4" w:space="0"/>
              <w:bottom w:val="single" w:color="auto" w:sz="4" w:space="0"/>
              <w:right w:val="single" w:color="auto" w:sz="4" w:space="0"/>
            </w:tcBorders>
            <w:vAlign w:val="center"/>
          </w:tcPr>
          <w:p w14:paraId="3ED9B99E">
            <w:pPr>
              <w:spacing w:line="360" w:lineRule="auto"/>
              <w:rPr>
                <w:rFonts w:ascii="宋体" w:hAnsi="宋体"/>
                <w:szCs w:val="21"/>
              </w:rPr>
            </w:pPr>
            <w:r>
              <w:rPr>
                <w:rFonts w:hint="eastAsia" w:ascii="宋体" w:hAnsi="宋体"/>
                <w:szCs w:val="21"/>
              </w:rPr>
              <w:t>资格评审标准</w:t>
            </w:r>
          </w:p>
          <w:p w14:paraId="4AB01E23">
            <w:pPr>
              <w:jc w:val="center"/>
              <w:rPr>
                <w:szCs w:val="24"/>
              </w:rPr>
            </w:pPr>
          </w:p>
        </w:tc>
        <w:tc>
          <w:tcPr>
            <w:tcW w:w="1697" w:type="dxa"/>
            <w:tcBorders>
              <w:top w:val="single" w:color="auto" w:sz="4" w:space="0"/>
              <w:left w:val="single" w:color="auto" w:sz="4" w:space="0"/>
              <w:bottom w:val="single" w:color="auto" w:sz="4" w:space="0"/>
              <w:right w:val="single" w:color="auto" w:sz="4" w:space="0"/>
            </w:tcBorders>
          </w:tcPr>
          <w:p w14:paraId="3D11446F">
            <w:pPr>
              <w:spacing w:line="360" w:lineRule="auto"/>
              <w:rPr>
                <w:rFonts w:ascii="宋体" w:hAnsi="宋体"/>
                <w:szCs w:val="21"/>
              </w:rPr>
            </w:pPr>
            <w:r>
              <w:rPr>
                <w:rFonts w:hint="eastAsia" w:ascii="宋体" w:hAnsi="宋体"/>
                <w:szCs w:val="21"/>
              </w:rPr>
              <w:t>营业执照</w:t>
            </w:r>
          </w:p>
        </w:tc>
        <w:tc>
          <w:tcPr>
            <w:tcW w:w="6090" w:type="dxa"/>
            <w:tcBorders>
              <w:top w:val="single" w:color="auto" w:sz="4" w:space="0"/>
              <w:left w:val="single" w:color="auto" w:sz="4" w:space="0"/>
              <w:bottom w:val="single" w:color="auto" w:sz="4" w:space="0"/>
              <w:right w:val="single" w:color="auto" w:sz="4" w:space="0"/>
            </w:tcBorders>
          </w:tcPr>
          <w:p w14:paraId="7BFEEF2E">
            <w:pPr>
              <w:spacing w:line="360" w:lineRule="auto"/>
              <w:rPr>
                <w:szCs w:val="24"/>
              </w:rPr>
            </w:pPr>
            <w:r>
              <w:rPr>
                <w:rFonts w:hint="eastAsia" w:ascii="宋体" w:hAnsi="宋体"/>
                <w:szCs w:val="21"/>
              </w:rPr>
              <w:t>具备有效的营业执照</w:t>
            </w:r>
          </w:p>
        </w:tc>
      </w:tr>
      <w:tr w14:paraId="2E8BB82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14:paraId="0D9B058E">
            <w:pPr>
              <w:widowControl/>
              <w:jc w:val="left"/>
              <w:rPr>
                <w:szCs w:val="24"/>
              </w:rPr>
            </w:pPr>
          </w:p>
        </w:tc>
        <w:tc>
          <w:tcPr>
            <w:tcW w:w="1356" w:type="dxa"/>
            <w:gridSpan w:val="2"/>
            <w:vMerge w:val="continue"/>
            <w:tcBorders>
              <w:top w:val="single" w:color="auto" w:sz="4" w:space="0"/>
              <w:left w:val="single" w:color="auto" w:sz="4" w:space="0"/>
              <w:bottom w:val="single" w:color="auto" w:sz="4" w:space="0"/>
              <w:right w:val="single" w:color="auto" w:sz="4" w:space="0"/>
            </w:tcBorders>
            <w:vAlign w:val="center"/>
          </w:tcPr>
          <w:p w14:paraId="4010C0D7">
            <w:pPr>
              <w:widowControl/>
              <w:jc w:val="left"/>
              <w:rPr>
                <w:szCs w:val="24"/>
              </w:rPr>
            </w:pPr>
          </w:p>
        </w:tc>
        <w:tc>
          <w:tcPr>
            <w:tcW w:w="1697" w:type="dxa"/>
            <w:tcBorders>
              <w:top w:val="single" w:color="auto" w:sz="4" w:space="0"/>
              <w:left w:val="single" w:color="auto" w:sz="4" w:space="0"/>
              <w:bottom w:val="single" w:color="auto" w:sz="4" w:space="0"/>
              <w:right w:val="single" w:color="auto" w:sz="4" w:space="0"/>
            </w:tcBorders>
          </w:tcPr>
          <w:p w14:paraId="2F08E0CE">
            <w:pPr>
              <w:spacing w:line="360" w:lineRule="auto"/>
              <w:rPr>
                <w:rFonts w:ascii="宋体" w:hAnsi="宋体"/>
                <w:szCs w:val="21"/>
              </w:rPr>
            </w:pPr>
            <w:r>
              <w:rPr>
                <w:rFonts w:hint="eastAsia" w:ascii="宋体" w:hAnsi="宋体"/>
                <w:szCs w:val="21"/>
              </w:rPr>
              <w:t>财务状况</w:t>
            </w:r>
          </w:p>
        </w:tc>
        <w:tc>
          <w:tcPr>
            <w:tcW w:w="6090" w:type="dxa"/>
            <w:tcBorders>
              <w:top w:val="single" w:color="auto" w:sz="4" w:space="0"/>
              <w:left w:val="single" w:color="auto" w:sz="4" w:space="0"/>
              <w:bottom w:val="single" w:color="auto" w:sz="4" w:space="0"/>
              <w:right w:val="single" w:color="auto" w:sz="4" w:space="0"/>
            </w:tcBorders>
          </w:tcPr>
          <w:p w14:paraId="5D7DA678">
            <w:pPr>
              <w:spacing w:line="360" w:lineRule="auto"/>
              <w:rPr>
                <w:szCs w:val="24"/>
              </w:rPr>
            </w:pPr>
            <w:r>
              <w:rPr>
                <w:rFonts w:hint="eastAsia" w:ascii="宋体" w:hAnsi="宋体"/>
                <w:szCs w:val="21"/>
                <w:lang w:val="en-US" w:eastAsia="zh-CN"/>
              </w:rPr>
              <w:t>符合招标文件要求</w:t>
            </w:r>
          </w:p>
        </w:tc>
      </w:tr>
      <w:tr w14:paraId="59D0390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14:paraId="257C7E24">
            <w:pPr>
              <w:widowControl/>
              <w:jc w:val="left"/>
              <w:rPr>
                <w:szCs w:val="24"/>
              </w:rPr>
            </w:pPr>
          </w:p>
        </w:tc>
        <w:tc>
          <w:tcPr>
            <w:tcW w:w="1356" w:type="dxa"/>
            <w:gridSpan w:val="2"/>
            <w:vMerge w:val="continue"/>
            <w:tcBorders>
              <w:top w:val="single" w:color="auto" w:sz="4" w:space="0"/>
              <w:left w:val="single" w:color="auto" w:sz="4" w:space="0"/>
              <w:bottom w:val="single" w:color="auto" w:sz="4" w:space="0"/>
              <w:right w:val="single" w:color="auto" w:sz="4" w:space="0"/>
            </w:tcBorders>
            <w:vAlign w:val="center"/>
          </w:tcPr>
          <w:p w14:paraId="55591694">
            <w:pPr>
              <w:widowControl/>
              <w:jc w:val="left"/>
              <w:rPr>
                <w:szCs w:val="24"/>
              </w:rPr>
            </w:pPr>
          </w:p>
        </w:tc>
        <w:tc>
          <w:tcPr>
            <w:tcW w:w="1697" w:type="dxa"/>
            <w:tcBorders>
              <w:top w:val="single" w:color="auto" w:sz="4" w:space="0"/>
              <w:left w:val="single" w:color="auto" w:sz="4" w:space="0"/>
              <w:bottom w:val="single" w:color="auto" w:sz="4" w:space="0"/>
              <w:right w:val="single" w:color="auto" w:sz="4" w:space="0"/>
            </w:tcBorders>
          </w:tcPr>
          <w:p w14:paraId="692B83F8">
            <w:pPr>
              <w:spacing w:line="360" w:lineRule="auto"/>
              <w:rPr>
                <w:rFonts w:ascii="宋体" w:hAnsi="宋体"/>
                <w:szCs w:val="21"/>
              </w:rPr>
            </w:pPr>
            <w:r>
              <w:rPr>
                <w:rFonts w:hint="eastAsia" w:ascii="宋体" w:hAnsi="宋体"/>
                <w:szCs w:val="21"/>
              </w:rPr>
              <w:t>税收及社会保障资金</w:t>
            </w:r>
          </w:p>
        </w:tc>
        <w:tc>
          <w:tcPr>
            <w:tcW w:w="6090" w:type="dxa"/>
            <w:tcBorders>
              <w:top w:val="single" w:color="auto" w:sz="4" w:space="0"/>
              <w:left w:val="single" w:color="auto" w:sz="4" w:space="0"/>
              <w:bottom w:val="single" w:color="auto" w:sz="4" w:space="0"/>
              <w:right w:val="single" w:color="auto" w:sz="4" w:space="0"/>
            </w:tcBorders>
          </w:tcPr>
          <w:p w14:paraId="25C241A8">
            <w:pPr>
              <w:spacing w:line="360" w:lineRule="auto"/>
              <w:rPr>
                <w:rFonts w:ascii="宋体" w:hAnsi="宋体"/>
                <w:szCs w:val="21"/>
              </w:rPr>
            </w:pPr>
            <w:r>
              <w:rPr>
                <w:rFonts w:hint="eastAsia" w:ascii="宋体" w:hAnsi="宋体"/>
                <w:szCs w:val="21"/>
                <w:lang w:val="en-US" w:eastAsia="zh-CN"/>
              </w:rPr>
              <w:t>符合招标文件要求</w:t>
            </w:r>
          </w:p>
        </w:tc>
      </w:tr>
      <w:tr w14:paraId="78BA2E2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14:paraId="550BE221">
            <w:pPr>
              <w:widowControl/>
              <w:jc w:val="left"/>
              <w:rPr>
                <w:szCs w:val="24"/>
              </w:rPr>
            </w:pPr>
          </w:p>
        </w:tc>
        <w:tc>
          <w:tcPr>
            <w:tcW w:w="1356" w:type="dxa"/>
            <w:gridSpan w:val="2"/>
            <w:vMerge w:val="continue"/>
            <w:tcBorders>
              <w:top w:val="single" w:color="auto" w:sz="4" w:space="0"/>
              <w:left w:val="single" w:color="auto" w:sz="4" w:space="0"/>
              <w:bottom w:val="single" w:color="auto" w:sz="4" w:space="0"/>
              <w:right w:val="single" w:color="auto" w:sz="4" w:space="0"/>
            </w:tcBorders>
            <w:vAlign w:val="center"/>
          </w:tcPr>
          <w:p w14:paraId="693FD242">
            <w:pPr>
              <w:widowControl/>
              <w:jc w:val="left"/>
              <w:rPr>
                <w:szCs w:val="24"/>
              </w:rPr>
            </w:pPr>
          </w:p>
        </w:tc>
        <w:tc>
          <w:tcPr>
            <w:tcW w:w="1697" w:type="dxa"/>
            <w:tcBorders>
              <w:top w:val="single" w:color="auto" w:sz="4" w:space="0"/>
              <w:left w:val="single" w:color="auto" w:sz="4" w:space="0"/>
              <w:bottom w:val="single" w:color="auto" w:sz="4" w:space="0"/>
              <w:right w:val="single" w:color="auto" w:sz="4" w:space="0"/>
            </w:tcBorders>
          </w:tcPr>
          <w:p w14:paraId="10DADEB2">
            <w:pPr>
              <w:spacing w:line="360" w:lineRule="auto"/>
              <w:rPr>
                <w:rFonts w:ascii="宋体" w:hAnsi="宋体"/>
                <w:szCs w:val="21"/>
              </w:rPr>
            </w:pPr>
            <w:r>
              <w:rPr>
                <w:rFonts w:hint="eastAsia" w:ascii="宋体" w:hAnsi="宋体"/>
                <w:szCs w:val="21"/>
              </w:rPr>
              <w:t>信用查询</w:t>
            </w:r>
          </w:p>
        </w:tc>
        <w:tc>
          <w:tcPr>
            <w:tcW w:w="6090" w:type="dxa"/>
            <w:tcBorders>
              <w:top w:val="single" w:color="auto" w:sz="4" w:space="0"/>
              <w:left w:val="single" w:color="auto" w:sz="4" w:space="0"/>
              <w:bottom w:val="single" w:color="auto" w:sz="4" w:space="0"/>
              <w:right w:val="single" w:color="auto" w:sz="4" w:space="0"/>
            </w:tcBorders>
          </w:tcPr>
          <w:p w14:paraId="3152AFEC">
            <w:pPr>
              <w:spacing w:line="360" w:lineRule="auto"/>
              <w:rPr>
                <w:szCs w:val="24"/>
              </w:rPr>
            </w:pPr>
            <w:r>
              <w:rPr>
                <w:rFonts w:hint="eastAsia" w:ascii="宋体" w:hAnsi="宋体"/>
                <w:szCs w:val="21"/>
                <w:lang w:val="en-US" w:eastAsia="zh-CN"/>
              </w:rPr>
              <w:t>符合招标文件要求</w:t>
            </w:r>
          </w:p>
        </w:tc>
      </w:tr>
      <w:tr w14:paraId="399C30D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14:paraId="000FBE51">
            <w:pPr>
              <w:widowControl/>
              <w:jc w:val="left"/>
              <w:rPr>
                <w:szCs w:val="24"/>
              </w:rPr>
            </w:pPr>
          </w:p>
        </w:tc>
        <w:tc>
          <w:tcPr>
            <w:tcW w:w="1356" w:type="dxa"/>
            <w:gridSpan w:val="2"/>
            <w:vMerge w:val="continue"/>
            <w:tcBorders>
              <w:top w:val="single" w:color="auto" w:sz="4" w:space="0"/>
              <w:left w:val="single" w:color="auto" w:sz="4" w:space="0"/>
              <w:bottom w:val="single" w:color="auto" w:sz="4" w:space="0"/>
              <w:right w:val="single" w:color="auto" w:sz="4" w:space="0"/>
            </w:tcBorders>
            <w:vAlign w:val="center"/>
          </w:tcPr>
          <w:p w14:paraId="6A01834B">
            <w:pPr>
              <w:widowControl/>
              <w:jc w:val="left"/>
              <w:rPr>
                <w:szCs w:val="24"/>
              </w:rPr>
            </w:pPr>
          </w:p>
        </w:tc>
        <w:tc>
          <w:tcPr>
            <w:tcW w:w="1697" w:type="dxa"/>
            <w:tcBorders>
              <w:top w:val="single" w:color="auto" w:sz="4" w:space="0"/>
              <w:left w:val="single" w:color="auto" w:sz="4" w:space="0"/>
              <w:bottom w:val="single" w:color="auto" w:sz="4" w:space="0"/>
              <w:right w:val="single" w:color="auto" w:sz="4" w:space="0"/>
            </w:tcBorders>
          </w:tcPr>
          <w:p w14:paraId="470ED551">
            <w:pPr>
              <w:spacing w:line="360" w:lineRule="auto"/>
              <w:rPr>
                <w:rFonts w:ascii="宋体" w:hAnsi="宋体"/>
                <w:szCs w:val="21"/>
              </w:rPr>
            </w:pPr>
            <w:r>
              <w:rPr>
                <w:rFonts w:hint="eastAsia" w:ascii="宋体" w:hAnsi="宋体"/>
                <w:szCs w:val="21"/>
              </w:rPr>
              <w:t>无重大违法记录</w:t>
            </w:r>
          </w:p>
        </w:tc>
        <w:tc>
          <w:tcPr>
            <w:tcW w:w="6090" w:type="dxa"/>
            <w:tcBorders>
              <w:top w:val="single" w:color="auto" w:sz="4" w:space="0"/>
              <w:left w:val="single" w:color="auto" w:sz="4" w:space="0"/>
              <w:bottom w:val="single" w:color="auto" w:sz="4" w:space="0"/>
              <w:right w:val="single" w:color="auto" w:sz="4" w:space="0"/>
            </w:tcBorders>
          </w:tcPr>
          <w:p w14:paraId="4D74D43A">
            <w:pPr>
              <w:spacing w:line="360" w:lineRule="auto"/>
              <w:rPr>
                <w:szCs w:val="24"/>
              </w:rPr>
            </w:pPr>
            <w:r>
              <w:rPr>
                <w:rFonts w:hint="eastAsia" w:ascii="宋体" w:hAnsi="宋体"/>
                <w:szCs w:val="21"/>
                <w:lang w:val="en-US" w:eastAsia="zh-CN"/>
              </w:rPr>
              <w:t>符合招标文件要求</w:t>
            </w:r>
          </w:p>
        </w:tc>
      </w:tr>
      <w:tr w14:paraId="01D68DA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14:paraId="3BC39D90">
            <w:pPr>
              <w:widowControl/>
              <w:jc w:val="left"/>
              <w:rPr>
                <w:szCs w:val="24"/>
              </w:rPr>
            </w:pPr>
          </w:p>
        </w:tc>
        <w:tc>
          <w:tcPr>
            <w:tcW w:w="1356" w:type="dxa"/>
            <w:gridSpan w:val="2"/>
            <w:vMerge w:val="continue"/>
            <w:tcBorders>
              <w:top w:val="single" w:color="auto" w:sz="4" w:space="0"/>
              <w:left w:val="single" w:color="auto" w:sz="4" w:space="0"/>
              <w:bottom w:val="single" w:color="auto" w:sz="4" w:space="0"/>
              <w:right w:val="single" w:color="auto" w:sz="4" w:space="0"/>
            </w:tcBorders>
            <w:vAlign w:val="center"/>
          </w:tcPr>
          <w:p w14:paraId="442036CA">
            <w:pPr>
              <w:widowControl/>
              <w:jc w:val="left"/>
              <w:rPr>
                <w:szCs w:val="24"/>
              </w:rPr>
            </w:pPr>
          </w:p>
        </w:tc>
        <w:tc>
          <w:tcPr>
            <w:tcW w:w="1697" w:type="dxa"/>
            <w:tcBorders>
              <w:top w:val="single" w:color="auto" w:sz="4" w:space="0"/>
              <w:left w:val="single" w:color="auto" w:sz="4" w:space="0"/>
              <w:bottom w:val="single" w:color="auto" w:sz="4" w:space="0"/>
              <w:right w:val="single" w:color="auto" w:sz="4" w:space="0"/>
            </w:tcBorders>
          </w:tcPr>
          <w:p w14:paraId="6C5ECE07">
            <w:pPr>
              <w:spacing w:line="360" w:lineRule="auto"/>
              <w:rPr>
                <w:rFonts w:ascii="宋体" w:hAnsi="宋体"/>
                <w:szCs w:val="21"/>
              </w:rPr>
            </w:pPr>
            <w:r>
              <w:rPr>
                <w:rFonts w:hint="eastAsia" w:ascii="宋体" w:hAnsi="宋体"/>
                <w:szCs w:val="21"/>
              </w:rPr>
              <w:t>履行合同的能力</w:t>
            </w:r>
          </w:p>
        </w:tc>
        <w:tc>
          <w:tcPr>
            <w:tcW w:w="6090" w:type="dxa"/>
            <w:tcBorders>
              <w:top w:val="single" w:color="auto" w:sz="4" w:space="0"/>
              <w:left w:val="single" w:color="auto" w:sz="4" w:space="0"/>
              <w:bottom w:val="single" w:color="auto" w:sz="4" w:space="0"/>
              <w:right w:val="single" w:color="auto" w:sz="4" w:space="0"/>
            </w:tcBorders>
          </w:tcPr>
          <w:p w14:paraId="5BEFC8BE">
            <w:pPr>
              <w:spacing w:line="360" w:lineRule="auto"/>
              <w:rPr>
                <w:rFonts w:ascii="宋体" w:hAnsi="宋体"/>
                <w:szCs w:val="21"/>
              </w:rPr>
            </w:pPr>
            <w:r>
              <w:rPr>
                <w:rFonts w:hint="eastAsia" w:ascii="宋体" w:hAnsi="宋体"/>
                <w:szCs w:val="21"/>
                <w:lang w:val="en-US" w:eastAsia="zh-CN"/>
              </w:rPr>
              <w:t>符合招标文件要求</w:t>
            </w:r>
          </w:p>
        </w:tc>
      </w:tr>
      <w:tr w14:paraId="4A6B12A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14:paraId="19C7B7FB">
            <w:pPr>
              <w:widowControl/>
              <w:jc w:val="left"/>
              <w:rPr>
                <w:szCs w:val="24"/>
              </w:rPr>
            </w:pPr>
          </w:p>
        </w:tc>
        <w:tc>
          <w:tcPr>
            <w:tcW w:w="1356" w:type="dxa"/>
            <w:gridSpan w:val="2"/>
            <w:vMerge w:val="continue"/>
            <w:tcBorders>
              <w:top w:val="single" w:color="auto" w:sz="4" w:space="0"/>
              <w:left w:val="single" w:color="auto" w:sz="4" w:space="0"/>
              <w:bottom w:val="single" w:color="auto" w:sz="4" w:space="0"/>
              <w:right w:val="single" w:color="auto" w:sz="4" w:space="0"/>
            </w:tcBorders>
            <w:vAlign w:val="center"/>
          </w:tcPr>
          <w:p w14:paraId="133B875C">
            <w:pPr>
              <w:widowControl/>
              <w:jc w:val="left"/>
              <w:rPr>
                <w:szCs w:val="24"/>
              </w:rPr>
            </w:pPr>
          </w:p>
        </w:tc>
        <w:tc>
          <w:tcPr>
            <w:tcW w:w="1697" w:type="dxa"/>
            <w:tcBorders>
              <w:top w:val="single" w:color="auto" w:sz="4" w:space="0"/>
              <w:left w:val="single" w:color="auto" w:sz="4" w:space="0"/>
              <w:bottom w:val="single" w:color="auto" w:sz="4" w:space="0"/>
              <w:right w:val="single" w:color="auto" w:sz="4" w:space="0"/>
            </w:tcBorders>
          </w:tcPr>
          <w:p w14:paraId="58120DDD">
            <w:pPr>
              <w:spacing w:line="360" w:lineRule="auto"/>
              <w:rPr>
                <w:rFonts w:hint="eastAsia" w:ascii="宋体" w:hAnsi="宋体" w:eastAsia="宋体"/>
                <w:szCs w:val="21"/>
                <w:lang w:eastAsia="zh-CN"/>
              </w:rPr>
            </w:pPr>
            <w:r>
              <w:rPr>
                <w:rFonts w:hint="eastAsia" w:ascii="宋体" w:hAnsi="宋体"/>
                <w:szCs w:val="21"/>
              </w:rPr>
              <w:t>联合体</w:t>
            </w:r>
            <w:r>
              <w:rPr>
                <w:rFonts w:hint="eastAsia" w:ascii="宋体" w:hAnsi="宋体"/>
                <w:szCs w:val="21"/>
                <w:lang w:eastAsia="zh-CN"/>
              </w:rPr>
              <w:t>供应商</w:t>
            </w:r>
          </w:p>
        </w:tc>
        <w:tc>
          <w:tcPr>
            <w:tcW w:w="6090" w:type="dxa"/>
            <w:tcBorders>
              <w:top w:val="single" w:color="auto" w:sz="4" w:space="0"/>
              <w:left w:val="single" w:color="auto" w:sz="4" w:space="0"/>
              <w:bottom w:val="single" w:color="auto" w:sz="4" w:space="0"/>
              <w:right w:val="single" w:color="auto" w:sz="4" w:space="0"/>
            </w:tcBorders>
          </w:tcPr>
          <w:p w14:paraId="114BF957">
            <w:pPr>
              <w:spacing w:line="360" w:lineRule="auto"/>
              <w:rPr>
                <w:szCs w:val="24"/>
              </w:rPr>
            </w:pPr>
            <w:r>
              <w:rPr>
                <w:rFonts w:hint="eastAsia" w:ascii="宋体" w:hAnsi="宋体"/>
                <w:szCs w:val="21"/>
                <w:lang w:val="en-US" w:eastAsia="zh-CN"/>
              </w:rPr>
              <w:t>符合招标文件要求</w:t>
            </w:r>
          </w:p>
        </w:tc>
      </w:tr>
      <w:tr w14:paraId="66ADEB6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863" w:type="dxa"/>
            <w:gridSpan w:val="5"/>
            <w:tcBorders>
              <w:top w:val="single" w:color="auto" w:sz="4" w:space="0"/>
              <w:left w:val="single" w:color="auto" w:sz="4" w:space="0"/>
              <w:bottom w:val="single" w:color="auto" w:sz="4" w:space="0"/>
              <w:right w:val="single" w:color="auto" w:sz="4" w:space="0"/>
            </w:tcBorders>
          </w:tcPr>
          <w:p w14:paraId="2E08B5B2">
            <w:pPr>
              <w:spacing w:line="360" w:lineRule="auto"/>
              <w:ind w:firstLine="420" w:firstLineChars="200"/>
              <w:rPr>
                <w:szCs w:val="24"/>
              </w:rPr>
            </w:pPr>
          </w:p>
        </w:tc>
      </w:tr>
      <w:tr w14:paraId="4CE361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076" w:type="dxa"/>
            <w:gridSpan w:val="3"/>
            <w:tcBorders>
              <w:top w:val="single" w:color="auto" w:sz="4" w:space="0"/>
              <w:left w:val="single" w:color="auto" w:sz="4" w:space="0"/>
              <w:bottom w:val="single" w:color="auto" w:sz="4" w:space="0"/>
              <w:right w:val="single" w:color="auto" w:sz="4" w:space="0"/>
            </w:tcBorders>
            <w:vAlign w:val="center"/>
          </w:tcPr>
          <w:p w14:paraId="37F68CEC">
            <w:pPr>
              <w:jc w:val="center"/>
              <w:rPr>
                <w:szCs w:val="24"/>
              </w:rPr>
            </w:pPr>
            <w:r>
              <w:rPr>
                <w:rFonts w:hint="eastAsia" w:ascii="宋体" w:hAnsi="宋体"/>
                <w:szCs w:val="21"/>
              </w:rPr>
              <w:t>条款号</w:t>
            </w:r>
          </w:p>
        </w:tc>
        <w:tc>
          <w:tcPr>
            <w:tcW w:w="1697" w:type="dxa"/>
            <w:tcBorders>
              <w:top w:val="single" w:color="auto" w:sz="4" w:space="0"/>
              <w:left w:val="single" w:color="auto" w:sz="4" w:space="0"/>
              <w:bottom w:val="single" w:color="auto" w:sz="4" w:space="0"/>
              <w:right w:val="single" w:color="auto" w:sz="4" w:space="0"/>
            </w:tcBorders>
          </w:tcPr>
          <w:p w14:paraId="254972B5">
            <w:pPr>
              <w:spacing w:line="360" w:lineRule="auto"/>
              <w:ind w:firstLine="420" w:firstLineChars="200"/>
              <w:rPr>
                <w:szCs w:val="24"/>
              </w:rPr>
            </w:pPr>
            <w:r>
              <w:rPr>
                <w:rFonts w:hint="eastAsia" w:ascii="宋体" w:hAnsi="宋体"/>
                <w:szCs w:val="21"/>
              </w:rPr>
              <w:t>条款内容</w:t>
            </w:r>
          </w:p>
        </w:tc>
        <w:tc>
          <w:tcPr>
            <w:tcW w:w="6090" w:type="dxa"/>
            <w:tcBorders>
              <w:top w:val="single" w:color="auto" w:sz="4" w:space="0"/>
              <w:left w:val="single" w:color="auto" w:sz="4" w:space="0"/>
              <w:bottom w:val="single" w:color="auto" w:sz="4" w:space="0"/>
              <w:right w:val="single" w:color="auto" w:sz="4" w:space="0"/>
            </w:tcBorders>
          </w:tcPr>
          <w:p w14:paraId="6F830F1E">
            <w:pPr>
              <w:spacing w:line="360" w:lineRule="auto"/>
              <w:ind w:firstLine="420" w:firstLineChars="200"/>
              <w:rPr>
                <w:szCs w:val="24"/>
              </w:rPr>
            </w:pPr>
            <w:r>
              <w:rPr>
                <w:rFonts w:hint="eastAsia" w:ascii="宋体" w:hAnsi="宋体"/>
                <w:szCs w:val="21"/>
              </w:rPr>
              <w:t>编列内容</w:t>
            </w:r>
          </w:p>
        </w:tc>
      </w:tr>
      <w:tr w14:paraId="5341B2D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076" w:type="dxa"/>
            <w:gridSpan w:val="3"/>
            <w:vMerge w:val="restart"/>
            <w:tcBorders>
              <w:top w:val="single" w:color="auto" w:sz="4" w:space="0"/>
              <w:left w:val="single" w:color="auto" w:sz="4" w:space="0"/>
              <w:bottom w:val="single" w:color="auto" w:sz="4" w:space="0"/>
              <w:right w:val="single" w:color="auto" w:sz="4" w:space="0"/>
            </w:tcBorders>
            <w:vAlign w:val="center"/>
          </w:tcPr>
          <w:p w14:paraId="602E464A">
            <w:pPr>
              <w:jc w:val="center"/>
              <w:rPr>
                <w:szCs w:val="24"/>
              </w:rPr>
            </w:pPr>
            <w:r>
              <w:t>2</w:t>
            </w:r>
          </w:p>
        </w:tc>
        <w:tc>
          <w:tcPr>
            <w:tcW w:w="1697" w:type="dxa"/>
            <w:tcBorders>
              <w:top w:val="single" w:color="auto" w:sz="4" w:space="0"/>
              <w:left w:val="single" w:color="auto" w:sz="4" w:space="0"/>
              <w:bottom w:val="single" w:color="auto" w:sz="4" w:space="0"/>
              <w:right w:val="single" w:color="auto" w:sz="4" w:space="0"/>
            </w:tcBorders>
            <w:vAlign w:val="center"/>
          </w:tcPr>
          <w:p w14:paraId="3DF21D85">
            <w:pPr>
              <w:spacing w:line="360" w:lineRule="auto"/>
              <w:ind w:firstLine="420" w:firstLineChars="200"/>
              <w:rPr>
                <w:szCs w:val="24"/>
              </w:rPr>
            </w:pPr>
            <w:r>
              <w:rPr>
                <w:rFonts w:hint="eastAsia"/>
              </w:rPr>
              <w:t>分值构成（总分</w:t>
            </w:r>
            <w:r>
              <w:t>100</w:t>
            </w:r>
            <w:r>
              <w:rPr>
                <w:rFonts w:hint="eastAsia"/>
              </w:rPr>
              <w:t>分）</w:t>
            </w:r>
          </w:p>
        </w:tc>
        <w:tc>
          <w:tcPr>
            <w:tcW w:w="6090" w:type="dxa"/>
            <w:tcBorders>
              <w:top w:val="single" w:color="auto" w:sz="4" w:space="0"/>
              <w:left w:val="single" w:color="auto" w:sz="4" w:space="0"/>
              <w:bottom w:val="single" w:color="auto" w:sz="4" w:space="0"/>
              <w:right w:val="single" w:color="auto" w:sz="4" w:space="0"/>
            </w:tcBorders>
          </w:tcPr>
          <w:p w14:paraId="62D51941">
            <w:pPr>
              <w:numPr>
                <w:ilvl w:val="0"/>
                <w:numId w:val="3"/>
              </w:numPr>
              <w:spacing w:line="360" w:lineRule="auto"/>
              <w:rPr>
                <w:szCs w:val="24"/>
              </w:rPr>
            </w:pPr>
            <w:r>
              <w:rPr>
                <w:rFonts w:hint="eastAsia"/>
              </w:rPr>
              <w:t>投标报价：</w:t>
            </w:r>
            <w:r>
              <w:rPr>
                <w:rFonts w:hint="eastAsia"/>
                <w:lang w:val="en-US" w:eastAsia="zh-CN"/>
              </w:rPr>
              <w:t>30</w:t>
            </w:r>
            <w:r>
              <w:rPr>
                <w:rFonts w:hint="eastAsia"/>
              </w:rPr>
              <w:t>分</w:t>
            </w:r>
          </w:p>
          <w:p w14:paraId="5BD2000F">
            <w:pPr>
              <w:numPr>
                <w:ilvl w:val="0"/>
                <w:numId w:val="3"/>
              </w:numPr>
              <w:spacing w:line="360" w:lineRule="auto"/>
              <w:rPr>
                <w:szCs w:val="24"/>
              </w:rPr>
            </w:pPr>
            <w:r>
              <w:rPr>
                <w:rFonts w:hint="eastAsia"/>
              </w:rPr>
              <w:t>技术商务评分：</w:t>
            </w:r>
            <w:r>
              <w:rPr>
                <w:rFonts w:hint="eastAsia"/>
                <w:lang w:val="en-US" w:eastAsia="zh-CN"/>
              </w:rPr>
              <w:t>70</w:t>
            </w:r>
            <w:r>
              <w:rPr>
                <w:rFonts w:hint="eastAsia"/>
              </w:rPr>
              <w:t>分</w:t>
            </w:r>
          </w:p>
        </w:tc>
      </w:tr>
      <w:tr w14:paraId="74C73A6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076" w:type="dxa"/>
            <w:gridSpan w:val="3"/>
            <w:vMerge w:val="continue"/>
            <w:tcBorders>
              <w:top w:val="single" w:color="auto" w:sz="4" w:space="0"/>
              <w:left w:val="single" w:color="auto" w:sz="4" w:space="0"/>
              <w:bottom w:val="single" w:color="auto" w:sz="4" w:space="0"/>
              <w:right w:val="single" w:color="auto" w:sz="4" w:space="0"/>
            </w:tcBorders>
            <w:vAlign w:val="center"/>
          </w:tcPr>
          <w:p w14:paraId="190DEF63">
            <w:pPr>
              <w:widowControl/>
              <w:jc w:val="left"/>
              <w:rPr>
                <w:szCs w:val="24"/>
              </w:rPr>
            </w:pPr>
          </w:p>
        </w:tc>
        <w:tc>
          <w:tcPr>
            <w:tcW w:w="1697" w:type="dxa"/>
            <w:tcBorders>
              <w:top w:val="single" w:color="auto" w:sz="4" w:space="0"/>
              <w:left w:val="single" w:color="auto" w:sz="4" w:space="0"/>
              <w:bottom w:val="single" w:color="auto" w:sz="4" w:space="0"/>
              <w:right w:val="single" w:color="auto" w:sz="4" w:space="0"/>
            </w:tcBorders>
            <w:vAlign w:val="center"/>
          </w:tcPr>
          <w:p w14:paraId="5F9705F4">
            <w:pPr>
              <w:spacing w:line="360" w:lineRule="auto"/>
              <w:ind w:firstLine="210" w:firstLineChars="100"/>
              <w:jc w:val="left"/>
            </w:pPr>
            <w:r>
              <w:rPr>
                <w:rFonts w:hint="eastAsia"/>
              </w:rPr>
              <w:t>评标基准价</w:t>
            </w:r>
          </w:p>
        </w:tc>
        <w:tc>
          <w:tcPr>
            <w:tcW w:w="6090" w:type="dxa"/>
            <w:tcBorders>
              <w:top w:val="single" w:color="auto" w:sz="4" w:space="0"/>
              <w:left w:val="single" w:color="auto" w:sz="4" w:space="0"/>
              <w:bottom w:val="single" w:color="auto" w:sz="4" w:space="0"/>
              <w:right w:val="single" w:color="auto" w:sz="4" w:space="0"/>
            </w:tcBorders>
          </w:tcPr>
          <w:p w14:paraId="784A974F">
            <w:pPr>
              <w:spacing w:line="360" w:lineRule="auto"/>
              <w:rPr>
                <w:szCs w:val="24"/>
              </w:rPr>
            </w:pPr>
            <w:r>
              <w:rPr>
                <w:rFonts w:hint="eastAsia"/>
                <w:szCs w:val="24"/>
              </w:rPr>
              <w:t>评标基准价的确定：评标基准价为有效投标报价的算术平均值。</w:t>
            </w:r>
          </w:p>
        </w:tc>
      </w:tr>
      <w:tr w14:paraId="6A9D010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76" w:type="dxa"/>
            <w:gridSpan w:val="3"/>
            <w:tcBorders>
              <w:top w:val="single" w:color="auto" w:sz="4" w:space="0"/>
              <w:left w:val="single" w:color="auto" w:sz="4" w:space="0"/>
              <w:bottom w:val="single" w:color="auto" w:sz="4" w:space="0"/>
              <w:right w:val="single" w:color="auto" w:sz="4" w:space="0"/>
            </w:tcBorders>
            <w:vAlign w:val="center"/>
          </w:tcPr>
          <w:p w14:paraId="40B64ECB">
            <w:pPr>
              <w:jc w:val="center"/>
              <w:rPr>
                <w:szCs w:val="24"/>
              </w:rPr>
            </w:pPr>
            <w:r>
              <w:rPr>
                <w:rFonts w:hint="eastAsia"/>
              </w:rPr>
              <w:t>条款号</w:t>
            </w:r>
          </w:p>
        </w:tc>
        <w:tc>
          <w:tcPr>
            <w:tcW w:w="1697" w:type="dxa"/>
            <w:tcBorders>
              <w:top w:val="single" w:color="auto" w:sz="4" w:space="0"/>
              <w:left w:val="single" w:color="auto" w:sz="4" w:space="0"/>
              <w:bottom w:val="single" w:color="auto" w:sz="4" w:space="0"/>
              <w:right w:val="single" w:color="auto" w:sz="4" w:space="0"/>
            </w:tcBorders>
            <w:vAlign w:val="center"/>
          </w:tcPr>
          <w:p w14:paraId="281ED3DF">
            <w:pPr>
              <w:spacing w:line="360" w:lineRule="auto"/>
              <w:ind w:firstLine="420" w:firstLineChars="200"/>
              <w:jc w:val="left"/>
              <w:rPr>
                <w:szCs w:val="24"/>
              </w:rPr>
            </w:pPr>
            <w:r>
              <w:rPr>
                <w:rFonts w:hint="eastAsia"/>
              </w:rPr>
              <w:t>评分因素</w:t>
            </w:r>
          </w:p>
        </w:tc>
        <w:tc>
          <w:tcPr>
            <w:tcW w:w="6090" w:type="dxa"/>
            <w:tcBorders>
              <w:top w:val="single" w:color="auto" w:sz="4" w:space="0"/>
              <w:left w:val="single" w:color="auto" w:sz="4" w:space="0"/>
              <w:bottom w:val="single" w:color="auto" w:sz="4" w:space="0"/>
              <w:right w:val="single" w:color="auto" w:sz="4" w:space="0"/>
            </w:tcBorders>
            <w:vAlign w:val="center"/>
          </w:tcPr>
          <w:p w14:paraId="6BA3BE6D">
            <w:pPr>
              <w:spacing w:line="360" w:lineRule="auto"/>
              <w:ind w:firstLine="420" w:firstLineChars="200"/>
              <w:jc w:val="center"/>
              <w:rPr>
                <w:szCs w:val="24"/>
              </w:rPr>
            </w:pPr>
            <w:r>
              <w:rPr>
                <w:rFonts w:hint="eastAsia"/>
              </w:rPr>
              <w:t>评分标准</w:t>
            </w:r>
          </w:p>
        </w:tc>
      </w:tr>
      <w:tr w14:paraId="34F39B8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5" w:type="dxa"/>
            <w:gridSpan w:val="2"/>
            <w:tcBorders>
              <w:top w:val="single" w:color="auto" w:sz="4" w:space="0"/>
              <w:left w:val="single" w:color="auto" w:sz="4" w:space="0"/>
              <w:right w:val="single" w:color="auto" w:sz="4" w:space="0"/>
            </w:tcBorders>
            <w:vAlign w:val="center"/>
          </w:tcPr>
          <w:p w14:paraId="63AA8439">
            <w:pPr>
              <w:spacing w:line="360" w:lineRule="auto"/>
              <w:rPr>
                <w:rFonts w:hint="eastAsia"/>
                <w:szCs w:val="24"/>
              </w:rPr>
            </w:pPr>
            <w:r>
              <w:rPr>
                <w:rFonts w:hint="eastAsia"/>
                <w:szCs w:val="24"/>
              </w:rPr>
              <w:t>1</w:t>
            </w:r>
          </w:p>
        </w:tc>
        <w:tc>
          <w:tcPr>
            <w:tcW w:w="1221" w:type="dxa"/>
            <w:tcBorders>
              <w:top w:val="single" w:color="auto" w:sz="4" w:space="0"/>
              <w:left w:val="single" w:color="auto" w:sz="4" w:space="0"/>
              <w:right w:val="single" w:color="auto" w:sz="4" w:space="0"/>
            </w:tcBorders>
            <w:vAlign w:val="center"/>
          </w:tcPr>
          <w:p w14:paraId="547D3ED2">
            <w:pPr>
              <w:spacing w:line="360" w:lineRule="auto"/>
              <w:rPr>
                <w:rFonts w:hint="eastAsia"/>
                <w:szCs w:val="24"/>
              </w:rPr>
            </w:pPr>
            <w:r>
              <w:rPr>
                <w:rFonts w:hint="eastAsia"/>
                <w:szCs w:val="24"/>
                <w:lang w:eastAsia="zh-CN"/>
              </w:rPr>
              <w:t>技术</w:t>
            </w:r>
            <w:r>
              <w:rPr>
                <w:rFonts w:hint="eastAsia"/>
                <w:szCs w:val="24"/>
              </w:rPr>
              <w:t>需求响应</w:t>
            </w:r>
          </w:p>
        </w:tc>
        <w:tc>
          <w:tcPr>
            <w:tcW w:w="1697" w:type="dxa"/>
            <w:tcBorders>
              <w:top w:val="single" w:color="auto" w:sz="4" w:space="0"/>
              <w:left w:val="single" w:color="auto" w:sz="4" w:space="0"/>
              <w:bottom w:val="single" w:color="auto" w:sz="4" w:space="0"/>
              <w:right w:val="single" w:color="auto" w:sz="4" w:space="0"/>
            </w:tcBorders>
            <w:vAlign w:val="center"/>
          </w:tcPr>
          <w:p w14:paraId="37199702">
            <w:pPr>
              <w:spacing w:line="360" w:lineRule="auto"/>
              <w:rPr>
                <w:rFonts w:hint="eastAsia"/>
                <w:szCs w:val="24"/>
              </w:rPr>
            </w:pPr>
            <w:r>
              <w:rPr>
                <w:rFonts w:hint="eastAsia"/>
                <w:szCs w:val="24"/>
                <w:lang w:val="en-US" w:eastAsia="zh-CN"/>
              </w:rPr>
              <w:t>30</w:t>
            </w:r>
            <w:r>
              <w:rPr>
                <w:rFonts w:hint="eastAsia"/>
                <w:szCs w:val="24"/>
              </w:rPr>
              <w:t>分</w:t>
            </w:r>
          </w:p>
        </w:tc>
        <w:tc>
          <w:tcPr>
            <w:tcW w:w="6090" w:type="dxa"/>
            <w:tcBorders>
              <w:top w:val="single" w:color="auto" w:sz="4" w:space="0"/>
              <w:left w:val="single" w:color="auto" w:sz="4" w:space="0"/>
              <w:bottom w:val="single" w:color="auto" w:sz="4" w:space="0"/>
              <w:right w:val="single" w:color="auto" w:sz="4" w:space="0"/>
            </w:tcBorders>
            <w:vAlign w:val="center"/>
          </w:tcPr>
          <w:p w14:paraId="32866C82">
            <w:pPr>
              <w:spacing w:line="360" w:lineRule="auto"/>
              <w:rPr>
                <w:rFonts w:hint="eastAsia"/>
                <w:szCs w:val="24"/>
              </w:rPr>
            </w:pPr>
            <w:r>
              <w:rPr>
                <w:rFonts w:hint="eastAsia"/>
                <w:szCs w:val="24"/>
                <w:lang w:eastAsia="zh-CN"/>
              </w:rPr>
              <w:t>供应商</w:t>
            </w:r>
            <w:r>
              <w:rPr>
                <w:rFonts w:hint="eastAsia"/>
                <w:szCs w:val="24"/>
              </w:rPr>
              <w:t>所投产品的技术参数与招标文件中的技术参数进行点对点比较。全部满足招标文件中技术参数及相关要求者得</w:t>
            </w:r>
            <w:r>
              <w:rPr>
                <w:rFonts w:hint="eastAsia"/>
                <w:szCs w:val="24"/>
                <w:lang w:val="en-US" w:eastAsia="zh-CN"/>
              </w:rPr>
              <w:t>3</w:t>
            </w:r>
            <w:r>
              <w:rPr>
                <w:rFonts w:hint="eastAsia"/>
                <w:szCs w:val="24"/>
              </w:rPr>
              <w:t>0分，其中“</w:t>
            </w:r>
            <w:r>
              <w:rPr>
                <w:rFonts w:hint="eastAsia"/>
                <w:szCs w:val="24"/>
                <w:lang w:eastAsia="zh-CN"/>
              </w:rPr>
              <w:t>▲</w:t>
            </w:r>
            <w:r>
              <w:rPr>
                <w:rFonts w:hint="eastAsia"/>
                <w:szCs w:val="24"/>
              </w:rPr>
              <w:t>”号条款有不满足的每一项扣</w:t>
            </w:r>
            <w:r>
              <w:rPr>
                <w:rFonts w:hint="eastAsia"/>
                <w:szCs w:val="24"/>
                <w:lang w:val="en-US" w:eastAsia="zh-CN"/>
              </w:rPr>
              <w:t>0.5</w:t>
            </w:r>
            <w:r>
              <w:rPr>
                <w:rFonts w:hint="eastAsia"/>
                <w:szCs w:val="24"/>
              </w:rPr>
              <w:t>分，其他非“</w:t>
            </w:r>
            <w:r>
              <w:rPr>
                <w:rFonts w:hint="eastAsia"/>
                <w:szCs w:val="24"/>
                <w:lang w:eastAsia="zh-CN"/>
              </w:rPr>
              <w:t>▲</w:t>
            </w:r>
            <w:r>
              <w:rPr>
                <w:rFonts w:hint="eastAsia"/>
                <w:szCs w:val="24"/>
              </w:rPr>
              <w:t>”号条款有不满足的每一项扣</w:t>
            </w:r>
            <w:r>
              <w:rPr>
                <w:rFonts w:hint="eastAsia"/>
                <w:szCs w:val="24"/>
                <w:lang w:val="en-US" w:eastAsia="zh-CN"/>
              </w:rPr>
              <w:t>0.05</w:t>
            </w:r>
            <w:r>
              <w:rPr>
                <w:rFonts w:hint="eastAsia"/>
                <w:szCs w:val="24"/>
              </w:rPr>
              <w:t>分；（</w:t>
            </w:r>
            <w:r>
              <w:rPr>
                <w:rFonts w:hint="eastAsia"/>
                <w:szCs w:val="24"/>
                <w:lang w:val="en-US" w:eastAsia="zh-CN"/>
              </w:rPr>
              <w:t>要求</w:t>
            </w:r>
            <w:r>
              <w:rPr>
                <w:rFonts w:hint="eastAsia"/>
                <w:szCs w:val="24"/>
              </w:rPr>
              <w:t>样机现场演示</w:t>
            </w:r>
            <w:r>
              <w:rPr>
                <w:rFonts w:hint="eastAsia"/>
                <w:szCs w:val="24"/>
                <w:lang w:val="en-US" w:eastAsia="zh-CN"/>
              </w:rPr>
              <w:t>参数除外</w:t>
            </w:r>
            <w:r>
              <w:rPr>
                <w:rFonts w:hint="eastAsia"/>
                <w:szCs w:val="24"/>
              </w:rPr>
              <w:t>）</w:t>
            </w:r>
          </w:p>
        </w:tc>
      </w:tr>
      <w:tr w14:paraId="119C4E2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855" w:type="dxa"/>
            <w:gridSpan w:val="2"/>
            <w:tcBorders>
              <w:top w:val="single" w:color="auto" w:sz="4" w:space="0"/>
              <w:left w:val="single" w:color="auto" w:sz="4" w:space="0"/>
              <w:right w:val="single" w:color="auto" w:sz="4" w:space="0"/>
            </w:tcBorders>
            <w:vAlign w:val="center"/>
          </w:tcPr>
          <w:p w14:paraId="113A35F7">
            <w:pPr>
              <w:spacing w:line="360" w:lineRule="auto"/>
              <w:rPr>
                <w:rFonts w:hint="eastAsia"/>
                <w:szCs w:val="24"/>
              </w:rPr>
            </w:pPr>
            <w:r>
              <w:rPr>
                <w:rFonts w:hint="eastAsia"/>
                <w:szCs w:val="24"/>
              </w:rPr>
              <w:t>2</w:t>
            </w:r>
          </w:p>
        </w:tc>
        <w:tc>
          <w:tcPr>
            <w:tcW w:w="1221" w:type="dxa"/>
            <w:tcBorders>
              <w:top w:val="single" w:color="auto" w:sz="4" w:space="0"/>
              <w:left w:val="single" w:color="auto" w:sz="4" w:space="0"/>
              <w:right w:val="single" w:color="auto" w:sz="4" w:space="0"/>
            </w:tcBorders>
            <w:vAlign w:val="center"/>
          </w:tcPr>
          <w:p w14:paraId="505AF5BB">
            <w:pPr>
              <w:spacing w:line="360" w:lineRule="auto"/>
              <w:rPr>
                <w:rFonts w:hint="eastAsia"/>
                <w:szCs w:val="24"/>
              </w:rPr>
            </w:pPr>
            <w:r>
              <w:rPr>
                <w:rFonts w:hint="eastAsia"/>
                <w:szCs w:val="24"/>
              </w:rPr>
              <w:t>项目管理实施方案</w:t>
            </w:r>
          </w:p>
        </w:tc>
        <w:tc>
          <w:tcPr>
            <w:tcW w:w="1697" w:type="dxa"/>
            <w:tcBorders>
              <w:top w:val="single" w:color="auto" w:sz="4" w:space="0"/>
              <w:left w:val="single" w:color="auto" w:sz="4" w:space="0"/>
              <w:bottom w:val="single" w:color="auto" w:sz="4" w:space="0"/>
              <w:right w:val="single" w:color="auto" w:sz="4" w:space="0"/>
            </w:tcBorders>
            <w:vAlign w:val="center"/>
          </w:tcPr>
          <w:p w14:paraId="01A8CCC7">
            <w:pPr>
              <w:spacing w:line="360" w:lineRule="auto"/>
              <w:rPr>
                <w:rFonts w:hint="eastAsia"/>
                <w:szCs w:val="24"/>
                <w:lang w:eastAsia="zh-CN"/>
              </w:rPr>
            </w:pPr>
            <w:r>
              <w:rPr>
                <w:rFonts w:hint="eastAsia"/>
                <w:szCs w:val="24"/>
                <w:lang w:val="en-US" w:eastAsia="zh-CN"/>
              </w:rPr>
              <w:t>10</w:t>
            </w:r>
            <w:r>
              <w:rPr>
                <w:rFonts w:hint="eastAsia"/>
                <w:szCs w:val="24"/>
              </w:rPr>
              <w:t>分</w:t>
            </w:r>
          </w:p>
        </w:tc>
        <w:tc>
          <w:tcPr>
            <w:tcW w:w="6090" w:type="dxa"/>
            <w:tcBorders>
              <w:top w:val="single" w:color="auto" w:sz="4" w:space="0"/>
              <w:left w:val="single" w:color="auto" w:sz="4" w:space="0"/>
              <w:bottom w:val="single" w:color="auto" w:sz="4" w:space="0"/>
              <w:right w:val="single" w:color="auto" w:sz="4" w:space="0"/>
            </w:tcBorders>
            <w:vAlign w:val="center"/>
          </w:tcPr>
          <w:p w14:paraId="361184F0">
            <w:pPr>
              <w:spacing w:line="360" w:lineRule="auto"/>
              <w:rPr>
                <w:rFonts w:hint="eastAsia"/>
                <w:szCs w:val="24"/>
              </w:rPr>
            </w:pPr>
            <w:r>
              <w:rPr>
                <w:rFonts w:hint="eastAsia"/>
                <w:szCs w:val="24"/>
                <w:lang w:eastAsia="zh-CN"/>
              </w:rPr>
              <w:t>供应商</w:t>
            </w:r>
            <w:r>
              <w:rPr>
                <w:rFonts w:hint="eastAsia"/>
                <w:szCs w:val="24"/>
              </w:rPr>
              <w:t>必须制定科学、完整的项目管理实施方案，项目管理实施方案应包含但不限于以下内容：</w:t>
            </w:r>
          </w:p>
          <w:p w14:paraId="213B5188">
            <w:pPr>
              <w:spacing w:line="360" w:lineRule="auto"/>
              <w:rPr>
                <w:rFonts w:hint="eastAsia"/>
                <w:szCs w:val="24"/>
              </w:rPr>
            </w:pPr>
            <w:r>
              <w:rPr>
                <w:rFonts w:hint="eastAsia"/>
                <w:szCs w:val="24"/>
                <w:lang w:val="en-US" w:eastAsia="zh-CN"/>
              </w:rPr>
              <w:t>1.</w:t>
            </w:r>
            <w:r>
              <w:rPr>
                <w:rFonts w:hint="eastAsia"/>
                <w:szCs w:val="24"/>
              </w:rPr>
              <w:t>对项目管理结构方案，</w:t>
            </w:r>
          </w:p>
          <w:p w14:paraId="4E51ACCB">
            <w:pPr>
              <w:spacing w:line="360" w:lineRule="auto"/>
              <w:rPr>
                <w:rFonts w:hint="eastAsia"/>
                <w:szCs w:val="24"/>
              </w:rPr>
            </w:pPr>
            <w:r>
              <w:rPr>
                <w:rFonts w:hint="eastAsia"/>
                <w:szCs w:val="24"/>
                <w:lang w:val="en-US" w:eastAsia="zh-CN"/>
              </w:rPr>
              <w:t>2.</w:t>
            </w:r>
            <w:r>
              <w:rPr>
                <w:rFonts w:hint="eastAsia"/>
                <w:szCs w:val="24"/>
              </w:rPr>
              <w:t>项目管理措施方案，</w:t>
            </w:r>
          </w:p>
          <w:p w14:paraId="6D04EEAA">
            <w:pPr>
              <w:spacing w:line="360" w:lineRule="auto"/>
              <w:rPr>
                <w:rFonts w:hint="eastAsia"/>
                <w:szCs w:val="24"/>
              </w:rPr>
            </w:pPr>
            <w:r>
              <w:rPr>
                <w:rFonts w:hint="eastAsia"/>
                <w:szCs w:val="24"/>
                <w:lang w:val="en-US" w:eastAsia="zh-CN"/>
              </w:rPr>
              <w:t>3.</w:t>
            </w:r>
            <w:r>
              <w:rPr>
                <w:rFonts w:hint="eastAsia"/>
                <w:szCs w:val="24"/>
              </w:rPr>
              <w:t>能够结合项目实施方案制定施工管理方案,</w:t>
            </w:r>
          </w:p>
          <w:p w14:paraId="1C528301">
            <w:pPr>
              <w:spacing w:line="360" w:lineRule="auto"/>
              <w:rPr>
                <w:rFonts w:hint="eastAsia"/>
                <w:szCs w:val="24"/>
              </w:rPr>
            </w:pPr>
            <w:r>
              <w:rPr>
                <w:rFonts w:hint="eastAsia"/>
                <w:szCs w:val="24"/>
                <w:lang w:val="en-US" w:eastAsia="zh-CN"/>
              </w:rPr>
              <w:t>4.</w:t>
            </w:r>
            <w:r>
              <w:rPr>
                <w:rFonts w:hint="eastAsia"/>
                <w:szCs w:val="24"/>
              </w:rPr>
              <w:t>确保项目进度措施及施工质量措施方案，</w:t>
            </w:r>
          </w:p>
          <w:p w14:paraId="6C674003">
            <w:pPr>
              <w:spacing w:line="360" w:lineRule="auto"/>
              <w:rPr>
                <w:rFonts w:hint="eastAsia"/>
                <w:szCs w:val="24"/>
              </w:rPr>
            </w:pPr>
            <w:r>
              <w:rPr>
                <w:rFonts w:hint="eastAsia"/>
                <w:szCs w:val="24"/>
                <w:lang w:val="en-US" w:eastAsia="zh-CN"/>
              </w:rPr>
              <w:t>5.</w:t>
            </w:r>
            <w:r>
              <w:rPr>
                <w:rFonts w:hint="eastAsia"/>
                <w:szCs w:val="24"/>
              </w:rPr>
              <w:t>项目后期保修服务措施方案。</w:t>
            </w:r>
          </w:p>
          <w:p w14:paraId="6BDE9087">
            <w:pPr>
              <w:spacing w:line="360" w:lineRule="auto"/>
              <w:rPr>
                <w:rFonts w:hint="eastAsia"/>
                <w:szCs w:val="24"/>
              </w:rPr>
            </w:pPr>
            <w:r>
              <w:rPr>
                <w:rFonts w:hint="eastAsia"/>
                <w:szCs w:val="24"/>
              </w:rPr>
              <w:t>根据</w:t>
            </w:r>
            <w:r>
              <w:rPr>
                <w:rFonts w:hint="eastAsia"/>
                <w:szCs w:val="24"/>
                <w:lang w:eastAsia="zh-CN"/>
              </w:rPr>
              <w:t>供应商</w:t>
            </w:r>
            <w:r>
              <w:rPr>
                <w:rFonts w:hint="eastAsia"/>
                <w:szCs w:val="24"/>
              </w:rPr>
              <w:t>提供的项目管理实施方案进行比较赋分：</w:t>
            </w:r>
          </w:p>
          <w:p w14:paraId="3379BA77">
            <w:pPr>
              <w:spacing w:line="360" w:lineRule="auto"/>
              <w:rPr>
                <w:rFonts w:hint="eastAsia"/>
                <w:szCs w:val="24"/>
              </w:rPr>
            </w:pPr>
            <w:r>
              <w:rPr>
                <w:rFonts w:hint="eastAsia"/>
                <w:szCs w:val="24"/>
              </w:rPr>
              <w:t>上述方案中，</w:t>
            </w:r>
            <w:r>
              <w:rPr>
                <w:rFonts w:hint="eastAsia"/>
                <w:szCs w:val="24"/>
                <w:lang w:val="en-US" w:eastAsia="zh-CN"/>
              </w:rPr>
              <w:t>不缺项的得10分，如1-5项，每缺少一项内容扣2分；项目管理实施方案存在一处缺陷（缺陷是指方案内容不符合项目实际需求、描述不详细、缺乏针对性、缺乏可操作性、不合理、相关标准引用错误、前后矛盾、存在无法实现预期目标的风险等）扣1分，不提供的不得分</w:t>
            </w:r>
            <w:r>
              <w:rPr>
                <w:rFonts w:hint="eastAsia"/>
                <w:szCs w:val="24"/>
              </w:rPr>
              <w:t>。</w:t>
            </w:r>
          </w:p>
        </w:tc>
      </w:tr>
      <w:tr w14:paraId="5EFCD8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855" w:type="dxa"/>
            <w:gridSpan w:val="2"/>
            <w:tcBorders>
              <w:left w:val="single" w:color="auto" w:sz="4" w:space="0"/>
              <w:right w:val="single" w:color="auto" w:sz="4" w:space="0"/>
            </w:tcBorders>
            <w:vAlign w:val="center"/>
          </w:tcPr>
          <w:p w14:paraId="32C0796D">
            <w:pPr>
              <w:spacing w:line="360" w:lineRule="auto"/>
              <w:rPr>
                <w:rFonts w:hint="eastAsia"/>
                <w:szCs w:val="24"/>
              </w:rPr>
            </w:pPr>
            <w:r>
              <w:rPr>
                <w:rFonts w:hint="eastAsia"/>
                <w:szCs w:val="24"/>
              </w:rPr>
              <w:t>3</w:t>
            </w:r>
          </w:p>
          <w:p w14:paraId="6BE46CE5">
            <w:pPr>
              <w:spacing w:line="360" w:lineRule="auto"/>
              <w:rPr>
                <w:rFonts w:hint="eastAsia"/>
                <w:szCs w:val="24"/>
              </w:rPr>
            </w:pPr>
          </w:p>
        </w:tc>
        <w:tc>
          <w:tcPr>
            <w:tcW w:w="1221" w:type="dxa"/>
            <w:tcBorders>
              <w:left w:val="single" w:color="auto" w:sz="4" w:space="0"/>
              <w:right w:val="single" w:color="auto" w:sz="4" w:space="0"/>
            </w:tcBorders>
            <w:vAlign w:val="center"/>
          </w:tcPr>
          <w:p w14:paraId="3601A98F">
            <w:pPr>
              <w:spacing w:line="360" w:lineRule="auto"/>
              <w:rPr>
                <w:rFonts w:hint="eastAsia"/>
                <w:szCs w:val="24"/>
              </w:rPr>
            </w:pPr>
            <w:r>
              <w:rPr>
                <w:rFonts w:hint="eastAsia"/>
                <w:szCs w:val="24"/>
              </w:rPr>
              <w:t>售后服务方案</w:t>
            </w:r>
          </w:p>
        </w:tc>
        <w:tc>
          <w:tcPr>
            <w:tcW w:w="1697" w:type="dxa"/>
            <w:tcBorders>
              <w:top w:val="single" w:color="auto" w:sz="4" w:space="0"/>
              <w:left w:val="single" w:color="auto" w:sz="4" w:space="0"/>
              <w:bottom w:val="single" w:color="auto" w:sz="4" w:space="0"/>
              <w:right w:val="single" w:color="auto" w:sz="4" w:space="0"/>
            </w:tcBorders>
            <w:vAlign w:val="center"/>
          </w:tcPr>
          <w:p w14:paraId="333E6E00">
            <w:pPr>
              <w:spacing w:line="360" w:lineRule="auto"/>
              <w:rPr>
                <w:rFonts w:hint="eastAsia"/>
                <w:szCs w:val="24"/>
                <w:lang w:eastAsia="zh-CN"/>
              </w:rPr>
            </w:pPr>
            <w:r>
              <w:rPr>
                <w:rFonts w:hint="eastAsia"/>
                <w:szCs w:val="24"/>
                <w:lang w:val="en-US" w:eastAsia="zh-CN"/>
              </w:rPr>
              <w:t>10</w:t>
            </w:r>
            <w:r>
              <w:rPr>
                <w:rFonts w:hint="eastAsia"/>
                <w:szCs w:val="24"/>
              </w:rPr>
              <w:t>分</w:t>
            </w:r>
          </w:p>
        </w:tc>
        <w:tc>
          <w:tcPr>
            <w:tcW w:w="6090" w:type="dxa"/>
            <w:tcBorders>
              <w:top w:val="single" w:color="auto" w:sz="4" w:space="0"/>
              <w:left w:val="single" w:color="auto" w:sz="4" w:space="0"/>
              <w:bottom w:val="single" w:color="auto" w:sz="4" w:space="0"/>
              <w:right w:val="single" w:color="auto" w:sz="4" w:space="0"/>
            </w:tcBorders>
            <w:vAlign w:val="center"/>
          </w:tcPr>
          <w:p w14:paraId="1E2F7894">
            <w:pPr>
              <w:spacing w:line="360" w:lineRule="auto"/>
              <w:rPr>
                <w:rFonts w:hint="eastAsia"/>
                <w:szCs w:val="24"/>
              </w:rPr>
            </w:pPr>
            <w:r>
              <w:rPr>
                <w:rFonts w:hint="eastAsia"/>
                <w:szCs w:val="24"/>
                <w:lang w:eastAsia="zh-CN"/>
              </w:rPr>
              <w:t>供应商</w:t>
            </w:r>
            <w:r>
              <w:rPr>
                <w:rFonts w:hint="eastAsia"/>
                <w:szCs w:val="24"/>
              </w:rPr>
              <w:t>必须制定科学、完整的售后服务方案，售后服务方案应包含但不限于以下内容：</w:t>
            </w:r>
          </w:p>
          <w:p w14:paraId="23896A76">
            <w:pPr>
              <w:spacing w:line="360" w:lineRule="auto"/>
              <w:rPr>
                <w:rFonts w:hint="eastAsia"/>
                <w:szCs w:val="24"/>
              </w:rPr>
            </w:pPr>
            <w:r>
              <w:rPr>
                <w:rFonts w:hint="eastAsia"/>
                <w:szCs w:val="24"/>
                <w:lang w:val="en-US" w:eastAsia="zh-CN"/>
              </w:rPr>
              <w:t>1.</w:t>
            </w:r>
            <w:r>
              <w:rPr>
                <w:rFonts w:hint="eastAsia"/>
                <w:szCs w:val="24"/>
              </w:rPr>
              <w:t>保修期及服务承诺方案；</w:t>
            </w:r>
          </w:p>
          <w:p w14:paraId="128433F0">
            <w:pPr>
              <w:spacing w:line="360" w:lineRule="auto"/>
              <w:rPr>
                <w:rFonts w:hint="eastAsia"/>
                <w:szCs w:val="24"/>
              </w:rPr>
            </w:pPr>
            <w:r>
              <w:rPr>
                <w:rFonts w:hint="eastAsia"/>
                <w:szCs w:val="24"/>
                <w:lang w:val="en-US" w:eastAsia="zh-CN"/>
              </w:rPr>
              <w:t>2.</w:t>
            </w:r>
            <w:r>
              <w:rPr>
                <w:rFonts w:hint="eastAsia"/>
                <w:szCs w:val="24"/>
              </w:rPr>
              <w:t>售后服务内容方案；</w:t>
            </w:r>
          </w:p>
          <w:p w14:paraId="4C434A54">
            <w:pPr>
              <w:spacing w:line="360" w:lineRule="auto"/>
              <w:rPr>
                <w:rFonts w:hint="eastAsia"/>
                <w:szCs w:val="24"/>
              </w:rPr>
            </w:pPr>
            <w:r>
              <w:rPr>
                <w:rFonts w:hint="eastAsia"/>
                <w:szCs w:val="24"/>
                <w:lang w:val="en-US" w:eastAsia="zh-CN"/>
              </w:rPr>
              <w:t>3.</w:t>
            </w:r>
            <w:r>
              <w:rPr>
                <w:rFonts w:hint="eastAsia"/>
                <w:szCs w:val="24"/>
              </w:rPr>
              <w:t>售后服务流程及机构设置方案；</w:t>
            </w:r>
          </w:p>
          <w:p w14:paraId="0C171D9D">
            <w:pPr>
              <w:spacing w:line="360" w:lineRule="auto"/>
              <w:rPr>
                <w:rFonts w:hint="eastAsia"/>
                <w:szCs w:val="24"/>
              </w:rPr>
            </w:pPr>
            <w:r>
              <w:rPr>
                <w:rFonts w:hint="eastAsia"/>
                <w:szCs w:val="24"/>
                <w:lang w:val="en-US" w:eastAsia="zh-CN"/>
              </w:rPr>
              <w:t>4.</w:t>
            </w:r>
            <w:r>
              <w:rPr>
                <w:rFonts w:hint="eastAsia"/>
                <w:szCs w:val="24"/>
              </w:rPr>
              <w:t>维修方案及维修能力方案；</w:t>
            </w:r>
          </w:p>
          <w:p w14:paraId="65A7B7BE">
            <w:pPr>
              <w:spacing w:line="360" w:lineRule="auto"/>
              <w:rPr>
                <w:rFonts w:hint="eastAsia"/>
                <w:szCs w:val="24"/>
              </w:rPr>
            </w:pPr>
            <w:r>
              <w:rPr>
                <w:rFonts w:hint="eastAsia"/>
                <w:szCs w:val="24"/>
                <w:lang w:val="en-US" w:eastAsia="zh-CN"/>
              </w:rPr>
              <w:t>5.</w:t>
            </w:r>
            <w:r>
              <w:rPr>
                <w:rFonts w:hint="eastAsia"/>
                <w:szCs w:val="24"/>
              </w:rPr>
              <w:t>应急保障及响应时间方案。</w:t>
            </w:r>
          </w:p>
          <w:p w14:paraId="0AA167D8">
            <w:pPr>
              <w:spacing w:line="360" w:lineRule="auto"/>
              <w:rPr>
                <w:rFonts w:hint="eastAsia"/>
                <w:szCs w:val="24"/>
              </w:rPr>
            </w:pPr>
            <w:r>
              <w:rPr>
                <w:rFonts w:hint="eastAsia"/>
                <w:szCs w:val="24"/>
              </w:rPr>
              <w:t>根据</w:t>
            </w:r>
            <w:r>
              <w:rPr>
                <w:rFonts w:hint="eastAsia"/>
                <w:szCs w:val="24"/>
                <w:lang w:eastAsia="zh-CN"/>
              </w:rPr>
              <w:t>供应商</w:t>
            </w:r>
            <w:r>
              <w:rPr>
                <w:rFonts w:hint="eastAsia"/>
                <w:szCs w:val="24"/>
              </w:rPr>
              <w:t>提供的售后服务方案进行比较赋分：</w:t>
            </w:r>
          </w:p>
          <w:p w14:paraId="4FE952F5">
            <w:pPr>
              <w:spacing w:line="360" w:lineRule="auto"/>
              <w:rPr>
                <w:rFonts w:hint="eastAsia"/>
                <w:szCs w:val="24"/>
              </w:rPr>
            </w:pPr>
            <w:r>
              <w:rPr>
                <w:rFonts w:hint="eastAsia"/>
                <w:szCs w:val="24"/>
              </w:rPr>
              <w:t>上述方案中，</w:t>
            </w:r>
            <w:r>
              <w:rPr>
                <w:rFonts w:hint="eastAsia"/>
                <w:szCs w:val="24"/>
                <w:lang w:val="en-US" w:eastAsia="zh-CN"/>
              </w:rPr>
              <w:t>不缺项的得10分，如1-5项，每缺少一项内容扣2分；</w:t>
            </w:r>
            <w:r>
              <w:rPr>
                <w:rFonts w:hint="eastAsia"/>
                <w:szCs w:val="24"/>
              </w:rPr>
              <w:t>售后服务方案</w:t>
            </w:r>
            <w:r>
              <w:rPr>
                <w:rFonts w:hint="eastAsia"/>
                <w:szCs w:val="24"/>
                <w:lang w:val="en-US" w:eastAsia="zh-CN"/>
              </w:rPr>
              <w:t>存在一处缺陷（缺陷是指方案内容不符合项目实际需求、描述不详细、缺乏针对性、缺乏可操作性、不合理、相关标准引用错误、前后矛盾、存在无法实现预期目标的风险等）扣1分，不提供的不得分</w:t>
            </w:r>
            <w:r>
              <w:rPr>
                <w:rFonts w:hint="eastAsia"/>
                <w:szCs w:val="24"/>
              </w:rPr>
              <w:t>。</w:t>
            </w:r>
          </w:p>
        </w:tc>
      </w:tr>
      <w:tr w14:paraId="65D365D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jc w:val="center"/>
        </w:trPr>
        <w:tc>
          <w:tcPr>
            <w:tcW w:w="855" w:type="dxa"/>
            <w:gridSpan w:val="2"/>
            <w:tcBorders>
              <w:left w:val="single" w:color="auto" w:sz="4" w:space="0"/>
              <w:right w:val="single" w:color="auto" w:sz="4" w:space="0"/>
            </w:tcBorders>
            <w:vAlign w:val="center"/>
          </w:tcPr>
          <w:p w14:paraId="2034CA50">
            <w:pPr>
              <w:spacing w:line="360" w:lineRule="auto"/>
              <w:rPr>
                <w:rFonts w:hint="eastAsia"/>
                <w:szCs w:val="24"/>
              </w:rPr>
            </w:pPr>
            <w:r>
              <w:rPr>
                <w:rFonts w:hint="eastAsia"/>
                <w:szCs w:val="24"/>
              </w:rPr>
              <w:t>4</w:t>
            </w:r>
          </w:p>
        </w:tc>
        <w:tc>
          <w:tcPr>
            <w:tcW w:w="1221" w:type="dxa"/>
            <w:tcBorders>
              <w:left w:val="single" w:color="auto" w:sz="4" w:space="0"/>
              <w:right w:val="single" w:color="auto" w:sz="4" w:space="0"/>
            </w:tcBorders>
            <w:vAlign w:val="center"/>
          </w:tcPr>
          <w:p w14:paraId="028693DC">
            <w:pPr>
              <w:spacing w:line="360" w:lineRule="auto"/>
              <w:rPr>
                <w:rFonts w:hint="eastAsia"/>
                <w:szCs w:val="24"/>
              </w:rPr>
            </w:pPr>
            <w:r>
              <w:rPr>
                <w:rFonts w:hint="eastAsia"/>
                <w:szCs w:val="24"/>
              </w:rPr>
              <w:t>培训方案</w:t>
            </w:r>
          </w:p>
        </w:tc>
        <w:tc>
          <w:tcPr>
            <w:tcW w:w="1697" w:type="dxa"/>
            <w:tcBorders>
              <w:top w:val="single" w:color="auto" w:sz="4" w:space="0"/>
              <w:left w:val="single" w:color="auto" w:sz="4" w:space="0"/>
              <w:right w:val="single" w:color="auto" w:sz="4" w:space="0"/>
            </w:tcBorders>
            <w:vAlign w:val="center"/>
          </w:tcPr>
          <w:p w14:paraId="7A2C2DE0">
            <w:pPr>
              <w:spacing w:line="360" w:lineRule="auto"/>
              <w:rPr>
                <w:rFonts w:hint="eastAsia"/>
                <w:szCs w:val="24"/>
                <w:lang w:eastAsia="zh-CN"/>
              </w:rPr>
            </w:pPr>
            <w:r>
              <w:rPr>
                <w:rFonts w:hint="eastAsia"/>
                <w:szCs w:val="24"/>
                <w:lang w:val="en-US" w:eastAsia="zh-CN"/>
              </w:rPr>
              <w:t>6</w:t>
            </w:r>
            <w:r>
              <w:rPr>
                <w:rFonts w:hint="eastAsia"/>
                <w:szCs w:val="24"/>
              </w:rPr>
              <w:t>分</w:t>
            </w:r>
          </w:p>
        </w:tc>
        <w:tc>
          <w:tcPr>
            <w:tcW w:w="6090" w:type="dxa"/>
            <w:tcBorders>
              <w:top w:val="single" w:color="auto" w:sz="4" w:space="0"/>
              <w:left w:val="single" w:color="auto" w:sz="4" w:space="0"/>
              <w:right w:val="single" w:color="auto" w:sz="4" w:space="0"/>
            </w:tcBorders>
            <w:vAlign w:val="center"/>
          </w:tcPr>
          <w:p w14:paraId="6C19A64B">
            <w:pPr>
              <w:spacing w:line="360" w:lineRule="auto"/>
              <w:rPr>
                <w:rFonts w:hint="eastAsia"/>
                <w:szCs w:val="24"/>
              </w:rPr>
            </w:pPr>
            <w:r>
              <w:rPr>
                <w:rFonts w:hint="eastAsia"/>
                <w:szCs w:val="24"/>
                <w:lang w:eastAsia="zh-CN"/>
              </w:rPr>
              <w:t>供应商</w:t>
            </w:r>
            <w:r>
              <w:rPr>
                <w:rFonts w:hint="eastAsia"/>
                <w:szCs w:val="24"/>
              </w:rPr>
              <w:t>必须制定科学、完整的培训方案，培训方案应包含但不限于以下内容：</w:t>
            </w:r>
          </w:p>
          <w:p w14:paraId="620B41C4">
            <w:pPr>
              <w:spacing w:line="360" w:lineRule="auto"/>
              <w:rPr>
                <w:rFonts w:hint="eastAsia"/>
                <w:szCs w:val="24"/>
              </w:rPr>
            </w:pPr>
            <w:r>
              <w:rPr>
                <w:rFonts w:hint="eastAsia"/>
                <w:szCs w:val="24"/>
                <w:lang w:val="en-US" w:eastAsia="zh-CN"/>
              </w:rPr>
              <w:t>1.</w:t>
            </w:r>
            <w:r>
              <w:rPr>
                <w:rFonts w:hint="eastAsia"/>
                <w:szCs w:val="24"/>
              </w:rPr>
              <w:t>设备的操作方案、</w:t>
            </w:r>
          </w:p>
          <w:p w14:paraId="143803C3">
            <w:pPr>
              <w:spacing w:line="360" w:lineRule="auto"/>
              <w:rPr>
                <w:rFonts w:hint="eastAsia"/>
                <w:szCs w:val="24"/>
              </w:rPr>
            </w:pPr>
            <w:r>
              <w:rPr>
                <w:rFonts w:hint="eastAsia"/>
                <w:szCs w:val="24"/>
                <w:lang w:val="en-US" w:eastAsia="zh-CN"/>
              </w:rPr>
              <w:t>2.</w:t>
            </w:r>
            <w:r>
              <w:rPr>
                <w:rFonts w:hint="eastAsia"/>
                <w:szCs w:val="24"/>
              </w:rPr>
              <w:t>维护保养方案、</w:t>
            </w:r>
          </w:p>
          <w:p w14:paraId="40AD4758">
            <w:pPr>
              <w:spacing w:line="360" w:lineRule="auto"/>
              <w:rPr>
                <w:rFonts w:hint="eastAsia"/>
                <w:szCs w:val="24"/>
              </w:rPr>
            </w:pPr>
            <w:r>
              <w:rPr>
                <w:rFonts w:hint="eastAsia"/>
                <w:szCs w:val="24"/>
                <w:lang w:val="en-US" w:eastAsia="zh-CN"/>
              </w:rPr>
              <w:t>3.</w:t>
            </w:r>
            <w:r>
              <w:rPr>
                <w:rFonts w:hint="eastAsia"/>
                <w:szCs w:val="24"/>
              </w:rPr>
              <w:t>故障排查方案。</w:t>
            </w:r>
          </w:p>
          <w:p w14:paraId="2B72BED5">
            <w:pPr>
              <w:spacing w:line="360" w:lineRule="auto"/>
              <w:rPr>
                <w:rFonts w:hint="eastAsia"/>
                <w:szCs w:val="24"/>
              </w:rPr>
            </w:pPr>
            <w:r>
              <w:rPr>
                <w:rFonts w:hint="eastAsia"/>
                <w:szCs w:val="24"/>
              </w:rPr>
              <w:t>根据</w:t>
            </w:r>
            <w:r>
              <w:rPr>
                <w:rFonts w:hint="eastAsia"/>
                <w:szCs w:val="24"/>
                <w:lang w:eastAsia="zh-CN"/>
              </w:rPr>
              <w:t>供应商</w:t>
            </w:r>
            <w:r>
              <w:rPr>
                <w:rFonts w:hint="eastAsia"/>
                <w:szCs w:val="24"/>
              </w:rPr>
              <w:t xml:space="preserve">提供的培训方案进行比较赋分： </w:t>
            </w:r>
          </w:p>
          <w:p w14:paraId="38071550">
            <w:pPr>
              <w:spacing w:line="360" w:lineRule="auto"/>
              <w:rPr>
                <w:rFonts w:hint="eastAsia"/>
                <w:szCs w:val="24"/>
              </w:rPr>
            </w:pPr>
            <w:r>
              <w:rPr>
                <w:rFonts w:hint="eastAsia"/>
                <w:szCs w:val="24"/>
              </w:rPr>
              <w:t>上述方案中，</w:t>
            </w:r>
            <w:r>
              <w:rPr>
                <w:rFonts w:hint="eastAsia"/>
                <w:szCs w:val="24"/>
                <w:lang w:val="en-US" w:eastAsia="zh-CN"/>
              </w:rPr>
              <w:t>不缺项的得6分，如1-3项，每缺少一项内容扣2分；</w:t>
            </w:r>
            <w:r>
              <w:rPr>
                <w:rFonts w:hint="eastAsia"/>
                <w:szCs w:val="24"/>
              </w:rPr>
              <w:t>培训方案</w:t>
            </w:r>
            <w:r>
              <w:rPr>
                <w:rFonts w:hint="eastAsia"/>
                <w:szCs w:val="24"/>
                <w:lang w:val="en-US" w:eastAsia="zh-CN"/>
              </w:rPr>
              <w:t>存在一处缺陷（缺陷是指方案内容不符合项目实际需求、描述不详细、缺乏针对性、缺乏可操作性、不合理、相关标准引用错误、前后矛盾、存在无法实现预期目标的风险等）扣1分，不提供的不得分</w:t>
            </w:r>
            <w:r>
              <w:rPr>
                <w:rFonts w:hint="eastAsia"/>
                <w:szCs w:val="24"/>
              </w:rPr>
              <w:t>。</w:t>
            </w:r>
          </w:p>
        </w:tc>
      </w:tr>
      <w:tr w14:paraId="052DC25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55" w:type="dxa"/>
            <w:gridSpan w:val="2"/>
            <w:tcBorders>
              <w:left w:val="single" w:color="auto" w:sz="4" w:space="0"/>
              <w:right w:val="single" w:color="auto" w:sz="4" w:space="0"/>
            </w:tcBorders>
            <w:vAlign w:val="center"/>
          </w:tcPr>
          <w:p w14:paraId="15689F3C">
            <w:pPr>
              <w:spacing w:line="360" w:lineRule="auto"/>
              <w:rPr>
                <w:rFonts w:hint="eastAsia"/>
                <w:szCs w:val="24"/>
              </w:rPr>
            </w:pPr>
            <w:bookmarkStart w:id="217" w:name="_Toc364316064"/>
            <w:bookmarkStart w:id="218" w:name="_Toc45533827"/>
            <w:bookmarkStart w:id="219" w:name="_Toc264541211"/>
            <w:bookmarkStart w:id="220" w:name="_Toc364071387"/>
            <w:bookmarkStart w:id="221" w:name="_Toc364341460"/>
            <w:r>
              <w:rPr>
                <w:rFonts w:hint="eastAsia"/>
                <w:szCs w:val="24"/>
                <w:lang w:val="en-US" w:eastAsia="zh-CN"/>
              </w:rPr>
              <w:t>6</w:t>
            </w:r>
          </w:p>
        </w:tc>
        <w:tc>
          <w:tcPr>
            <w:tcW w:w="1221" w:type="dxa"/>
            <w:tcBorders>
              <w:left w:val="single" w:color="auto" w:sz="4" w:space="0"/>
              <w:right w:val="single" w:color="auto" w:sz="4" w:space="0"/>
            </w:tcBorders>
            <w:vAlign w:val="center"/>
          </w:tcPr>
          <w:p w14:paraId="61888E5E">
            <w:pPr>
              <w:spacing w:line="360" w:lineRule="auto"/>
              <w:rPr>
                <w:rFonts w:hint="eastAsia"/>
                <w:szCs w:val="24"/>
              </w:rPr>
            </w:pPr>
            <w:r>
              <w:rPr>
                <w:rFonts w:hint="eastAsia"/>
                <w:szCs w:val="24"/>
              </w:rPr>
              <w:t>样机演示</w:t>
            </w:r>
          </w:p>
        </w:tc>
        <w:tc>
          <w:tcPr>
            <w:tcW w:w="1697" w:type="dxa"/>
            <w:tcBorders>
              <w:top w:val="single" w:color="auto" w:sz="4" w:space="0"/>
              <w:left w:val="single" w:color="auto" w:sz="4" w:space="0"/>
              <w:bottom w:val="single" w:color="auto" w:sz="4" w:space="0"/>
              <w:right w:val="single" w:color="auto" w:sz="4" w:space="0"/>
            </w:tcBorders>
            <w:vAlign w:val="center"/>
          </w:tcPr>
          <w:p w14:paraId="1DC8585F">
            <w:pPr>
              <w:spacing w:line="360" w:lineRule="auto"/>
              <w:rPr>
                <w:rFonts w:hint="eastAsia"/>
                <w:szCs w:val="24"/>
                <w:lang w:eastAsia="zh-CN"/>
              </w:rPr>
            </w:pPr>
            <w:r>
              <w:rPr>
                <w:rFonts w:hint="eastAsia"/>
                <w:szCs w:val="24"/>
                <w:lang w:val="en-US" w:eastAsia="zh-CN"/>
              </w:rPr>
              <w:t>14</w:t>
            </w:r>
            <w:r>
              <w:rPr>
                <w:rFonts w:hint="eastAsia"/>
                <w:szCs w:val="24"/>
              </w:rPr>
              <w:t>分</w:t>
            </w:r>
          </w:p>
        </w:tc>
        <w:tc>
          <w:tcPr>
            <w:tcW w:w="6090" w:type="dxa"/>
            <w:tcBorders>
              <w:top w:val="single" w:color="auto" w:sz="4" w:space="0"/>
              <w:left w:val="single" w:color="auto" w:sz="4" w:space="0"/>
              <w:bottom w:val="single" w:color="auto" w:sz="4" w:space="0"/>
              <w:right w:val="single" w:color="auto" w:sz="4" w:space="0"/>
            </w:tcBorders>
            <w:vAlign w:val="center"/>
          </w:tcPr>
          <w:p w14:paraId="0AE98E4D">
            <w:pPr>
              <w:spacing w:line="360" w:lineRule="auto"/>
              <w:rPr>
                <w:rFonts w:hint="eastAsia"/>
                <w:lang w:val="en-US" w:eastAsia="zh-CN"/>
              </w:rPr>
            </w:pPr>
            <w:r>
              <w:rPr>
                <w:rFonts w:hint="eastAsia"/>
                <w:szCs w:val="24"/>
                <w:highlight w:val="yellow"/>
                <w:lang w:val="en-US" w:eastAsia="zh-CN"/>
              </w:rPr>
              <w:t>为满足教学设备管理需求，供应商应针对所投“交互智能平板”、“智能笔”</w:t>
            </w:r>
            <w:r>
              <w:rPr>
                <w:rFonts w:hint="eastAsia"/>
                <w:szCs w:val="24"/>
                <w:lang w:val="en-US" w:eastAsia="zh-CN"/>
              </w:rPr>
              <w:t>等相关产品重点参数进行现场功能演示，评标现场无网络，请供应商自带演示设备，现场演示时间控制在15分钟内,演示以下功能：</w:t>
            </w:r>
          </w:p>
          <w:p w14:paraId="2EA99E13">
            <w:pPr>
              <w:spacing w:line="360" w:lineRule="auto"/>
              <w:rPr>
                <w:rFonts w:hint="eastAsia"/>
                <w:szCs w:val="24"/>
                <w:lang w:val="en-US" w:eastAsia="zh-CN"/>
              </w:rPr>
            </w:pPr>
            <w:r>
              <w:rPr>
                <w:rFonts w:hint="eastAsia"/>
                <w:szCs w:val="24"/>
                <w:lang w:val="en-US" w:eastAsia="zh-CN"/>
              </w:rPr>
              <w:t>1、整机嵌入式系统版本不低于Android 13或同类嵌入式系统，内存≥2GB，存储空间≥8GB。（交互智能平板）</w:t>
            </w:r>
          </w:p>
          <w:p w14:paraId="17AC07AB">
            <w:pPr>
              <w:spacing w:line="360" w:lineRule="auto"/>
              <w:rPr>
                <w:rFonts w:hint="eastAsia"/>
                <w:szCs w:val="24"/>
                <w:lang w:val="en-US" w:eastAsia="zh-CN"/>
              </w:rPr>
            </w:pPr>
            <w:r>
              <w:rPr>
                <w:rFonts w:hint="eastAsia"/>
                <w:szCs w:val="24"/>
                <w:lang w:val="en-US" w:eastAsia="zh-CN"/>
              </w:rPr>
              <w:t>2、整机上边框内置非独立式摄像头，采用一体化集成设计，摄像头数量≥3个。（交互智能平板）</w:t>
            </w:r>
          </w:p>
          <w:p w14:paraId="0C41B72A">
            <w:pPr>
              <w:spacing w:line="360" w:lineRule="auto"/>
              <w:rPr>
                <w:rFonts w:hint="eastAsia"/>
                <w:szCs w:val="24"/>
                <w:lang w:val="en-US" w:eastAsia="zh-CN"/>
              </w:rPr>
            </w:pPr>
            <w:r>
              <w:rPr>
                <w:rFonts w:hint="eastAsia"/>
                <w:szCs w:val="24"/>
                <w:lang w:val="en-US" w:eastAsia="zh-CN"/>
              </w:rPr>
              <w:t>3、整机摄像头支持人脸识别、快速点人数、随机抽人，可识别镜头前的所有学生，并显示人脸标记、随机抽选。支持同时显示标记不少于60人。（交互智能平板）</w:t>
            </w:r>
          </w:p>
          <w:p w14:paraId="41D6D5E2">
            <w:pPr>
              <w:spacing w:line="360" w:lineRule="auto"/>
              <w:rPr>
                <w:rFonts w:hint="default"/>
                <w:szCs w:val="24"/>
                <w:lang w:val="en-US" w:eastAsia="zh-CN"/>
              </w:rPr>
            </w:pPr>
            <w:r>
              <w:rPr>
                <w:rFonts w:hint="eastAsia"/>
                <w:szCs w:val="24"/>
                <w:lang w:val="en-US" w:eastAsia="zh-CN"/>
              </w:rPr>
              <w:t>4、支持纸质护眼模式，支持包括但不限于素描纸、牛皮纸、宣纸、水彩纸、水纹纸等多个模式。（交互智能平板）</w:t>
            </w:r>
          </w:p>
          <w:p w14:paraId="24497FB2">
            <w:pPr>
              <w:spacing w:line="360" w:lineRule="auto"/>
              <w:rPr>
                <w:rFonts w:hint="eastAsia"/>
                <w:szCs w:val="24"/>
                <w:lang w:val="en-US" w:eastAsia="zh-CN"/>
              </w:rPr>
            </w:pPr>
            <w:r>
              <w:rPr>
                <w:rFonts w:hint="eastAsia"/>
                <w:szCs w:val="24"/>
                <w:lang w:val="en-US" w:eastAsia="zh-CN"/>
              </w:rPr>
              <w:t>5、整机Windows通道支持文件传输应用，支持通过扫码、wifi直联、超声三种方式与手机进行握手连接，实现文件传输功能。（交互智能平板）</w:t>
            </w:r>
          </w:p>
          <w:p w14:paraId="0E479149">
            <w:pPr>
              <w:spacing w:line="360" w:lineRule="auto"/>
              <w:rPr>
                <w:rFonts w:hint="eastAsia"/>
                <w:szCs w:val="24"/>
                <w:lang w:val="en-US" w:eastAsia="zh-CN"/>
              </w:rPr>
            </w:pPr>
            <w:r>
              <w:rPr>
                <w:rFonts w:hint="eastAsia"/>
                <w:szCs w:val="24"/>
                <w:lang w:val="en-US" w:eastAsia="zh-CN"/>
              </w:rPr>
              <w:t>6、整机支持5个自定义前置按键，“设置”、“音量-”，“音量+”，“录屏”，“护眼”按键，可通过自定义设置实现前置面板功能按键一键启用任一全局小工具（批注、截屏、计时、降半屏、放大镜、倒数日、日历）、快捷开关（节能模式、纸质护眼模式、经典护眼模式、自动亮度模式。（交互智能平板）</w:t>
            </w:r>
          </w:p>
          <w:p w14:paraId="0E455278">
            <w:pPr>
              <w:spacing w:line="360" w:lineRule="auto"/>
              <w:rPr>
                <w:rFonts w:hint="default"/>
                <w:szCs w:val="24"/>
                <w:lang w:val="en-US" w:eastAsia="zh-CN"/>
              </w:rPr>
            </w:pPr>
            <w:r>
              <w:rPr>
                <w:rFonts w:hint="eastAsia"/>
                <w:szCs w:val="24"/>
                <w:lang w:val="en-US" w:eastAsia="zh-CN"/>
              </w:rPr>
              <w:t>7、</w:t>
            </w:r>
            <w:r>
              <w:rPr>
                <w:rFonts w:hint="default"/>
                <w:szCs w:val="24"/>
                <w:lang w:val="en-US" w:eastAsia="zh-CN"/>
              </w:rPr>
              <w:t>多功能按键：a.短按多功能按键，可实现播放/暂停音视频或flash；b.双击此按键，可实现空鼠/放大镜/聚光灯等功能切换，切换顺序空鼠&gt;放大镜&gt;聚光灯；c.长按此按键即可实现对应功能(空鼠/放大镜/聚光灯)</w:t>
            </w:r>
            <w:r>
              <w:rPr>
                <w:rFonts w:hint="eastAsia"/>
                <w:szCs w:val="24"/>
                <w:lang w:val="en-US" w:eastAsia="zh-CN"/>
              </w:rPr>
              <w:t>（</w:t>
            </w:r>
            <w:r>
              <w:rPr>
                <w:rFonts w:hint="eastAsia"/>
                <w:szCs w:val="24"/>
                <w:highlight w:val="yellow"/>
                <w:lang w:val="en-US" w:eastAsia="zh-CN"/>
              </w:rPr>
              <w:t>智能笔</w:t>
            </w:r>
            <w:r>
              <w:rPr>
                <w:rFonts w:hint="eastAsia"/>
                <w:szCs w:val="24"/>
                <w:lang w:val="en-US" w:eastAsia="zh-CN"/>
              </w:rPr>
              <w:t>）</w:t>
            </w:r>
          </w:p>
          <w:p w14:paraId="457423C3">
            <w:pPr>
              <w:spacing w:line="360" w:lineRule="auto"/>
              <w:rPr>
                <w:rFonts w:hint="eastAsia"/>
                <w:szCs w:val="24"/>
              </w:rPr>
            </w:pPr>
            <w:r>
              <w:rPr>
                <w:rFonts w:hint="eastAsia"/>
                <w:szCs w:val="24"/>
              </w:rPr>
              <w:t>上</w:t>
            </w:r>
            <w:r>
              <w:rPr>
                <w:rFonts w:hint="eastAsia"/>
                <w:szCs w:val="24"/>
                <w:lang w:val="en-US" w:eastAsia="zh-CN"/>
              </w:rPr>
              <w:t>述所有的提供样机进行功能演示及生产厂商参数确认函加盖公章。每个功能</w:t>
            </w:r>
            <w:r>
              <w:rPr>
                <w:rFonts w:hint="eastAsia"/>
                <w:szCs w:val="24"/>
              </w:rPr>
              <w:t>符合要求得</w:t>
            </w:r>
            <w:r>
              <w:rPr>
                <w:rFonts w:hint="eastAsia"/>
                <w:szCs w:val="24"/>
                <w:lang w:val="en-US" w:eastAsia="zh-CN"/>
              </w:rPr>
              <w:t>2</w:t>
            </w:r>
            <w:r>
              <w:rPr>
                <w:rFonts w:hint="eastAsia"/>
                <w:szCs w:val="24"/>
              </w:rPr>
              <w:t>分；，不符合的不得分。</w:t>
            </w:r>
          </w:p>
        </w:tc>
      </w:tr>
      <w:tr w14:paraId="72A868E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55" w:type="dxa"/>
            <w:gridSpan w:val="2"/>
            <w:tcBorders>
              <w:left w:val="single" w:color="auto" w:sz="4" w:space="0"/>
              <w:right w:val="single" w:color="auto" w:sz="4" w:space="0"/>
            </w:tcBorders>
            <w:vAlign w:val="center"/>
          </w:tcPr>
          <w:p w14:paraId="1C6D405A">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7</w:t>
            </w:r>
          </w:p>
        </w:tc>
        <w:tc>
          <w:tcPr>
            <w:tcW w:w="1221" w:type="dxa"/>
            <w:tcBorders>
              <w:left w:val="single" w:color="auto" w:sz="4" w:space="0"/>
              <w:right w:val="single" w:color="auto" w:sz="4" w:space="0"/>
            </w:tcBorders>
            <w:vAlign w:val="center"/>
          </w:tcPr>
          <w:p w14:paraId="0336D350">
            <w:pPr>
              <w:jc w:val="center"/>
              <w:rPr>
                <w:rFonts w:hint="eastAsia" w:ascii="仿宋" w:hAnsi="仿宋" w:eastAsia="仿宋" w:cs="仿宋"/>
                <w:kern w:val="0"/>
                <w:szCs w:val="21"/>
              </w:rPr>
            </w:pPr>
            <w:r>
              <w:rPr>
                <w:rFonts w:hint="eastAsia" w:ascii="仿宋" w:hAnsi="仿宋" w:eastAsia="仿宋" w:cs="仿宋"/>
                <w:szCs w:val="21"/>
                <w:lang w:val="en-US" w:eastAsia="zh-CN"/>
              </w:rPr>
              <w:t>价格</w:t>
            </w:r>
          </w:p>
        </w:tc>
        <w:tc>
          <w:tcPr>
            <w:tcW w:w="1697" w:type="dxa"/>
            <w:tcBorders>
              <w:top w:val="single" w:color="auto" w:sz="4" w:space="0"/>
              <w:left w:val="single" w:color="auto" w:sz="4" w:space="0"/>
              <w:bottom w:val="single" w:color="auto" w:sz="4" w:space="0"/>
              <w:right w:val="single" w:color="auto" w:sz="4" w:space="0"/>
            </w:tcBorders>
            <w:vAlign w:val="center"/>
          </w:tcPr>
          <w:p w14:paraId="055ED086">
            <w:pPr>
              <w:spacing w:line="360" w:lineRule="auto"/>
              <w:rPr>
                <w:rFonts w:hint="eastAsia"/>
                <w:szCs w:val="24"/>
                <w:lang w:val="en-US" w:eastAsia="zh-CN"/>
              </w:rPr>
            </w:pPr>
            <w:r>
              <w:rPr>
                <w:rFonts w:hint="eastAsia"/>
                <w:szCs w:val="24"/>
                <w:lang w:val="en-US" w:eastAsia="zh-CN"/>
              </w:rPr>
              <w:t>30分</w:t>
            </w:r>
          </w:p>
        </w:tc>
        <w:tc>
          <w:tcPr>
            <w:tcW w:w="6090" w:type="dxa"/>
            <w:tcBorders>
              <w:top w:val="single" w:color="auto" w:sz="4" w:space="0"/>
              <w:left w:val="single" w:color="auto" w:sz="4" w:space="0"/>
              <w:bottom w:val="single" w:color="auto" w:sz="4" w:space="0"/>
              <w:right w:val="single" w:color="auto" w:sz="4" w:space="0"/>
            </w:tcBorders>
            <w:vAlign w:val="center"/>
          </w:tcPr>
          <w:p w14:paraId="39C15570">
            <w:pPr>
              <w:spacing w:line="360" w:lineRule="auto"/>
              <w:rPr>
                <w:rFonts w:hint="eastAsia"/>
                <w:szCs w:val="24"/>
                <w:lang w:val="en-US" w:eastAsia="zh-CN"/>
              </w:rPr>
            </w:pPr>
            <w:r>
              <w:rPr>
                <w:rFonts w:hint="eastAsia"/>
                <w:szCs w:val="24"/>
                <w:lang w:val="en-US" w:eastAsia="zh-CN"/>
              </w:rPr>
              <w:t>满足采购文件要求且供应商报价最低的报价为基准价，其价格分为满分。其他供应商的价格分统一按照下列公式计算：</w:t>
            </w:r>
          </w:p>
          <w:p w14:paraId="20EDECE3">
            <w:pPr>
              <w:spacing w:line="360" w:lineRule="auto"/>
              <w:rPr>
                <w:rFonts w:hint="eastAsia"/>
                <w:szCs w:val="24"/>
                <w:lang w:val="en-US" w:eastAsia="zh-CN"/>
              </w:rPr>
            </w:pPr>
            <w:r>
              <w:rPr>
                <w:rFonts w:hint="eastAsia"/>
                <w:szCs w:val="24"/>
                <w:lang w:val="en-US" w:eastAsia="zh-CN"/>
              </w:rPr>
              <w:t>报价得分=(基准价／报价)*30%*100。</w:t>
            </w:r>
          </w:p>
        </w:tc>
      </w:tr>
    </w:tbl>
    <w:p w14:paraId="47BD71F9">
      <w:pPr>
        <w:pStyle w:val="10"/>
        <w:jc w:val="both"/>
      </w:pPr>
    </w:p>
    <w:p w14:paraId="171667D1">
      <w:pPr>
        <w:rPr>
          <w:rFonts w:hint="eastAsia" w:ascii="宋体" w:hAnsi="宋体" w:cs="宋体"/>
          <w:b w:val="0"/>
          <w:color w:val="auto"/>
          <w:szCs w:val="21"/>
        </w:rPr>
      </w:pPr>
      <w:bookmarkStart w:id="222" w:name="_Toc154755488"/>
      <w:bookmarkStart w:id="223" w:name="_Toc154744446"/>
      <w:bookmarkStart w:id="224" w:name="_Toc3618"/>
      <w:r>
        <w:rPr>
          <w:rFonts w:hint="eastAsia" w:ascii="宋体" w:hAnsi="宋体" w:cs="宋体"/>
          <w:b w:val="0"/>
          <w:color w:val="auto"/>
          <w:szCs w:val="21"/>
        </w:rPr>
        <w:br w:type="page"/>
      </w:r>
    </w:p>
    <w:p w14:paraId="24308E9E">
      <w:pPr>
        <w:spacing w:line="360" w:lineRule="auto"/>
        <w:outlineLvl w:val="0"/>
        <w:rPr>
          <w:rFonts w:hint="eastAsia" w:ascii="宋体" w:hAnsi="宋体" w:cs="宋体"/>
          <w:b w:val="0"/>
          <w:color w:val="auto"/>
          <w:szCs w:val="21"/>
        </w:rPr>
      </w:pPr>
      <w:r>
        <w:rPr>
          <w:rFonts w:hint="eastAsia" w:ascii="宋体" w:hAnsi="宋体" w:cs="宋体"/>
          <w:b w:val="0"/>
          <w:color w:val="auto"/>
          <w:szCs w:val="21"/>
        </w:rPr>
        <w:t>附表</w:t>
      </w:r>
    </w:p>
    <w:tbl>
      <w:tblPr>
        <w:tblStyle w:val="29"/>
        <w:tblW w:w="959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416"/>
        <w:gridCol w:w="3345"/>
        <w:gridCol w:w="4830"/>
      </w:tblGrid>
      <w:tr w14:paraId="4B45068F">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73" w:hRule="atLeast"/>
          <w:jc w:val="center"/>
        </w:trPr>
        <w:tc>
          <w:tcPr>
            <w:tcW w:w="1416" w:type="dxa"/>
            <w:noWrap w:val="0"/>
            <w:vAlign w:val="center"/>
          </w:tcPr>
          <w:p w14:paraId="5354C7D8">
            <w:pPr>
              <w:widowControl/>
              <w:jc w:val="center"/>
              <w:rPr>
                <w:rFonts w:hint="eastAsia" w:ascii="宋体" w:hAnsi="宋体" w:cs="宋体"/>
                <w:b w:val="0"/>
                <w:color w:val="auto"/>
                <w:kern w:val="0"/>
                <w:szCs w:val="21"/>
              </w:rPr>
            </w:pPr>
            <w:r>
              <w:rPr>
                <w:rFonts w:hint="eastAsia" w:ascii="宋体" w:hAnsi="宋体" w:cs="宋体"/>
                <w:b w:val="0"/>
                <w:color w:val="auto"/>
                <w:kern w:val="0"/>
                <w:szCs w:val="21"/>
              </w:rPr>
              <w:t>评定</w:t>
            </w:r>
          </w:p>
          <w:p w14:paraId="7FD3E632">
            <w:pPr>
              <w:widowControl/>
              <w:jc w:val="center"/>
              <w:rPr>
                <w:rFonts w:hint="eastAsia" w:ascii="宋体" w:hAnsi="宋体" w:cs="宋体"/>
                <w:b w:val="0"/>
                <w:color w:val="auto"/>
                <w:szCs w:val="21"/>
              </w:rPr>
            </w:pPr>
            <w:r>
              <w:rPr>
                <w:rFonts w:hint="eastAsia" w:ascii="宋体" w:hAnsi="宋体" w:cs="宋体"/>
                <w:b w:val="0"/>
                <w:color w:val="auto"/>
                <w:kern w:val="0"/>
                <w:szCs w:val="21"/>
              </w:rPr>
              <w:t>办法</w:t>
            </w:r>
          </w:p>
        </w:tc>
        <w:tc>
          <w:tcPr>
            <w:tcW w:w="3345" w:type="dxa"/>
            <w:noWrap w:val="0"/>
            <w:vAlign w:val="center"/>
          </w:tcPr>
          <w:p w14:paraId="0E7DADD9">
            <w:pPr>
              <w:jc w:val="center"/>
              <w:rPr>
                <w:rFonts w:hint="eastAsia" w:ascii="宋体" w:hAnsi="宋体" w:cs="宋体"/>
                <w:b w:val="0"/>
                <w:color w:val="auto"/>
                <w:szCs w:val="21"/>
              </w:rPr>
            </w:pPr>
            <w:r>
              <w:rPr>
                <w:rFonts w:hint="eastAsia" w:ascii="宋体" w:hAnsi="宋体" w:cs="宋体"/>
                <w:b w:val="0"/>
                <w:color w:val="auto"/>
                <w:kern w:val="0"/>
                <w:szCs w:val="21"/>
              </w:rPr>
              <w:t>综合评分法</w:t>
            </w:r>
          </w:p>
        </w:tc>
        <w:tc>
          <w:tcPr>
            <w:tcW w:w="4830" w:type="dxa"/>
            <w:noWrap w:val="0"/>
            <w:vAlign w:val="center"/>
          </w:tcPr>
          <w:p w14:paraId="3AC86BD7">
            <w:pPr>
              <w:rPr>
                <w:rFonts w:hint="eastAsia" w:ascii="宋体" w:hAnsi="宋体" w:cs="宋体"/>
                <w:b w:val="0"/>
                <w:color w:val="auto"/>
                <w:szCs w:val="21"/>
              </w:rPr>
            </w:pPr>
            <w:r>
              <w:rPr>
                <w:rFonts w:hint="eastAsia" w:ascii="宋体" w:hAnsi="宋体" w:cs="宋体"/>
                <w:b w:val="0"/>
                <w:color w:val="auto"/>
                <w:szCs w:val="21"/>
              </w:rPr>
              <w:t>各供应商的最终得分为各评委所评定分数的算术平均值。磋商小组将根据供应商最终得分由高到低的顺序推荐3名成交候选人</w:t>
            </w:r>
          </w:p>
        </w:tc>
      </w:tr>
      <w:tr w14:paraId="4B46203C">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73" w:hRule="atLeast"/>
          <w:jc w:val="center"/>
        </w:trPr>
        <w:tc>
          <w:tcPr>
            <w:tcW w:w="9591" w:type="dxa"/>
            <w:gridSpan w:val="3"/>
            <w:noWrap w:val="0"/>
            <w:vAlign w:val="center"/>
          </w:tcPr>
          <w:p w14:paraId="0D4EAB0E">
            <w:pPr>
              <w:jc w:val="center"/>
              <w:rPr>
                <w:rFonts w:hint="eastAsia" w:ascii="宋体" w:hAnsi="宋体" w:cs="宋体"/>
                <w:b w:val="0"/>
                <w:color w:val="auto"/>
                <w:szCs w:val="21"/>
              </w:rPr>
            </w:pPr>
            <w:r>
              <w:rPr>
                <w:rFonts w:hint="eastAsia" w:ascii="宋体" w:hAnsi="宋体" w:cs="宋体"/>
                <w:b w:val="0"/>
                <w:color w:val="auto"/>
                <w:szCs w:val="21"/>
              </w:rPr>
              <w:t>政策支持</w:t>
            </w:r>
          </w:p>
        </w:tc>
      </w:tr>
      <w:tr w14:paraId="7A355A7C">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1416" w:type="dxa"/>
            <w:noWrap w:val="0"/>
            <w:vAlign w:val="center"/>
          </w:tcPr>
          <w:p w14:paraId="67D8CCB2">
            <w:pPr>
              <w:widowControl/>
              <w:jc w:val="center"/>
              <w:rPr>
                <w:rFonts w:hint="eastAsia" w:ascii="宋体" w:hAnsi="宋体" w:cs="宋体"/>
                <w:b w:val="0"/>
                <w:color w:val="auto"/>
                <w:kern w:val="0"/>
                <w:szCs w:val="21"/>
              </w:rPr>
            </w:pPr>
            <w:r>
              <w:rPr>
                <w:rFonts w:hint="eastAsia" w:ascii="宋体" w:hAnsi="宋体" w:cs="宋体"/>
                <w:b w:val="0"/>
                <w:color w:val="auto"/>
                <w:kern w:val="0"/>
                <w:szCs w:val="21"/>
              </w:rPr>
              <w:t>中小企业</w:t>
            </w:r>
          </w:p>
        </w:tc>
        <w:tc>
          <w:tcPr>
            <w:tcW w:w="8175" w:type="dxa"/>
            <w:gridSpan w:val="2"/>
            <w:noWrap w:val="0"/>
            <w:vAlign w:val="center"/>
          </w:tcPr>
          <w:p w14:paraId="418B429B">
            <w:pPr>
              <w:rPr>
                <w:rFonts w:hint="eastAsia" w:ascii="宋体" w:hAnsi="宋体" w:cs="宋体"/>
                <w:b w:val="0"/>
                <w:color w:val="auto"/>
                <w:szCs w:val="21"/>
              </w:rPr>
            </w:pPr>
            <w:r>
              <w:rPr>
                <w:rFonts w:hint="eastAsia" w:ascii="宋体" w:hAnsi="宋体" w:cs="宋体"/>
                <w:b w:val="0"/>
                <w:color w:val="auto"/>
                <w:szCs w:val="21"/>
              </w:rPr>
              <w:t>如符合工信部联企业〔2011〕300号文中对中小企业划型标准的，需提供本单位的《中小企业声明函》（格式见第六章）及企业相关数据资料。</w:t>
            </w:r>
          </w:p>
          <w:p w14:paraId="6BD2FBCD">
            <w:pPr>
              <w:rPr>
                <w:rFonts w:hint="eastAsia" w:ascii="宋体" w:hAnsi="宋体" w:cs="宋体"/>
                <w:b w:val="0"/>
                <w:color w:val="auto"/>
                <w:szCs w:val="21"/>
              </w:rPr>
            </w:pPr>
            <w:r>
              <w:rPr>
                <w:rFonts w:hint="eastAsia" w:ascii="宋体" w:hAnsi="宋体" w:cs="宋体"/>
                <w:b w:val="0"/>
                <w:color w:val="auto"/>
                <w:szCs w:val="21"/>
              </w:rPr>
              <w:t>代理商投标需同时提供制造商及代理商双方的数据资料（制造商直接投标的仅需提供制造商数据资料）及企业所在地的县级以上中小企业主管部门的证明文件，如果数据资料与声明函不一致的，由评标委员会判定。</w:t>
            </w:r>
          </w:p>
          <w:p w14:paraId="63D91A65">
            <w:pPr>
              <w:rPr>
                <w:rFonts w:hint="eastAsia" w:ascii="宋体" w:hAnsi="宋体" w:cs="宋体"/>
                <w:b w:val="0"/>
                <w:color w:val="auto"/>
                <w:szCs w:val="21"/>
              </w:rPr>
            </w:pPr>
            <w:r>
              <w:rPr>
                <w:rFonts w:hint="eastAsia" w:ascii="宋体" w:hAnsi="宋体" w:cs="宋体"/>
                <w:b w:val="0"/>
                <w:color w:val="auto"/>
                <w:szCs w:val="21"/>
              </w:rPr>
              <w:t>经评委会审核确认供应商符合工信部联企业〔2011〕300号文中对中小企业划型标准的，将根据财库〔20</w:t>
            </w:r>
            <w:r>
              <w:rPr>
                <w:rFonts w:hint="eastAsia" w:ascii="宋体" w:hAnsi="宋体" w:cs="宋体"/>
                <w:b w:val="0"/>
                <w:color w:val="auto"/>
                <w:szCs w:val="21"/>
                <w:lang w:val="en-US" w:eastAsia="zh-CN"/>
              </w:rPr>
              <w:t>22</w:t>
            </w:r>
            <w:r>
              <w:rPr>
                <w:rFonts w:hint="eastAsia" w:ascii="宋体" w:hAnsi="宋体" w:cs="宋体"/>
                <w:b w:val="0"/>
                <w:color w:val="auto"/>
                <w:szCs w:val="21"/>
              </w:rPr>
              <w:t>〕1</w:t>
            </w:r>
            <w:r>
              <w:rPr>
                <w:rFonts w:hint="eastAsia" w:ascii="宋体" w:hAnsi="宋体" w:cs="宋体"/>
                <w:b w:val="0"/>
                <w:color w:val="auto"/>
                <w:szCs w:val="21"/>
                <w:lang w:val="en-US" w:eastAsia="zh-CN"/>
              </w:rPr>
              <w:t>9</w:t>
            </w:r>
            <w:r>
              <w:rPr>
                <w:rFonts w:hint="eastAsia" w:ascii="宋体" w:hAnsi="宋体" w:cs="宋体"/>
                <w:b w:val="0"/>
                <w:color w:val="auto"/>
                <w:szCs w:val="21"/>
              </w:rPr>
              <w:t>号文的相关规定在评定时对小型和微型企业产品的价格给予</w:t>
            </w:r>
            <w:r>
              <w:rPr>
                <w:rFonts w:hint="eastAsia" w:ascii="宋体" w:hAnsi="宋体" w:cs="宋体"/>
                <w:b w:val="0"/>
                <w:color w:val="auto"/>
                <w:szCs w:val="21"/>
                <w:lang w:val="en-US" w:eastAsia="zh-CN"/>
              </w:rPr>
              <w:t>10</w:t>
            </w:r>
            <w:r>
              <w:rPr>
                <w:rFonts w:hint="eastAsia" w:ascii="宋体" w:hAnsi="宋体" w:cs="宋体"/>
                <w:b w:val="0"/>
                <w:color w:val="auto"/>
                <w:szCs w:val="21"/>
              </w:rPr>
              <w:t>%的扣除后的价格参与评审。</w:t>
            </w:r>
          </w:p>
        </w:tc>
      </w:tr>
      <w:tr w14:paraId="7FFA234C">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40" w:hRule="atLeast"/>
          <w:jc w:val="center"/>
        </w:trPr>
        <w:tc>
          <w:tcPr>
            <w:tcW w:w="1416" w:type="dxa"/>
            <w:noWrap w:val="0"/>
            <w:vAlign w:val="center"/>
          </w:tcPr>
          <w:p w14:paraId="56F4500A">
            <w:pPr>
              <w:widowControl/>
              <w:jc w:val="center"/>
              <w:rPr>
                <w:rFonts w:hint="eastAsia" w:ascii="宋体" w:hAnsi="宋体" w:cs="宋体"/>
                <w:b w:val="0"/>
                <w:color w:val="auto"/>
                <w:kern w:val="0"/>
                <w:szCs w:val="21"/>
              </w:rPr>
            </w:pPr>
            <w:r>
              <w:rPr>
                <w:rFonts w:hint="eastAsia" w:ascii="宋体" w:hAnsi="宋体" w:cs="宋体"/>
                <w:b w:val="0"/>
                <w:color w:val="auto"/>
                <w:kern w:val="0"/>
                <w:szCs w:val="21"/>
              </w:rPr>
              <w:t>监狱企业</w:t>
            </w:r>
          </w:p>
        </w:tc>
        <w:tc>
          <w:tcPr>
            <w:tcW w:w="8175" w:type="dxa"/>
            <w:gridSpan w:val="2"/>
            <w:noWrap w:val="0"/>
            <w:vAlign w:val="center"/>
          </w:tcPr>
          <w:p w14:paraId="446ABFDC">
            <w:pPr>
              <w:rPr>
                <w:rFonts w:hint="eastAsia" w:ascii="宋体" w:hAnsi="宋体" w:cs="宋体"/>
                <w:b w:val="0"/>
                <w:color w:val="auto"/>
                <w:szCs w:val="21"/>
              </w:rPr>
            </w:pPr>
            <w:r>
              <w:rPr>
                <w:rFonts w:hint="eastAsia" w:ascii="宋体" w:hAnsi="宋体" w:cs="宋体"/>
                <w:b w:val="0"/>
                <w:color w:val="auto"/>
                <w:szCs w:val="21"/>
              </w:rPr>
              <w:t>按照财政部《关于政府采购支持监狱企业发展有关问题的通知》（财库〔2014〕68号）的规定，</w:t>
            </w:r>
            <w:r>
              <w:rPr>
                <w:rFonts w:hint="eastAsia" w:ascii="宋体" w:hAnsi="宋体" w:cs="宋体"/>
                <w:b w:val="0"/>
                <w:color w:val="auto"/>
              </w:rPr>
              <w:t>在政府采购活动中，监狱企业视同小型、微型企业，享受预留份额、评审中价格扣除等政府采购促进中小企业发展的政府采购政策。</w:t>
            </w:r>
          </w:p>
          <w:p w14:paraId="4EA45B81">
            <w:pPr>
              <w:rPr>
                <w:rFonts w:hint="eastAsia" w:ascii="宋体" w:hAnsi="宋体" w:cs="宋体"/>
                <w:b w:val="0"/>
                <w:color w:val="auto"/>
              </w:rPr>
            </w:pPr>
            <w:r>
              <w:rPr>
                <w:rFonts w:hint="eastAsia" w:ascii="宋体" w:hAnsi="宋体" w:cs="宋体"/>
                <w:b w:val="0"/>
                <w:color w:val="auto"/>
              </w:rPr>
              <w:t>监狱企业参加政府采购活动时，应当提供由省级以上监狱管理局、戒毒管理局(含新疆生产建设兵团)出具的属于监狱企业的证明文件，材料不全的不予折扣。</w:t>
            </w:r>
          </w:p>
          <w:p w14:paraId="7ACF57CE">
            <w:pPr>
              <w:rPr>
                <w:rFonts w:hint="eastAsia" w:ascii="宋体" w:hAnsi="宋体" w:cs="宋体"/>
                <w:b w:val="0"/>
                <w:color w:val="auto"/>
                <w:szCs w:val="21"/>
              </w:rPr>
            </w:pPr>
            <w:r>
              <w:rPr>
                <w:rFonts w:hint="eastAsia" w:ascii="宋体" w:hAnsi="宋体" w:cs="宋体"/>
                <w:b w:val="0"/>
                <w:color w:val="auto"/>
              </w:rPr>
              <w:t>经评委会审核确认供应商属于监狱企业的，在评定时视同中小企业。</w:t>
            </w:r>
          </w:p>
        </w:tc>
      </w:tr>
      <w:tr w14:paraId="610421A7">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40" w:hRule="atLeast"/>
          <w:jc w:val="center"/>
        </w:trPr>
        <w:tc>
          <w:tcPr>
            <w:tcW w:w="1416" w:type="dxa"/>
            <w:noWrap w:val="0"/>
            <w:vAlign w:val="center"/>
          </w:tcPr>
          <w:p w14:paraId="381E37F5">
            <w:pPr>
              <w:widowControl/>
              <w:jc w:val="center"/>
              <w:rPr>
                <w:rFonts w:hint="eastAsia" w:ascii="宋体" w:hAnsi="宋体" w:cs="宋体"/>
                <w:b w:val="0"/>
                <w:color w:val="auto"/>
                <w:kern w:val="0"/>
                <w:szCs w:val="21"/>
              </w:rPr>
            </w:pPr>
            <w:r>
              <w:rPr>
                <w:rFonts w:hint="eastAsia" w:ascii="宋体" w:hAnsi="宋体" w:cs="宋体"/>
                <w:b w:val="0"/>
                <w:color w:val="auto"/>
                <w:kern w:val="0"/>
                <w:szCs w:val="21"/>
              </w:rPr>
              <w:t>促进残疾人</w:t>
            </w:r>
          </w:p>
          <w:p w14:paraId="61B2ADF4">
            <w:pPr>
              <w:widowControl/>
              <w:jc w:val="center"/>
              <w:rPr>
                <w:rFonts w:hint="eastAsia" w:ascii="宋体" w:hAnsi="宋体" w:cs="宋体"/>
                <w:b w:val="0"/>
                <w:color w:val="auto"/>
                <w:kern w:val="0"/>
                <w:szCs w:val="21"/>
              </w:rPr>
            </w:pPr>
            <w:r>
              <w:rPr>
                <w:rFonts w:hint="eastAsia" w:ascii="宋体" w:hAnsi="宋体" w:cs="宋体"/>
                <w:b w:val="0"/>
                <w:color w:val="auto"/>
                <w:kern w:val="0"/>
                <w:szCs w:val="21"/>
              </w:rPr>
              <w:t>就业</w:t>
            </w:r>
          </w:p>
        </w:tc>
        <w:tc>
          <w:tcPr>
            <w:tcW w:w="8175" w:type="dxa"/>
            <w:gridSpan w:val="2"/>
            <w:noWrap w:val="0"/>
            <w:vAlign w:val="center"/>
          </w:tcPr>
          <w:p w14:paraId="3189F4B8">
            <w:pPr>
              <w:rPr>
                <w:rFonts w:hint="eastAsia" w:ascii="宋体" w:hAnsi="宋体" w:cs="宋体"/>
                <w:b w:val="0"/>
                <w:color w:val="auto"/>
              </w:rPr>
            </w:pPr>
            <w:r>
              <w:rPr>
                <w:rFonts w:hint="eastAsia" w:ascii="宋体" w:hAnsi="宋体" w:cs="宋体"/>
                <w:b w:val="0"/>
                <w:color w:val="auto"/>
                <w:szCs w:val="21"/>
              </w:rPr>
              <w:t>按照《三部门联合发布关于促进残疾人就业政府采购政策的通知》（财库〔2017〕141号）的规定，</w:t>
            </w:r>
            <w:r>
              <w:rPr>
                <w:rFonts w:hint="eastAsia" w:ascii="宋体" w:hAnsi="宋体" w:cs="宋体"/>
                <w:b w:val="0"/>
                <w:color w:val="auto"/>
              </w:rPr>
              <w:t>在政府采购活动中，残疾人福利性单位视同小型、微型企业，享受预留份额、评审中价格扣除等政府采购促进中小企业发展的政府采购政策。</w:t>
            </w:r>
          </w:p>
          <w:p w14:paraId="148B697C">
            <w:pPr>
              <w:rPr>
                <w:rFonts w:hint="eastAsia" w:ascii="宋体" w:hAnsi="宋体" w:cs="宋体"/>
                <w:b w:val="0"/>
                <w:color w:val="auto"/>
              </w:rPr>
            </w:pPr>
            <w:r>
              <w:rPr>
                <w:rFonts w:hint="eastAsia" w:ascii="宋体" w:hAnsi="宋体" w:cs="宋体"/>
                <w:b w:val="0"/>
                <w:color w:val="auto"/>
                <w:szCs w:val="21"/>
              </w:rPr>
              <w:t>符合条件的</w:t>
            </w:r>
            <w:r>
              <w:rPr>
                <w:rFonts w:hint="eastAsia" w:ascii="宋体" w:hAnsi="宋体" w:cs="宋体"/>
                <w:b w:val="0"/>
                <w:color w:val="auto"/>
              </w:rPr>
              <w:t>残疾人福利性单位在参加政府采购活动时，应当提供</w:t>
            </w:r>
            <w:r>
              <w:rPr>
                <w:rFonts w:hint="eastAsia" w:ascii="宋体" w:hAnsi="宋体" w:cs="宋体"/>
                <w:b w:val="0"/>
                <w:color w:val="auto"/>
                <w:szCs w:val="21"/>
              </w:rPr>
              <w:t>（财库〔2017〕141号）规定的《残疾人福利性单位声明函》（格式见第六章），并对声明的真实性负责，未提供声明函的</w:t>
            </w:r>
            <w:r>
              <w:rPr>
                <w:rFonts w:hint="eastAsia" w:ascii="宋体" w:hAnsi="宋体" w:cs="宋体"/>
                <w:b w:val="0"/>
                <w:color w:val="auto"/>
              </w:rPr>
              <w:t>不予折扣。</w:t>
            </w:r>
          </w:p>
          <w:p w14:paraId="72534608">
            <w:pPr>
              <w:rPr>
                <w:rFonts w:hint="eastAsia" w:ascii="宋体" w:hAnsi="宋体" w:cs="宋体"/>
                <w:b w:val="0"/>
                <w:color w:val="auto"/>
              </w:rPr>
            </w:pPr>
            <w:r>
              <w:rPr>
                <w:rFonts w:hint="eastAsia" w:ascii="宋体" w:hAnsi="宋体" w:cs="宋体"/>
                <w:b w:val="0"/>
                <w:color w:val="auto"/>
              </w:rPr>
              <w:t>经评委会审核确认供应商符合</w:t>
            </w:r>
            <w:r>
              <w:rPr>
                <w:rFonts w:hint="eastAsia" w:ascii="宋体" w:hAnsi="宋体" w:cs="宋体"/>
                <w:b w:val="0"/>
                <w:color w:val="auto"/>
                <w:szCs w:val="21"/>
              </w:rPr>
              <w:t>残疾人福利性单位条件</w:t>
            </w:r>
            <w:r>
              <w:rPr>
                <w:rFonts w:hint="eastAsia" w:ascii="宋体" w:hAnsi="宋体" w:cs="宋体"/>
                <w:b w:val="0"/>
                <w:color w:val="auto"/>
              </w:rPr>
              <w:t>的，在评定时视同中小企业。</w:t>
            </w:r>
          </w:p>
          <w:p w14:paraId="062E5912">
            <w:pPr>
              <w:rPr>
                <w:rFonts w:hint="eastAsia" w:ascii="宋体" w:hAnsi="宋体" w:cs="宋体"/>
                <w:b w:val="0"/>
                <w:color w:val="auto"/>
                <w:szCs w:val="21"/>
              </w:rPr>
            </w:pPr>
            <w:r>
              <w:rPr>
                <w:rFonts w:hint="eastAsia" w:ascii="宋体" w:hAnsi="宋体" w:cs="宋体"/>
                <w:b w:val="0"/>
                <w:color w:val="auto"/>
                <w:szCs w:val="21"/>
              </w:rPr>
              <w:t>残疾人福利性单位属于小型、微型企业的，不重复享受政策。</w:t>
            </w:r>
          </w:p>
        </w:tc>
      </w:tr>
    </w:tbl>
    <w:p w14:paraId="6D68A08B">
      <w:pPr>
        <w:rPr>
          <w:rFonts w:hint="eastAsia"/>
        </w:rPr>
      </w:pPr>
    </w:p>
    <w:p w14:paraId="07DDE2F2">
      <w:pPr>
        <w:pStyle w:val="2"/>
        <w:ind w:firstLine="0"/>
        <w:jc w:val="left"/>
        <w:rPr>
          <w:color w:val="auto"/>
        </w:rPr>
      </w:pPr>
      <w:r>
        <w:rPr>
          <w:rFonts w:hint="eastAsia"/>
          <w:color w:val="auto"/>
        </w:rPr>
        <w:t>（一）评标方法</w:t>
      </w:r>
      <w:bookmarkEnd w:id="217"/>
      <w:bookmarkEnd w:id="218"/>
      <w:bookmarkEnd w:id="219"/>
      <w:bookmarkEnd w:id="220"/>
      <w:bookmarkEnd w:id="221"/>
      <w:bookmarkEnd w:id="222"/>
      <w:bookmarkEnd w:id="223"/>
      <w:bookmarkEnd w:id="224"/>
    </w:p>
    <w:p w14:paraId="6BD4702C">
      <w:pPr>
        <w:autoSpaceDE w:val="0"/>
        <w:autoSpaceDN w:val="0"/>
        <w:adjustRightInd w:val="0"/>
        <w:spacing w:line="319" w:lineRule="auto"/>
        <w:ind w:firstLine="480" w:firstLineChars="200"/>
        <w:jc w:val="left"/>
        <w:rPr>
          <w:rFonts w:ascii="宋体" w:hAnsi="宋体"/>
          <w:sz w:val="24"/>
          <w:szCs w:val="24"/>
        </w:rPr>
      </w:pPr>
      <w:r>
        <w:rPr>
          <w:rFonts w:hint="eastAsia" w:ascii="宋体" w:hAnsi="宋体"/>
          <w:sz w:val="24"/>
          <w:szCs w:val="24"/>
        </w:rPr>
        <w:t>本次评标采用综合评估法。评标委员会对满足招标文件实质性要求的</w:t>
      </w:r>
      <w:r>
        <w:rPr>
          <w:rFonts w:hint="eastAsia" w:ascii="宋体" w:hAnsi="宋体"/>
          <w:sz w:val="24"/>
          <w:szCs w:val="24"/>
          <w:lang w:eastAsia="zh-CN"/>
        </w:rPr>
        <w:t>响应文件</w:t>
      </w:r>
      <w:r>
        <w:rPr>
          <w:rFonts w:hint="eastAsia" w:ascii="宋体" w:hAnsi="宋体"/>
          <w:sz w:val="24"/>
          <w:szCs w:val="24"/>
        </w:rPr>
        <w:t>，按照本章第</w:t>
      </w:r>
      <w:r>
        <w:rPr>
          <w:rFonts w:ascii="宋体" w:hAnsi="宋体"/>
          <w:sz w:val="24"/>
          <w:szCs w:val="24"/>
        </w:rPr>
        <w:t>2款规定的评分标准进行打分，并按得分由高到低顺序推荐中标候选人，综合评分相等时，以技术得分和商务得分之和低的优先；技术得分和商务得分之和也相等的，由招标人自行确定。</w:t>
      </w:r>
    </w:p>
    <w:p w14:paraId="3AE054E2">
      <w:pPr>
        <w:pStyle w:val="2"/>
        <w:jc w:val="left"/>
      </w:pPr>
      <w:bookmarkStart w:id="225" w:name="_Toc364316066"/>
      <w:bookmarkStart w:id="226" w:name="_Toc364341462"/>
      <w:bookmarkStart w:id="227" w:name="_Toc23950"/>
      <w:bookmarkStart w:id="228" w:name="_Toc184635090"/>
      <w:bookmarkStart w:id="229" w:name="_Toc154755489"/>
      <w:r>
        <w:rPr>
          <w:rFonts w:hint="eastAsia"/>
        </w:rPr>
        <w:t>（二）评审标准</w:t>
      </w:r>
      <w:bookmarkEnd w:id="225"/>
      <w:bookmarkEnd w:id="226"/>
      <w:bookmarkEnd w:id="227"/>
      <w:bookmarkEnd w:id="228"/>
      <w:bookmarkEnd w:id="229"/>
    </w:p>
    <w:p w14:paraId="38D05C4F">
      <w:pPr>
        <w:pStyle w:val="4"/>
        <w:spacing w:line="390" w:lineRule="exact"/>
        <w:rPr>
          <w:rFonts w:cs="宋体"/>
          <w:kern w:val="0"/>
          <w:sz w:val="21"/>
          <w:szCs w:val="21"/>
        </w:rPr>
      </w:pPr>
      <w:r>
        <w:rPr>
          <w:rFonts w:cs="宋体"/>
          <w:kern w:val="0"/>
          <w:sz w:val="21"/>
          <w:szCs w:val="21"/>
        </w:rPr>
        <w:t xml:space="preserve">2.1 </w:t>
      </w:r>
      <w:r>
        <w:rPr>
          <w:rFonts w:hint="eastAsia" w:cs="宋体"/>
          <w:kern w:val="0"/>
          <w:sz w:val="21"/>
          <w:szCs w:val="21"/>
        </w:rPr>
        <w:t>初步评审标准</w:t>
      </w:r>
    </w:p>
    <w:p w14:paraId="278BDF29">
      <w:pPr>
        <w:spacing w:line="390" w:lineRule="exact"/>
        <w:ind w:firstLine="480" w:firstLineChars="200"/>
        <w:rPr>
          <w:rFonts w:ascii="宋体" w:hAnsi="宋体"/>
          <w:sz w:val="24"/>
          <w:szCs w:val="24"/>
        </w:rPr>
      </w:pPr>
      <w:r>
        <w:rPr>
          <w:rFonts w:ascii="宋体" w:hAnsi="宋体"/>
          <w:sz w:val="24"/>
          <w:szCs w:val="24"/>
        </w:rPr>
        <w:t xml:space="preserve">2.1.1 </w:t>
      </w:r>
      <w:r>
        <w:rPr>
          <w:rFonts w:hint="eastAsia" w:ascii="宋体" w:hAnsi="宋体"/>
          <w:sz w:val="24"/>
          <w:szCs w:val="24"/>
        </w:rPr>
        <w:t>形式评审标准：见评标标准前附表。</w:t>
      </w:r>
    </w:p>
    <w:p w14:paraId="1F3CD0B4">
      <w:pPr>
        <w:spacing w:line="390" w:lineRule="exact"/>
        <w:ind w:firstLine="480" w:firstLineChars="200"/>
        <w:rPr>
          <w:rFonts w:ascii="宋体" w:hAnsi="宋体"/>
          <w:sz w:val="24"/>
          <w:szCs w:val="24"/>
        </w:rPr>
      </w:pPr>
      <w:r>
        <w:rPr>
          <w:rFonts w:ascii="宋体" w:hAnsi="宋体"/>
          <w:sz w:val="24"/>
          <w:szCs w:val="24"/>
        </w:rPr>
        <w:t>2.1.2资格评审标准：见评标</w:t>
      </w:r>
      <w:r>
        <w:rPr>
          <w:rFonts w:hint="eastAsia" w:ascii="宋体" w:hAnsi="宋体"/>
          <w:sz w:val="24"/>
          <w:szCs w:val="24"/>
        </w:rPr>
        <w:t>标准</w:t>
      </w:r>
      <w:r>
        <w:rPr>
          <w:rFonts w:ascii="宋体" w:hAnsi="宋体"/>
          <w:sz w:val="24"/>
          <w:szCs w:val="24"/>
        </w:rPr>
        <w:t>前附表。</w:t>
      </w:r>
    </w:p>
    <w:p w14:paraId="1A7EFB96">
      <w:pPr>
        <w:spacing w:line="390" w:lineRule="exact"/>
        <w:ind w:firstLine="480" w:firstLineChars="200"/>
        <w:rPr>
          <w:rFonts w:ascii="宋体" w:hAnsi="宋体"/>
          <w:sz w:val="24"/>
          <w:szCs w:val="24"/>
        </w:rPr>
      </w:pPr>
      <w:r>
        <w:rPr>
          <w:rFonts w:ascii="宋体" w:hAnsi="宋体"/>
          <w:sz w:val="24"/>
          <w:szCs w:val="24"/>
        </w:rPr>
        <w:t>2.1.3响应性评审标准：见评标</w:t>
      </w:r>
      <w:r>
        <w:rPr>
          <w:rFonts w:hint="eastAsia" w:ascii="宋体" w:hAnsi="宋体"/>
          <w:sz w:val="24"/>
          <w:szCs w:val="24"/>
        </w:rPr>
        <w:t>标准</w:t>
      </w:r>
      <w:r>
        <w:rPr>
          <w:rFonts w:ascii="宋体" w:hAnsi="宋体"/>
          <w:sz w:val="24"/>
          <w:szCs w:val="24"/>
        </w:rPr>
        <w:t>前附表。</w:t>
      </w:r>
    </w:p>
    <w:p w14:paraId="3231CFBD">
      <w:pPr>
        <w:pStyle w:val="4"/>
        <w:spacing w:line="390" w:lineRule="exact"/>
        <w:rPr>
          <w:rFonts w:cs="宋体"/>
          <w:kern w:val="0"/>
          <w:sz w:val="21"/>
          <w:szCs w:val="21"/>
        </w:rPr>
      </w:pPr>
      <w:r>
        <w:rPr>
          <w:rFonts w:cs="宋体"/>
          <w:kern w:val="0"/>
          <w:sz w:val="21"/>
          <w:szCs w:val="21"/>
        </w:rPr>
        <w:t xml:space="preserve">2.2 </w:t>
      </w:r>
      <w:r>
        <w:rPr>
          <w:rFonts w:hint="eastAsia" w:cs="宋体"/>
          <w:kern w:val="0"/>
          <w:sz w:val="21"/>
          <w:szCs w:val="21"/>
        </w:rPr>
        <w:t>详细评审标准</w:t>
      </w:r>
    </w:p>
    <w:p w14:paraId="71159D06">
      <w:pPr>
        <w:spacing w:line="390" w:lineRule="exact"/>
        <w:ind w:firstLine="480" w:firstLineChars="200"/>
        <w:rPr>
          <w:rFonts w:ascii="宋体" w:hAnsi="宋体"/>
          <w:sz w:val="24"/>
          <w:szCs w:val="24"/>
        </w:rPr>
      </w:pPr>
      <w:r>
        <w:rPr>
          <w:rFonts w:hint="eastAsia" w:ascii="宋体" w:hAnsi="宋体"/>
          <w:sz w:val="24"/>
          <w:szCs w:val="24"/>
        </w:rPr>
        <w:t>详细评审标准：见评标标准前附表。</w:t>
      </w:r>
    </w:p>
    <w:p w14:paraId="20C54D47">
      <w:pPr>
        <w:spacing w:line="390" w:lineRule="exact"/>
        <w:ind w:firstLine="480" w:firstLineChars="200"/>
        <w:rPr>
          <w:rFonts w:ascii="宋体" w:hAnsi="宋体"/>
          <w:sz w:val="24"/>
          <w:szCs w:val="24"/>
        </w:rPr>
      </w:pPr>
    </w:p>
    <w:p w14:paraId="0FF9CE7A">
      <w:pPr>
        <w:pStyle w:val="2"/>
        <w:jc w:val="left"/>
      </w:pPr>
      <w:bookmarkStart w:id="230" w:name="_Toc184635091"/>
      <w:bookmarkStart w:id="231" w:name="_Toc364316067"/>
      <w:bookmarkStart w:id="232" w:name="_Toc154755490"/>
      <w:bookmarkStart w:id="233" w:name="_Toc364341463"/>
      <w:bookmarkStart w:id="234" w:name="_Toc7861"/>
      <w:r>
        <w:rPr>
          <w:rFonts w:hint="eastAsia"/>
        </w:rPr>
        <w:t>（三）评标程序</w:t>
      </w:r>
      <w:bookmarkEnd w:id="230"/>
      <w:bookmarkEnd w:id="231"/>
      <w:bookmarkEnd w:id="232"/>
      <w:bookmarkEnd w:id="233"/>
      <w:bookmarkEnd w:id="234"/>
    </w:p>
    <w:p w14:paraId="09E26511">
      <w:pPr>
        <w:pStyle w:val="4"/>
        <w:spacing w:line="390" w:lineRule="exact"/>
        <w:rPr>
          <w:rFonts w:cs="宋体"/>
          <w:kern w:val="0"/>
          <w:sz w:val="21"/>
          <w:szCs w:val="21"/>
        </w:rPr>
      </w:pPr>
      <w:r>
        <w:rPr>
          <w:rFonts w:cs="宋体"/>
          <w:kern w:val="0"/>
          <w:sz w:val="21"/>
          <w:szCs w:val="21"/>
        </w:rPr>
        <w:t xml:space="preserve">3.1 </w:t>
      </w:r>
      <w:r>
        <w:rPr>
          <w:rFonts w:hint="eastAsia" w:cs="宋体"/>
          <w:kern w:val="0"/>
          <w:sz w:val="21"/>
          <w:szCs w:val="21"/>
        </w:rPr>
        <w:t>初步评审</w:t>
      </w:r>
    </w:p>
    <w:p w14:paraId="29BC9FC4">
      <w:pPr>
        <w:spacing w:line="580" w:lineRule="exact"/>
        <w:ind w:firstLine="480" w:firstLineChars="200"/>
        <w:rPr>
          <w:rFonts w:ascii="宋体" w:hAnsi="宋体"/>
          <w:sz w:val="24"/>
          <w:szCs w:val="24"/>
        </w:rPr>
      </w:pPr>
      <w:r>
        <w:rPr>
          <w:rFonts w:ascii="宋体" w:hAnsi="宋体"/>
          <w:sz w:val="24"/>
          <w:szCs w:val="24"/>
        </w:rPr>
        <w:t xml:space="preserve">3.1.1 </w:t>
      </w:r>
      <w:r>
        <w:rPr>
          <w:rFonts w:hint="eastAsia" w:ascii="宋体" w:hAnsi="宋体"/>
          <w:sz w:val="24"/>
          <w:szCs w:val="24"/>
        </w:rPr>
        <w:t>评标委员会要求</w:t>
      </w:r>
      <w:r>
        <w:rPr>
          <w:rFonts w:hint="eastAsia" w:ascii="宋体" w:hAnsi="宋体"/>
          <w:sz w:val="24"/>
          <w:szCs w:val="24"/>
          <w:lang w:eastAsia="zh-CN"/>
        </w:rPr>
        <w:t>供应商</w:t>
      </w:r>
      <w:r>
        <w:rPr>
          <w:rFonts w:hint="eastAsia" w:ascii="宋体" w:hAnsi="宋体"/>
          <w:sz w:val="24"/>
          <w:szCs w:val="24"/>
        </w:rPr>
        <w:t>按第二章</w:t>
      </w:r>
      <w:r>
        <w:rPr>
          <w:rFonts w:hint="eastAsia" w:ascii="宋体" w:hAnsi="宋体"/>
          <w:sz w:val="24"/>
          <w:szCs w:val="24"/>
          <w:lang w:eastAsia="zh-CN"/>
        </w:rPr>
        <w:t>供应商</w:t>
      </w:r>
      <w:r>
        <w:rPr>
          <w:rFonts w:hint="eastAsia" w:ascii="宋体" w:hAnsi="宋体"/>
          <w:sz w:val="24"/>
          <w:szCs w:val="24"/>
        </w:rPr>
        <w:t>须知前附表第</w:t>
      </w:r>
      <w:r>
        <w:rPr>
          <w:rFonts w:ascii="宋体" w:hAnsi="宋体"/>
          <w:sz w:val="24"/>
          <w:szCs w:val="24"/>
        </w:rPr>
        <w:t>10款项规定提交有关证件资料。</w:t>
      </w:r>
    </w:p>
    <w:p w14:paraId="587BDD10">
      <w:pPr>
        <w:spacing w:line="580" w:lineRule="exact"/>
        <w:ind w:firstLine="480" w:firstLineChars="200"/>
        <w:rPr>
          <w:rFonts w:ascii="宋体" w:hAnsi="宋体"/>
          <w:sz w:val="24"/>
          <w:szCs w:val="24"/>
        </w:rPr>
      </w:pPr>
      <w:r>
        <w:rPr>
          <w:rFonts w:ascii="宋体" w:hAnsi="宋体"/>
          <w:sz w:val="24"/>
          <w:szCs w:val="24"/>
        </w:rPr>
        <w:t xml:space="preserve">3.1.2 </w:t>
      </w:r>
      <w:r>
        <w:rPr>
          <w:rFonts w:hint="eastAsia" w:ascii="宋体" w:hAnsi="宋体"/>
          <w:sz w:val="24"/>
          <w:szCs w:val="24"/>
          <w:lang w:eastAsia="zh-CN"/>
        </w:rPr>
        <w:t>供应商</w:t>
      </w:r>
      <w:r>
        <w:rPr>
          <w:rFonts w:hint="eastAsia" w:ascii="宋体" w:hAnsi="宋体"/>
          <w:sz w:val="24"/>
          <w:szCs w:val="24"/>
        </w:rPr>
        <w:t>有以下情形之一的，其投标作废标处理：</w:t>
      </w:r>
    </w:p>
    <w:p w14:paraId="0EAD3C49">
      <w:pPr>
        <w:spacing w:line="580" w:lineRule="exact"/>
        <w:ind w:firstLine="480" w:firstLineChars="200"/>
        <w:rPr>
          <w:rFonts w:ascii="宋体" w:hAnsi="宋体"/>
          <w:sz w:val="24"/>
          <w:szCs w:val="24"/>
        </w:rPr>
      </w:pPr>
      <w:r>
        <w:rPr>
          <w:rFonts w:hint="eastAsia" w:ascii="宋体" w:hAnsi="宋体"/>
          <w:sz w:val="24"/>
          <w:szCs w:val="24"/>
        </w:rPr>
        <w:t>（</w:t>
      </w:r>
      <w:r>
        <w:rPr>
          <w:rFonts w:ascii="宋体" w:hAnsi="宋体"/>
          <w:sz w:val="24"/>
          <w:szCs w:val="24"/>
        </w:rPr>
        <w:t>1）串通投标或弄虚作假或有其他违法行为的；</w:t>
      </w:r>
    </w:p>
    <w:p w14:paraId="2DE5FFC5">
      <w:pPr>
        <w:spacing w:line="400" w:lineRule="exact"/>
        <w:ind w:firstLine="480" w:firstLineChars="200"/>
        <w:rPr>
          <w:rFonts w:ascii="宋体" w:hAnsi="宋体"/>
          <w:sz w:val="24"/>
          <w:szCs w:val="24"/>
        </w:rPr>
      </w:pPr>
      <w:r>
        <w:rPr>
          <w:rFonts w:hint="eastAsia" w:ascii="宋体" w:hAnsi="宋体"/>
          <w:sz w:val="24"/>
          <w:szCs w:val="24"/>
        </w:rPr>
        <w:t>（</w:t>
      </w:r>
      <w:r>
        <w:rPr>
          <w:rFonts w:ascii="宋体" w:hAnsi="宋体"/>
          <w:sz w:val="24"/>
          <w:szCs w:val="24"/>
        </w:rPr>
        <w:t>2）不按评标委员会要求澄清、说明或补正的；</w:t>
      </w:r>
    </w:p>
    <w:p w14:paraId="23F31AFC">
      <w:pPr>
        <w:spacing w:line="400" w:lineRule="exact"/>
        <w:ind w:firstLine="360" w:firstLineChars="150"/>
        <w:rPr>
          <w:rFonts w:ascii="宋体" w:hAnsi="宋体"/>
          <w:sz w:val="24"/>
          <w:szCs w:val="24"/>
        </w:rPr>
      </w:pPr>
      <w:r>
        <w:rPr>
          <w:rFonts w:hint="eastAsia" w:ascii="宋体" w:hAnsi="宋体"/>
          <w:sz w:val="24"/>
          <w:szCs w:val="24"/>
        </w:rPr>
        <w:t xml:space="preserve"> （</w:t>
      </w:r>
      <w:r>
        <w:rPr>
          <w:rFonts w:ascii="宋体" w:hAnsi="宋体"/>
          <w:sz w:val="24"/>
          <w:szCs w:val="24"/>
        </w:rPr>
        <w:t>3）未按第二章第10款项规定提供有关证件资料的核验者。</w:t>
      </w:r>
    </w:p>
    <w:p w14:paraId="7438BA03">
      <w:pPr>
        <w:pStyle w:val="4"/>
        <w:spacing w:line="390" w:lineRule="exact"/>
        <w:rPr>
          <w:rFonts w:cs="宋体"/>
          <w:kern w:val="0"/>
          <w:sz w:val="21"/>
          <w:szCs w:val="21"/>
        </w:rPr>
      </w:pPr>
      <w:r>
        <w:rPr>
          <w:rFonts w:cs="宋体"/>
          <w:kern w:val="0"/>
          <w:sz w:val="21"/>
          <w:szCs w:val="21"/>
        </w:rPr>
        <w:t xml:space="preserve">3.2 </w:t>
      </w:r>
      <w:r>
        <w:rPr>
          <w:rFonts w:hint="eastAsia" w:cs="宋体"/>
          <w:kern w:val="0"/>
          <w:sz w:val="21"/>
          <w:szCs w:val="21"/>
        </w:rPr>
        <w:t>详细评审</w:t>
      </w:r>
    </w:p>
    <w:p w14:paraId="25D55AA0">
      <w:pPr>
        <w:spacing w:line="400" w:lineRule="exact"/>
        <w:ind w:firstLine="480" w:firstLineChars="200"/>
        <w:rPr>
          <w:rFonts w:ascii="宋体" w:hAnsi="宋体"/>
          <w:sz w:val="24"/>
          <w:szCs w:val="24"/>
        </w:rPr>
      </w:pPr>
      <w:r>
        <w:rPr>
          <w:rFonts w:ascii="宋体" w:hAnsi="宋体"/>
          <w:sz w:val="24"/>
          <w:szCs w:val="24"/>
        </w:rPr>
        <w:t xml:space="preserve">3.2.1 </w:t>
      </w:r>
      <w:r>
        <w:rPr>
          <w:rFonts w:hint="eastAsia" w:ascii="宋体" w:hAnsi="宋体"/>
          <w:sz w:val="24"/>
          <w:szCs w:val="24"/>
        </w:rPr>
        <w:t>评标委员会根据评审办法对通过初步评审的</w:t>
      </w:r>
      <w:r>
        <w:rPr>
          <w:rFonts w:hint="eastAsia" w:ascii="宋体" w:hAnsi="宋体"/>
          <w:sz w:val="24"/>
          <w:szCs w:val="24"/>
          <w:lang w:eastAsia="zh-CN"/>
        </w:rPr>
        <w:t>响应文件</w:t>
      </w:r>
      <w:r>
        <w:rPr>
          <w:rFonts w:hint="eastAsia" w:ascii="宋体" w:hAnsi="宋体"/>
          <w:sz w:val="24"/>
          <w:szCs w:val="24"/>
        </w:rPr>
        <w:t>进行详细评审，并进行技术和商务的评审打分，商务技术得分：各有效</w:t>
      </w:r>
      <w:r>
        <w:rPr>
          <w:rFonts w:hint="eastAsia" w:ascii="宋体" w:hAnsi="宋体"/>
          <w:sz w:val="24"/>
          <w:szCs w:val="24"/>
          <w:lang w:eastAsia="zh-CN"/>
        </w:rPr>
        <w:t>供应商</w:t>
      </w:r>
      <w:r>
        <w:rPr>
          <w:rFonts w:hint="eastAsia" w:ascii="宋体" w:hAnsi="宋体"/>
          <w:sz w:val="24"/>
          <w:szCs w:val="24"/>
        </w:rPr>
        <w:t>的最终商务技术得分为各评委最终商务技术评分的算术平均值；</w:t>
      </w:r>
    </w:p>
    <w:p w14:paraId="16C37929">
      <w:pPr>
        <w:spacing w:line="400" w:lineRule="exact"/>
        <w:ind w:firstLine="480" w:firstLineChars="200"/>
        <w:rPr>
          <w:rFonts w:ascii="宋体" w:hAnsi="宋体"/>
          <w:sz w:val="24"/>
          <w:szCs w:val="24"/>
        </w:rPr>
      </w:pPr>
      <w:r>
        <w:rPr>
          <w:rFonts w:ascii="宋体" w:hAnsi="宋体"/>
          <w:sz w:val="24"/>
          <w:szCs w:val="24"/>
        </w:rPr>
        <w:t xml:space="preserve">3.2.2 </w:t>
      </w:r>
      <w:r>
        <w:rPr>
          <w:rFonts w:hint="eastAsia" w:ascii="宋体" w:hAnsi="宋体"/>
          <w:sz w:val="24"/>
          <w:szCs w:val="24"/>
        </w:rPr>
        <w:t>评分分值计算保留小数点后两位，小数点后三位“四舍五入”；</w:t>
      </w:r>
    </w:p>
    <w:p w14:paraId="58D4153C">
      <w:pPr>
        <w:spacing w:line="400" w:lineRule="exact"/>
        <w:ind w:firstLine="480" w:firstLineChars="200"/>
        <w:rPr>
          <w:rFonts w:ascii="宋体" w:hAnsi="宋体"/>
          <w:sz w:val="24"/>
          <w:szCs w:val="24"/>
        </w:rPr>
      </w:pPr>
      <w:r>
        <w:rPr>
          <w:rFonts w:ascii="宋体" w:hAnsi="宋体"/>
          <w:sz w:val="24"/>
          <w:szCs w:val="24"/>
        </w:rPr>
        <w:t xml:space="preserve">3.2.3 </w:t>
      </w:r>
      <w:r>
        <w:rPr>
          <w:rFonts w:hint="eastAsia" w:ascii="宋体" w:hAnsi="宋体"/>
          <w:sz w:val="24"/>
          <w:szCs w:val="24"/>
          <w:lang w:eastAsia="zh-CN"/>
        </w:rPr>
        <w:t>供应商</w:t>
      </w:r>
      <w:r>
        <w:rPr>
          <w:rFonts w:hint="eastAsia" w:ascii="宋体" w:hAnsi="宋体"/>
          <w:sz w:val="24"/>
          <w:szCs w:val="24"/>
        </w:rPr>
        <w:t>得分</w:t>
      </w:r>
      <w:r>
        <w:rPr>
          <w:rFonts w:ascii="宋体" w:hAnsi="宋体"/>
          <w:sz w:val="24"/>
          <w:szCs w:val="24"/>
        </w:rPr>
        <w:t>=投标报价得分+技术商务得分。</w:t>
      </w:r>
    </w:p>
    <w:p w14:paraId="3EEE859B">
      <w:pPr>
        <w:pStyle w:val="4"/>
        <w:spacing w:line="390" w:lineRule="exact"/>
        <w:rPr>
          <w:rFonts w:cs="宋体"/>
          <w:kern w:val="0"/>
          <w:sz w:val="21"/>
          <w:szCs w:val="21"/>
        </w:rPr>
      </w:pPr>
      <w:r>
        <w:rPr>
          <w:rFonts w:cs="宋体"/>
          <w:kern w:val="0"/>
          <w:sz w:val="21"/>
          <w:szCs w:val="21"/>
        </w:rPr>
        <w:t xml:space="preserve">3.3 </w:t>
      </w:r>
      <w:r>
        <w:rPr>
          <w:rFonts w:hint="eastAsia" w:cs="宋体"/>
          <w:kern w:val="0"/>
          <w:sz w:val="21"/>
          <w:szCs w:val="21"/>
          <w:lang w:eastAsia="zh-CN"/>
        </w:rPr>
        <w:t>响应文件</w:t>
      </w:r>
      <w:r>
        <w:rPr>
          <w:rFonts w:hint="eastAsia" w:cs="宋体"/>
          <w:kern w:val="0"/>
          <w:sz w:val="21"/>
          <w:szCs w:val="21"/>
        </w:rPr>
        <w:t>的澄清和补正</w:t>
      </w:r>
    </w:p>
    <w:p w14:paraId="098B346F">
      <w:pPr>
        <w:spacing w:line="400" w:lineRule="exact"/>
        <w:ind w:firstLine="480" w:firstLineChars="200"/>
        <w:rPr>
          <w:rFonts w:ascii="宋体" w:hAnsi="宋体"/>
          <w:sz w:val="24"/>
          <w:szCs w:val="24"/>
        </w:rPr>
      </w:pPr>
      <w:r>
        <w:rPr>
          <w:rFonts w:ascii="宋体" w:hAnsi="宋体"/>
          <w:sz w:val="24"/>
          <w:szCs w:val="24"/>
        </w:rPr>
        <w:t xml:space="preserve">3.3.1 </w:t>
      </w:r>
      <w:r>
        <w:rPr>
          <w:rFonts w:hint="eastAsia" w:ascii="宋体" w:hAnsi="宋体"/>
          <w:sz w:val="24"/>
          <w:szCs w:val="24"/>
        </w:rPr>
        <w:t>在评标过程中，评标委员会可以书面形式要求</w:t>
      </w:r>
      <w:r>
        <w:rPr>
          <w:rFonts w:hint="eastAsia" w:ascii="宋体" w:hAnsi="宋体"/>
          <w:sz w:val="24"/>
          <w:szCs w:val="24"/>
          <w:lang w:eastAsia="zh-CN"/>
        </w:rPr>
        <w:t>供应商</w:t>
      </w:r>
      <w:r>
        <w:rPr>
          <w:rFonts w:hint="eastAsia" w:ascii="宋体" w:hAnsi="宋体"/>
          <w:sz w:val="24"/>
          <w:szCs w:val="24"/>
        </w:rPr>
        <w:t>对所提交的</w:t>
      </w:r>
      <w:r>
        <w:rPr>
          <w:rFonts w:hint="eastAsia" w:ascii="宋体" w:hAnsi="宋体"/>
          <w:sz w:val="24"/>
          <w:szCs w:val="24"/>
          <w:lang w:eastAsia="zh-CN"/>
        </w:rPr>
        <w:t>响应文件</w:t>
      </w:r>
      <w:r>
        <w:rPr>
          <w:rFonts w:hint="eastAsia" w:ascii="宋体" w:hAnsi="宋体"/>
          <w:sz w:val="24"/>
          <w:szCs w:val="24"/>
        </w:rPr>
        <w:t>中不明确的内容进行书面澄清或说明，或者对细微偏差进行补正。评标委员会不接受</w:t>
      </w:r>
      <w:r>
        <w:rPr>
          <w:rFonts w:hint="eastAsia" w:ascii="宋体" w:hAnsi="宋体"/>
          <w:sz w:val="24"/>
          <w:szCs w:val="24"/>
          <w:lang w:eastAsia="zh-CN"/>
        </w:rPr>
        <w:t>供应商</w:t>
      </w:r>
      <w:r>
        <w:rPr>
          <w:rFonts w:hint="eastAsia" w:ascii="宋体" w:hAnsi="宋体"/>
          <w:sz w:val="24"/>
          <w:szCs w:val="24"/>
        </w:rPr>
        <w:t>主动提出的澄清、说明或补正；</w:t>
      </w:r>
    </w:p>
    <w:p w14:paraId="1CE08C7D">
      <w:pPr>
        <w:spacing w:line="400" w:lineRule="exact"/>
        <w:ind w:firstLine="480" w:firstLineChars="200"/>
        <w:rPr>
          <w:rFonts w:ascii="宋体" w:hAnsi="宋体"/>
          <w:sz w:val="24"/>
          <w:szCs w:val="24"/>
        </w:rPr>
      </w:pPr>
      <w:r>
        <w:rPr>
          <w:rFonts w:ascii="宋体" w:hAnsi="宋体"/>
          <w:sz w:val="24"/>
          <w:szCs w:val="24"/>
        </w:rPr>
        <w:t xml:space="preserve">3.3.2 </w:t>
      </w:r>
      <w:r>
        <w:rPr>
          <w:rFonts w:hint="eastAsia" w:ascii="宋体" w:hAnsi="宋体"/>
          <w:sz w:val="24"/>
          <w:szCs w:val="24"/>
        </w:rPr>
        <w:t>澄清、说明和补正不得改变</w:t>
      </w:r>
      <w:r>
        <w:rPr>
          <w:rFonts w:hint="eastAsia" w:ascii="宋体" w:hAnsi="宋体"/>
          <w:sz w:val="24"/>
          <w:szCs w:val="24"/>
          <w:lang w:eastAsia="zh-CN"/>
        </w:rPr>
        <w:t>响应文件</w:t>
      </w:r>
      <w:r>
        <w:rPr>
          <w:rFonts w:hint="eastAsia" w:ascii="宋体" w:hAnsi="宋体"/>
          <w:sz w:val="24"/>
          <w:szCs w:val="24"/>
        </w:rPr>
        <w:t>的实质性内容（算术性错误修正的除外）。</w:t>
      </w:r>
      <w:r>
        <w:rPr>
          <w:rFonts w:hint="eastAsia" w:ascii="宋体" w:hAnsi="宋体"/>
          <w:sz w:val="24"/>
          <w:szCs w:val="24"/>
          <w:lang w:eastAsia="zh-CN"/>
        </w:rPr>
        <w:t>供应商</w:t>
      </w:r>
      <w:r>
        <w:rPr>
          <w:rFonts w:hint="eastAsia" w:ascii="宋体" w:hAnsi="宋体"/>
          <w:sz w:val="24"/>
          <w:szCs w:val="24"/>
        </w:rPr>
        <w:t>的书面澄清、说明和补正属于</w:t>
      </w:r>
      <w:r>
        <w:rPr>
          <w:rFonts w:hint="eastAsia" w:ascii="宋体" w:hAnsi="宋体"/>
          <w:sz w:val="24"/>
          <w:szCs w:val="24"/>
          <w:lang w:eastAsia="zh-CN"/>
        </w:rPr>
        <w:t>响应文件</w:t>
      </w:r>
      <w:r>
        <w:rPr>
          <w:rFonts w:hint="eastAsia" w:ascii="宋体" w:hAnsi="宋体"/>
          <w:sz w:val="24"/>
          <w:szCs w:val="24"/>
        </w:rPr>
        <w:t>的组成部分；</w:t>
      </w:r>
    </w:p>
    <w:p w14:paraId="07571C30">
      <w:pPr>
        <w:spacing w:line="400" w:lineRule="exact"/>
        <w:ind w:firstLine="480" w:firstLineChars="200"/>
        <w:rPr>
          <w:rFonts w:ascii="宋体" w:hAnsi="宋体"/>
          <w:sz w:val="24"/>
          <w:szCs w:val="24"/>
        </w:rPr>
      </w:pPr>
      <w:r>
        <w:rPr>
          <w:rFonts w:ascii="宋体" w:hAnsi="宋体"/>
          <w:sz w:val="24"/>
          <w:szCs w:val="24"/>
        </w:rPr>
        <w:t xml:space="preserve">3.3.3 </w:t>
      </w:r>
      <w:r>
        <w:rPr>
          <w:rFonts w:hint="eastAsia" w:ascii="宋体" w:hAnsi="宋体"/>
          <w:sz w:val="24"/>
          <w:szCs w:val="24"/>
        </w:rPr>
        <w:t>评标委员会对</w:t>
      </w:r>
      <w:r>
        <w:rPr>
          <w:rFonts w:hint="eastAsia" w:ascii="宋体" w:hAnsi="宋体"/>
          <w:sz w:val="24"/>
          <w:szCs w:val="24"/>
          <w:lang w:eastAsia="zh-CN"/>
        </w:rPr>
        <w:t>供应商</w:t>
      </w:r>
      <w:r>
        <w:rPr>
          <w:rFonts w:hint="eastAsia" w:ascii="宋体" w:hAnsi="宋体"/>
          <w:sz w:val="24"/>
          <w:szCs w:val="24"/>
        </w:rPr>
        <w:t>提交的澄清、说明或补正有疑问的，可以要求</w:t>
      </w:r>
      <w:r>
        <w:rPr>
          <w:rFonts w:hint="eastAsia" w:ascii="宋体" w:hAnsi="宋体"/>
          <w:sz w:val="24"/>
          <w:szCs w:val="24"/>
          <w:lang w:eastAsia="zh-CN"/>
        </w:rPr>
        <w:t>供应商</w:t>
      </w:r>
      <w:r>
        <w:rPr>
          <w:rFonts w:hint="eastAsia" w:ascii="宋体" w:hAnsi="宋体"/>
          <w:sz w:val="24"/>
          <w:szCs w:val="24"/>
        </w:rPr>
        <w:t>进一步澄清、说明或补正，直至满足评标委员会的要求。</w:t>
      </w:r>
    </w:p>
    <w:p w14:paraId="5A5AEE65">
      <w:pPr>
        <w:pStyle w:val="4"/>
        <w:spacing w:line="390" w:lineRule="exact"/>
        <w:rPr>
          <w:rFonts w:cs="宋体"/>
          <w:kern w:val="0"/>
          <w:sz w:val="21"/>
          <w:szCs w:val="21"/>
        </w:rPr>
      </w:pPr>
      <w:r>
        <w:rPr>
          <w:rFonts w:cs="宋体"/>
          <w:kern w:val="0"/>
          <w:sz w:val="21"/>
          <w:szCs w:val="21"/>
        </w:rPr>
        <w:t xml:space="preserve">3.4 </w:t>
      </w:r>
      <w:r>
        <w:rPr>
          <w:rFonts w:hint="eastAsia" w:cs="宋体"/>
          <w:kern w:val="0"/>
          <w:sz w:val="21"/>
          <w:szCs w:val="21"/>
        </w:rPr>
        <w:t>评标结果</w:t>
      </w:r>
    </w:p>
    <w:p w14:paraId="42DF519D">
      <w:pPr>
        <w:spacing w:line="400" w:lineRule="exact"/>
        <w:ind w:firstLine="480" w:firstLineChars="200"/>
        <w:rPr>
          <w:rFonts w:ascii="宋体" w:hAnsi="宋体"/>
          <w:sz w:val="24"/>
          <w:szCs w:val="24"/>
        </w:rPr>
      </w:pPr>
      <w:r>
        <w:rPr>
          <w:rFonts w:ascii="宋体" w:hAnsi="宋体"/>
          <w:sz w:val="24"/>
          <w:szCs w:val="24"/>
        </w:rPr>
        <w:t>3.4.1评标委员会按照评标标准推荐中标候选人；</w:t>
      </w:r>
    </w:p>
    <w:p w14:paraId="1C2600F9">
      <w:pPr>
        <w:spacing w:line="400" w:lineRule="exact"/>
        <w:ind w:firstLine="480" w:firstLineChars="200"/>
        <w:rPr>
          <w:rFonts w:ascii="宋体" w:hAnsi="宋体"/>
          <w:sz w:val="24"/>
          <w:szCs w:val="24"/>
        </w:rPr>
      </w:pPr>
      <w:r>
        <w:rPr>
          <w:rFonts w:ascii="宋体" w:hAnsi="宋体"/>
          <w:sz w:val="24"/>
          <w:szCs w:val="24"/>
        </w:rPr>
        <w:t xml:space="preserve">3.4.2 </w:t>
      </w:r>
      <w:r>
        <w:rPr>
          <w:rFonts w:hint="eastAsia" w:ascii="宋体" w:hAnsi="宋体"/>
          <w:sz w:val="24"/>
          <w:szCs w:val="24"/>
        </w:rPr>
        <w:t>评标委员会完成评标后，应当向招标人提交书面评标报告。</w:t>
      </w:r>
    </w:p>
    <w:p w14:paraId="2FD423BB">
      <w:pPr>
        <w:pStyle w:val="4"/>
        <w:spacing w:line="390" w:lineRule="exact"/>
        <w:rPr>
          <w:rFonts w:cs="宋体"/>
          <w:kern w:val="0"/>
          <w:sz w:val="21"/>
          <w:szCs w:val="21"/>
        </w:rPr>
      </w:pPr>
      <w:r>
        <w:rPr>
          <w:rFonts w:cs="宋体"/>
          <w:kern w:val="0"/>
          <w:sz w:val="21"/>
          <w:szCs w:val="21"/>
        </w:rPr>
        <w:t>3.5中标价</w:t>
      </w:r>
    </w:p>
    <w:p w14:paraId="7EB9E16F">
      <w:pPr>
        <w:spacing w:line="400" w:lineRule="exact"/>
        <w:ind w:firstLine="480" w:firstLineChars="200"/>
        <w:rPr>
          <w:rFonts w:ascii="宋体" w:hAnsi="宋体"/>
          <w:sz w:val="24"/>
          <w:szCs w:val="24"/>
        </w:rPr>
      </w:pPr>
      <w:r>
        <w:rPr>
          <w:rFonts w:hint="eastAsia" w:ascii="宋体" w:hAnsi="宋体"/>
          <w:sz w:val="24"/>
          <w:szCs w:val="24"/>
        </w:rPr>
        <w:t>取中标单位投标报价为该项目中标价。中标价与招标控制价比较，下浮百分率即为该项目中标下浮率。</w:t>
      </w:r>
    </w:p>
    <w:p w14:paraId="0373AB67">
      <w:pPr>
        <w:keepNext/>
        <w:keepLines/>
        <w:rPr>
          <w:rFonts w:ascii="宋体" w:hAnsi="宋体"/>
          <w:szCs w:val="21"/>
        </w:rPr>
      </w:pPr>
      <w:r>
        <w:rPr>
          <w:rFonts w:ascii="宋体" w:hAnsi="宋体"/>
          <w:szCs w:val="21"/>
        </w:rPr>
        <w:br w:type="page"/>
      </w:r>
      <w:bookmarkEnd w:id="43"/>
      <w:bookmarkEnd w:id="44"/>
      <w:bookmarkEnd w:id="45"/>
    </w:p>
    <w:p w14:paraId="352468CB">
      <w:pPr>
        <w:pStyle w:val="3"/>
        <w:rPr>
          <w:rFonts w:ascii="宋体" w:hAnsi="宋体"/>
          <w:b w:val="0"/>
          <w:sz w:val="36"/>
          <w:szCs w:val="36"/>
        </w:rPr>
      </w:pPr>
      <w:bookmarkStart w:id="235" w:name="_Toc13934"/>
      <w:r>
        <w:rPr>
          <w:rFonts w:hint="eastAsia" w:ascii="宋体" w:hAnsi="宋体"/>
          <w:b w:val="0"/>
          <w:sz w:val="36"/>
          <w:szCs w:val="36"/>
        </w:rPr>
        <w:t>第四章 合同条款及格式</w:t>
      </w:r>
      <w:bookmarkEnd w:id="235"/>
    </w:p>
    <w:p w14:paraId="664E7981">
      <w:pPr>
        <w:jc w:val="center"/>
        <w:rPr>
          <w:rFonts w:ascii="宋体" w:hAnsi="宋体"/>
          <w:b/>
          <w:sz w:val="28"/>
          <w:szCs w:val="28"/>
        </w:rPr>
      </w:pPr>
    </w:p>
    <w:p w14:paraId="5EF4BB42">
      <w:pPr>
        <w:jc w:val="center"/>
        <w:rPr>
          <w:rFonts w:ascii="宋体" w:hAnsi="宋体"/>
          <w:b/>
          <w:sz w:val="28"/>
          <w:szCs w:val="28"/>
        </w:rPr>
      </w:pPr>
      <w:r>
        <w:rPr>
          <w:rFonts w:hint="eastAsia" w:ascii="宋体" w:hAnsi="宋体"/>
          <w:b/>
          <w:sz w:val="72"/>
          <w:szCs w:val="72"/>
        </w:rPr>
        <w:t>物 资 采 购 合 同</w:t>
      </w:r>
    </w:p>
    <w:p w14:paraId="13E70A2E">
      <w:pPr>
        <w:jc w:val="center"/>
        <w:rPr>
          <w:rFonts w:hint="eastAsia" w:ascii="宋体" w:hAnsi="宋体" w:eastAsia="宋体"/>
          <w:b/>
          <w:color w:val="auto"/>
          <w:sz w:val="28"/>
          <w:szCs w:val="28"/>
          <w:lang w:eastAsia="zh-CN"/>
        </w:rPr>
      </w:pPr>
      <w:r>
        <w:rPr>
          <w:rFonts w:hint="eastAsia" w:ascii="宋体" w:hAnsi="宋体"/>
          <w:b/>
          <w:color w:val="auto"/>
          <w:sz w:val="28"/>
          <w:szCs w:val="28"/>
          <w:lang w:eastAsia="zh-CN"/>
        </w:rPr>
        <w:t>（</w:t>
      </w:r>
      <w:r>
        <w:rPr>
          <w:rFonts w:hint="eastAsia" w:ascii="宋体" w:hAnsi="宋体"/>
          <w:b/>
          <w:color w:val="auto"/>
          <w:sz w:val="28"/>
          <w:szCs w:val="28"/>
          <w:lang w:val="en-US" w:eastAsia="zh-CN"/>
        </w:rPr>
        <w:t>仅供参考</w:t>
      </w:r>
      <w:r>
        <w:rPr>
          <w:rFonts w:hint="eastAsia" w:ascii="宋体" w:hAnsi="宋体"/>
          <w:b/>
          <w:color w:val="auto"/>
          <w:sz w:val="28"/>
          <w:szCs w:val="28"/>
          <w:lang w:eastAsia="zh-CN"/>
        </w:rPr>
        <w:t>）</w:t>
      </w:r>
    </w:p>
    <w:p w14:paraId="31BB1E01">
      <w:pPr>
        <w:jc w:val="center"/>
        <w:rPr>
          <w:rFonts w:ascii="宋体" w:hAnsi="宋体"/>
          <w:b/>
          <w:sz w:val="28"/>
          <w:szCs w:val="28"/>
        </w:rPr>
      </w:pPr>
    </w:p>
    <w:p w14:paraId="7AEA75C1">
      <w:pPr>
        <w:jc w:val="center"/>
        <w:rPr>
          <w:rFonts w:ascii="宋体" w:hAnsi="宋体"/>
          <w:b/>
          <w:sz w:val="28"/>
          <w:szCs w:val="28"/>
        </w:rPr>
      </w:pPr>
    </w:p>
    <w:p w14:paraId="7F7E963E">
      <w:pPr>
        <w:jc w:val="center"/>
        <w:rPr>
          <w:rFonts w:ascii="宋体" w:hAnsi="宋体"/>
          <w:b/>
          <w:sz w:val="28"/>
          <w:szCs w:val="28"/>
        </w:rPr>
      </w:pPr>
    </w:p>
    <w:p w14:paraId="107A0F98">
      <w:pPr>
        <w:jc w:val="center"/>
        <w:rPr>
          <w:rFonts w:ascii="宋体" w:hAnsi="宋体"/>
          <w:b/>
          <w:sz w:val="28"/>
          <w:szCs w:val="28"/>
        </w:rPr>
      </w:pPr>
    </w:p>
    <w:p w14:paraId="798A3497">
      <w:pPr>
        <w:jc w:val="center"/>
        <w:rPr>
          <w:rFonts w:ascii="宋体" w:hAnsi="宋体"/>
          <w:b/>
          <w:sz w:val="28"/>
          <w:szCs w:val="28"/>
        </w:rPr>
      </w:pPr>
    </w:p>
    <w:p w14:paraId="24015D1D">
      <w:pPr>
        <w:jc w:val="center"/>
        <w:rPr>
          <w:rFonts w:ascii="宋体" w:hAnsi="宋体"/>
          <w:b/>
          <w:sz w:val="28"/>
          <w:szCs w:val="28"/>
        </w:rPr>
      </w:pPr>
    </w:p>
    <w:p w14:paraId="5861C74D">
      <w:pPr>
        <w:jc w:val="center"/>
        <w:rPr>
          <w:rFonts w:ascii="宋体" w:hAnsi="宋体"/>
          <w:b/>
          <w:sz w:val="28"/>
          <w:szCs w:val="28"/>
        </w:rPr>
      </w:pPr>
    </w:p>
    <w:p w14:paraId="2515D127">
      <w:pPr>
        <w:jc w:val="center"/>
        <w:rPr>
          <w:rFonts w:ascii="宋体" w:hAnsi="宋体"/>
          <w:b/>
          <w:sz w:val="28"/>
          <w:szCs w:val="28"/>
        </w:rPr>
      </w:pPr>
    </w:p>
    <w:p w14:paraId="3583E09C">
      <w:pPr>
        <w:jc w:val="center"/>
        <w:rPr>
          <w:rFonts w:ascii="宋体" w:hAnsi="宋体"/>
          <w:b/>
          <w:sz w:val="28"/>
          <w:szCs w:val="28"/>
        </w:rPr>
      </w:pPr>
    </w:p>
    <w:p w14:paraId="3A3079C5">
      <w:pPr>
        <w:jc w:val="center"/>
        <w:rPr>
          <w:rFonts w:ascii="宋体" w:hAnsi="宋体"/>
          <w:b/>
          <w:sz w:val="28"/>
          <w:szCs w:val="28"/>
        </w:rPr>
      </w:pPr>
    </w:p>
    <w:p w14:paraId="0E3FA26C">
      <w:pPr>
        <w:ind w:firstLine="643" w:firstLineChars="200"/>
        <w:jc w:val="left"/>
        <w:rPr>
          <w:rFonts w:hint="eastAsia" w:ascii="宋体" w:hAnsi="宋体" w:eastAsia="宋体"/>
          <w:b/>
          <w:sz w:val="32"/>
          <w:szCs w:val="32"/>
          <w:lang w:eastAsia="zh-CN"/>
        </w:rPr>
      </w:pPr>
      <w:r>
        <w:rPr>
          <w:rFonts w:hint="eastAsia" w:ascii="宋体" w:hAnsi="宋体"/>
          <w:b/>
          <w:sz w:val="32"/>
          <w:szCs w:val="32"/>
        </w:rPr>
        <w:t>甲　方：</w:t>
      </w:r>
      <w:r>
        <w:rPr>
          <w:rFonts w:hint="eastAsia" w:ascii="宋体" w:hAnsi="宋体"/>
          <w:b/>
          <w:sz w:val="32"/>
          <w:szCs w:val="32"/>
          <w:lang w:eastAsia="zh-CN"/>
        </w:rPr>
        <w:t>海南省机电工程学校</w:t>
      </w:r>
    </w:p>
    <w:p w14:paraId="1ACE8C05">
      <w:pPr>
        <w:pStyle w:val="80"/>
        <w:ind w:firstLine="630" w:firstLineChars="196"/>
        <w:rPr>
          <w:rFonts w:cs="Times New Roman"/>
          <w:b/>
          <w:color w:val="auto"/>
          <w:kern w:val="2"/>
          <w:sz w:val="32"/>
          <w:szCs w:val="32"/>
        </w:rPr>
      </w:pPr>
      <w:r>
        <w:rPr>
          <w:rFonts w:hint="eastAsia"/>
          <w:b/>
          <w:sz w:val="32"/>
          <w:szCs w:val="32"/>
        </w:rPr>
        <w:t>乙　方：</w:t>
      </w:r>
    </w:p>
    <w:p w14:paraId="1BFDE9D1">
      <w:pPr>
        <w:ind w:firstLine="643" w:firstLineChars="200"/>
        <w:jc w:val="left"/>
        <w:rPr>
          <w:rFonts w:ascii="宋体" w:hAnsi="宋体"/>
          <w:b/>
          <w:sz w:val="32"/>
          <w:szCs w:val="32"/>
        </w:rPr>
      </w:pPr>
    </w:p>
    <w:p w14:paraId="3743D57E">
      <w:pPr>
        <w:rPr>
          <w:rFonts w:ascii="宋体" w:hAnsi="宋体"/>
          <w:b/>
          <w:sz w:val="28"/>
          <w:szCs w:val="28"/>
        </w:rPr>
      </w:pPr>
    </w:p>
    <w:p w14:paraId="6C90A95F">
      <w:pPr>
        <w:rPr>
          <w:rFonts w:ascii="宋体" w:hAnsi="宋体"/>
          <w:b/>
          <w:sz w:val="28"/>
          <w:szCs w:val="28"/>
        </w:rPr>
      </w:pPr>
    </w:p>
    <w:p w14:paraId="08599AEB">
      <w:pPr>
        <w:rPr>
          <w:rFonts w:ascii="宋体" w:hAnsi="宋体"/>
          <w:b/>
          <w:sz w:val="28"/>
          <w:szCs w:val="28"/>
        </w:rPr>
      </w:pPr>
    </w:p>
    <w:p w14:paraId="1A861358">
      <w:pPr>
        <w:rPr>
          <w:rFonts w:ascii="宋体" w:hAnsi="宋体"/>
          <w:b/>
          <w:sz w:val="28"/>
          <w:szCs w:val="28"/>
        </w:rPr>
      </w:pPr>
    </w:p>
    <w:p w14:paraId="3F123DE9">
      <w:pPr>
        <w:rPr>
          <w:rFonts w:ascii="宋体" w:hAnsi="宋体"/>
          <w:b/>
          <w:sz w:val="28"/>
          <w:szCs w:val="28"/>
        </w:rPr>
      </w:pPr>
    </w:p>
    <w:p w14:paraId="5635CD52">
      <w:pPr>
        <w:rPr>
          <w:rFonts w:ascii="楷体" w:hAnsi="楷体" w:eastAsia="楷体"/>
          <w:sz w:val="24"/>
          <w:u w:val="single"/>
        </w:rPr>
      </w:pPr>
      <w:r>
        <w:rPr>
          <w:rFonts w:hint="eastAsia" w:ascii="宋体" w:hAnsi="宋体"/>
          <w:b/>
          <w:sz w:val="30"/>
          <w:szCs w:val="30"/>
        </w:rPr>
        <w:t>合同编号：</w:t>
      </w:r>
      <w:r>
        <w:rPr>
          <w:rFonts w:ascii="楷体" w:hAnsi="楷体" w:eastAsia="楷体"/>
          <w:sz w:val="24"/>
          <w:u w:val="single"/>
        </w:rPr>
        <w:t xml:space="preserve">        </w:t>
      </w:r>
      <w:r>
        <w:rPr>
          <w:rFonts w:hint="eastAsia" w:ascii="楷体" w:hAnsi="楷体" w:eastAsia="楷体"/>
          <w:sz w:val="24"/>
          <w:u w:val="single"/>
        </w:rPr>
        <w:t xml:space="preserve">   </w:t>
      </w:r>
    </w:p>
    <w:p w14:paraId="2BED1674">
      <w:pPr>
        <w:spacing w:line="360" w:lineRule="auto"/>
        <w:jc w:val="center"/>
        <w:rPr>
          <w:rFonts w:ascii="宋体" w:hAnsi="宋体"/>
          <w:b/>
          <w:color w:val="auto"/>
          <w:sz w:val="72"/>
          <w:szCs w:val="72"/>
        </w:rPr>
      </w:pPr>
      <w:r>
        <w:rPr>
          <w:rFonts w:hint="eastAsia" w:ascii="宋体" w:hAnsi="宋体"/>
          <w:b/>
          <w:color w:val="auto"/>
          <w:sz w:val="72"/>
          <w:szCs w:val="72"/>
        </w:rPr>
        <w:t>海南省政府采购项目</w:t>
      </w:r>
    </w:p>
    <w:p w14:paraId="5488E9E0">
      <w:pPr>
        <w:spacing w:line="360" w:lineRule="auto"/>
        <w:rPr>
          <w:rFonts w:ascii="宋体" w:hAnsi="宋体"/>
          <w:b/>
          <w:color w:val="auto"/>
          <w:sz w:val="30"/>
          <w:szCs w:val="30"/>
        </w:rPr>
      </w:pPr>
    </w:p>
    <w:p w14:paraId="1FB1F403">
      <w:pPr>
        <w:spacing w:line="360" w:lineRule="auto"/>
        <w:jc w:val="center"/>
        <w:rPr>
          <w:rFonts w:ascii="宋体" w:hAnsi="宋体"/>
          <w:b/>
          <w:color w:val="auto"/>
          <w:sz w:val="110"/>
          <w:szCs w:val="110"/>
        </w:rPr>
      </w:pPr>
      <w:r>
        <w:rPr>
          <w:rFonts w:hint="eastAsia" w:ascii="宋体" w:hAnsi="宋体"/>
          <w:b/>
          <w:color w:val="auto"/>
          <w:sz w:val="110"/>
          <w:szCs w:val="110"/>
        </w:rPr>
        <w:t xml:space="preserve">合 </w:t>
      </w:r>
      <w:r>
        <w:rPr>
          <w:rFonts w:hint="eastAsia" w:ascii="宋体" w:hAnsi="宋体"/>
          <w:b/>
          <w:color w:val="auto"/>
          <w:sz w:val="32"/>
          <w:szCs w:val="32"/>
        </w:rPr>
        <w:t xml:space="preserve">  </w:t>
      </w:r>
      <w:r>
        <w:rPr>
          <w:rFonts w:hint="eastAsia" w:ascii="宋体" w:hAnsi="宋体"/>
          <w:b/>
          <w:color w:val="auto"/>
          <w:sz w:val="110"/>
          <w:szCs w:val="110"/>
        </w:rPr>
        <w:t xml:space="preserve">同 </w:t>
      </w:r>
      <w:r>
        <w:rPr>
          <w:rFonts w:hint="eastAsia" w:ascii="宋体" w:hAnsi="宋体"/>
          <w:b/>
          <w:color w:val="auto"/>
          <w:sz w:val="32"/>
          <w:szCs w:val="32"/>
        </w:rPr>
        <w:t xml:space="preserve">  </w:t>
      </w:r>
      <w:r>
        <w:rPr>
          <w:rFonts w:hint="eastAsia" w:ascii="宋体" w:hAnsi="宋体"/>
          <w:b/>
          <w:color w:val="auto"/>
          <w:sz w:val="110"/>
          <w:szCs w:val="110"/>
        </w:rPr>
        <w:t>书</w:t>
      </w:r>
    </w:p>
    <w:p w14:paraId="7A37B43F">
      <w:pPr>
        <w:spacing w:line="360" w:lineRule="auto"/>
        <w:jc w:val="center"/>
        <w:rPr>
          <w:rFonts w:ascii="宋体" w:hAnsi="宋体"/>
          <w:b/>
          <w:color w:val="auto"/>
          <w:sz w:val="32"/>
          <w:szCs w:val="32"/>
        </w:rPr>
      </w:pPr>
    </w:p>
    <w:p w14:paraId="2D04139C">
      <w:pPr>
        <w:spacing w:line="360" w:lineRule="auto"/>
        <w:rPr>
          <w:rFonts w:ascii="宋体" w:hAnsi="宋体"/>
          <w:b/>
          <w:color w:val="auto"/>
          <w:sz w:val="32"/>
          <w:szCs w:val="32"/>
        </w:rPr>
      </w:pPr>
    </w:p>
    <w:p w14:paraId="5E1CEE9D">
      <w:pPr>
        <w:tabs>
          <w:tab w:val="left" w:pos="1260"/>
          <w:tab w:val="left" w:pos="1620"/>
          <w:tab w:val="left" w:pos="6840"/>
          <w:tab w:val="left" w:pos="7020"/>
          <w:tab w:val="left" w:pos="7200"/>
        </w:tabs>
        <w:adjustRightInd w:val="0"/>
        <w:spacing w:line="360" w:lineRule="auto"/>
        <w:ind w:right="-338" w:rightChars="-161" w:firstLine="1928" w:firstLineChars="600"/>
        <w:rPr>
          <w:rFonts w:ascii="宋体" w:hAnsi="宋体"/>
          <w:b/>
          <w:color w:val="auto"/>
          <w:sz w:val="32"/>
          <w:szCs w:val="32"/>
        </w:rPr>
      </w:pPr>
    </w:p>
    <w:p w14:paraId="34198E95">
      <w:pPr>
        <w:tabs>
          <w:tab w:val="left" w:pos="1260"/>
          <w:tab w:val="left" w:pos="1620"/>
          <w:tab w:val="left" w:pos="6840"/>
          <w:tab w:val="left" w:pos="7020"/>
          <w:tab w:val="left" w:pos="7200"/>
        </w:tabs>
        <w:adjustRightInd w:val="0"/>
        <w:spacing w:line="360" w:lineRule="auto"/>
        <w:ind w:right="-338" w:rightChars="-161" w:firstLine="1928" w:firstLineChars="600"/>
        <w:rPr>
          <w:rFonts w:ascii="宋体" w:hAnsi="宋体"/>
          <w:b/>
          <w:color w:val="auto"/>
          <w:sz w:val="32"/>
          <w:szCs w:val="32"/>
        </w:rPr>
      </w:pPr>
    </w:p>
    <w:p w14:paraId="74C7A9B6">
      <w:pPr>
        <w:tabs>
          <w:tab w:val="left" w:pos="1260"/>
          <w:tab w:val="left" w:pos="1620"/>
          <w:tab w:val="left" w:pos="6840"/>
          <w:tab w:val="left" w:pos="7020"/>
          <w:tab w:val="left" w:pos="7200"/>
        </w:tabs>
        <w:adjustRightInd w:val="0"/>
        <w:spacing w:line="360" w:lineRule="auto"/>
        <w:ind w:right="-338" w:rightChars="-161" w:firstLine="1928" w:firstLineChars="600"/>
        <w:rPr>
          <w:rFonts w:ascii="宋体" w:hAnsi="宋体"/>
          <w:b/>
          <w:color w:val="auto"/>
          <w:sz w:val="32"/>
          <w:szCs w:val="32"/>
        </w:rPr>
      </w:pPr>
      <w:r>
        <w:rPr>
          <w:rFonts w:hint="eastAsia" w:ascii="宋体" w:hAnsi="宋体"/>
          <w:b/>
          <w:color w:val="auto"/>
          <w:sz w:val="32"/>
          <w:szCs w:val="32"/>
        </w:rPr>
        <w:t>项目名称：</w:t>
      </w:r>
      <w:r>
        <w:rPr>
          <w:rFonts w:hint="eastAsia" w:ascii="宋体" w:hAnsi="宋体"/>
          <w:b/>
          <w:color w:val="auto"/>
          <w:sz w:val="32"/>
          <w:szCs w:val="32"/>
          <w:u w:val="single"/>
        </w:rPr>
        <w:t xml:space="preserve">                     </w:t>
      </w:r>
      <w:r>
        <w:rPr>
          <w:rFonts w:hint="eastAsia" w:ascii="宋体" w:hAnsi="宋体"/>
          <w:b/>
          <w:color w:val="auto"/>
          <w:sz w:val="32"/>
          <w:szCs w:val="32"/>
        </w:rPr>
        <w:t xml:space="preserve"> </w:t>
      </w:r>
    </w:p>
    <w:p w14:paraId="75C7824D">
      <w:pPr>
        <w:tabs>
          <w:tab w:val="left" w:pos="1260"/>
          <w:tab w:val="left" w:pos="1620"/>
          <w:tab w:val="left" w:pos="6840"/>
          <w:tab w:val="left" w:pos="7020"/>
          <w:tab w:val="left" w:pos="7200"/>
        </w:tabs>
        <w:adjustRightInd w:val="0"/>
        <w:spacing w:line="360" w:lineRule="auto"/>
        <w:ind w:right="-338" w:rightChars="-161" w:firstLine="1928" w:firstLineChars="600"/>
        <w:rPr>
          <w:rFonts w:ascii="宋体" w:hAnsi="宋体"/>
          <w:b/>
          <w:color w:val="auto"/>
          <w:sz w:val="32"/>
          <w:szCs w:val="32"/>
        </w:rPr>
      </w:pPr>
      <w:r>
        <w:rPr>
          <w:rFonts w:hint="eastAsia" w:ascii="宋体" w:hAnsi="宋体"/>
          <w:b/>
          <w:color w:val="auto"/>
          <w:sz w:val="32"/>
          <w:szCs w:val="32"/>
        </w:rPr>
        <w:t>项目编号：</w:t>
      </w:r>
      <w:r>
        <w:rPr>
          <w:rFonts w:hint="eastAsia" w:ascii="宋体" w:hAnsi="宋体"/>
          <w:b/>
          <w:color w:val="auto"/>
          <w:sz w:val="32"/>
          <w:szCs w:val="32"/>
          <w:u w:val="single"/>
        </w:rPr>
        <w:t xml:space="preserve">                     </w:t>
      </w:r>
      <w:r>
        <w:rPr>
          <w:rFonts w:hint="eastAsia" w:ascii="宋体" w:hAnsi="宋体"/>
          <w:b/>
          <w:color w:val="auto"/>
          <w:sz w:val="32"/>
          <w:szCs w:val="32"/>
        </w:rPr>
        <w:t xml:space="preserve"> </w:t>
      </w:r>
    </w:p>
    <w:p w14:paraId="28FB993B">
      <w:pPr>
        <w:tabs>
          <w:tab w:val="left" w:pos="1260"/>
          <w:tab w:val="left" w:pos="1620"/>
          <w:tab w:val="left" w:pos="6840"/>
          <w:tab w:val="left" w:pos="7020"/>
          <w:tab w:val="left" w:pos="7200"/>
        </w:tabs>
        <w:adjustRightInd w:val="0"/>
        <w:spacing w:line="360" w:lineRule="auto"/>
        <w:ind w:right="-338" w:rightChars="-161" w:firstLine="1928" w:firstLineChars="600"/>
        <w:rPr>
          <w:rFonts w:ascii="宋体" w:hAnsi="宋体"/>
          <w:b/>
          <w:color w:val="auto"/>
          <w:sz w:val="32"/>
          <w:szCs w:val="32"/>
        </w:rPr>
      </w:pPr>
      <w:r>
        <w:rPr>
          <w:rFonts w:hint="eastAsia" w:ascii="宋体" w:hAnsi="宋体"/>
          <w:b/>
          <w:color w:val="auto"/>
          <w:sz w:val="32"/>
          <w:szCs w:val="32"/>
        </w:rPr>
        <w:t>甲    方：</w:t>
      </w:r>
      <w:r>
        <w:rPr>
          <w:rFonts w:hint="eastAsia" w:ascii="宋体" w:hAnsi="宋体"/>
          <w:b/>
          <w:color w:val="auto"/>
          <w:sz w:val="32"/>
          <w:szCs w:val="32"/>
          <w:u w:val="single"/>
        </w:rPr>
        <w:t xml:space="preserve">                     </w:t>
      </w:r>
      <w:r>
        <w:rPr>
          <w:rFonts w:hint="eastAsia" w:ascii="宋体" w:hAnsi="宋体"/>
          <w:b/>
          <w:color w:val="auto"/>
          <w:sz w:val="32"/>
          <w:szCs w:val="32"/>
        </w:rPr>
        <w:t xml:space="preserve">  </w:t>
      </w:r>
    </w:p>
    <w:p w14:paraId="7E1F98C7">
      <w:pPr>
        <w:tabs>
          <w:tab w:val="left" w:pos="1260"/>
          <w:tab w:val="left" w:pos="1620"/>
          <w:tab w:val="left" w:pos="6840"/>
          <w:tab w:val="left" w:pos="7020"/>
          <w:tab w:val="left" w:pos="7200"/>
        </w:tabs>
        <w:adjustRightInd w:val="0"/>
        <w:spacing w:line="360" w:lineRule="auto"/>
        <w:ind w:right="-338" w:rightChars="-161" w:firstLine="1928" w:firstLineChars="600"/>
        <w:rPr>
          <w:rFonts w:ascii="宋体" w:hAnsi="宋体"/>
          <w:b/>
          <w:color w:val="auto"/>
          <w:sz w:val="32"/>
          <w:szCs w:val="32"/>
        </w:rPr>
      </w:pPr>
      <w:r>
        <w:rPr>
          <w:rFonts w:hint="eastAsia" w:ascii="宋体" w:hAnsi="宋体"/>
          <w:b/>
          <w:color w:val="auto"/>
          <w:sz w:val="32"/>
          <w:szCs w:val="32"/>
        </w:rPr>
        <w:t>乙    方：</w:t>
      </w:r>
      <w:r>
        <w:rPr>
          <w:rFonts w:hint="eastAsia" w:ascii="宋体" w:hAnsi="宋体"/>
          <w:b/>
          <w:color w:val="auto"/>
          <w:sz w:val="32"/>
          <w:szCs w:val="32"/>
          <w:u w:val="single"/>
        </w:rPr>
        <w:t xml:space="preserve">                     </w:t>
      </w:r>
      <w:r>
        <w:rPr>
          <w:rFonts w:hint="eastAsia" w:ascii="宋体" w:hAnsi="宋体"/>
          <w:b/>
          <w:color w:val="auto"/>
          <w:sz w:val="32"/>
          <w:szCs w:val="32"/>
        </w:rPr>
        <w:t xml:space="preserve"> </w:t>
      </w:r>
    </w:p>
    <w:p w14:paraId="42477102">
      <w:pPr>
        <w:tabs>
          <w:tab w:val="left" w:pos="1260"/>
          <w:tab w:val="left" w:pos="1620"/>
          <w:tab w:val="left" w:pos="6840"/>
          <w:tab w:val="left" w:pos="7020"/>
          <w:tab w:val="left" w:pos="7200"/>
        </w:tabs>
        <w:adjustRightInd w:val="0"/>
        <w:spacing w:line="360" w:lineRule="auto"/>
        <w:ind w:right="-338" w:rightChars="-161" w:firstLine="1928" w:firstLineChars="600"/>
        <w:rPr>
          <w:rFonts w:ascii="宋体" w:hAnsi="宋体"/>
          <w:b/>
          <w:color w:val="auto"/>
          <w:sz w:val="32"/>
          <w:szCs w:val="32"/>
        </w:rPr>
      </w:pPr>
      <w:r>
        <w:rPr>
          <w:rFonts w:hint="eastAsia" w:ascii="宋体" w:hAnsi="宋体"/>
          <w:b/>
          <w:color w:val="auto"/>
          <w:sz w:val="32"/>
          <w:szCs w:val="32"/>
        </w:rPr>
        <w:t>签订日期：</w:t>
      </w:r>
      <w:r>
        <w:rPr>
          <w:rFonts w:hint="eastAsia" w:ascii="宋体" w:hAnsi="宋体"/>
          <w:b/>
          <w:color w:val="auto"/>
          <w:sz w:val="32"/>
          <w:szCs w:val="32"/>
          <w:u w:val="single"/>
        </w:rPr>
        <w:t xml:space="preserve">      </w:t>
      </w:r>
      <w:r>
        <w:rPr>
          <w:rFonts w:hint="eastAsia" w:ascii="宋体" w:hAnsi="宋体"/>
          <w:b/>
          <w:color w:val="auto"/>
          <w:sz w:val="32"/>
          <w:szCs w:val="32"/>
        </w:rPr>
        <w:t>年</w:t>
      </w:r>
      <w:r>
        <w:rPr>
          <w:rFonts w:hint="eastAsia" w:ascii="宋体" w:hAnsi="宋体"/>
          <w:b/>
          <w:color w:val="auto"/>
          <w:sz w:val="32"/>
          <w:szCs w:val="32"/>
          <w:u w:val="single"/>
        </w:rPr>
        <w:t xml:space="preserve">   </w:t>
      </w:r>
      <w:r>
        <w:rPr>
          <w:rFonts w:hint="eastAsia" w:ascii="宋体" w:hAnsi="宋体"/>
          <w:b/>
          <w:color w:val="auto"/>
          <w:sz w:val="32"/>
          <w:szCs w:val="32"/>
        </w:rPr>
        <w:t xml:space="preserve"> 月</w:t>
      </w:r>
      <w:r>
        <w:rPr>
          <w:rFonts w:hint="eastAsia" w:ascii="宋体" w:hAnsi="宋体"/>
          <w:b/>
          <w:color w:val="auto"/>
          <w:sz w:val="32"/>
          <w:szCs w:val="32"/>
          <w:u w:val="single"/>
        </w:rPr>
        <w:t xml:space="preserve">    </w:t>
      </w:r>
      <w:r>
        <w:rPr>
          <w:rFonts w:hint="eastAsia" w:ascii="宋体" w:hAnsi="宋体"/>
          <w:b/>
          <w:color w:val="auto"/>
          <w:sz w:val="32"/>
          <w:szCs w:val="32"/>
        </w:rPr>
        <w:t>日</w:t>
      </w:r>
    </w:p>
    <w:p w14:paraId="6DCBF0A0">
      <w:pPr>
        <w:pStyle w:val="2"/>
        <w:rPr>
          <w:rFonts w:hint="default"/>
          <w:color w:val="auto"/>
        </w:rPr>
      </w:pPr>
    </w:p>
    <w:p w14:paraId="37901A14">
      <w:pPr>
        <w:spacing w:line="360" w:lineRule="auto"/>
        <w:ind w:firstLine="1285" w:firstLineChars="400"/>
        <w:rPr>
          <w:rFonts w:ascii="宋体" w:hAnsi="宋体"/>
          <w:b/>
          <w:color w:val="auto"/>
          <w:sz w:val="32"/>
          <w:szCs w:val="32"/>
        </w:rPr>
      </w:pPr>
    </w:p>
    <w:p w14:paraId="71F503EA">
      <w:pPr>
        <w:spacing w:line="360" w:lineRule="auto"/>
        <w:jc w:val="center"/>
        <w:rPr>
          <w:rFonts w:ascii="宋体" w:hAnsi="宋体"/>
          <w:b/>
          <w:color w:val="auto"/>
          <w:sz w:val="32"/>
          <w:szCs w:val="32"/>
        </w:rPr>
      </w:pPr>
      <w:r>
        <w:rPr>
          <w:rFonts w:ascii="宋体" w:hAnsi="宋体"/>
          <w:b/>
          <w:color w:val="auto"/>
          <w:sz w:val="32"/>
          <w:szCs w:val="32"/>
        </w:rPr>
        <w:br w:type="page"/>
      </w:r>
      <w:r>
        <w:rPr>
          <w:rFonts w:hint="eastAsia" w:ascii="宋体" w:hAnsi="宋体"/>
          <w:b/>
          <w:color w:val="auto"/>
          <w:sz w:val="32"/>
          <w:szCs w:val="32"/>
        </w:rPr>
        <w:t>合同专用条款</w:t>
      </w:r>
    </w:p>
    <w:p w14:paraId="0905DF02">
      <w:pPr>
        <w:spacing w:line="360" w:lineRule="auto"/>
        <w:jc w:val="center"/>
        <w:rPr>
          <w:rFonts w:ascii="宋体" w:hAnsi="宋体"/>
          <w:b/>
          <w:color w:val="auto"/>
          <w:sz w:val="32"/>
          <w:szCs w:val="32"/>
        </w:rPr>
      </w:pPr>
    </w:p>
    <w:p w14:paraId="7B71D06D">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u w:val="single"/>
        </w:rPr>
        <w:t xml:space="preserve">  （采购人名称）   </w:t>
      </w:r>
      <w:r>
        <w:rPr>
          <w:rFonts w:hint="eastAsia" w:ascii="宋体" w:hAnsi="宋体" w:cs="宋体"/>
          <w:color w:val="auto"/>
          <w:sz w:val="28"/>
          <w:szCs w:val="28"/>
        </w:rPr>
        <w:t xml:space="preserve">以 </w:t>
      </w:r>
      <w:r>
        <w:rPr>
          <w:rFonts w:hint="eastAsia" w:ascii="宋体" w:hAnsi="宋体" w:cs="宋体"/>
          <w:color w:val="auto"/>
          <w:sz w:val="28"/>
          <w:szCs w:val="28"/>
          <w:u w:val="single"/>
        </w:rPr>
        <w:t xml:space="preserve">  （政府采购方式）  </w:t>
      </w:r>
      <w:r>
        <w:rPr>
          <w:rFonts w:hint="eastAsia" w:ascii="宋体" w:hAnsi="宋体" w:cs="宋体"/>
          <w:color w:val="auto"/>
          <w:sz w:val="28"/>
          <w:szCs w:val="28"/>
        </w:rPr>
        <w:t xml:space="preserve">对 </w:t>
      </w:r>
      <w:r>
        <w:rPr>
          <w:rFonts w:hint="eastAsia" w:ascii="宋体" w:hAnsi="宋体" w:cs="宋体"/>
          <w:color w:val="auto"/>
          <w:sz w:val="28"/>
          <w:szCs w:val="28"/>
          <w:u w:val="single"/>
        </w:rPr>
        <w:t xml:space="preserve">  （同前页项目名称）</w:t>
      </w:r>
      <w:r>
        <w:rPr>
          <w:rFonts w:hint="eastAsia" w:ascii="宋体" w:hAnsi="宋体" w:cs="宋体"/>
          <w:color w:val="auto"/>
          <w:sz w:val="28"/>
          <w:szCs w:val="28"/>
        </w:rPr>
        <w:t xml:space="preserve">   项目（项目编号：</w:t>
      </w:r>
      <w:r>
        <w:rPr>
          <w:rFonts w:hint="eastAsia" w:ascii="宋体" w:hAnsi="宋体" w:cs="宋体"/>
          <w:color w:val="auto"/>
          <w:sz w:val="28"/>
          <w:szCs w:val="28"/>
          <w:u w:val="single"/>
        </w:rPr>
        <w:t xml:space="preserve">       </w:t>
      </w:r>
      <w:r>
        <w:rPr>
          <w:rFonts w:hint="eastAsia" w:ascii="宋体" w:hAnsi="宋体" w:cs="宋体"/>
          <w:color w:val="auto"/>
          <w:sz w:val="28"/>
          <w:szCs w:val="28"/>
        </w:rPr>
        <w:t>）进行了采购，</w:t>
      </w:r>
      <w:r>
        <w:rPr>
          <w:rFonts w:hint="eastAsia" w:ascii="宋体" w:hAnsi="宋体" w:cs="宋体"/>
          <w:color w:val="auto"/>
          <w:sz w:val="28"/>
          <w:szCs w:val="28"/>
          <w:u w:val="single"/>
        </w:rPr>
        <w:t xml:space="preserve">   （中标供应商名称）</w:t>
      </w:r>
      <w:r>
        <w:rPr>
          <w:rFonts w:hint="eastAsia" w:ascii="宋体" w:hAnsi="宋体" w:cs="宋体"/>
          <w:color w:val="auto"/>
          <w:sz w:val="28"/>
          <w:szCs w:val="28"/>
        </w:rPr>
        <w:t>为该项目中标供应商。</w:t>
      </w:r>
    </w:p>
    <w:p w14:paraId="22D1008F">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u w:val="single"/>
        </w:rPr>
        <w:t xml:space="preserve">（采购人名称）  </w:t>
      </w:r>
      <w:r>
        <w:rPr>
          <w:rFonts w:hint="eastAsia" w:ascii="宋体" w:hAnsi="宋体" w:cs="宋体"/>
          <w:color w:val="auto"/>
          <w:sz w:val="28"/>
          <w:szCs w:val="28"/>
          <w:lang w:val="zh-CN"/>
        </w:rPr>
        <w:t>(以下简称：甲方)</w:t>
      </w:r>
      <w:r>
        <w:rPr>
          <w:rFonts w:hint="eastAsia" w:ascii="宋体" w:hAnsi="宋体" w:cs="宋体"/>
          <w:color w:val="auto"/>
          <w:sz w:val="28"/>
          <w:szCs w:val="28"/>
        </w:rPr>
        <w:t xml:space="preserve">和 </w:t>
      </w:r>
      <w:r>
        <w:rPr>
          <w:rFonts w:hint="eastAsia" w:ascii="宋体" w:hAnsi="宋体" w:cs="宋体"/>
          <w:color w:val="auto"/>
          <w:sz w:val="28"/>
          <w:szCs w:val="28"/>
          <w:u w:val="single"/>
        </w:rPr>
        <w:t xml:space="preserve"> （中标供应商名称）   </w:t>
      </w:r>
      <w:r>
        <w:rPr>
          <w:rFonts w:hint="eastAsia" w:ascii="宋体" w:hAnsi="宋体" w:cs="宋体"/>
          <w:color w:val="auto"/>
          <w:sz w:val="28"/>
          <w:szCs w:val="28"/>
          <w:lang w:val="zh-CN"/>
        </w:rPr>
        <w:t>(以下简称：乙方)</w:t>
      </w:r>
      <w:r>
        <w:rPr>
          <w:rFonts w:hint="eastAsia" w:ascii="宋体" w:hAnsi="宋体" w:cs="宋体"/>
          <w:color w:val="auto"/>
          <w:sz w:val="28"/>
          <w:szCs w:val="28"/>
        </w:rPr>
        <w:t>根据《中华人民共和国民法典》、</w:t>
      </w:r>
      <w:r>
        <w:rPr>
          <w:rFonts w:hint="eastAsia" w:ascii="宋体" w:hAnsi="宋体" w:cs="宋体"/>
          <w:color w:val="auto"/>
          <w:sz w:val="28"/>
          <w:szCs w:val="28"/>
          <w:lang w:val="zh-CN"/>
        </w:rPr>
        <w:t>《中华人民共和国政府采购法》等相</w:t>
      </w:r>
      <w:r>
        <w:rPr>
          <w:rFonts w:hint="eastAsia" w:ascii="宋体" w:hAnsi="宋体" w:cs="宋体"/>
          <w:color w:val="auto"/>
          <w:sz w:val="28"/>
          <w:szCs w:val="28"/>
        </w:rPr>
        <w:t>关法律法规，遵循平等、自愿、公平和诚实信用原则，同意按照下面的条款和条件订立本政府采购合同，共同信守。</w:t>
      </w:r>
    </w:p>
    <w:p w14:paraId="52D26A89">
      <w:pPr>
        <w:spacing w:before="156" w:beforeLines="50" w:line="360" w:lineRule="auto"/>
        <w:ind w:firstLine="562" w:firstLineChars="200"/>
        <w:jc w:val="left"/>
        <w:outlineLvl w:val="0"/>
        <w:rPr>
          <w:rFonts w:ascii="宋体" w:hAnsi="宋体" w:cs="宋体"/>
          <w:b/>
          <w:color w:val="auto"/>
          <w:sz w:val="28"/>
          <w:szCs w:val="28"/>
        </w:rPr>
      </w:pPr>
      <w:r>
        <w:rPr>
          <w:rFonts w:hint="eastAsia" w:ascii="宋体" w:hAnsi="宋体" w:cs="宋体"/>
          <w:b/>
          <w:color w:val="auto"/>
          <w:sz w:val="28"/>
          <w:szCs w:val="28"/>
        </w:rPr>
        <w:t>一、政府采购合同文件</w:t>
      </w:r>
    </w:p>
    <w:p w14:paraId="1CA6DAD2">
      <w:pPr>
        <w:spacing w:line="360" w:lineRule="auto"/>
        <w:jc w:val="left"/>
        <w:rPr>
          <w:rFonts w:ascii="宋体" w:hAnsi="宋体" w:cs="宋体"/>
          <w:color w:val="auto"/>
          <w:sz w:val="28"/>
          <w:szCs w:val="28"/>
        </w:rPr>
      </w:pPr>
      <w:r>
        <w:rPr>
          <w:rFonts w:hint="eastAsia" w:ascii="宋体" w:hAnsi="宋体" w:cs="宋体"/>
          <w:color w:val="auto"/>
          <w:sz w:val="28"/>
          <w:szCs w:val="28"/>
        </w:rPr>
        <w:t xml:space="preserve">    本政府采购合同所附下列文件是构成本政府采购合同不可分割的部分：</w:t>
      </w:r>
    </w:p>
    <w:p w14:paraId="071B5EDE">
      <w:pPr>
        <w:spacing w:line="360" w:lineRule="auto"/>
        <w:ind w:firstLine="560" w:firstLineChars="200"/>
        <w:jc w:val="left"/>
        <w:rPr>
          <w:rFonts w:ascii="宋体" w:hAnsi="宋体" w:cs="宋体"/>
          <w:color w:val="auto"/>
          <w:sz w:val="28"/>
          <w:szCs w:val="28"/>
        </w:rPr>
      </w:pPr>
      <w:r>
        <w:rPr>
          <w:rFonts w:hint="eastAsia" w:ascii="宋体" w:hAnsi="宋体" w:cs="宋体"/>
          <w:color w:val="auto"/>
          <w:sz w:val="28"/>
          <w:szCs w:val="28"/>
        </w:rPr>
        <w:t>1.招标文件（含澄清或者修改文件）；</w:t>
      </w:r>
    </w:p>
    <w:p w14:paraId="726EB5A7">
      <w:pPr>
        <w:spacing w:line="360" w:lineRule="auto"/>
        <w:ind w:firstLine="560" w:firstLineChars="200"/>
        <w:jc w:val="left"/>
        <w:rPr>
          <w:rFonts w:ascii="宋体" w:hAnsi="宋体" w:cs="宋体"/>
          <w:color w:val="auto"/>
          <w:sz w:val="28"/>
          <w:szCs w:val="28"/>
        </w:rPr>
      </w:pPr>
      <w:r>
        <w:rPr>
          <w:rFonts w:hint="eastAsia" w:ascii="宋体" w:hAnsi="宋体" w:cs="宋体"/>
          <w:color w:val="auto"/>
          <w:sz w:val="28"/>
          <w:szCs w:val="28"/>
        </w:rPr>
        <w:t>2.招标文件的更正公告、变更公告；</w:t>
      </w:r>
    </w:p>
    <w:p w14:paraId="1E841F52">
      <w:pPr>
        <w:spacing w:line="360" w:lineRule="auto"/>
        <w:ind w:firstLine="560" w:firstLineChars="200"/>
        <w:jc w:val="left"/>
        <w:rPr>
          <w:rFonts w:ascii="宋体" w:hAnsi="宋体" w:cs="宋体"/>
          <w:color w:val="auto"/>
          <w:sz w:val="28"/>
          <w:szCs w:val="28"/>
        </w:rPr>
      </w:pPr>
      <w:r>
        <w:rPr>
          <w:rFonts w:hint="eastAsia" w:ascii="宋体" w:hAnsi="宋体" w:cs="宋体"/>
          <w:color w:val="auto"/>
          <w:sz w:val="28"/>
          <w:szCs w:val="28"/>
        </w:rPr>
        <w:t>3.乙方提交的投标文件（含澄清或者说明文件）；</w:t>
      </w:r>
    </w:p>
    <w:p w14:paraId="7DE19D64">
      <w:pPr>
        <w:spacing w:line="360" w:lineRule="auto"/>
        <w:ind w:firstLine="560" w:firstLineChars="200"/>
        <w:jc w:val="left"/>
        <w:rPr>
          <w:rFonts w:ascii="宋体" w:hAnsi="宋体" w:cs="宋体"/>
          <w:color w:val="auto"/>
          <w:sz w:val="28"/>
          <w:szCs w:val="28"/>
        </w:rPr>
      </w:pPr>
      <w:r>
        <w:rPr>
          <w:rFonts w:hint="eastAsia" w:ascii="宋体" w:hAnsi="宋体" w:cs="宋体"/>
          <w:color w:val="auto"/>
          <w:sz w:val="28"/>
          <w:szCs w:val="28"/>
        </w:rPr>
        <w:t>4.政府采购合同条款；</w:t>
      </w:r>
    </w:p>
    <w:p w14:paraId="5FF9E6B3">
      <w:pPr>
        <w:spacing w:line="360" w:lineRule="auto"/>
        <w:ind w:firstLine="560" w:firstLineChars="200"/>
        <w:jc w:val="left"/>
        <w:rPr>
          <w:rFonts w:ascii="宋体" w:hAnsi="宋体" w:cs="宋体"/>
          <w:color w:val="auto"/>
          <w:sz w:val="28"/>
          <w:szCs w:val="28"/>
        </w:rPr>
      </w:pPr>
      <w:r>
        <w:rPr>
          <w:rFonts w:hint="eastAsia" w:ascii="宋体" w:hAnsi="宋体" w:cs="宋体"/>
          <w:color w:val="auto"/>
          <w:sz w:val="28"/>
          <w:szCs w:val="28"/>
        </w:rPr>
        <w:t>5.中标通知书；</w:t>
      </w:r>
    </w:p>
    <w:p w14:paraId="52C59730">
      <w:pPr>
        <w:spacing w:line="360" w:lineRule="auto"/>
        <w:ind w:firstLine="560" w:firstLineChars="200"/>
        <w:jc w:val="left"/>
        <w:rPr>
          <w:rFonts w:ascii="宋体" w:hAnsi="宋体" w:cs="宋体"/>
          <w:color w:val="auto"/>
          <w:sz w:val="28"/>
          <w:szCs w:val="28"/>
        </w:rPr>
      </w:pPr>
      <w:r>
        <w:rPr>
          <w:rFonts w:hint="eastAsia" w:ascii="宋体" w:hAnsi="宋体" w:cs="宋体"/>
          <w:color w:val="auto"/>
          <w:sz w:val="28"/>
          <w:szCs w:val="28"/>
        </w:rPr>
        <w:t>6.政府采购合同的其它附件。</w:t>
      </w:r>
    </w:p>
    <w:p w14:paraId="53ED68F3">
      <w:pPr>
        <w:spacing w:before="156" w:beforeLines="50" w:line="360" w:lineRule="auto"/>
        <w:ind w:firstLine="562" w:firstLineChars="200"/>
        <w:jc w:val="left"/>
        <w:outlineLvl w:val="0"/>
        <w:rPr>
          <w:rFonts w:ascii="宋体" w:hAnsi="宋体" w:cs="宋体"/>
          <w:b/>
          <w:color w:val="auto"/>
          <w:sz w:val="28"/>
          <w:szCs w:val="28"/>
        </w:rPr>
      </w:pPr>
      <w:r>
        <w:rPr>
          <w:rFonts w:hint="eastAsia" w:ascii="宋体" w:hAnsi="宋体" w:cs="宋体"/>
          <w:b/>
          <w:color w:val="auto"/>
          <w:sz w:val="28"/>
          <w:szCs w:val="28"/>
        </w:rPr>
        <w:t>二、政府采购合同范围和条件</w:t>
      </w:r>
    </w:p>
    <w:p w14:paraId="57ACC38B">
      <w:pPr>
        <w:spacing w:line="360" w:lineRule="auto"/>
        <w:jc w:val="left"/>
        <w:rPr>
          <w:rFonts w:ascii="宋体" w:hAnsi="宋体" w:cs="宋体"/>
          <w:color w:val="auto"/>
          <w:sz w:val="28"/>
          <w:szCs w:val="28"/>
        </w:rPr>
      </w:pPr>
      <w:r>
        <w:rPr>
          <w:rFonts w:hint="eastAsia" w:ascii="宋体" w:hAnsi="宋体" w:cs="宋体"/>
          <w:color w:val="auto"/>
          <w:sz w:val="28"/>
          <w:szCs w:val="28"/>
        </w:rPr>
        <w:t xml:space="preserve">    本政府采购合同的范围和条件与上述政府采购合同文件的规定相一致。</w:t>
      </w:r>
    </w:p>
    <w:p w14:paraId="57FC0293">
      <w:pPr>
        <w:spacing w:before="156" w:beforeLines="50" w:line="360" w:lineRule="auto"/>
        <w:ind w:firstLine="562" w:firstLineChars="200"/>
        <w:jc w:val="left"/>
        <w:outlineLvl w:val="0"/>
        <w:rPr>
          <w:rFonts w:ascii="宋体" w:hAnsi="宋体" w:cs="宋体"/>
          <w:b/>
          <w:color w:val="auto"/>
          <w:sz w:val="28"/>
          <w:szCs w:val="28"/>
        </w:rPr>
      </w:pPr>
      <w:r>
        <w:rPr>
          <w:rFonts w:hint="eastAsia" w:ascii="宋体" w:hAnsi="宋体" w:cs="宋体"/>
          <w:b/>
          <w:color w:val="auto"/>
          <w:sz w:val="28"/>
          <w:szCs w:val="28"/>
        </w:rPr>
        <w:t>三、政府采购合同标的</w:t>
      </w:r>
    </w:p>
    <w:p w14:paraId="46C7B88D">
      <w:pPr>
        <w:spacing w:line="360" w:lineRule="auto"/>
        <w:jc w:val="left"/>
        <w:rPr>
          <w:rFonts w:ascii="宋体" w:hAnsi="宋体" w:cs="宋体"/>
          <w:color w:val="auto"/>
          <w:sz w:val="24"/>
        </w:rPr>
      </w:pPr>
      <w:r>
        <w:rPr>
          <w:rFonts w:hint="eastAsia" w:ascii="宋体" w:hAnsi="宋体" w:cs="宋体"/>
          <w:color w:val="auto"/>
          <w:sz w:val="24"/>
        </w:rPr>
        <w:t xml:space="preserve">    本政府采购合同的标的为政府采购合同服务清单(同投标文件中的开标一览表/分项报价明细表)中所列服务。</w:t>
      </w:r>
    </w:p>
    <w:tbl>
      <w:tblPr>
        <w:tblStyle w:val="29"/>
        <w:tblW w:w="9353" w:type="dxa"/>
        <w:jc w:val="center"/>
        <w:tblLayout w:type="fixed"/>
        <w:tblCellMar>
          <w:top w:w="0" w:type="dxa"/>
          <w:left w:w="108" w:type="dxa"/>
          <w:bottom w:w="0" w:type="dxa"/>
          <w:right w:w="108" w:type="dxa"/>
        </w:tblCellMar>
      </w:tblPr>
      <w:tblGrid>
        <w:gridCol w:w="750"/>
        <w:gridCol w:w="1523"/>
        <w:gridCol w:w="2019"/>
        <w:gridCol w:w="935"/>
        <w:gridCol w:w="1194"/>
        <w:gridCol w:w="1667"/>
        <w:gridCol w:w="1265"/>
      </w:tblGrid>
      <w:tr w14:paraId="60A1F16C">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14:paraId="2EF13D88">
            <w:pPr>
              <w:spacing w:line="360" w:lineRule="auto"/>
              <w:jc w:val="center"/>
              <w:rPr>
                <w:rFonts w:ascii="宋体" w:hAnsi="宋体" w:cs="宋体"/>
                <w:b/>
                <w:bCs/>
                <w:color w:val="auto"/>
                <w:sz w:val="24"/>
              </w:rPr>
            </w:pPr>
            <w:r>
              <w:rPr>
                <w:rFonts w:hint="eastAsia" w:ascii="宋体" w:hAnsi="宋体" w:cs="宋体"/>
                <w:b/>
                <w:bCs/>
                <w:color w:val="auto"/>
                <w:sz w:val="24"/>
              </w:rPr>
              <w:t>序号</w:t>
            </w:r>
          </w:p>
        </w:tc>
        <w:tc>
          <w:tcPr>
            <w:tcW w:w="1523" w:type="dxa"/>
            <w:tcBorders>
              <w:top w:val="single" w:color="auto" w:sz="4" w:space="0"/>
              <w:left w:val="single" w:color="auto" w:sz="4" w:space="0"/>
              <w:bottom w:val="single" w:color="auto" w:sz="4" w:space="0"/>
              <w:right w:val="single" w:color="auto" w:sz="4" w:space="0"/>
            </w:tcBorders>
            <w:vAlign w:val="center"/>
          </w:tcPr>
          <w:p w14:paraId="0BB6BCA3">
            <w:pPr>
              <w:spacing w:line="360" w:lineRule="auto"/>
              <w:jc w:val="center"/>
              <w:rPr>
                <w:rFonts w:ascii="宋体" w:hAnsi="宋体" w:cs="宋体"/>
                <w:b/>
                <w:bCs/>
                <w:color w:val="auto"/>
                <w:sz w:val="24"/>
              </w:rPr>
            </w:pPr>
            <w:r>
              <w:rPr>
                <w:rFonts w:hint="eastAsia" w:ascii="宋体" w:hAnsi="宋体" w:cs="宋体"/>
                <w:b/>
                <w:bCs/>
                <w:color w:val="auto"/>
                <w:sz w:val="24"/>
              </w:rPr>
              <w:t>服</w:t>
            </w:r>
            <w:r>
              <w:rPr>
                <w:rFonts w:ascii="宋体" w:hAnsi="宋体" w:cs="宋体"/>
                <w:b/>
                <w:bCs/>
                <w:color w:val="auto"/>
                <w:sz w:val="24"/>
              </w:rPr>
              <w:t>务</w:t>
            </w:r>
            <w:r>
              <w:rPr>
                <w:rFonts w:hint="eastAsia" w:ascii="宋体" w:hAnsi="宋体" w:cs="宋体"/>
                <w:b/>
                <w:bCs/>
                <w:color w:val="auto"/>
                <w:sz w:val="24"/>
              </w:rPr>
              <w:t>名称</w:t>
            </w:r>
          </w:p>
        </w:tc>
        <w:tc>
          <w:tcPr>
            <w:tcW w:w="2019" w:type="dxa"/>
            <w:tcBorders>
              <w:top w:val="single" w:color="auto" w:sz="4" w:space="0"/>
              <w:left w:val="single" w:color="auto" w:sz="4" w:space="0"/>
              <w:bottom w:val="single" w:color="auto" w:sz="4" w:space="0"/>
              <w:right w:val="single" w:color="auto" w:sz="4" w:space="0"/>
            </w:tcBorders>
            <w:vAlign w:val="center"/>
          </w:tcPr>
          <w:p w14:paraId="67EB226E">
            <w:pPr>
              <w:spacing w:line="360" w:lineRule="auto"/>
              <w:jc w:val="center"/>
              <w:rPr>
                <w:rFonts w:ascii="宋体" w:hAnsi="宋体" w:cs="宋体"/>
                <w:b/>
                <w:bCs/>
                <w:color w:val="auto"/>
                <w:sz w:val="24"/>
              </w:rPr>
            </w:pPr>
            <w:r>
              <w:rPr>
                <w:rFonts w:hint="eastAsia" w:ascii="宋体" w:hAnsi="宋体" w:cs="宋体"/>
                <w:b/>
                <w:bCs/>
                <w:color w:val="auto"/>
                <w:sz w:val="24"/>
              </w:rPr>
              <w:t>服务要求</w:t>
            </w:r>
          </w:p>
        </w:tc>
        <w:tc>
          <w:tcPr>
            <w:tcW w:w="935" w:type="dxa"/>
            <w:tcBorders>
              <w:top w:val="single" w:color="auto" w:sz="4" w:space="0"/>
              <w:left w:val="single" w:color="auto" w:sz="4" w:space="0"/>
              <w:bottom w:val="single" w:color="auto" w:sz="4" w:space="0"/>
              <w:right w:val="single" w:color="auto" w:sz="4" w:space="0"/>
            </w:tcBorders>
            <w:vAlign w:val="center"/>
          </w:tcPr>
          <w:p w14:paraId="53857503">
            <w:pPr>
              <w:spacing w:line="360" w:lineRule="auto"/>
              <w:jc w:val="center"/>
              <w:rPr>
                <w:rFonts w:ascii="宋体" w:hAnsi="宋体" w:cs="宋体"/>
                <w:b/>
                <w:bCs/>
                <w:color w:val="auto"/>
                <w:sz w:val="24"/>
              </w:rPr>
            </w:pPr>
            <w:r>
              <w:rPr>
                <w:rFonts w:hint="eastAsia" w:ascii="宋体" w:hAnsi="宋体" w:cs="宋体"/>
                <w:b/>
                <w:bCs/>
                <w:color w:val="auto"/>
                <w:sz w:val="24"/>
              </w:rPr>
              <w:t>数量/单位</w:t>
            </w:r>
          </w:p>
        </w:tc>
        <w:tc>
          <w:tcPr>
            <w:tcW w:w="1194" w:type="dxa"/>
            <w:tcBorders>
              <w:top w:val="single" w:color="auto" w:sz="4" w:space="0"/>
              <w:left w:val="single" w:color="auto" w:sz="4" w:space="0"/>
              <w:bottom w:val="single" w:color="auto" w:sz="4" w:space="0"/>
              <w:right w:val="single" w:color="auto" w:sz="4" w:space="0"/>
            </w:tcBorders>
            <w:vAlign w:val="center"/>
          </w:tcPr>
          <w:p w14:paraId="2CB085AE">
            <w:pPr>
              <w:spacing w:line="360" w:lineRule="auto"/>
              <w:jc w:val="center"/>
              <w:rPr>
                <w:rFonts w:ascii="宋体" w:hAnsi="宋体" w:cs="宋体"/>
                <w:b/>
                <w:bCs/>
                <w:color w:val="auto"/>
                <w:sz w:val="24"/>
              </w:rPr>
            </w:pPr>
            <w:r>
              <w:rPr>
                <w:rFonts w:hint="eastAsia" w:ascii="宋体" w:hAnsi="宋体" w:cs="宋体"/>
                <w:b/>
                <w:bCs/>
                <w:color w:val="auto"/>
                <w:sz w:val="24"/>
              </w:rPr>
              <w:t>单价</w:t>
            </w:r>
          </w:p>
          <w:p w14:paraId="2C2F4C33">
            <w:pPr>
              <w:spacing w:line="360" w:lineRule="auto"/>
              <w:jc w:val="center"/>
              <w:rPr>
                <w:rFonts w:ascii="宋体" w:hAnsi="宋体" w:cs="宋体"/>
                <w:b/>
                <w:bCs/>
                <w:color w:val="auto"/>
                <w:sz w:val="24"/>
              </w:rPr>
            </w:pPr>
            <w:r>
              <w:rPr>
                <w:rFonts w:hint="eastAsia" w:ascii="宋体" w:hAnsi="宋体" w:cs="宋体"/>
                <w:b/>
                <w:bCs/>
                <w:color w:val="auto"/>
                <w:sz w:val="24"/>
              </w:rPr>
              <w:t>（元）</w:t>
            </w:r>
          </w:p>
        </w:tc>
        <w:tc>
          <w:tcPr>
            <w:tcW w:w="1667" w:type="dxa"/>
            <w:tcBorders>
              <w:top w:val="single" w:color="auto" w:sz="4" w:space="0"/>
              <w:left w:val="single" w:color="auto" w:sz="4" w:space="0"/>
              <w:bottom w:val="single" w:color="auto" w:sz="4" w:space="0"/>
              <w:right w:val="single" w:color="auto" w:sz="4" w:space="0"/>
            </w:tcBorders>
            <w:vAlign w:val="center"/>
          </w:tcPr>
          <w:p w14:paraId="0E671053">
            <w:pPr>
              <w:spacing w:line="360" w:lineRule="auto"/>
              <w:jc w:val="center"/>
              <w:rPr>
                <w:rFonts w:ascii="宋体" w:hAnsi="宋体" w:cs="宋体"/>
                <w:b/>
                <w:bCs/>
                <w:color w:val="auto"/>
                <w:sz w:val="24"/>
              </w:rPr>
            </w:pPr>
            <w:r>
              <w:rPr>
                <w:rFonts w:hint="eastAsia" w:ascii="宋体" w:hAnsi="宋体" w:cs="宋体"/>
                <w:b/>
                <w:bCs/>
                <w:color w:val="auto"/>
                <w:sz w:val="24"/>
              </w:rPr>
              <w:t>单项总价</w:t>
            </w:r>
          </w:p>
          <w:p w14:paraId="2BE80149">
            <w:pPr>
              <w:spacing w:line="360" w:lineRule="auto"/>
              <w:jc w:val="center"/>
              <w:rPr>
                <w:rFonts w:ascii="宋体" w:hAnsi="宋体" w:cs="宋体"/>
                <w:b/>
                <w:bCs/>
                <w:color w:val="auto"/>
                <w:sz w:val="24"/>
              </w:rPr>
            </w:pPr>
            <w:r>
              <w:rPr>
                <w:rFonts w:hint="eastAsia" w:ascii="宋体" w:hAnsi="宋体" w:cs="宋体"/>
                <w:b/>
                <w:bCs/>
                <w:color w:val="auto"/>
                <w:sz w:val="24"/>
              </w:rPr>
              <w:t>(元)</w:t>
            </w:r>
          </w:p>
        </w:tc>
        <w:tc>
          <w:tcPr>
            <w:tcW w:w="1265" w:type="dxa"/>
            <w:tcBorders>
              <w:top w:val="single" w:color="auto" w:sz="4" w:space="0"/>
              <w:left w:val="single" w:color="auto" w:sz="4" w:space="0"/>
              <w:bottom w:val="single" w:color="auto" w:sz="4" w:space="0"/>
              <w:right w:val="single" w:color="auto" w:sz="4" w:space="0"/>
            </w:tcBorders>
            <w:vAlign w:val="center"/>
          </w:tcPr>
          <w:p w14:paraId="5B1D8FCC">
            <w:pPr>
              <w:spacing w:line="360" w:lineRule="auto"/>
              <w:jc w:val="center"/>
              <w:rPr>
                <w:rFonts w:ascii="宋体" w:hAnsi="宋体" w:cs="宋体"/>
                <w:b/>
                <w:bCs/>
                <w:color w:val="auto"/>
                <w:sz w:val="24"/>
              </w:rPr>
            </w:pPr>
            <w:r>
              <w:rPr>
                <w:rFonts w:hint="eastAsia" w:ascii="宋体" w:hAnsi="宋体" w:cs="宋体"/>
                <w:b/>
                <w:bCs/>
                <w:color w:val="auto"/>
                <w:sz w:val="24"/>
              </w:rPr>
              <w:t>备注</w:t>
            </w:r>
          </w:p>
        </w:tc>
      </w:tr>
      <w:tr w14:paraId="10929A8F">
        <w:tblPrEx>
          <w:tblCellMar>
            <w:top w:w="0" w:type="dxa"/>
            <w:left w:w="108" w:type="dxa"/>
            <w:bottom w:w="0" w:type="dxa"/>
            <w:right w:w="108" w:type="dxa"/>
          </w:tblCellMar>
        </w:tblPrEx>
        <w:trPr>
          <w:trHeight w:val="90"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14:paraId="5CEE3485">
            <w:pPr>
              <w:spacing w:line="360" w:lineRule="auto"/>
              <w:jc w:val="left"/>
              <w:rPr>
                <w:rFonts w:ascii="宋体" w:hAnsi="宋体" w:cs="宋体"/>
                <w:color w:val="auto"/>
                <w:sz w:val="24"/>
              </w:rPr>
            </w:pP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14:paraId="4EFF4456">
            <w:pPr>
              <w:spacing w:line="360" w:lineRule="auto"/>
              <w:jc w:val="left"/>
              <w:rPr>
                <w:rFonts w:ascii="宋体" w:hAnsi="宋体" w:cs="宋体"/>
                <w:color w:val="auto"/>
                <w:sz w:val="24"/>
              </w:rPr>
            </w:pPr>
          </w:p>
        </w:tc>
        <w:tc>
          <w:tcPr>
            <w:tcW w:w="2019" w:type="dxa"/>
            <w:tcBorders>
              <w:top w:val="single" w:color="auto" w:sz="4" w:space="0"/>
              <w:left w:val="single" w:color="auto" w:sz="4" w:space="0"/>
              <w:bottom w:val="single" w:color="auto" w:sz="4" w:space="0"/>
              <w:right w:val="single" w:color="auto" w:sz="4" w:space="0"/>
            </w:tcBorders>
            <w:shd w:val="clear" w:color="auto" w:fill="FFFFFF"/>
            <w:vAlign w:val="center"/>
          </w:tcPr>
          <w:p w14:paraId="4A6D72AF">
            <w:pPr>
              <w:spacing w:line="360" w:lineRule="auto"/>
              <w:jc w:val="left"/>
              <w:rPr>
                <w:rFonts w:ascii="宋体" w:hAnsi="宋体" w:cs="宋体"/>
                <w:color w:val="auto"/>
                <w:sz w:val="24"/>
              </w:rPr>
            </w:pPr>
          </w:p>
        </w:tc>
        <w:tc>
          <w:tcPr>
            <w:tcW w:w="935" w:type="dxa"/>
            <w:tcBorders>
              <w:top w:val="single" w:color="auto" w:sz="4" w:space="0"/>
              <w:left w:val="single" w:color="auto" w:sz="4" w:space="0"/>
              <w:bottom w:val="single" w:color="auto" w:sz="4" w:space="0"/>
              <w:right w:val="single" w:color="auto" w:sz="4" w:space="0"/>
            </w:tcBorders>
            <w:shd w:val="clear" w:color="auto" w:fill="FFFFFF"/>
            <w:vAlign w:val="center"/>
          </w:tcPr>
          <w:p w14:paraId="0DC5670B">
            <w:pPr>
              <w:spacing w:line="360" w:lineRule="auto"/>
              <w:jc w:val="left"/>
              <w:rPr>
                <w:rFonts w:ascii="宋体" w:hAnsi="宋体" w:cs="宋体"/>
                <w:color w:val="auto"/>
                <w:sz w:val="24"/>
              </w:rPr>
            </w:pPr>
          </w:p>
        </w:tc>
        <w:tc>
          <w:tcPr>
            <w:tcW w:w="1194" w:type="dxa"/>
            <w:tcBorders>
              <w:top w:val="single" w:color="auto" w:sz="4" w:space="0"/>
              <w:left w:val="single" w:color="auto" w:sz="4" w:space="0"/>
              <w:bottom w:val="single" w:color="auto" w:sz="4" w:space="0"/>
              <w:right w:val="single" w:color="auto" w:sz="4" w:space="0"/>
            </w:tcBorders>
            <w:shd w:val="clear" w:color="auto" w:fill="FFFFFF"/>
            <w:vAlign w:val="center"/>
          </w:tcPr>
          <w:p w14:paraId="39EE1F60">
            <w:pPr>
              <w:spacing w:line="360" w:lineRule="auto"/>
              <w:jc w:val="left"/>
              <w:rPr>
                <w:rFonts w:ascii="宋体" w:hAnsi="宋体" w:cs="宋体"/>
                <w:color w:val="auto"/>
                <w:sz w:val="24"/>
              </w:rPr>
            </w:pPr>
          </w:p>
        </w:tc>
        <w:tc>
          <w:tcPr>
            <w:tcW w:w="1667" w:type="dxa"/>
            <w:tcBorders>
              <w:top w:val="single" w:color="auto" w:sz="4" w:space="0"/>
              <w:left w:val="single" w:color="auto" w:sz="4" w:space="0"/>
              <w:bottom w:val="single" w:color="auto" w:sz="4" w:space="0"/>
              <w:right w:val="single" w:color="auto" w:sz="4" w:space="0"/>
            </w:tcBorders>
            <w:shd w:val="clear" w:color="auto" w:fill="FFFFFF"/>
            <w:vAlign w:val="center"/>
          </w:tcPr>
          <w:p w14:paraId="20837036">
            <w:pPr>
              <w:spacing w:line="360" w:lineRule="auto"/>
              <w:jc w:val="left"/>
              <w:rPr>
                <w:rFonts w:ascii="宋体" w:hAnsi="宋体" w:cs="宋体"/>
                <w:color w:val="auto"/>
                <w:sz w:val="24"/>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14:paraId="266E2B41">
            <w:pPr>
              <w:spacing w:line="360" w:lineRule="auto"/>
              <w:jc w:val="left"/>
              <w:rPr>
                <w:rFonts w:ascii="宋体" w:hAnsi="宋体" w:cs="宋体"/>
                <w:color w:val="auto"/>
                <w:sz w:val="24"/>
              </w:rPr>
            </w:pPr>
          </w:p>
        </w:tc>
      </w:tr>
      <w:tr w14:paraId="461E81CD">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14:paraId="462BD247">
            <w:pPr>
              <w:spacing w:line="360" w:lineRule="auto"/>
              <w:jc w:val="left"/>
              <w:rPr>
                <w:rFonts w:ascii="宋体" w:hAnsi="宋体" w:cs="宋体"/>
                <w:color w:val="auto"/>
                <w:sz w:val="24"/>
              </w:rPr>
            </w:pP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14:paraId="4526EAA6">
            <w:pPr>
              <w:spacing w:line="360" w:lineRule="auto"/>
              <w:jc w:val="left"/>
              <w:rPr>
                <w:rFonts w:ascii="宋体" w:hAnsi="宋体" w:cs="宋体"/>
                <w:color w:val="auto"/>
                <w:sz w:val="24"/>
              </w:rPr>
            </w:pPr>
          </w:p>
        </w:tc>
        <w:tc>
          <w:tcPr>
            <w:tcW w:w="2019" w:type="dxa"/>
            <w:tcBorders>
              <w:top w:val="single" w:color="auto" w:sz="4" w:space="0"/>
              <w:left w:val="single" w:color="auto" w:sz="4" w:space="0"/>
              <w:bottom w:val="single" w:color="auto" w:sz="4" w:space="0"/>
              <w:right w:val="single" w:color="auto" w:sz="4" w:space="0"/>
            </w:tcBorders>
            <w:shd w:val="clear" w:color="auto" w:fill="FFFFFF"/>
            <w:vAlign w:val="center"/>
          </w:tcPr>
          <w:p w14:paraId="5EA30404">
            <w:pPr>
              <w:spacing w:line="360" w:lineRule="auto"/>
              <w:jc w:val="left"/>
              <w:rPr>
                <w:rFonts w:ascii="宋体" w:hAnsi="宋体" w:cs="宋体"/>
                <w:color w:val="auto"/>
                <w:sz w:val="24"/>
              </w:rPr>
            </w:pPr>
          </w:p>
        </w:tc>
        <w:tc>
          <w:tcPr>
            <w:tcW w:w="935" w:type="dxa"/>
            <w:tcBorders>
              <w:top w:val="single" w:color="auto" w:sz="4" w:space="0"/>
              <w:left w:val="single" w:color="auto" w:sz="4" w:space="0"/>
              <w:bottom w:val="single" w:color="auto" w:sz="4" w:space="0"/>
              <w:right w:val="single" w:color="auto" w:sz="4" w:space="0"/>
            </w:tcBorders>
            <w:shd w:val="clear" w:color="auto" w:fill="FFFFFF"/>
            <w:vAlign w:val="center"/>
          </w:tcPr>
          <w:p w14:paraId="7875A934">
            <w:pPr>
              <w:spacing w:line="360" w:lineRule="auto"/>
              <w:jc w:val="left"/>
              <w:rPr>
                <w:rFonts w:ascii="宋体" w:hAnsi="宋体" w:cs="宋体"/>
                <w:color w:val="auto"/>
                <w:sz w:val="24"/>
              </w:rPr>
            </w:pPr>
          </w:p>
        </w:tc>
        <w:tc>
          <w:tcPr>
            <w:tcW w:w="1194" w:type="dxa"/>
            <w:tcBorders>
              <w:top w:val="single" w:color="auto" w:sz="4" w:space="0"/>
              <w:left w:val="single" w:color="auto" w:sz="4" w:space="0"/>
              <w:bottom w:val="single" w:color="auto" w:sz="4" w:space="0"/>
              <w:right w:val="single" w:color="auto" w:sz="4" w:space="0"/>
            </w:tcBorders>
            <w:shd w:val="clear" w:color="auto" w:fill="FFFFFF"/>
            <w:vAlign w:val="center"/>
          </w:tcPr>
          <w:p w14:paraId="1E2F892B">
            <w:pPr>
              <w:spacing w:line="360" w:lineRule="auto"/>
              <w:jc w:val="left"/>
              <w:rPr>
                <w:rFonts w:ascii="宋体" w:hAnsi="宋体" w:cs="宋体"/>
                <w:color w:val="auto"/>
                <w:sz w:val="24"/>
              </w:rPr>
            </w:pPr>
          </w:p>
        </w:tc>
        <w:tc>
          <w:tcPr>
            <w:tcW w:w="1667" w:type="dxa"/>
            <w:tcBorders>
              <w:top w:val="single" w:color="auto" w:sz="4" w:space="0"/>
              <w:left w:val="single" w:color="auto" w:sz="4" w:space="0"/>
              <w:bottom w:val="single" w:color="auto" w:sz="4" w:space="0"/>
              <w:right w:val="single" w:color="auto" w:sz="4" w:space="0"/>
            </w:tcBorders>
            <w:shd w:val="clear" w:color="auto" w:fill="FFFFFF"/>
            <w:vAlign w:val="center"/>
          </w:tcPr>
          <w:p w14:paraId="229D9FB7">
            <w:pPr>
              <w:spacing w:line="360" w:lineRule="auto"/>
              <w:jc w:val="left"/>
              <w:rPr>
                <w:rFonts w:ascii="宋体" w:hAnsi="宋体" w:cs="宋体"/>
                <w:color w:val="auto"/>
                <w:sz w:val="24"/>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14:paraId="7A6B5321">
            <w:pPr>
              <w:spacing w:line="360" w:lineRule="auto"/>
              <w:jc w:val="left"/>
              <w:rPr>
                <w:rFonts w:ascii="宋体" w:hAnsi="宋体" w:cs="宋体"/>
                <w:color w:val="auto"/>
                <w:sz w:val="24"/>
              </w:rPr>
            </w:pPr>
          </w:p>
        </w:tc>
      </w:tr>
      <w:tr w14:paraId="257C5C78">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14:paraId="6740AEFF">
            <w:pPr>
              <w:spacing w:line="360" w:lineRule="auto"/>
              <w:jc w:val="left"/>
              <w:rPr>
                <w:rFonts w:ascii="宋体" w:hAnsi="宋体" w:cs="宋体"/>
                <w:color w:val="auto"/>
                <w:sz w:val="24"/>
              </w:rPr>
            </w:pP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14:paraId="05654E47">
            <w:pPr>
              <w:spacing w:line="360" w:lineRule="auto"/>
              <w:jc w:val="left"/>
              <w:rPr>
                <w:rFonts w:ascii="宋体" w:hAnsi="宋体" w:cs="宋体"/>
                <w:color w:val="auto"/>
                <w:sz w:val="24"/>
              </w:rPr>
            </w:pPr>
          </w:p>
        </w:tc>
        <w:tc>
          <w:tcPr>
            <w:tcW w:w="2019" w:type="dxa"/>
            <w:tcBorders>
              <w:top w:val="single" w:color="auto" w:sz="4" w:space="0"/>
              <w:left w:val="single" w:color="auto" w:sz="4" w:space="0"/>
              <w:bottom w:val="single" w:color="auto" w:sz="4" w:space="0"/>
              <w:right w:val="single" w:color="auto" w:sz="4" w:space="0"/>
            </w:tcBorders>
            <w:shd w:val="clear" w:color="auto" w:fill="FFFFFF"/>
            <w:vAlign w:val="center"/>
          </w:tcPr>
          <w:p w14:paraId="24AFF6F4">
            <w:pPr>
              <w:spacing w:line="360" w:lineRule="auto"/>
              <w:jc w:val="left"/>
              <w:rPr>
                <w:rFonts w:ascii="宋体" w:hAnsi="宋体" w:cs="宋体"/>
                <w:color w:val="auto"/>
                <w:sz w:val="24"/>
              </w:rPr>
            </w:pPr>
          </w:p>
        </w:tc>
        <w:tc>
          <w:tcPr>
            <w:tcW w:w="935" w:type="dxa"/>
            <w:tcBorders>
              <w:top w:val="single" w:color="auto" w:sz="4" w:space="0"/>
              <w:left w:val="single" w:color="auto" w:sz="4" w:space="0"/>
              <w:bottom w:val="single" w:color="auto" w:sz="4" w:space="0"/>
              <w:right w:val="single" w:color="auto" w:sz="4" w:space="0"/>
            </w:tcBorders>
            <w:shd w:val="clear" w:color="auto" w:fill="FFFFFF"/>
            <w:vAlign w:val="center"/>
          </w:tcPr>
          <w:p w14:paraId="79A0E1C6">
            <w:pPr>
              <w:spacing w:line="360" w:lineRule="auto"/>
              <w:jc w:val="left"/>
              <w:rPr>
                <w:rFonts w:ascii="宋体" w:hAnsi="宋体" w:cs="宋体"/>
                <w:color w:val="auto"/>
                <w:sz w:val="24"/>
              </w:rPr>
            </w:pPr>
          </w:p>
        </w:tc>
        <w:tc>
          <w:tcPr>
            <w:tcW w:w="1194" w:type="dxa"/>
            <w:tcBorders>
              <w:top w:val="single" w:color="auto" w:sz="4" w:space="0"/>
              <w:left w:val="single" w:color="auto" w:sz="4" w:space="0"/>
              <w:bottom w:val="single" w:color="auto" w:sz="4" w:space="0"/>
              <w:right w:val="single" w:color="auto" w:sz="4" w:space="0"/>
            </w:tcBorders>
            <w:shd w:val="clear" w:color="auto" w:fill="FFFFFF"/>
            <w:vAlign w:val="center"/>
          </w:tcPr>
          <w:p w14:paraId="4C0B20B4">
            <w:pPr>
              <w:spacing w:line="360" w:lineRule="auto"/>
              <w:jc w:val="left"/>
              <w:rPr>
                <w:rFonts w:ascii="宋体" w:hAnsi="宋体" w:cs="宋体"/>
                <w:color w:val="auto"/>
                <w:sz w:val="24"/>
              </w:rPr>
            </w:pPr>
          </w:p>
        </w:tc>
        <w:tc>
          <w:tcPr>
            <w:tcW w:w="1667" w:type="dxa"/>
            <w:tcBorders>
              <w:top w:val="single" w:color="auto" w:sz="4" w:space="0"/>
              <w:left w:val="single" w:color="auto" w:sz="4" w:space="0"/>
              <w:bottom w:val="single" w:color="auto" w:sz="4" w:space="0"/>
              <w:right w:val="single" w:color="auto" w:sz="4" w:space="0"/>
            </w:tcBorders>
            <w:shd w:val="clear" w:color="auto" w:fill="FFFFFF"/>
            <w:vAlign w:val="center"/>
          </w:tcPr>
          <w:p w14:paraId="2DFF9BE0">
            <w:pPr>
              <w:spacing w:line="360" w:lineRule="auto"/>
              <w:jc w:val="left"/>
              <w:rPr>
                <w:rFonts w:ascii="宋体" w:hAnsi="宋体" w:cs="宋体"/>
                <w:color w:val="auto"/>
                <w:sz w:val="24"/>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14:paraId="7A00F975">
            <w:pPr>
              <w:spacing w:line="360" w:lineRule="auto"/>
              <w:jc w:val="left"/>
              <w:rPr>
                <w:rFonts w:ascii="宋体" w:hAnsi="宋体" w:cs="宋体"/>
                <w:color w:val="auto"/>
                <w:sz w:val="24"/>
              </w:rPr>
            </w:pPr>
          </w:p>
        </w:tc>
      </w:tr>
      <w:tr w14:paraId="380A750E">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14:paraId="469B9C85">
            <w:pPr>
              <w:spacing w:line="360" w:lineRule="auto"/>
              <w:jc w:val="left"/>
              <w:rPr>
                <w:rFonts w:ascii="宋体" w:hAnsi="宋体" w:cs="宋体"/>
                <w:color w:val="auto"/>
                <w:sz w:val="24"/>
              </w:rPr>
            </w:pP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14:paraId="04AC60C6">
            <w:pPr>
              <w:spacing w:line="360" w:lineRule="auto"/>
              <w:jc w:val="left"/>
              <w:rPr>
                <w:rFonts w:ascii="宋体" w:hAnsi="宋体" w:cs="宋体"/>
                <w:color w:val="auto"/>
                <w:sz w:val="24"/>
              </w:rPr>
            </w:pPr>
          </w:p>
        </w:tc>
        <w:tc>
          <w:tcPr>
            <w:tcW w:w="2019" w:type="dxa"/>
            <w:tcBorders>
              <w:top w:val="single" w:color="auto" w:sz="4" w:space="0"/>
              <w:left w:val="single" w:color="auto" w:sz="4" w:space="0"/>
              <w:bottom w:val="single" w:color="auto" w:sz="4" w:space="0"/>
              <w:right w:val="single" w:color="auto" w:sz="4" w:space="0"/>
            </w:tcBorders>
            <w:shd w:val="clear" w:color="auto" w:fill="FFFFFF"/>
            <w:vAlign w:val="center"/>
          </w:tcPr>
          <w:p w14:paraId="5BAAF4E1">
            <w:pPr>
              <w:spacing w:line="360" w:lineRule="auto"/>
              <w:jc w:val="left"/>
              <w:rPr>
                <w:rFonts w:ascii="宋体" w:hAnsi="宋体" w:cs="宋体"/>
                <w:color w:val="auto"/>
                <w:sz w:val="24"/>
              </w:rPr>
            </w:pPr>
          </w:p>
        </w:tc>
        <w:tc>
          <w:tcPr>
            <w:tcW w:w="935" w:type="dxa"/>
            <w:tcBorders>
              <w:top w:val="single" w:color="auto" w:sz="4" w:space="0"/>
              <w:left w:val="single" w:color="auto" w:sz="4" w:space="0"/>
              <w:bottom w:val="single" w:color="auto" w:sz="4" w:space="0"/>
              <w:right w:val="single" w:color="auto" w:sz="4" w:space="0"/>
            </w:tcBorders>
            <w:shd w:val="clear" w:color="auto" w:fill="FFFFFF"/>
            <w:vAlign w:val="center"/>
          </w:tcPr>
          <w:p w14:paraId="5A5BEB1D">
            <w:pPr>
              <w:spacing w:line="360" w:lineRule="auto"/>
              <w:jc w:val="left"/>
              <w:rPr>
                <w:rFonts w:ascii="宋体" w:hAnsi="宋体" w:cs="宋体"/>
                <w:color w:val="auto"/>
                <w:sz w:val="24"/>
              </w:rPr>
            </w:pPr>
          </w:p>
        </w:tc>
        <w:tc>
          <w:tcPr>
            <w:tcW w:w="1194" w:type="dxa"/>
            <w:tcBorders>
              <w:top w:val="single" w:color="auto" w:sz="4" w:space="0"/>
              <w:left w:val="single" w:color="auto" w:sz="4" w:space="0"/>
              <w:bottom w:val="single" w:color="auto" w:sz="4" w:space="0"/>
              <w:right w:val="single" w:color="auto" w:sz="4" w:space="0"/>
            </w:tcBorders>
            <w:shd w:val="clear" w:color="auto" w:fill="FFFFFF"/>
            <w:vAlign w:val="center"/>
          </w:tcPr>
          <w:p w14:paraId="35C11DF2">
            <w:pPr>
              <w:spacing w:line="360" w:lineRule="auto"/>
              <w:jc w:val="left"/>
              <w:rPr>
                <w:rFonts w:ascii="宋体" w:hAnsi="宋体" w:cs="宋体"/>
                <w:color w:val="auto"/>
                <w:sz w:val="24"/>
              </w:rPr>
            </w:pPr>
          </w:p>
        </w:tc>
        <w:tc>
          <w:tcPr>
            <w:tcW w:w="1667" w:type="dxa"/>
            <w:tcBorders>
              <w:top w:val="single" w:color="auto" w:sz="4" w:space="0"/>
              <w:left w:val="single" w:color="auto" w:sz="4" w:space="0"/>
              <w:bottom w:val="single" w:color="auto" w:sz="4" w:space="0"/>
              <w:right w:val="single" w:color="auto" w:sz="4" w:space="0"/>
            </w:tcBorders>
            <w:shd w:val="clear" w:color="auto" w:fill="FFFFFF"/>
            <w:vAlign w:val="center"/>
          </w:tcPr>
          <w:p w14:paraId="1C4EDBF2">
            <w:pPr>
              <w:spacing w:line="360" w:lineRule="auto"/>
              <w:jc w:val="left"/>
              <w:rPr>
                <w:rFonts w:ascii="宋体" w:hAnsi="宋体" w:cs="宋体"/>
                <w:color w:val="auto"/>
                <w:sz w:val="24"/>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14:paraId="6C302250">
            <w:pPr>
              <w:spacing w:line="360" w:lineRule="auto"/>
              <w:jc w:val="left"/>
              <w:rPr>
                <w:rFonts w:ascii="宋体" w:hAnsi="宋体" w:cs="宋体"/>
                <w:color w:val="auto"/>
                <w:sz w:val="24"/>
              </w:rPr>
            </w:pPr>
          </w:p>
        </w:tc>
      </w:tr>
      <w:tr w14:paraId="4EEE1B25">
        <w:tblPrEx>
          <w:tblCellMar>
            <w:top w:w="0" w:type="dxa"/>
            <w:left w:w="108" w:type="dxa"/>
            <w:bottom w:w="0" w:type="dxa"/>
            <w:right w:w="108" w:type="dxa"/>
          </w:tblCellMar>
        </w:tblPrEx>
        <w:trPr>
          <w:trHeight w:val="521" w:hRule="atLeast"/>
          <w:jc w:val="center"/>
        </w:trPr>
        <w:tc>
          <w:tcPr>
            <w:tcW w:w="642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14:paraId="04847BD5">
            <w:pPr>
              <w:spacing w:line="360" w:lineRule="auto"/>
              <w:jc w:val="center"/>
              <w:rPr>
                <w:rFonts w:ascii="宋体" w:hAnsi="宋体" w:cs="宋体"/>
                <w:color w:val="auto"/>
                <w:sz w:val="24"/>
              </w:rPr>
            </w:pPr>
            <w:r>
              <w:rPr>
                <w:rFonts w:hint="eastAsia" w:ascii="宋体" w:hAnsi="宋体" w:cs="宋体"/>
                <w:color w:val="auto"/>
                <w:sz w:val="24"/>
              </w:rPr>
              <w:t>总       价</w:t>
            </w:r>
          </w:p>
        </w:tc>
        <w:tc>
          <w:tcPr>
            <w:tcW w:w="1667" w:type="dxa"/>
            <w:tcBorders>
              <w:top w:val="single" w:color="auto" w:sz="4" w:space="0"/>
              <w:left w:val="single" w:color="auto" w:sz="4" w:space="0"/>
              <w:bottom w:val="single" w:color="auto" w:sz="4" w:space="0"/>
              <w:right w:val="single" w:color="auto" w:sz="4" w:space="0"/>
            </w:tcBorders>
            <w:shd w:val="clear" w:color="auto" w:fill="FFFFFF"/>
            <w:vAlign w:val="center"/>
          </w:tcPr>
          <w:p w14:paraId="68888E1A">
            <w:pPr>
              <w:spacing w:line="360" w:lineRule="auto"/>
              <w:jc w:val="left"/>
              <w:rPr>
                <w:rFonts w:ascii="宋体" w:hAnsi="宋体" w:cs="宋体"/>
                <w:color w:val="auto"/>
                <w:sz w:val="24"/>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14:paraId="5D178707">
            <w:pPr>
              <w:spacing w:line="360" w:lineRule="auto"/>
              <w:jc w:val="left"/>
              <w:rPr>
                <w:rFonts w:ascii="宋体" w:hAnsi="宋体" w:cs="宋体"/>
                <w:color w:val="auto"/>
                <w:sz w:val="24"/>
              </w:rPr>
            </w:pPr>
          </w:p>
        </w:tc>
      </w:tr>
    </w:tbl>
    <w:p w14:paraId="73A70932">
      <w:pPr>
        <w:spacing w:before="156" w:beforeLines="50" w:line="360" w:lineRule="auto"/>
        <w:ind w:firstLine="562" w:firstLineChars="200"/>
        <w:jc w:val="left"/>
        <w:outlineLvl w:val="0"/>
        <w:rPr>
          <w:rFonts w:ascii="宋体" w:hAnsi="宋体" w:cs="宋体"/>
          <w:b/>
          <w:color w:val="auto"/>
          <w:sz w:val="28"/>
          <w:szCs w:val="28"/>
        </w:rPr>
      </w:pPr>
      <w:r>
        <w:rPr>
          <w:rFonts w:hint="eastAsia" w:ascii="宋体" w:hAnsi="宋体" w:cs="宋体"/>
          <w:b/>
          <w:color w:val="auto"/>
          <w:sz w:val="28"/>
          <w:szCs w:val="28"/>
        </w:rPr>
        <w:t>四、政府采购合同金额</w:t>
      </w:r>
    </w:p>
    <w:p w14:paraId="26EB0DB9">
      <w:pPr>
        <w:spacing w:line="360" w:lineRule="auto"/>
        <w:jc w:val="left"/>
        <w:rPr>
          <w:rFonts w:ascii="宋体" w:hAnsi="宋体" w:cs="宋体"/>
          <w:b/>
          <w:color w:val="auto"/>
          <w:sz w:val="28"/>
          <w:szCs w:val="28"/>
        </w:rPr>
      </w:pPr>
      <w:r>
        <w:rPr>
          <w:rFonts w:hint="eastAsia" w:ascii="宋体" w:hAnsi="宋体" w:cs="宋体"/>
          <w:color w:val="auto"/>
          <w:sz w:val="28"/>
          <w:szCs w:val="28"/>
        </w:rPr>
        <w:t xml:space="preserve">    根据上述政府采购合同文件要求，政府采购合同的总金额为人民币</w:t>
      </w:r>
      <w:r>
        <w:rPr>
          <w:rFonts w:hint="eastAsia" w:ascii="宋体" w:hAnsi="宋体" w:cs="宋体"/>
          <w:color w:val="auto"/>
          <w:sz w:val="28"/>
          <w:szCs w:val="28"/>
          <w:u w:val="single"/>
        </w:rPr>
        <w:t xml:space="preserve">(大写) </w:t>
      </w:r>
      <w:r>
        <w:rPr>
          <w:rFonts w:hint="eastAsia" w:ascii="宋体" w:hAnsi="宋体" w:cs="宋体"/>
          <w:color w:val="auto"/>
          <w:sz w:val="28"/>
          <w:szCs w:val="28"/>
        </w:rPr>
        <w:t>，小写：</w:t>
      </w:r>
      <w:r>
        <w:rPr>
          <w:rFonts w:hint="eastAsia" w:ascii="宋体" w:hAnsi="宋体" w:cs="宋体"/>
          <w:color w:val="auto"/>
          <w:sz w:val="28"/>
          <w:szCs w:val="28"/>
          <w:u w:val="single"/>
        </w:rPr>
        <w:t xml:space="preserve">  </w:t>
      </w:r>
      <w:r>
        <w:rPr>
          <w:rFonts w:hint="eastAsia" w:ascii="宋体" w:hAnsi="宋体" w:cs="宋体"/>
          <w:color w:val="auto"/>
          <w:sz w:val="28"/>
          <w:szCs w:val="28"/>
        </w:rPr>
        <w:t>元。 （此合同价指验收合格并将货物送到交货地点的全部货款）</w:t>
      </w:r>
    </w:p>
    <w:p w14:paraId="6BD5F59E">
      <w:pPr>
        <w:spacing w:before="156" w:beforeLines="50" w:line="360" w:lineRule="auto"/>
        <w:ind w:firstLine="562" w:firstLineChars="200"/>
        <w:jc w:val="left"/>
        <w:outlineLvl w:val="0"/>
        <w:rPr>
          <w:rFonts w:ascii="宋体" w:hAnsi="宋体" w:cs="宋体"/>
          <w:b/>
          <w:color w:val="auto"/>
          <w:sz w:val="28"/>
          <w:szCs w:val="28"/>
        </w:rPr>
      </w:pPr>
      <w:r>
        <w:rPr>
          <w:rFonts w:hint="eastAsia" w:ascii="宋体" w:hAnsi="宋体" w:cs="宋体"/>
          <w:b/>
          <w:color w:val="auto"/>
          <w:sz w:val="28"/>
          <w:szCs w:val="28"/>
        </w:rPr>
        <w:t>五、付款方式</w:t>
      </w:r>
    </w:p>
    <w:p w14:paraId="353E6664">
      <w:pPr>
        <w:spacing w:line="520" w:lineRule="exact"/>
        <w:ind w:firstLine="560" w:firstLineChars="200"/>
        <w:jc w:val="left"/>
        <w:outlineLvl w:val="0"/>
        <w:rPr>
          <w:rFonts w:ascii="宋体" w:hAnsi="宋体" w:cs="宋体"/>
          <w:bCs/>
          <w:color w:val="auto"/>
          <w:sz w:val="28"/>
          <w:szCs w:val="28"/>
        </w:rPr>
      </w:pPr>
      <w:r>
        <w:rPr>
          <w:rFonts w:hint="eastAsia" w:ascii="宋体" w:hAnsi="宋体" w:cs="宋体"/>
          <w:bCs/>
          <w:color w:val="auto"/>
          <w:sz w:val="28"/>
          <w:szCs w:val="28"/>
        </w:rPr>
        <w:t>1.甲、乙双方之间发生的一切费用均以人民币结算支付；</w:t>
      </w:r>
    </w:p>
    <w:p w14:paraId="040BA6E6">
      <w:pPr>
        <w:spacing w:line="520" w:lineRule="exact"/>
        <w:ind w:firstLine="560" w:firstLineChars="200"/>
        <w:jc w:val="left"/>
        <w:outlineLvl w:val="0"/>
        <w:rPr>
          <w:rFonts w:ascii="宋体" w:hAnsi="宋体" w:cs="宋体"/>
          <w:b/>
          <w:color w:val="auto"/>
          <w:sz w:val="28"/>
          <w:szCs w:val="28"/>
        </w:rPr>
      </w:pPr>
      <w:r>
        <w:rPr>
          <w:rFonts w:hint="eastAsia" w:ascii="宋体" w:hAnsi="宋体" w:cs="宋体"/>
          <w:bCs/>
          <w:color w:val="auto"/>
          <w:sz w:val="28"/>
          <w:szCs w:val="28"/>
        </w:rPr>
        <w:t>2.甲方按合同约定向乙方支付服务费，甲方凭乙方开具的有效发票及政府采购合同及相关材料办理付款审核手续，向乙方支付服务费。根据相关法律法规，合同签订生效后10个工作日内赁据支付合同总额的30%，后续资金支付以双方协商签订的合同按季度凭据支付。</w:t>
      </w:r>
    </w:p>
    <w:p w14:paraId="0079A2BD">
      <w:pPr>
        <w:spacing w:before="100" w:beforeAutospacing="1" w:line="360" w:lineRule="auto"/>
        <w:ind w:left="482"/>
        <w:jc w:val="left"/>
        <w:outlineLvl w:val="0"/>
        <w:rPr>
          <w:rFonts w:ascii="宋体" w:hAnsi="宋体" w:cs="宋体"/>
          <w:b/>
          <w:color w:val="auto"/>
          <w:sz w:val="24"/>
        </w:rPr>
      </w:pPr>
      <w:r>
        <w:rPr>
          <w:rFonts w:hint="eastAsia" w:ascii="宋体" w:hAnsi="宋体" w:cs="宋体"/>
          <w:b/>
          <w:color w:val="auto"/>
          <w:sz w:val="24"/>
        </w:rPr>
        <w:t>六、交付/履约时间、交付/履约地点和方式</w:t>
      </w:r>
    </w:p>
    <w:p w14:paraId="02CFB92F">
      <w:pPr>
        <w:spacing w:before="156" w:beforeLines="50" w:line="360" w:lineRule="auto"/>
        <w:ind w:firstLine="560" w:firstLineChars="200"/>
        <w:jc w:val="left"/>
        <w:outlineLvl w:val="0"/>
        <w:rPr>
          <w:rFonts w:hint="eastAsia" w:ascii="宋体" w:hAnsi="宋体"/>
          <w:color w:val="auto"/>
          <w:sz w:val="24"/>
        </w:rPr>
      </w:pPr>
      <w:r>
        <w:rPr>
          <w:rFonts w:hint="eastAsia" w:ascii="宋体" w:hAnsi="宋体" w:cs="宋体"/>
          <w:color w:val="auto"/>
          <w:sz w:val="28"/>
          <w:szCs w:val="28"/>
        </w:rPr>
        <w:t>1.服务时间：</w:t>
      </w:r>
    </w:p>
    <w:p w14:paraId="23D08D5A">
      <w:pPr>
        <w:spacing w:before="156" w:beforeLines="50" w:line="360" w:lineRule="auto"/>
        <w:ind w:firstLine="560" w:firstLineChars="200"/>
        <w:jc w:val="left"/>
        <w:outlineLvl w:val="0"/>
        <w:rPr>
          <w:rFonts w:hint="eastAsia" w:ascii="宋体" w:hAnsi="宋体" w:cs="宋体"/>
          <w:color w:val="auto"/>
          <w:sz w:val="28"/>
          <w:szCs w:val="28"/>
        </w:rPr>
      </w:pPr>
      <w:r>
        <w:rPr>
          <w:rFonts w:hint="eastAsia" w:ascii="宋体" w:hAnsi="宋体" w:cs="宋体"/>
          <w:color w:val="auto"/>
          <w:sz w:val="28"/>
          <w:szCs w:val="28"/>
          <w:lang w:val="en-US" w:eastAsia="zh-CN"/>
        </w:rPr>
        <w:t>2.</w:t>
      </w:r>
      <w:r>
        <w:rPr>
          <w:rFonts w:hint="eastAsia" w:ascii="宋体" w:hAnsi="宋体" w:cs="宋体"/>
          <w:color w:val="auto"/>
          <w:sz w:val="28"/>
          <w:szCs w:val="28"/>
        </w:rPr>
        <w:t xml:space="preserve">服务地点： </w:t>
      </w:r>
    </w:p>
    <w:p w14:paraId="328D9A64">
      <w:pPr>
        <w:spacing w:before="156" w:beforeLines="50" w:line="360" w:lineRule="auto"/>
        <w:ind w:firstLine="562" w:firstLineChars="200"/>
        <w:jc w:val="left"/>
        <w:outlineLvl w:val="0"/>
        <w:rPr>
          <w:rFonts w:ascii="宋体" w:hAnsi="宋体" w:cs="宋体"/>
          <w:b/>
          <w:color w:val="auto"/>
          <w:sz w:val="28"/>
          <w:szCs w:val="28"/>
        </w:rPr>
      </w:pPr>
      <w:r>
        <w:rPr>
          <w:rFonts w:hint="eastAsia" w:ascii="宋体" w:hAnsi="宋体" w:cs="宋体"/>
          <w:b/>
          <w:color w:val="auto"/>
          <w:sz w:val="28"/>
          <w:szCs w:val="28"/>
        </w:rPr>
        <w:t>七、验收要求</w:t>
      </w:r>
    </w:p>
    <w:p w14:paraId="442AE0A5">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由采购人在指定地点对所提供</w:t>
      </w:r>
      <w:r>
        <w:rPr>
          <w:rFonts w:hint="eastAsia" w:ascii="宋体" w:hAnsi="宋体" w:cs="宋体"/>
          <w:color w:val="auto"/>
          <w:sz w:val="28"/>
          <w:szCs w:val="28"/>
          <w:lang w:val="en-US" w:eastAsia="zh-CN"/>
        </w:rPr>
        <w:t>货物</w:t>
      </w:r>
      <w:r>
        <w:rPr>
          <w:rFonts w:hint="eastAsia" w:ascii="宋体" w:hAnsi="宋体" w:cs="宋体"/>
          <w:color w:val="auto"/>
          <w:sz w:val="28"/>
          <w:szCs w:val="28"/>
        </w:rPr>
        <w:t>进行验收，验收标准除供应商响应文件所响应的服务要求外，可溯源到国家、行业相关标准；供应商提供的服务应达到有关标准的要求并确保整体通过采购人的验收。</w:t>
      </w:r>
    </w:p>
    <w:p w14:paraId="6BC67BC1">
      <w:pPr>
        <w:spacing w:before="156" w:beforeLines="50" w:line="360" w:lineRule="auto"/>
        <w:ind w:firstLine="562" w:firstLineChars="200"/>
        <w:jc w:val="left"/>
        <w:outlineLvl w:val="0"/>
        <w:rPr>
          <w:rFonts w:ascii="宋体" w:hAnsi="宋体" w:cs="宋体"/>
          <w:b/>
          <w:color w:val="auto"/>
          <w:sz w:val="28"/>
          <w:szCs w:val="28"/>
        </w:rPr>
      </w:pPr>
      <w:r>
        <w:rPr>
          <w:rFonts w:hint="eastAsia" w:ascii="宋体" w:hAnsi="宋体" w:cs="宋体"/>
          <w:b/>
          <w:color w:val="auto"/>
          <w:sz w:val="28"/>
          <w:szCs w:val="28"/>
        </w:rPr>
        <w:t>八、违约责任</w:t>
      </w:r>
    </w:p>
    <w:p w14:paraId="50810D32">
      <w:pPr>
        <w:pStyle w:val="12"/>
        <w:spacing w:line="520" w:lineRule="exact"/>
        <w:ind w:firstLine="560" w:firstLineChars="200"/>
        <w:rPr>
          <w:rFonts w:ascii="宋体" w:hAnsi="宋体" w:cs="宋体"/>
          <w:color w:val="auto"/>
          <w:sz w:val="28"/>
          <w:szCs w:val="28"/>
        </w:rPr>
      </w:pPr>
      <w:r>
        <w:rPr>
          <w:rFonts w:hint="eastAsia" w:ascii="宋体" w:hAnsi="宋体" w:cs="宋体"/>
          <w:color w:val="auto"/>
          <w:sz w:val="28"/>
          <w:szCs w:val="28"/>
        </w:rPr>
        <w:t>1.如甲方验收未能达到约定的服务要求，甲方有权要求乙方限期整改，逾期未整改的或整改达不到要求的，每出现一次甲方有权从服务费扣除</w:t>
      </w:r>
      <w:r>
        <w:rPr>
          <w:rFonts w:hint="eastAsia" w:ascii="宋体" w:hAnsi="宋体" w:cs="宋体"/>
          <w:color w:val="auto"/>
          <w:sz w:val="28"/>
          <w:szCs w:val="28"/>
          <w:u w:val="single"/>
        </w:rPr>
        <w:t xml:space="preserve"> 1 </w:t>
      </w:r>
      <w:r>
        <w:rPr>
          <w:rFonts w:hint="eastAsia" w:ascii="宋体" w:hAnsi="宋体" w:cs="宋体"/>
          <w:color w:val="auto"/>
          <w:sz w:val="28"/>
          <w:szCs w:val="28"/>
        </w:rPr>
        <w:t>%的违约金</w:t>
      </w:r>
      <w:r>
        <w:rPr>
          <w:rFonts w:hint="eastAsia"/>
          <w:color w:val="auto"/>
        </w:rPr>
        <w:t>，</w:t>
      </w:r>
      <w:r>
        <w:rPr>
          <w:rFonts w:hint="eastAsia"/>
          <w:color w:val="auto"/>
          <w:sz w:val="28"/>
          <w:szCs w:val="28"/>
        </w:rPr>
        <w:t>情节严重的，解除服务合同</w:t>
      </w:r>
      <w:r>
        <w:rPr>
          <w:rFonts w:hint="eastAsia" w:ascii="宋体" w:hAnsi="宋体" w:cs="宋体"/>
          <w:color w:val="auto"/>
          <w:sz w:val="28"/>
          <w:szCs w:val="28"/>
        </w:rPr>
        <w:t>。</w:t>
      </w:r>
    </w:p>
    <w:p w14:paraId="6D24352D">
      <w:pPr>
        <w:spacing w:line="520" w:lineRule="exact"/>
        <w:ind w:right="-556" w:rightChars="-265" w:firstLine="560" w:firstLineChars="200"/>
        <w:jc w:val="left"/>
        <w:rPr>
          <w:rFonts w:ascii="宋体" w:hAnsi="宋体" w:cs="宋体"/>
          <w:color w:val="auto"/>
          <w:sz w:val="28"/>
          <w:szCs w:val="28"/>
        </w:rPr>
      </w:pPr>
      <w:r>
        <w:rPr>
          <w:rFonts w:hint="eastAsia" w:ascii="宋体" w:hAnsi="宋体" w:cs="宋体"/>
          <w:color w:val="auto"/>
          <w:sz w:val="28"/>
          <w:szCs w:val="28"/>
        </w:rPr>
        <w:t>2.如乙方无正当理由终止提供服务，应向甲方全额返还已支付的服务费。并赔偿其所造成的经济损失，甲方有权要求终止合同。</w:t>
      </w:r>
    </w:p>
    <w:p w14:paraId="661A3284">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3.如甲方无正当理由终止合同，应向乙方偿付由此造成的损失。</w:t>
      </w:r>
    </w:p>
    <w:p w14:paraId="44A916D6">
      <w:pPr>
        <w:spacing w:before="156" w:beforeLines="50" w:line="360" w:lineRule="auto"/>
        <w:ind w:firstLine="562" w:firstLineChars="200"/>
        <w:jc w:val="left"/>
        <w:outlineLvl w:val="0"/>
        <w:rPr>
          <w:rFonts w:ascii="宋体" w:hAnsi="宋体" w:cs="宋体"/>
          <w:b/>
          <w:color w:val="auto"/>
          <w:sz w:val="28"/>
          <w:szCs w:val="28"/>
        </w:rPr>
      </w:pPr>
      <w:r>
        <w:rPr>
          <w:rFonts w:hint="eastAsia" w:ascii="宋体" w:hAnsi="宋体" w:cs="宋体"/>
          <w:b/>
          <w:color w:val="auto"/>
          <w:sz w:val="28"/>
          <w:szCs w:val="28"/>
        </w:rPr>
        <w:t>九、合同纠纷处理</w:t>
      </w:r>
    </w:p>
    <w:p w14:paraId="0C1A1F35">
      <w:pPr>
        <w:tabs>
          <w:tab w:val="left" w:pos="1980"/>
        </w:tabs>
        <w:snapToGrid w:val="0"/>
        <w:spacing w:before="19" w:line="500" w:lineRule="exact"/>
        <w:ind w:firstLine="560" w:firstLineChars="200"/>
        <w:rPr>
          <w:rFonts w:ascii="宋体" w:hAnsi="宋体" w:cs="宋体"/>
          <w:color w:val="auto"/>
          <w:sz w:val="28"/>
          <w:szCs w:val="28"/>
        </w:rPr>
      </w:pPr>
      <w:r>
        <w:rPr>
          <w:rFonts w:hint="eastAsia" w:ascii="宋体" w:hAnsi="宋体" w:cs="宋体"/>
          <w:color w:val="auto"/>
          <w:sz w:val="28"/>
          <w:szCs w:val="28"/>
        </w:rPr>
        <w:t>本合同执行过程中发生纠纷，作如下处理：</w:t>
      </w:r>
    </w:p>
    <w:p w14:paraId="5FF29128">
      <w:pPr>
        <w:tabs>
          <w:tab w:val="left" w:pos="1980"/>
        </w:tabs>
        <w:snapToGrid w:val="0"/>
        <w:spacing w:before="19" w:line="500" w:lineRule="exact"/>
        <w:ind w:firstLine="548" w:firstLineChars="196"/>
        <w:rPr>
          <w:rFonts w:ascii="宋体" w:hAnsi="宋体" w:cs="宋体"/>
          <w:color w:val="auto"/>
          <w:sz w:val="28"/>
          <w:szCs w:val="28"/>
          <w:shd w:val="clear" w:color="auto" w:fill="FFFFFF"/>
        </w:rPr>
      </w:pPr>
      <w:r>
        <w:rPr>
          <w:rFonts w:hint="eastAsia" w:ascii="宋体" w:hAnsi="宋体" w:cs="宋体"/>
          <w:color w:val="auto"/>
          <w:sz w:val="28"/>
          <w:szCs w:val="28"/>
          <w:shd w:val="clear" w:color="auto" w:fill="FFFFFF"/>
        </w:rPr>
        <w:t>1.由甲乙双方协商处理。</w:t>
      </w:r>
    </w:p>
    <w:p w14:paraId="7F9F0815">
      <w:pPr>
        <w:tabs>
          <w:tab w:val="left" w:pos="1980"/>
        </w:tabs>
        <w:snapToGrid w:val="0"/>
        <w:spacing w:before="19" w:line="500" w:lineRule="exact"/>
        <w:ind w:firstLine="548" w:firstLineChars="196"/>
        <w:rPr>
          <w:rFonts w:ascii="宋体" w:hAnsi="宋体" w:cs="宋体"/>
          <w:color w:val="auto"/>
          <w:sz w:val="28"/>
          <w:szCs w:val="28"/>
          <w:shd w:val="clear" w:color="auto" w:fill="FFFFFF"/>
        </w:rPr>
      </w:pPr>
      <w:r>
        <w:rPr>
          <w:rFonts w:hint="eastAsia" w:ascii="宋体" w:hAnsi="宋体" w:cs="宋体"/>
          <w:color w:val="auto"/>
          <w:sz w:val="28"/>
          <w:szCs w:val="28"/>
          <w:shd w:val="clear" w:color="auto" w:fill="FFFFFF"/>
        </w:rPr>
        <w:t>2.提起诉讼。诉讼地点为甲方所在地。</w:t>
      </w:r>
    </w:p>
    <w:p w14:paraId="08031AD8">
      <w:pPr>
        <w:spacing w:before="156" w:beforeLines="50" w:line="360" w:lineRule="auto"/>
        <w:ind w:firstLine="562" w:firstLineChars="200"/>
        <w:jc w:val="left"/>
        <w:outlineLvl w:val="0"/>
        <w:rPr>
          <w:rFonts w:ascii="宋体" w:hAnsi="宋体" w:cs="宋体"/>
          <w:b/>
          <w:color w:val="auto"/>
          <w:sz w:val="28"/>
          <w:szCs w:val="28"/>
        </w:rPr>
      </w:pPr>
      <w:r>
        <w:rPr>
          <w:rFonts w:hint="eastAsia" w:ascii="宋体" w:hAnsi="宋体" w:cs="宋体"/>
          <w:b/>
          <w:color w:val="auto"/>
          <w:sz w:val="28"/>
          <w:szCs w:val="28"/>
        </w:rPr>
        <w:t>十、政府采购合同生效</w:t>
      </w:r>
    </w:p>
    <w:p w14:paraId="6CDC720D">
      <w:pPr>
        <w:spacing w:before="156" w:beforeLines="50" w:line="360" w:lineRule="auto"/>
        <w:ind w:firstLine="560" w:firstLineChars="200"/>
        <w:jc w:val="left"/>
        <w:outlineLvl w:val="0"/>
        <w:rPr>
          <w:rFonts w:ascii="宋体" w:hAnsi="宋体" w:cs="宋体"/>
          <w:color w:val="auto"/>
          <w:sz w:val="28"/>
          <w:szCs w:val="28"/>
        </w:rPr>
      </w:pPr>
      <w:r>
        <w:rPr>
          <w:rFonts w:hint="eastAsia" w:ascii="宋体" w:hAnsi="宋体" w:cs="宋体"/>
          <w:color w:val="auto"/>
          <w:sz w:val="28"/>
          <w:szCs w:val="28"/>
        </w:rPr>
        <w:t>本政府采购合同经甲乙双方授权代表签字盖章后生效。</w:t>
      </w:r>
    </w:p>
    <w:p w14:paraId="1DF51EFF">
      <w:pPr>
        <w:spacing w:before="156" w:beforeLines="50" w:line="360" w:lineRule="auto"/>
        <w:ind w:firstLine="560" w:firstLineChars="200"/>
        <w:jc w:val="left"/>
        <w:outlineLvl w:val="0"/>
        <w:rPr>
          <w:rFonts w:hint="default" w:ascii="宋体" w:hAnsi="宋体" w:eastAsia="宋体" w:cs="宋体"/>
          <w:color w:val="auto"/>
          <w:sz w:val="28"/>
          <w:szCs w:val="28"/>
          <w:lang w:val="en-US" w:eastAsia="zh-CN"/>
        </w:rPr>
      </w:pPr>
      <w:r>
        <w:rPr>
          <w:rFonts w:hint="eastAsia" w:ascii="宋体" w:hAnsi="宋体" w:cs="宋体"/>
          <w:color w:val="auto"/>
          <w:sz w:val="28"/>
          <w:szCs w:val="28"/>
        </w:rPr>
        <w:t>本合同共陆份：甲方肆份、乙方</w:t>
      </w:r>
      <w:r>
        <w:rPr>
          <w:rFonts w:hint="eastAsia" w:ascii="宋体" w:hAnsi="宋体" w:cs="宋体"/>
          <w:color w:val="auto"/>
          <w:sz w:val="28"/>
          <w:szCs w:val="28"/>
          <w:lang w:val="en-US" w:eastAsia="zh-CN"/>
        </w:rPr>
        <w:t>两</w:t>
      </w:r>
      <w:r>
        <w:rPr>
          <w:rFonts w:hint="eastAsia" w:ascii="宋体" w:hAnsi="宋体" w:cs="宋体"/>
          <w:color w:val="auto"/>
          <w:sz w:val="28"/>
          <w:szCs w:val="28"/>
        </w:rPr>
        <w:t>份、</w:t>
      </w:r>
    </w:p>
    <w:p w14:paraId="0C50462F">
      <w:pPr>
        <w:tabs>
          <w:tab w:val="left" w:pos="1980"/>
        </w:tabs>
        <w:snapToGrid w:val="0"/>
        <w:spacing w:before="19" w:line="500" w:lineRule="exact"/>
        <w:ind w:firstLine="551" w:firstLineChars="196"/>
        <w:rPr>
          <w:rFonts w:ascii="宋体" w:hAnsi="宋体" w:cs="宋体"/>
          <w:b/>
          <w:color w:val="auto"/>
          <w:sz w:val="28"/>
          <w:szCs w:val="28"/>
        </w:rPr>
      </w:pPr>
      <w:r>
        <w:rPr>
          <w:rFonts w:hint="eastAsia" w:ascii="宋体" w:hAnsi="宋体" w:cs="宋体"/>
          <w:b/>
          <w:color w:val="auto"/>
          <w:sz w:val="28"/>
          <w:szCs w:val="28"/>
        </w:rPr>
        <w:t>十一、其他</w:t>
      </w:r>
    </w:p>
    <w:p w14:paraId="5BE827AB">
      <w:pPr>
        <w:autoSpaceDE/>
        <w:autoSpaceDN/>
        <w:adjustRightInd/>
        <w:spacing w:before="156" w:beforeLines="50" w:line="360" w:lineRule="auto"/>
        <w:ind w:firstLine="560" w:firstLineChars="200"/>
        <w:jc w:val="left"/>
        <w:outlineLvl w:val="0"/>
        <w:rPr>
          <w:rFonts w:ascii="宋体" w:hAnsi="宋体" w:cs="宋体"/>
          <w:color w:val="auto"/>
          <w:sz w:val="28"/>
          <w:szCs w:val="28"/>
        </w:rPr>
      </w:pPr>
      <w:r>
        <w:rPr>
          <w:rFonts w:hint="eastAsia" w:ascii="宋体" w:hAnsi="宋体" w:cs="宋体"/>
          <w:color w:val="auto"/>
          <w:sz w:val="28"/>
          <w:szCs w:val="28"/>
        </w:rPr>
        <w:t>本合同未尽事宜，双方可以增加条款或补充协议的形式加以补充，但增加或补充协议的条款不得对招标文件和投标文件约定的内容作实质性修改。补充协议与本合同具有相同的法律效力。</w:t>
      </w:r>
    </w:p>
    <w:p w14:paraId="7CF3DC47">
      <w:pPr>
        <w:autoSpaceDE w:val="0"/>
        <w:autoSpaceDN w:val="0"/>
        <w:adjustRightInd w:val="0"/>
        <w:spacing w:line="360" w:lineRule="auto"/>
        <w:ind w:firstLine="560" w:firstLineChars="200"/>
        <w:jc w:val="left"/>
      </w:pPr>
      <w:r>
        <w:rPr>
          <w:rFonts w:hint="eastAsia" w:ascii="宋体" w:hAnsi="宋体" w:cs="宋体"/>
          <w:color w:val="auto"/>
          <w:sz w:val="28"/>
          <w:szCs w:val="28"/>
        </w:rPr>
        <w:t>附件：</w:t>
      </w:r>
      <w:r>
        <w:rPr>
          <w:rFonts w:hint="eastAsia" w:hAnsi="宋体" w:cs="宋体"/>
          <w:color w:val="auto"/>
          <w:sz w:val="28"/>
          <w:szCs w:val="28"/>
        </w:rPr>
        <w:t>中标通知书。</w:t>
      </w:r>
    </w:p>
    <w:p w14:paraId="24639C54">
      <w:pPr>
        <w:snapToGrid w:val="0"/>
        <w:ind w:firstLine="518" w:firstLineChars="185"/>
        <w:rPr>
          <w:rFonts w:ascii="宋体" w:hAnsi="宋体" w:cs="宋体"/>
          <w:color w:val="auto"/>
          <w:sz w:val="28"/>
          <w:szCs w:val="28"/>
        </w:rPr>
      </w:pPr>
      <w:r>
        <w:rPr>
          <w:rFonts w:hint="eastAsia" w:ascii="宋体" w:hAnsi="宋体" w:cs="宋体"/>
          <w:color w:val="auto"/>
          <w:sz w:val="28"/>
          <w:szCs w:val="28"/>
        </w:rPr>
        <w:t xml:space="preserve">甲方（公章）:                        乙方(公章):  </w:t>
      </w:r>
    </w:p>
    <w:p w14:paraId="17EE6CE1">
      <w:pPr>
        <w:snapToGrid w:val="0"/>
        <w:ind w:firstLine="518" w:firstLineChars="185"/>
        <w:rPr>
          <w:rFonts w:ascii="宋体" w:hAnsi="宋体" w:cs="宋体"/>
          <w:color w:val="auto"/>
          <w:sz w:val="28"/>
          <w:szCs w:val="28"/>
        </w:rPr>
      </w:pPr>
      <w:r>
        <w:rPr>
          <w:rFonts w:hint="eastAsia" w:ascii="宋体" w:hAnsi="宋体" w:cs="宋体"/>
          <w:color w:val="auto"/>
          <w:sz w:val="28"/>
          <w:szCs w:val="28"/>
        </w:rPr>
        <w:t>办公地址：                           办公地址：</w:t>
      </w:r>
    </w:p>
    <w:p w14:paraId="185D938B">
      <w:pPr>
        <w:snapToGrid w:val="0"/>
        <w:ind w:firstLine="518" w:firstLineChars="185"/>
        <w:rPr>
          <w:rFonts w:ascii="宋体" w:hAnsi="宋体" w:cs="宋体"/>
          <w:color w:val="auto"/>
          <w:sz w:val="28"/>
          <w:szCs w:val="28"/>
        </w:rPr>
      </w:pPr>
      <w:r>
        <w:rPr>
          <w:rFonts w:hint="eastAsia" w:ascii="宋体" w:hAnsi="宋体" w:cs="宋体"/>
          <w:color w:val="auto"/>
          <w:sz w:val="28"/>
          <w:szCs w:val="28"/>
        </w:rPr>
        <w:t>法定代表人                           法定代表人</w:t>
      </w:r>
    </w:p>
    <w:p w14:paraId="1877743F">
      <w:pPr>
        <w:snapToGrid w:val="0"/>
        <w:ind w:firstLine="518" w:firstLineChars="185"/>
        <w:rPr>
          <w:rFonts w:ascii="宋体" w:hAnsi="宋体" w:cs="宋体"/>
          <w:color w:val="auto"/>
          <w:sz w:val="28"/>
          <w:szCs w:val="28"/>
        </w:rPr>
      </w:pPr>
      <w:r>
        <w:rPr>
          <w:rFonts w:hint="eastAsia" w:ascii="宋体" w:hAnsi="宋体" w:cs="宋体"/>
          <w:color w:val="auto"/>
          <w:sz w:val="28"/>
          <w:szCs w:val="28"/>
        </w:rPr>
        <w:t>或授权代表(签字):                    或授权代表(签字):</w:t>
      </w:r>
    </w:p>
    <w:p w14:paraId="5286B879">
      <w:pPr>
        <w:snapToGrid w:val="0"/>
        <w:ind w:firstLine="518" w:firstLineChars="185"/>
        <w:rPr>
          <w:rFonts w:ascii="宋体" w:hAnsi="宋体" w:cs="宋体"/>
          <w:color w:val="auto"/>
          <w:sz w:val="28"/>
          <w:szCs w:val="28"/>
        </w:rPr>
      </w:pPr>
      <w:r>
        <w:rPr>
          <w:rFonts w:hint="eastAsia" w:ascii="宋体" w:hAnsi="宋体" w:cs="宋体"/>
          <w:color w:val="auto"/>
          <w:sz w:val="28"/>
          <w:szCs w:val="28"/>
        </w:rPr>
        <w:t>联系人：                             联系人：</w:t>
      </w:r>
    </w:p>
    <w:p w14:paraId="064955AD">
      <w:pPr>
        <w:snapToGrid w:val="0"/>
        <w:ind w:firstLine="518" w:firstLineChars="185"/>
        <w:rPr>
          <w:rFonts w:ascii="宋体" w:hAnsi="宋体" w:cs="宋体"/>
          <w:color w:val="auto"/>
          <w:sz w:val="28"/>
          <w:szCs w:val="28"/>
        </w:rPr>
      </w:pPr>
      <w:r>
        <w:rPr>
          <w:rFonts w:hint="eastAsia" w:ascii="宋体" w:hAnsi="宋体" w:cs="宋体"/>
          <w:color w:val="auto"/>
          <w:sz w:val="28"/>
          <w:szCs w:val="28"/>
        </w:rPr>
        <w:t>电话：                               电话：</w:t>
      </w:r>
    </w:p>
    <w:p w14:paraId="05D29276">
      <w:pPr>
        <w:snapToGrid w:val="0"/>
        <w:ind w:firstLine="518" w:firstLineChars="185"/>
        <w:rPr>
          <w:rFonts w:ascii="宋体" w:hAnsi="宋体" w:cs="宋体"/>
          <w:color w:val="auto"/>
          <w:sz w:val="28"/>
          <w:szCs w:val="28"/>
          <w:lang w:val="zh-CN"/>
        </w:rPr>
      </w:pPr>
      <w:r>
        <w:rPr>
          <w:rFonts w:hint="eastAsia" w:ascii="宋体" w:hAnsi="宋体" w:cs="宋体"/>
          <w:color w:val="auto"/>
          <w:sz w:val="28"/>
          <w:szCs w:val="28"/>
          <w:lang w:val="zh-CN"/>
        </w:rPr>
        <w:t>传真:                                传真:</w:t>
      </w:r>
    </w:p>
    <w:p w14:paraId="7C09BB2F">
      <w:pPr>
        <w:snapToGrid w:val="0"/>
        <w:ind w:firstLine="518" w:firstLineChars="185"/>
        <w:rPr>
          <w:rFonts w:ascii="宋体" w:hAnsi="宋体" w:cs="宋体"/>
          <w:color w:val="auto"/>
          <w:sz w:val="28"/>
          <w:szCs w:val="28"/>
        </w:rPr>
      </w:pPr>
      <w:r>
        <w:rPr>
          <w:rFonts w:hint="eastAsia" w:ascii="宋体" w:hAnsi="宋体" w:cs="宋体"/>
          <w:color w:val="auto"/>
          <w:sz w:val="28"/>
          <w:szCs w:val="28"/>
          <w:lang w:val="zh-CN"/>
        </w:rPr>
        <w:t>电子邮箱：                           电子邮箱：</w:t>
      </w:r>
    </w:p>
    <w:p w14:paraId="509D8D39">
      <w:pPr>
        <w:snapToGrid w:val="0"/>
        <w:ind w:firstLine="518" w:firstLineChars="185"/>
        <w:rPr>
          <w:rFonts w:ascii="宋体" w:hAnsi="宋体" w:cs="宋体"/>
          <w:color w:val="auto"/>
          <w:sz w:val="28"/>
          <w:szCs w:val="28"/>
        </w:rPr>
      </w:pPr>
      <w:r>
        <w:rPr>
          <w:rFonts w:hint="eastAsia" w:ascii="宋体" w:hAnsi="宋体" w:cs="宋体"/>
          <w:color w:val="auto"/>
          <w:sz w:val="28"/>
          <w:szCs w:val="28"/>
        </w:rPr>
        <w:t xml:space="preserve">开户银行：                           开户银行： </w:t>
      </w:r>
    </w:p>
    <w:p w14:paraId="12F822BC">
      <w:pPr>
        <w:snapToGrid w:val="0"/>
        <w:ind w:firstLine="518" w:firstLineChars="185"/>
        <w:rPr>
          <w:rFonts w:ascii="宋体" w:hAnsi="宋体" w:cs="宋体"/>
          <w:color w:val="auto"/>
          <w:sz w:val="28"/>
          <w:szCs w:val="28"/>
        </w:rPr>
      </w:pPr>
      <w:r>
        <w:rPr>
          <w:rFonts w:hint="eastAsia" w:ascii="宋体" w:hAnsi="宋体" w:cs="宋体"/>
          <w:color w:val="auto"/>
          <w:sz w:val="28"/>
          <w:szCs w:val="28"/>
        </w:rPr>
        <w:t xml:space="preserve">开户名称：                           开户名称： </w:t>
      </w:r>
    </w:p>
    <w:p w14:paraId="19618A74">
      <w:pPr>
        <w:snapToGrid w:val="0"/>
        <w:ind w:firstLine="518" w:firstLineChars="185"/>
        <w:rPr>
          <w:rFonts w:ascii="宋体" w:hAnsi="宋体" w:cs="宋体"/>
          <w:color w:val="auto"/>
          <w:sz w:val="28"/>
          <w:szCs w:val="28"/>
        </w:rPr>
      </w:pPr>
      <w:r>
        <w:rPr>
          <w:rFonts w:hint="eastAsia" w:ascii="宋体" w:hAnsi="宋体" w:cs="宋体"/>
          <w:color w:val="auto"/>
          <w:sz w:val="28"/>
          <w:szCs w:val="28"/>
        </w:rPr>
        <w:t>开户账号：</w:t>
      </w:r>
      <w:r>
        <w:rPr>
          <w:rFonts w:hint="eastAsia" w:ascii="宋体" w:hAnsi="宋体" w:cs="宋体"/>
          <w:color w:val="auto"/>
          <w:sz w:val="28"/>
          <w:szCs w:val="28"/>
          <w:lang w:val="zh-CN"/>
        </w:rPr>
        <w:t xml:space="preserve">                           </w:t>
      </w:r>
      <w:r>
        <w:rPr>
          <w:rFonts w:hint="eastAsia" w:ascii="宋体" w:hAnsi="宋体" w:cs="宋体"/>
          <w:color w:val="auto"/>
          <w:sz w:val="28"/>
          <w:szCs w:val="28"/>
        </w:rPr>
        <w:t>开户账号：</w:t>
      </w:r>
    </w:p>
    <w:p w14:paraId="4A2582CD">
      <w:pPr>
        <w:snapToGrid w:val="0"/>
        <w:spacing w:before="19"/>
        <w:ind w:firstLine="1120" w:firstLineChars="400"/>
        <w:rPr>
          <w:rFonts w:ascii="宋体" w:hAnsi="宋体" w:cs="宋体"/>
          <w:color w:val="auto"/>
          <w:sz w:val="28"/>
          <w:szCs w:val="28"/>
        </w:rPr>
      </w:pPr>
    </w:p>
    <w:p w14:paraId="4D3F61F1"/>
    <w:p w14:paraId="1F0FD8E9">
      <w:pPr>
        <w:pStyle w:val="2"/>
      </w:pPr>
    </w:p>
    <w:p w14:paraId="53AB33BE"/>
    <w:p w14:paraId="0865A731">
      <w:pPr>
        <w:pStyle w:val="2"/>
      </w:pPr>
    </w:p>
    <w:p w14:paraId="09D5CB26"/>
    <w:p w14:paraId="7F8736B4">
      <w:pPr>
        <w:pStyle w:val="2"/>
      </w:pPr>
    </w:p>
    <w:p w14:paraId="2CC64064"/>
    <w:p w14:paraId="05CE71C8">
      <w:pPr>
        <w:pStyle w:val="2"/>
      </w:pPr>
    </w:p>
    <w:p w14:paraId="20CACBEC"/>
    <w:p w14:paraId="15514C5E">
      <w:pPr>
        <w:pStyle w:val="2"/>
      </w:pPr>
    </w:p>
    <w:p w14:paraId="36CD806F"/>
    <w:p w14:paraId="5D526736">
      <w:pPr>
        <w:pStyle w:val="2"/>
      </w:pPr>
    </w:p>
    <w:p w14:paraId="409AC782"/>
    <w:p w14:paraId="39819087">
      <w:pPr>
        <w:pStyle w:val="2"/>
      </w:pPr>
    </w:p>
    <w:p w14:paraId="3ABE500F"/>
    <w:p w14:paraId="756DDE82">
      <w:pPr>
        <w:pStyle w:val="2"/>
      </w:pPr>
    </w:p>
    <w:p w14:paraId="4045C988"/>
    <w:p w14:paraId="2005729C">
      <w:pPr>
        <w:pStyle w:val="2"/>
      </w:pPr>
    </w:p>
    <w:p w14:paraId="0EFDA780"/>
    <w:p w14:paraId="67059C17">
      <w:pPr>
        <w:pStyle w:val="2"/>
      </w:pPr>
    </w:p>
    <w:p w14:paraId="6D1EF11D"/>
    <w:p w14:paraId="771D71E7">
      <w:pPr>
        <w:pStyle w:val="2"/>
      </w:pPr>
    </w:p>
    <w:p w14:paraId="7A47A7F9"/>
    <w:p w14:paraId="5ED99485">
      <w:pPr>
        <w:pStyle w:val="2"/>
      </w:pPr>
    </w:p>
    <w:p w14:paraId="69AEFBE0">
      <w:pPr>
        <w:spacing w:line="440" w:lineRule="exact"/>
        <w:rPr>
          <w:sz w:val="24"/>
        </w:rPr>
      </w:pPr>
    </w:p>
    <w:p w14:paraId="7AD0B4A8">
      <w:pPr>
        <w:pStyle w:val="2"/>
      </w:pPr>
    </w:p>
    <w:p w14:paraId="6725100D">
      <w:bookmarkStart w:id="236" w:name="_Toc154744448"/>
      <w:bookmarkStart w:id="237" w:name="_Toc154755492"/>
    </w:p>
    <w:p w14:paraId="4726B6E2">
      <w:pPr>
        <w:pStyle w:val="3"/>
        <w:jc w:val="center"/>
        <w:rPr>
          <w:rFonts w:asciiTheme="majorEastAsia" w:hAnsiTheme="majorEastAsia" w:eastAsiaTheme="majorEastAsia"/>
          <w:sz w:val="36"/>
          <w:szCs w:val="36"/>
        </w:rPr>
      </w:pPr>
      <w:bookmarkStart w:id="238" w:name="_Toc26359"/>
      <w:r>
        <w:rPr>
          <w:rFonts w:hint="eastAsia" w:ascii="宋体" w:hAnsi="宋体"/>
          <w:b w:val="0"/>
          <w:sz w:val="36"/>
          <w:szCs w:val="36"/>
        </w:rPr>
        <w:t>第五章</w:t>
      </w:r>
      <w:bookmarkEnd w:id="236"/>
      <w:bookmarkEnd w:id="237"/>
      <w:bookmarkEnd w:id="238"/>
      <w:bookmarkStart w:id="239" w:name="评分标准"/>
      <w:bookmarkEnd w:id="239"/>
      <w:r>
        <w:rPr>
          <w:rFonts w:hint="eastAsia" w:ascii="宋体" w:hAnsi="宋体"/>
          <w:b w:val="0"/>
          <w:sz w:val="36"/>
          <w:szCs w:val="36"/>
          <w:lang w:val="en-US" w:eastAsia="zh-CN"/>
        </w:rPr>
        <w:t xml:space="preserve">  采购</w:t>
      </w:r>
      <w:r>
        <w:rPr>
          <w:rFonts w:hint="eastAsia" w:ascii="宋体" w:hAnsi="宋体"/>
          <w:b w:val="0"/>
          <w:sz w:val="36"/>
          <w:szCs w:val="36"/>
        </w:rPr>
        <w:t>需求书</w:t>
      </w:r>
    </w:p>
    <w:p w14:paraId="6F3576CF">
      <w:pPr>
        <w:spacing w:line="420" w:lineRule="exact"/>
        <w:ind w:firstLine="482" w:firstLineChars="200"/>
        <w:jc w:val="left"/>
        <w:rPr>
          <w:rFonts w:ascii="宋体" w:hAnsi="宋体" w:cs="宋体"/>
          <w:b/>
          <w:kern w:val="44"/>
          <w:sz w:val="24"/>
        </w:rPr>
      </w:pPr>
      <w:r>
        <w:rPr>
          <w:rFonts w:hint="eastAsia" w:ascii="宋体" w:hAnsi="宋体" w:cs="宋体"/>
          <w:b/>
          <w:kern w:val="44"/>
          <w:sz w:val="24"/>
        </w:rPr>
        <w:t>1、项目名称</w:t>
      </w:r>
    </w:p>
    <w:p w14:paraId="2A64998F">
      <w:pPr>
        <w:spacing w:line="420" w:lineRule="exact"/>
        <w:ind w:firstLine="480" w:firstLineChars="200"/>
        <w:jc w:val="left"/>
        <w:rPr>
          <w:rFonts w:ascii="宋体" w:hAnsi="宋体" w:cs="宋体"/>
          <w:kern w:val="44"/>
          <w:sz w:val="24"/>
        </w:rPr>
      </w:pPr>
      <w:r>
        <w:rPr>
          <w:rFonts w:hint="eastAsia" w:ascii="宋体" w:hAnsi="宋体" w:cs="宋体"/>
          <w:kern w:val="44"/>
          <w:sz w:val="24"/>
        </w:rPr>
        <w:t>海南省机电工程学校直播教室设备采购项目。</w:t>
      </w:r>
    </w:p>
    <w:p w14:paraId="586AED9C">
      <w:pPr>
        <w:spacing w:line="420" w:lineRule="exact"/>
        <w:ind w:firstLine="482" w:firstLineChars="200"/>
        <w:jc w:val="left"/>
        <w:rPr>
          <w:rFonts w:ascii="宋体" w:hAnsi="宋体" w:cs="宋体"/>
          <w:b/>
          <w:kern w:val="44"/>
          <w:sz w:val="24"/>
        </w:rPr>
      </w:pPr>
      <w:r>
        <w:rPr>
          <w:rFonts w:hint="eastAsia" w:ascii="宋体" w:hAnsi="宋体" w:cs="宋体"/>
          <w:b/>
          <w:kern w:val="44"/>
          <w:sz w:val="24"/>
        </w:rPr>
        <w:t>2、交货地点</w:t>
      </w:r>
    </w:p>
    <w:p w14:paraId="6B076EFA">
      <w:pPr>
        <w:spacing w:line="420" w:lineRule="exact"/>
        <w:ind w:firstLine="480" w:firstLineChars="200"/>
        <w:jc w:val="left"/>
        <w:rPr>
          <w:rFonts w:ascii="宋体" w:hAnsi="宋体" w:cs="宋体"/>
          <w:kern w:val="44"/>
          <w:sz w:val="24"/>
        </w:rPr>
      </w:pPr>
      <w:r>
        <w:rPr>
          <w:rFonts w:hint="eastAsia" w:ascii="宋体" w:hAnsi="宋体" w:cs="宋体"/>
          <w:kern w:val="44"/>
          <w:sz w:val="24"/>
          <w:lang w:val="en-US" w:eastAsia="zh-CN"/>
        </w:rPr>
        <w:t>业主指定地点</w:t>
      </w:r>
      <w:r>
        <w:rPr>
          <w:rFonts w:hint="eastAsia" w:ascii="宋体" w:hAnsi="宋体" w:cs="宋体"/>
          <w:kern w:val="44"/>
          <w:sz w:val="24"/>
        </w:rPr>
        <w:t>。</w:t>
      </w:r>
    </w:p>
    <w:p w14:paraId="7EA81EED">
      <w:pPr>
        <w:spacing w:line="420" w:lineRule="exact"/>
        <w:ind w:firstLine="482" w:firstLineChars="200"/>
        <w:jc w:val="left"/>
        <w:rPr>
          <w:rFonts w:ascii="宋体" w:hAnsi="宋体" w:cs="宋体"/>
          <w:b/>
          <w:kern w:val="44"/>
          <w:sz w:val="24"/>
        </w:rPr>
      </w:pPr>
      <w:r>
        <w:rPr>
          <w:rFonts w:hint="eastAsia" w:ascii="宋体" w:hAnsi="宋体" w:cs="宋体"/>
          <w:b/>
          <w:kern w:val="44"/>
          <w:sz w:val="24"/>
        </w:rPr>
        <w:t>3、项目概况</w:t>
      </w:r>
    </w:p>
    <w:p w14:paraId="67EA8D00">
      <w:pPr>
        <w:spacing w:line="420" w:lineRule="exact"/>
        <w:ind w:left="-424" w:leftChars="-202" w:firstLine="840" w:firstLineChars="350"/>
        <w:jc w:val="left"/>
        <w:rPr>
          <w:rFonts w:ascii="宋体" w:hAnsi="宋体" w:cs="宋体"/>
          <w:kern w:val="44"/>
          <w:sz w:val="24"/>
        </w:rPr>
      </w:pPr>
      <w:r>
        <w:rPr>
          <w:rFonts w:hint="eastAsia" w:ascii="宋体" w:hAnsi="宋体" w:cs="宋体"/>
          <w:kern w:val="44"/>
          <w:sz w:val="24"/>
          <w:lang w:val="en-US" w:eastAsia="zh-CN"/>
        </w:rPr>
        <w:t>海南省机电工程学校就直播教室进行设备采购</w:t>
      </w:r>
      <w:r>
        <w:rPr>
          <w:rFonts w:hint="eastAsia" w:ascii="宋体" w:hAnsi="宋体" w:cs="宋体"/>
          <w:kern w:val="44"/>
          <w:sz w:val="24"/>
        </w:rPr>
        <w:t>。</w:t>
      </w:r>
    </w:p>
    <w:p w14:paraId="75F5A709">
      <w:pPr>
        <w:spacing w:line="420" w:lineRule="exact"/>
        <w:ind w:firstLine="482" w:firstLineChars="200"/>
        <w:jc w:val="left"/>
        <w:rPr>
          <w:rFonts w:ascii="宋体" w:hAnsi="宋体" w:cs="宋体"/>
          <w:b/>
          <w:kern w:val="44"/>
          <w:sz w:val="24"/>
        </w:rPr>
      </w:pPr>
      <w:r>
        <w:rPr>
          <w:rFonts w:hint="eastAsia" w:ascii="宋体" w:hAnsi="宋体" w:cs="宋体"/>
          <w:b/>
          <w:kern w:val="44"/>
          <w:sz w:val="24"/>
        </w:rPr>
        <w:t>4、招标范围</w:t>
      </w:r>
    </w:p>
    <w:p w14:paraId="611A164C">
      <w:pPr>
        <w:spacing w:line="420" w:lineRule="exact"/>
        <w:ind w:firstLine="480" w:firstLineChars="200"/>
        <w:jc w:val="left"/>
        <w:rPr>
          <w:rFonts w:ascii="宋体" w:hAnsi="宋体" w:cs="宋体"/>
          <w:kern w:val="44"/>
          <w:sz w:val="24"/>
        </w:rPr>
      </w:pPr>
      <w:r>
        <w:rPr>
          <w:rFonts w:hint="eastAsia" w:ascii="宋体" w:hAnsi="宋体"/>
          <w:sz w:val="24"/>
          <w:lang w:val="en-US" w:eastAsia="zh-CN"/>
        </w:rPr>
        <w:t>详见采购需求书《直播教室设备采购项目预算审核汇总表》</w:t>
      </w:r>
      <w:r>
        <w:rPr>
          <w:rFonts w:hint="eastAsia" w:ascii="宋体" w:hAnsi="宋体"/>
          <w:sz w:val="24"/>
        </w:rPr>
        <w:t>。</w:t>
      </w:r>
    </w:p>
    <w:p w14:paraId="452F2807">
      <w:pPr>
        <w:spacing w:line="420" w:lineRule="exact"/>
        <w:ind w:firstLine="482" w:firstLineChars="200"/>
        <w:jc w:val="left"/>
        <w:rPr>
          <w:rFonts w:ascii="宋体" w:hAnsi="宋体" w:cs="宋体"/>
          <w:b/>
          <w:kern w:val="44"/>
          <w:sz w:val="24"/>
        </w:rPr>
      </w:pPr>
      <w:r>
        <w:rPr>
          <w:rFonts w:hint="eastAsia" w:ascii="宋体" w:hAnsi="宋体" w:cs="宋体"/>
          <w:b/>
          <w:kern w:val="44"/>
          <w:sz w:val="24"/>
          <w:lang w:val="en-US" w:eastAsia="zh-CN"/>
        </w:rPr>
        <w:t>5</w:t>
      </w:r>
      <w:r>
        <w:rPr>
          <w:rFonts w:hint="eastAsia" w:ascii="宋体" w:hAnsi="宋体" w:cs="宋体"/>
          <w:b/>
          <w:kern w:val="44"/>
          <w:sz w:val="24"/>
        </w:rPr>
        <w:t>、交货时间</w:t>
      </w:r>
    </w:p>
    <w:p w14:paraId="452779FA">
      <w:pPr>
        <w:spacing w:line="420" w:lineRule="exact"/>
        <w:ind w:firstLine="480" w:firstLineChars="200"/>
        <w:jc w:val="left"/>
        <w:rPr>
          <w:rFonts w:hint="eastAsia" w:ascii="宋体" w:hAnsi="宋体" w:cs="宋体"/>
          <w:kern w:val="44"/>
          <w:sz w:val="24"/>
        </w:rPr>
      </w:pPr>
      <w:r>
        <w:rPr>
          <w:rFonts w:hint="eastAsia" w:ascii="宋体" w:hAnsi="宋体" w:cs="宋体"/>
          <w:kern w:val="44"/>
          <w:sz w:val="24"/>
          <w:lang w:val="en-US" w:eastAsia="zh-CN"/>
        </w:rPr>
        <w:t>合同签订后一个月内</w:t>
      </w:r>
      <w:r>
        <w:rPr>
          <w:rFonts w:hint="eastAsia" w:ascii="宋体" w:hAnsi="宋体" w:cs="宋体"/>
          <w:kern w:val="44"/>
          <w:sz w:val="24"/>
        </w:rPr>
        <w:t>。</w:t>
      </w:r>
    </w:p>
    <w:p w14:paraId="07135F72">
      <w:pPr>
        <w:pStyle w:val="2"/>
        <w:jc w:val="both"/>
        <w:rPr>
          <w:rFonts w:hint="default" w:eastAsia="宋体"/>
          <w:lang w:val="en-US" w:eastAsia="zh-CN"/>
        </w:rPr>
      </w:pPr>
      <w:r>
        <w:rPr>
          <w:rFonts w:hint="eastAsia" w:cs="宋体"/>
          <w:kern w:val="44"/>
          <w:sz w:val="24"/>
          <w:lang w:val="en-US" w:eastAsia="zh-CN"/>
        </w:rPr>
        <w:t xml:space="preserve">    6、质保期：24个月</w:t>
      </w:r>
    </w:p>
    <w:p w14:paraId="3C9097E7">
      <w:pPr>
        <w:spacing w:line="420" w:lineRule="exact"/>
        <w:ind w:firstLine="482" w:firstLineChars="200"/>
        <w:jc w:val="left"/>
        <w:rPr>
          <w:rFonts w:ascii="宋体" w:hAnsi="宋体" w:cs="宋体"/>
          <w:b/>
          <w:kern w:val="44"/>
          <w:sz w:val="24"/>
        </w:rPr>
      </w:pPr>
      <w:r>
        <w:rPr>
          <w:rFonts w:hint="eastAsia" w:ascii="宋体" w:hAnsi="宋体" w:cs="宋体"/>
          <w:b/>
          <w:kern w:val="44"/>
          <w:sz w:val="24"/>
          <w:lang w:val="en-US" w:eastAsia="zh-CN"/>
        </w:rPr>
        <w:t>7</w:t>
      </w:r>
      <w:r>
        <w:rPr>
          <w:rFonts w:hint="eastAsia" w:ascii="宋体" w:hAnsi="宋体" w:cs="宋体"/>
          <w:b/>
          <w:kern w:val="44"/>
          <w:sz w:val="24"/>
        </w:rPr>
        <w:t>、投标报价有效范围</w:t>
      </w:r>
    </w:p>
    <w:p w14:paraId="1ED7FBA7">
      <w:pPr>
        <w:spacing w:line="420" w:lineRule="exact"/>
        <w:ind w:firstLine="480" w:firstLineChars="200"/>
        <w:jc w:val="left"/>
        <w:rPr>
          <w:rFonts w:hint="default" w:eastAsia="宋体"/>
          <w:lang w:val="en-US" w:eastAsia="zh-CN"/>
        </w:rPr>
      </w:pPr>
      <w:r>
        <w:rPr>
          <w:rFonts w:hint="eastAsia" w:ascii="宋体" w:hAnsi="宋体" w:cs="宋体"/>
          <w:kern w:val="44"/>
          <w:sz w:val="24"/>
        </w:rPr>
        <w:t>招标</w:t>
      </w:r>
      <w:r>
        <w:rPr>
          <w:rFonts w:hint="eastAsia" w:ascii="宋体" w:hAnsi="宋体"/>
          <w:sz w:val="24"/>
        </w:rPr>
        <w:t>控制价：3784</w:t>
      </w:r>
      <w:r>
        <w:rPr>
          <w:rFonts w:hint="eastAsia" w:ascii="宋体" w:hAnsi="宋体"/>
          <w:sz w:val="24"/>
          <w:lang w:val="en-US" w:eastAsia="zh-CN"/>
        </w:rPr>
        <w:t>000.00</w:t>
      </w:r>
      <w:r>
        <w:rPr>
          <w:rFonts w:hint="eastAsia" w:ascii="宋体" w:hAnsi="宋体"/>
          <w:sz w:val="24"/>
        </w:rPr>
        <w:t>元,</w:t>
      </w:r>
      <w:r>
        <w:rPr>
          <w:rFonts w:hint="eastAsia" w:ascii="宋体" w:hAnsi="宋体"/>
          <w:sz w:val="24"/>
          <w:lang w:eastAsia="zh-CN"/>
        </w:rPr>
        <w:t>供应商</w:t>
      </w:r>
      <w:r>
        <w:rPr>
          <w:rFonts w:hint="eastAsia" w:ascii="宋体" w:hAnsi="宋体"/>
          <w:sz w:val="24"/>
        </w:rPr>
        <w:t>报价需小于或等于控制价，超过控制价的报价按无效投标处理。所报单价包含一切应包含的费用（运输、税费、人工费等一切费用），原则上合同有效期内</w:t>
      </w:r>
      <w:r>
        <w:rPr>
          <w:rFonts w:hint="eastAsia" w:ascii="宋体" w:hAnsi="宋体"/>
          <w:sz w:val="24"/>
          <w:lang w:eastAsia="zh-CN"/>
        </w:rPr>
        <w:t>供应商</w:t>
      </w:r>
      <w:r>
        <w:rPr>
          <w:rFonts w:hint="eastAsia" w:ascii="宋体" w:hAnsi="宋体"/>
          <w:sz w:val="24"/>
        </w:rPr>
        <w:t>所报的价格不随招标人公司、市场政策的变动而变动。</w:t>
      </w:r>
    </w:p>
    <w:p w14:paraId="6CB63360">
      <w:pPr>
        <w:spacing w:line="420" w:lineRule="exact"/>
        <w:ind w:firstLine="482" w:firstLineChars="200"/>
        <w:jc w:val="left"/>
        <w:rPr>
          <w:rFonts w:hint="default" w:ascii="宋体" w:hAnsi="宋体" w:cs="宋体"/>
          <w:b/>
          <w:kern w:val="44"/>
          <w:sz w:val="24"/>
          <w:lang w:val="en-US" w:eastAsia="zh-CN"/>
        </w:rPr>
      </w:pPr>
      <w:r>
        <w:rPr>
          <w:rFonts w:hint="default" w:ascii="宋体" w:hAnsi="宋体" w:cs="宋体"/>
          <w:b/>
          <w:kern w:val="44"/>
          <w:sz w:val="24"/>
          <w:lang w:val="en-US" w:eastAsia="zh-CN" w:bidi="ar-SA"/>
        </w:rPr>
        <w:t>8</w:t>
      </w:r>
      <w:r>
        <w:rPr>
          <w:rFonts w:hint="default" w:ascii="宋体" w:hAnsi="宋体" w:eastAsia="宋体" w:cs="宋体"/>
          <w:b/>
          <w:kern w:val="44"/>
          <w:sz w:val="24"/>
          <w:lang w:val="en-US" w:eastAsia="zh-CN" w:bidi="ar-SA"/>
        </w:rPr>
        <w:t>、</w:t>
      </w:r>
      <w:r>
        <w:rPr>
          <w:rFonts w:hint="default" w:ascii="宋体" w:hAnsi="宋体" w:cs="宋体"/>
          <w:b/>
          <w:kern w:val="44"/>
          <w:sz w:val="24"/>
          <w:lang w:val="en-US" w:eastAsia="zh-CN"/>
        </w:rPr>
        <w:t>项目所属行业：工业制造业</w:t>
      </w:r>
      <w:r>
        <w:rPr>
          <w:rFonts w:hint="eastAsia" w:ascii="宋体" w:hAnsi="宋体" w:cs="宋体"/>
          <w:b/>
          <w:kern w:val="44"/>
          <w:sz w:val="24"/>
          <w:lang w:val="en-US" w:eastAsia="zh-CN"/>
        </w:rPr>
        <w:t>。</w:t>
      </w:r>
    </w:p>
    <w:p w14:paraId="62DC36AB">
      <w:pPr>
        <w:pStyle w:val="2"/>
        <w:numPr>
          <w:ilvl w:val="0"/>
          <w:numId w:val="0"/>
        </w:numPr>
        <w:ind w:firstLine="482" w:firstLineChars="200"/>
        <w:jc w:val="both"/>
        <w:rPr>
          <w:rFonts w:hint="eastAsia"/>
          <w:highlight w:val="yellow"/>
          <w:lang w:val="en-US" w:eastAsia="zh-CN"/>
        </w:rPr>
      </w:pPr>
      <w:r>
        <w:rPr>
          <w:rFonts w:hint="default" w:cs="宋体"/>
          <w:b/>
          <w:bCs w:val="0"/>
          <w:color w:val="auto"/>
          <w:kern w:val="44"/>
          <w:sz w:val="24"/>
          <w:szCs w:val="20"/>
          <w:highlight w:val="yellow"/>
          <w:lang w:val="en-US" w:eastAsia="zh-CN" w:bidi="ar-SA"/>
        </w:rPr>
        <w:t>9</w:t>
      </w:r>
      <w:r>
        <w:rPr>
          <w:rFonts w:hint="default" w:ascii="宋体" w:hAnsi="宋体" w:eastAsia="宋体" w:cs="宋体"/>
          <w:b/>
          <w:bCs w:val="0"/>
          <w:color w:val="auto"/>
          <w:kern w:val="44"/>
          <w:sz w:val="24"/>
          <w:szCs w:val="20"/>
          <w:highlight w:val="yellow"/>
          <w:lang w:val="en-US" w:eastAsia="zh-CN" w:bidi="ar-SA"/>
        </w:rPr>
        <w:t>、</w:t>
      </w:r>
      <w:r>
        <w:rPr>
          <w:rFonts w:hint="default" w:cs="宋体"/>
          <w:bCs w:val="0"/>
          <w:color w:val="auto"/>
          <w:kern w:val="44"/>
          <w:sz w:val="24"/>
          <w:szCs w:val="20"/>
          <w:highlight w:val="yellow"/>
          <w:lang w:val="en-US" w:eastAsia="zh-CN"/>
        </w:rPr>
        <w:t>核心产品</w:t>
      </w:r>
      <w:r>
        <w:rPr>
          <w:rFonts w:hint="default" w:cs="宋体"/>
          <w:bCs w:val="0"/>
          <w:color w:val="auto"/>
          <w:kern w:val="44"/>
          <w:sz w:val="24"/>
          <w:szCs w:val="20"/>
          <w:lang w:val="en-US" w:eastAsia="zh-CN"/>
        </w:rPr>
        <w:t>：</w:t>
      </w:r>
      <w:r>
        <w:rPr>
          <w:rFonts w:hint="default" w:ascii="宋体" w:hAnsi="宋体" w:cs="宋体"/>
          <w:bCs w:val="0"/>
          <w:color w:val="auto"/>
          <w:kern w:val="44"/>
          <w:sz w:val="24"/>
          <w:szCs w:val="20"/>
          <w:highlight w:val="none"/>
        </w:rPr>
        <w:t>交互智能平板</w:t>
      </w:r>
    </w:p>
    <w:p w14:paraId="44ADEE91">
      <w:pPr>
        <w:pStyle w:val="2"/>
        <w:numPr>
          <w:ilvl w:val="-1"/>
          <w:numId w:val="0"/>
        </w:numPr>
        <w:ind w:firstLine="0"/>
        <w:jc w:val="both"/>
        <w:rPr>
          <w:rFonts w:hint="default"/>
          <w:lang w:val="en-US" w:eastAsia="zh-CN"/>
        </w:rPr>
      </w:pPr>
    </w:p>
    <w:p w14:paraId="7E50BDCF"/>
    <w:p w14:paraId="26CA807D"/>
    <w:p w14:paraId="2947993B"/>
    <w:p w14:paraId="752C6876"/>
    <w:p w14:paraId="64E16702"/>
    <w:p w14:paraId="433E6256"/>
    <w:p w14:paraId="7A9A3EE6"/>
    <w:p w14:paraId="1EEACDFF"/>
    <w:p w14:paraId="7BA1D709"/>
    <w:p w14:paraId="28766364"/>
    <w:p w14:paraId="77950779"/>
    <w:p w14:paraId="3A81DA62"/>
    <w:p w14:paraId="0BBFEDC0"/>
    <w:p w14:paraId="2818E5B4"/>
    <w:p w14:paraId="04F617BC"/>
    <w:p w14:paraId="6C6C3977"/>
    <w:p w14:paraId="52A6A0FF"/>
    <w:p w14:paraId="6623337C"/>
    <w:p w14:paraId="419C77ED"/>
    <w:p w14:paraId="7ED99DED">
      <w:pPr>
        <w:pStyle w:val="2"/>
      </w:pPr>
    </w:p>
    <w:p w14:paraId="39E4F47C"/>
    <w:tbl>
      <w:tblPr>
        <w:tblStyle w:val="29"/>
        <w:tblW w:w="5000" w:type="pct"/>
        <w:tblInd w:w="0" w:type="dxa"/>
        <w:tblLayout w:type="fixed"/>
        <w:tblCellMar>
          <w:top w:w="0" w:type="dxa"/>
          <w:left w:w="108" w:type="dxa"/>
          <w:bottom w:w="0" w:type="dxa"/>
          <w:right w:w="108" w:type="dxa"/>
        </w:tblCellMar>
      </w:tblPr>
      <w:tblGrid>
        <w:gridCol w:w="441"/>
        <w:gridCol w:w="817"/>
        <w:gridCol w:w="4112"/>
        <w:gridCol w:w="1040"/>
        <w:gridCol w:w="935"/>
        <w:gridCol w:w="1084"/>
        <w:gridCol w:w="859"/>
      </w:tblGrid>
      <w:tr w14:paraId="595DB27A">
        <w:tblPrEx>
          <w:tblCellMar>
            <w:top w:w="0" w:type="dxa"/>
            <w:left w:w="108" w:type="dxa"/>
            <w:bottom w:w="0" w:type="dxa"/>
            <w:right w:w="108" w:type="dxa"/>
          </w:tblCellMar>
        </w:tblPrEx>
        <w:trPr>
          <w:trHeight w:val="450" w:hRule="atLeast"/>
        </w:trPr>
        <w:tc>
          <w:tcPr>
            <w:tcW w:w="9288" w:type="dxa"/>
            <w:gridSpan w:val="7"/>
            <w:tcBorders>
              <w:top w:val="single" w:color="000000" w:sz="4" w:space="0"/>
              <w:left w:val="single" w:color="000000" w:sz="4" w:space="0"/>
              <w:bottom w:val="single" w:color="000000" w:sz="4" w:space="0"/>
              <w:right w:val="single" w:color="000000" w:sz="4" w:space="0"/>
            </w:tcBorders>
            <w:noWrap/>
            <w:vAlign w:val="top"/>
          </w:tcPr>
          <w:p w14:paraId="0AA22C0D">
            <w:pPr>
              <w:widowControl/>
              <w:jc w:val="center"/>
              <w:textAlignment w:val="top"/>
              <w:rPr>
                <w:rFonts w:hint="eastAsia" w:ascii="宋体" w:hAnsi="宋体"/>
                <w:b/>
                <w:bCs/>
                <w:color w:val="auto"/>
                <w:sz w:val="36"/>
                <w:szCs w:val="36"/>
                <w:highlight w:val="none"/>
              </w:rPr>
            </w:pPr>
            <w:r>
              <w:rPr>
                <w:rFonts w:hint="eastAsia" w:ascii="宋体" w:hAnsi="宋体"/>
                <w:b/>
                <w:bCs/>
                <w:color w:val="auto"/>
                <w:sz w:val="36"/>
                <w:szCs w:val="36"/>
                <w:highlight w:val="none"/>
              </w:rPr>
              <w:t>直播教室设备采购项目</w:t>
            </w:r>
          </w:p>
        </w:tc>
      </w:tr>
      <w:tr w14:paraId="6A1D9DAA">
        <w:tblPrEx>
          <w:tblCellMar>
            <w:top w:w="0" w:type="dxa"/>
            <w:left w:w="108" w:type="dxa"/>
            <w:bottom w:w="0" w:type="dxa"/>
            <w:right w:w="108" w:type="dxa"/>
          </w:tblCellMar>
        </w:tblPrEx>
        <w:trPr>
          <w:trHeight w:val="450" w:hRule="atLeast"/>
        </w:trPr>
        <w:tc>
          <w:tcPr>
            <w:tcW w:w="9288" w:type="dxa"/>
            <w:gridSpan w:val="7"/>
            <w:tcBorders>
              <w:top w:val="single" w:color="000000" w:sz="4" w:space="0"/>
              <w:left w:val="single" w:color="000000" w:sz="4" w:space="0"/>
              <w:bottom w:val="single" w:color="000000" w:sz="4" w:space="0"/>
              <w:right w:val="single" w:color="000000" w:sz="4" w:space="0"/>
            </w:tcBorders>
            <w:noWrap/>
            <w:vAlign w:val="top"/>
          </w:tcPr>
          <w:p w14:paraId="163DD5D2">
            <w:pPr>
              <w:widowControl/>
              <w:jc w:val="center"/>
              <w:textAlignment w:val="top"/>
              <w:rPr>
                <w:rFonts w:hint="eastAsia" w:ascii="宋体" w:hAnsi="宋体"/>
                <w:b/>
                <w:bCs/>
                <w:color w:val="auto"/>
                <w:sz w:val="36"/>
                <w:szCs w:val="36"/>
                <w:highlight w:val="none"/>
              </w:rPr>
            </w:pPr>
            <w:r>
              <w:rPr>
                <w:rFonts w:hint="eastAsia" w:ascii="宋体" w:hAnsi="宋体"/>
                <w:b/>
                <w:bCs/>
                <w:color w:val="auto"/>
                <w:sz w:val="36"/>
                <w:szCs w:val="36"/>
                <w:highlight w:val="none"/>
              </w:rPr>
              <w:t>预算审核汇总表</w:t>
            </w:r>
          </w:p>
        </w:tc>
      </w:tr>
      <w:tr w14:paraId="6823613E">
        <w:tblPrEx>
          <w:tblCellMar>
            <w:top w:w="0" w:type="dxa"/>
            <w:left w:w="108" w:type="dxa"/>
            <w:bottom w:w="0" w:type="dxa"/>
            <w:right w:w="108" w:type="dxa"/>
          </w:tblCellMar>
        </w:tblPrEx>
        <w:trPr>
          <w:trHeight w:val="45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3A8E447F">
            <w:pPr>
              <w:widowControl/>
              <w:jc w:val="center"/>
              <w:textAlignment w:val="center"/>
              <w:rPr>
                <w:rFonts w:ascii="宋体" w:hAnsi="宋体"/>
                <w:b/>
                <w:bCs/>
                <w:color w:val="auto"/>
                <w:sz w:val="18"/>
                <w:szCs w:val="18"/>
                <w:highlight w:val="none"/>
              </w:rPr>
            </w:pPr>
            <w:r>
              <w:rPr>
                <w:rFonts w:hint="eastAsia" w:ascii="宋体" w:hAnsi="宋体"/>
                <w:b/>
                <w:bCs/>
                <w:color w:val="auto"/>
                <w:kern w:val="0"/>
                <w:sz w:val="18"/>
                <w:szCs w:val="18"/>
                <w:highlight w:val="none"/>
              </w:rPr>
              <w:t>序号</w:t>
            </w:r>
          </w:p>
        </w:tc>
        <w:tc>
          <w:tcPr>
            <w:tcW w:w="817" w:type="dxa"/>
            <w:tcBorders>
              <w:top w:val="single" w:color="000000" w:sz="4" w:space="0"/>
              <w:left w:val="nil"/>
              <w:bottom w:val="single" w:color="000000" w:sz="4" w:space="0"/>
              <w:right w:val="single" w:color="000000" w:sz="4" w:space="0"/>
            </w:tcBorders>
            <w:vAlign w:val="center"/>
          </w:tcPr>
          <w:p w14:paraId="3F89649F">
            <w:pPr>
              <w:widowControl/>
              <w:jc w:val="center"/>
              <w:textAlignment w:val="center"/>
              <w:rPr>
                <w:rFonts w:ascii="宋体" w:hAnsi="宋体"/>
                <w:b/>
                <w:bCs/>
                <w:color w:val="auto"/>
                <w:sz w:val="18"/>
                <w:szCs w:val="18"/>
                <w:highlight w:val="none"/>
              </w:rPr>
            </w:pPr>
            <w:r>
              <w:rPr>
                <w:rFonts w:hint="eastAsia" w:ascii="宋体" w:hAnsi="宋体"/>
                <w:b/>
                <w:bCs/>
                <w:color w:val="auto"/>
                <w:kern w:val="0"/>
                <w:sz w:val="18"/>
                <w:szCs w:val="18"/>
                <w:highlight w:val="none"/>
                <w:lang w:val="en-US" w:eastAsia="zh-CN"/>
              </w:rPr>
              <w:t>产品</w:t>
            </w:r>
            <w:r>
              <w:rPr>
                <w:rFonts w:hint="eastAsia" w:ascii="宋体" w:hAnsi="宋体"/>
                <w:b/>
                <w:bCs/>
                <w:color w:val="auto"/>
                <w:kern w:val="0"/>
                <w:sz w:val="18"/>
                <w:szCs w:val="18"/>
                <w:highlight w:val="none"/>
              </w:rPr>
              <w:t>名称</w:t>
            </w:r>
          </w:p>
        </w:tc>
        <w:tc>
          <w:tcPr>
            <w:tcW w:w="4112" w:type="dxa"/>
            <w:tcBorders>
              <w:top w:val="single" w:color="000000" w:sz="4" w:space="0"/>
              <w:left w:val="nil"/>
              <w:bottom w:val="single" w:color="000000" w:sz="4" w:space="0"/>
              <w:right w:val="single" w:color="000000" w:sz="4" w:space="0"/>
            </w:tcBorders>
            <w:vAlign w:val="center"/>
          </w:tcPr>
          <w:p w14:paraId="64B7EABF">
            <w:pPr>
              <w:widowControl/>
              <w:jc w:val="center"/>
              <w:textAlignment w:val="center"/>
              <w:rPr>
                <w:rFonts w:ascii="宋体" w:hAnsi="宋体"/>
                <w:b/>
                <w:bCs/>
                <w:color w:val="auto"/>
                <w:sz w:val="18"/>
                <w:szCs w:val="18"/>
                <w:highlight w:val="none"/>
              </w:rPr>
            </w:pPr>
            <w:r>
              <w:rPr>
                <w:rFonts w:hint="eastAsia" w:ascii="宋体" w:hAnsi="宋体"/>
                <w:b/>
                <w:bCs/>
                <w:color w:val="auto"/>
                <w:kern w:val="0"/>
                <w:sz w:val="18"/>
                <w:szCs w:val="18"/>
                <w:highlight w:val="none"/>
              </w:rPr>
              <w:t>品牌与技术参数</w:t>
            </w:r>
          </w:p>
        </w:tc>
        <w:tc>
          <w:tcPr>
            <w:tcW w:w="1040" w:type="dxa"/>
            <w:tcBorders>
              <w:top w:val="single" w:color="000000" w:sz="4" w:space="0"/>
              <w:left w:val="nil"/>
              <w:bottom w:val="single" w:color="000000" w:sz="4" w:space="0"/>
              <w:right w:val="single" w:color="000000" w:sz="4" w:space="0"/>
            </w:tcBorders>
            <w:vAlign w:val="center"/>
          </w:tcPr>
          <w:p w14:paraId="7390CF33">
            <w:pPr>
              <w:widowControl/>
              <w:jc w:val="center"/>
              <w:textAlignment w:val="center"/>
              <w:rPr>
                <w:rFonts w:ascii="宋体" w:hAnsi="宋体"/>
                <w:b/>
                <w:bCs/>
                <w:color w:val="auto"/>
                <w:sz w:val="18"/>
                <w:szCs w:val="18"/>
                <w:highlight w:val="none"/>
              </w:rPr>
            </w:pPr>
            <w:r>
              <w:rPr>
                <w:rFonts w:hint="eastAsia" w:ascii="宋体" w:hAnsi="宋体"/>
                <w:b/>
                <w:bCs/>
                <w:color w:val="auto"/>
                <w:kern w:val="0"/>
                <w:sz w:val="18"/>
                <w:szCs w:val="18"/>
                <w:highlight w:val="none"/>
              </w:rPr>
              <w:t>数量</w:t>
            </w:r>
          </w:p>
        </w:tc>
        <w:tc>
          <w:tcPr>
            <w:tcW w:w="935" w:type="dxa"/>
            <w:tcBorders>
              <w:top w:val="single" w:color="000000" w:sz="4" w:space="0"/>
              <w:left w:val="nil"/>
              <w:bottom w:val="single" w:color="000000" w:sz="4" w:space="0"/>
              <w:right w:val="single" w:color="000000" w:sz="4" w:space="0"/>
            </w:tcBorders>
            <w:vAlign w:val="center"/>
          </w:tcPr>
          <w:p w14:paraId="779DFBD3">
            <w:pPr>
              <w:widowControl/>
              <w:jc w:val="center"/>
              <w:textAlignment w:val="center"/>
              <w:rPr>
                <w:rFonts w:ascii="宋体" w:hAnsi="宋体"/>
                <w:b/>
                <w:bCs/>
                <w:color w:val="auto"/>
                <w:sz w:val="18"/>
                <w:szCs w:val="18"/>
                <w:highlight w:val="none"/>
              </w:rPr>
            </w:pPr>
            <w:r>
              <w:rPr>
                <w:rFonts w:hint="eastAsia" w:ascii="宋体" w:hAnsi="宋体"/>
                <w:b/>
                <w:bCs/>
                <w:color w:val="auto"/>
                <w:kern w:val="0"/>
                <w:sz w:val="18"/>
                <w:szCs w:val="18"/>
                <w:highlight w:val="none"/>
              </w:rPr>
              <w:t>单位</w:t>
            </w:r>
          </w:p>
        </w:tc>
        <w:tc>
          <w:tcPr>
            <w:tcW w:w="1084" w:type="dxa"/>
            <w:tcBorders>
              <w:top w:val="single" w:color="000000" w:sz="4" w:space="0"/>
              <w:left w:val="nil"/>
              <w:bottom w:val="single" w:color="000000" w:sz="4" w:space="0"/>
              <w:right w:val="single" w:color="000000" w:sz="4" w:space="0"/>
            </w:tcBorders>
            <w:vAlign w:val="center"/>
          </w:tcPr>
          <w:p w14:paraId="13447CD4">
            <w:pPr>
              <w:widowControl/>
              <w:jc w:val="center"/>
              <w:textAlignment w:val="center"/>
              <w:rPr>
                <w:rFonts w:hint="eastAsia" w:ascii="宋体" w:hAnsi="宋体" w:eastAsia="宋体"/>
                <w:b/>
                <w:bCs/>
                <w:color w:val="auto"/>
                <w:sz w:val="18"/>
                <w:szCs w:val="18"/>
                <w:highlight w:val="none"/>
                <w:lang w:eastAsia="zh-CN"/>
              </w:rPr>
            </w:pPr>
            <w:r>
              <w:rPr>
                <w:rFonts w:hint="eastAsia" w:ascii="宋体" w:hAnsi="宋体"/>
                <w:b/>
                <w:bCs/>
                <w:color w:val="auto"/>
                <w:kern w:val="0"/>
                <w:sz w:val="18"/>
                <w:szCs w:val="18"/>
                <w:highlight w:val="none"/>
              </w:rPr>
              <w:t>单价</w:t>
            </w:r>
            <w:r>
              <w:rPr>
                <w:rFonts w:hint="eastAsia" w:ascii="宋体" w:hAnsi="宋体"/>
                <w:b/>
                <w:bCs/>
                <w:color w:val="auto"/>
                <w:kern w:val="0"/>
                <w:sz w:val="18"/>
                <w:szCs w:val="18"/>
                <w:highlight w:val="none"/>
                <w:lang w:eastAsia="zh-CN"/>
              </w:rPr>
              <w:t>（</w:t>
            </w:r>
            <w:r>
              <w:rPr>
                <w:rFonts w:hint="eastAsia" w:ascii="宋体" w:hAnsi="宋体"/>
                <w:b/>
                <w:bCs/>
                <w:color w:val="auto"/>
                <w:kern w:val="0"/>
                <w:sz w:val="18"/>
                <w:szCs w:val="18"/>
                <w:highlight w:val="none"/>
                <w:lang w:val="en-US" w:eastAsia="zh-CN"/>
              </w:rPr>
              <w:t>元</w:t>
            </w:r>
            <w:r>
              <w:rPr>
                <w:rFonts w:hint="eastAsia" w:ascii="宋体" w:hAnsi="宋体"/>
                <w:b/>
                <w:bCs/>
                <w:color w:val="auto"/>
                <w:kern w:val="0"/>
                <w:sz w:val="18"/>
                <w:szCs w:val="18"/>
                <w:highlight w:val="none"/>
                <w:lang w:eastAsia="zh-CN"/>
              </w:rPr>
              <w:t>）</w:t>
            </w:r>
          </w:p>
        </w:tc>
        <w:tc>
          <w:tcPr>
            <w:tcW w:w="859" w:type="dxa"/>
            <w:tcBorders>
              <w:top w:val="single" w:color="000000" w:sz="4" w:space="0"/>
              <w:left w:val="nil"/>
              <w:bottom w:val="single" w:color="000000" w:sz="4" w:space="0"/>
              <w:right w:val="single" w:color="000000" w:sz="4" w:space="0"/>
            </w:tcBorders>
            <w:vAlign w:val="center"/>
          </w:tcPr>
          <w:p w14:paraId="357D9297">
            <w:pPr>
              <w:widowControl/>
              <w:jc w:val="center"/>
              <w:textAlignment w:val="center"/>
              <w:rPr>
                <w:rFonts w:hint="eastAsia" w:ascii="宋体" w:hAnsi="宋体" w:eastAsia="宋体"/>
                <w:b/>
                <w:bCs/>
                <w:color w:val="auto"/>
                <w:kern w:val="0"/>
                <w:sz w:val="18"/>
                <w:szCs w:val="18"/>
                <w:highlight w:val="none"/>
                <w:lang w:val="en-US" w:eastAsia="zh-CN"/>
              </w:rPr>
            </w:pPr>
            <w:r>
              <w:rPr>
                <w:rFonts w:hint="eastAsia" w:ascii="宋体" w:hAnsi="宋体"/>
                <w:b/>
                <w:bCs/>
                <w:color w:val="auto"/>
                <w:kern w:val="0"/>
                <w:sz w:val="18"/>
                <w:szCs w:val="18"/>
                <w:highlight w:val="none"/>
                <w:lang w:val="en-US" w:eastAsia="zh-CN"/>
              </w:rPr>
              <w:t>总价（元）</w:t>
            </w:r>
          </w:p>
        </w:tc>
      </w:tr>
      <w:tr w14:paraId="0C633350">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79D4B82B">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817" w:type="dxa"/>
            <w:tcBorders>
              <w:top w:val="single" w:color="000000" w:sz="4" w:space="0"/>
              <w:left w:val="nil"/>
              <w:bottom w:val="single" w:color="000000" w:sz="4" w:space="0"/>
              <w:right w:val="single" w:color="000000" w:sz="4" w:space="0"/>
            </w:tcBorders>
            <w:vAlign w:val="center"/>
          </w:tcPr>
          <w:p w14:paraId="231C5880">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交互智能平板</w:t>
            </w:r>
          </w:p>
        </w:tc>
        <w:tc>
          <w:tcPr>
            <w:tcW w:w="4112" w:type="dxa"/>
            <w:tcBorders>
              <w:top w:val="single" w:color="000000" w:sz="4" w:space="0"/>
              <w:left w:val="nil"/>
              <w:bottom w:val="single" w:color="000000" w:sz="4" w:space="0"/>
              <w:right w:val="single" w:color="000000" w:sz="4" w:space="0"/>
            </w:tcBorders>
            <w:vAlign w:val="center"/>
          </w:tcPr>
          <w:p w14:paraId="162D2F42">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（1）整机基础参数</w:t>
            </w:r>
          </w:p>
          <w:p w14:paraId="4009CCBC">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1、整机屏幕采用≥86英寸，UHD超高清LED液晶屏，显示比例16:9，屏幕图像分辨率≥3840*2160；</w:t>
            </w:r>
          </w:p>
          <w:p w14:paraId="7FCCB11A">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2、整机采用无推拉式结构及外露连接线；</w:t>
            </w:r>
          </w:p>
          <w:p w14:paraId="0FF396ED">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3、整机提供前置输入接口，≥2路前置双通道USB接口，≥1路Type-C；</w:t>
            </w:r>
          </w:p>
          <w:p w14:paraId="28E84B68">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4、侧置接口具备≥1路音频输出，≥1路触控USB；</w:t>
            </w:r>
          </w:p>
          <w:p w14:paraId="626A6669">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5、整机嵌入式系统版本不低于Android 13或同类嵌入式系统，内存≥2GB，存储空间≥8GB。（提供样机进行功能演示及生产厂商参数确认函加盖公章）</w:t>
            </w:r>
          </w:p>
          <w:p w14:paraId="591FA65E">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6、整机屏体亮度≥350cd/m²；整机色域覆盖率（NTSC）≥72%；对比度≥4000：1；整机屏体最大可视角度≥178度。</w:t>
            </w:r>
          </w:p>
          <w:p w14:paraId="3D3C84DA">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7、依据相关国家标准，整机视网膜蓝光危害（蓝光加权辐射亮度LB）满足IEC TR 62778:2014蓝光危害RG0级别，LB限制范围≤100，蓝光无危害。</w:t>
            </w:r>
          </w:p>
          <w:p w14:paraId="7B3A6F8C">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8、整机能感应并自动调节屏幕亮度来达到在不同光照环境下的不同亮度显示效果，此功能可自行开启或关闭。</w:t>
            </w:r>
          </w:p>
          <w:p w14:paraId="29DE33B4">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（2）音视频配置模块</w:t>
            </w:r>
          </w:p>
          <w:p w14:paraId="14E9D228">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1、设备需搭载总功率不低于60W的扩声系统，不低于2.2声道，扬声器位于设备上方，声音方向朝前，保证后排清晰，前排不震耳。</w:t>
            </w:r>
          </w:p>
          <w:p w14:paraId="0A16EAF4">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2、为满足远程教学及实训指导拾音需求，整机内置非独立外扩展的8阵列麦克风，可用于对教室环境音频进行采集；</w:t>
            </w:r>
          </w:p>
          <w:p w14:paraId="6537B61B">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3、整机支持蓝牙Bluetooth 5.4或以上标准，支持主动发现蓝牙外设从而连接，支持连接外部蓝牙音箱播放音频。</w:t>
            </w:r>
          </w:p>
          <w:p w14:paraId="0F2CCEC2">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4、整机上边框内置非独立式摄像头，采用一体化集成设计，摄像头数量≥3个。（提供样机进行功能演示及生产厂商参数确认函加盖公章）。</w:t>
            </w:r>
          </w:p>
          <w:p w14:paraId="7E4AEBE9">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▲5、整机需内置非独立的高清摄像头支持输出4:3、16:9比例的图片和视频；在清晰度为2592 x 1944分辨率下，支持30帧的视频输出。（提供国家认证认可监督管理委员会认可的检测机构具有CMA或CNAS标志所出具的检测报告复印件）</w:t>
            </w:r>
          </w:p>
          <w:p w14:paraId="724D3EAE">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6、整机摄像头支持人脸识别、快速点人数、随机抽人，可识别镜头前的所有学生，并显示人脸标记、随机抽选。支持同时显示标记不少于60人。（提供样机进行功能演示及生产厂商参数确认函加盖公章）</w:t>
            </w:r>
          </w:p>
          <w:p w14:paraId="44FE7342">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支持标准、听力、观影和AI空间感知音效模式，AI空间感知音效模式可通过内置麦克风采集教室物理环境声音，自动生成符合当前教室物理环境的频段、音量、音效。（提供国家认证认可监督管理委员会认可的检测机构具有CMA或CNAS标志所出具的检测报告复印件）</w:t>
            </w:r>
          </w:p>
          <w:p w14:paraId="6BEF0650">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（3）便捷使用设计</w:t>
            </w:r>
          </w:p>
          <w:p w14:paraId="33C10CEC">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1、支持通过前置面板物理按键一键启动录课功能；</w:t>
            </w:r>
          </w:p>
          <w:p w14:paraId="18BF10D0">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2、需支持纸质护眼模式，支持包括但不限于素描纸、牛皮纸、宣纸、水彩纸、水纹纸等多个模式。（提供样机进行功能演示及生产厂商参数确认函加盖公章）</w:t>
            </w:r>
          </w:p>
          <w:p w14:paraId="5F9F1F58">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3、设备可根据需要修改及记忆信号源名称，支持自动识别及切换到新接入的信号源来显示，断开信号源连接后经确认即可返回之前信号源；</w:t>
            </w:r>
          </w:p>
          <w:p w14:paraId="00CED9CC">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4、支持智能板擦功能，系统可根据触控物体的形状自动识别出实物板擦，可擦除电子白板中的内容，无需依赖外部电子设备；</w:t>
            </w:r>
          </w:p>
          <w:p w14:paraId="596F2845">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5、安卓系统自检功能，可检测整机内存，存储使用情况；可检测内置电脑，触控系统，光感系统，可判断硬件是否正常工作；</w:t>
            </w:r>
          </w:p>
          <w:p w14:paraId="1651AC9F">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6、整机Windows通道支持文件传输应用，支持通过扫码、wifi直联、超声三种方式与手机进行握手连接，实现文件传输功能。（提供样机进行功能演示及生产厂商参数确认函加盖公章）</w:t>
            </w:r>
          </w:p>
          <w:p w14:paraId="06F31F17">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整机支持发出频率为18kHz-22kHz超声波信号，智能手机通过麦克风接收后，智能手机与整机无需在同一局域网内，可实现配对，一键投屏，用户无需手动输入投屏码或扫码获取投屏码；（提供国家认证认可监督管理委员会认可的检测机构具有CMA或CNAS标志所出具的检测报告复印件）</w:t>
            </w:r>
          </w:p>
          <w:p w14:paraId="1D1679F2">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8、支持通过Type-C接口U盘进行文件传输，兼容Type-C接口手机充电；</w:t>
            </w:r>
          </w:p>
          <w:p w14:paraId="318D040F">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整机支持5个自定义前置按键，“设置”、“音量-”，“音量+”，“录屏”，“护眼”按键，可通过自定义设置实现前置面板功能按键一键启用任一全局小工具（批注、截屏、计时、降半屏、放大镜、倒数日、日历）、快捷开关（节能模式、纸质护眼模式、经典护眼模式、自动亮度模式。（提供样机进行功能演示及生产厂商参数确认函加盖公章）</w:t>
            </w:r>
          </w:p>
          <w:p w14:paraId="0EBA4700">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（4）OPS性能参数要求</w:t>
            </w:r>
          </w:p>
          <w:p w14:paraId="66C9E3DC">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1.整机架构:为降低电脑模块维护成本，与大屏无单独接线；</w:t>
            </w:r>
          </w:p>
          <w:p w14:paraId="692291B0">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2.为保证产品安全性，采用螺丝固定，无需工具即可快速拆卸电脑模块。</w:t>
            </w:r>
          </w:p>
          <w:p w14:paraId="59B6F714">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3.CPU</w:t>
            </w:r>
            <w:r>
              <w:rPr>
                <w:rFonts w:hint="eastAsia" w:ascii="宋体" w:hAnsi="宋体"/>
                <w:color w:val="auto"/>
                <w:kern w:val="0"/>
                <w:sz w:val="18"/>
                <w:szCs w:val="18"/>
                <w:highlight w:val="none"/>
                <w:lang w:val="en-US" w:eastAsia="zh-CN"/>
              </w:rPr>
              <w:t>核心数</w:t>
            </w:r>
            <w:r>
              <w:rPr>
                <w:rFonts w:hint="eastAsia" w:ascii="宋体" w:hAnsi="宋体"/>
                <w:color w:val="auto"/>
                <w:kern w:val="0"/>
                <w:sz w:val="18"/>
                <w:szCs w:val="18"/>
                <w:highlight w:val="none"/>
              </w:rPr>
              <w:t>≥</w:t>
            </w:r>
            <w:r>
              <w:rPr>
                <w:rFonts w:hint="eastAsia" w:ascii="宋体" w:hAnsi="宋体"/>
                <w:color w:val="auto"/>
                <w:kern w:val="0"/>
                <w:sz w:val="18"/>
                <w:szCs w:val="18"/>
                <w:highlight w:val="none"/>
                <w:lang w:val="en-US" w:eastAsia="zh-CN"/>
              </w:rPr>
              <w:t>8核，主频</w:t>
            </w:r>
            <w:r>
              <w:rPr>
                <w:rFonts w:hint="eastAsia" w:ascii="宋体" w:hAnsi="宋体"/>
                <w:color w:val="auto"/>
                <w:kern w:val="0"/>
                <w:sz w:val="18"/>
                <w:szCs w:val="18"/>
                <w:highlight w:val="none"/>
              </w:rPr>
              <w:t>≥</w:t>
            </w:r>
            <w:r>
              <w:rPr>
                <w:rFonts w:hint="eastAsia" w:ascii="宋体" w:hAnsi="宋体"/>
                <w:color w:val="auto"/>
                <w:kern w:val="0"/>
                <w:sz w:val="18"/>
                <w:szCs w:val="18"/>
                <w:highlight w:val="none"/>
                <w:lang w:val="en-US" w:eastAsia="zh-CN"/>
              </w:rPr>
              <w:t>1.8GHz</w:t>
            </w:r>
            <w:r>
              <w:rPr>
                <w:rFonts w:hint="eastAsia" w:ascii="宋体" w:hAnsi="宋体"/>
                <w:color w:val="auto"/>
                <w:kern w:val="0"/>
                <w:sz w:val="18"/>
                <w:szCs w:val="18"/>
                <w:highlight w:val="none"/>
              </w:rPr>
              <w:t>；内存：≥8G</w:t>
            </w:r>
            <w:r>
              <w:rPr>
                <w:rFonts w:hint="eastAsia" w:ascii="宋体" w:hAnsi="宋体"/>
                <w:color w:val="auto"/>
                <w:kern w:val="0"/>
                <w:sz w:val="18"/>
                <w:szCs w:val="18"/>
                <w:highlight w:val="none"/>
                <w:lang w:val="en-US" w:eastAsia="zh-CN"/>
              </w:rPr>
              <w:t>B</w:t>
            </w:r>
            <w:r>
              <w:rPr>
                <w:rFonts w:hint="eastAsia" w:ascii="宋体" w:hAnsi="宋体"/>
                <w:color w:val="auto"/>
                <w:kern w:val="0"/>
                <w:sz w:val="18"/>
                <w:szCs w:val="18"/>
                <w:highlight w:val="none"/>
              </w:rPr>
              <w:t> DDR4；硬盘：≥256G</w:t>
            </w:r>
            <w:r>
              <w:rPr>
                <w:rFonts w:hint="eastAsia" w:ascii="宋体" w:hAnsi="宋体"/>
                <w:color w:val="auto"/>
                <w:kern w:val="0"/>
                <w:sz w:val="18"/>
                <w:szCs w:val="18"/>
                <w:highlight w:val="none"/>
                <w:lang w:val="en-US" w:eastAsia="zh-CN"/>
              </w:rPr>
              <w:t>B</w:t>
            </w:r>
            <w:r>
              <w:rPr>
                <w:rFonts w:hint="eastAsia" w:ascii="宋体" w:hAnsi="宋体"/>
                <w:color w:val="auto"/>
                <w:kern w:val="0"/>
                <w:sz w:val="18"/>
                <w:szCs w:val="18"/>
                <w:highlight w:val="none"/>
              </w:rPr>
              <w:t> SSD；</w:t>
            </w:r>
          </w:p>
          <w:p w14:paraId="565C1F38">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4.USB接口要求：USB3.0≥3，USB2.0≥1；</w:t>
            </w:r>
          </w:p>
          <w:p w14:paraId="79CE5D13">
            <w:pPr>
              <w:widowControl/>
              <w:jc w:val="left"/>
              <w:textAlignment w:val="center"/>
            </w:pPr>
            <w:r>
              <w:rPr>
                <w:rFonts w:hint="eastAsia" w:ascii="宋体" w:hAnsi="宋体"/>
                <w:color w:val="auto"/>
                <w:kern w:val="0"/>
                <w:sz w:val="18"/>
                <w:szCs w:val="18"/>
                <w:highlight w:val="none"/>
              </w:rPr>
              <w:t>5.具有标准 PC 防盗锁孔，确保电脑模块安全防盗；</w:t>
            </w:r>
          </w:p>
        </w:tc>
        <w:tc>
          <w:tcPr>
            <w:tcW w:w="1040" w:type="dxa"/>
            <w:tcBorders>
              <w:top w:val="single" w:color="000000" w:sz="4" w:space="0"/>
              <w:left w:val="nil"/>
              <w:bottom w:val="single" w:color="000000" w:sz="4" w:space="0"/>
              <w:right w:val="single" w:color="000000" w:sz="4" w:space="0"/>
            </w:tcBorders>
            <w:vAlign w:val="center"/>
          </w:tcPr>
          <w:p w14:paraId="2AAE4C89">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14:paraId="259EEFBC">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1BBE6695">
            <w:pPr>
              <w:jc w:val="center"/>
              <w:rPr>
                <w:rFonts w:hint="default" w:ascii="宋体" w:hAnsi="宋体"/>
                <w:color w:val="auto"/>
                <w:sz w:val="18"/>
                <w:szCs w:val="18"/>
                <w:highlight w:val="none"/>
                <w:lang w:val="en-US"/>
              </w:rPr>
            </w:pPr>
          </w:p>
        </w:tc>
        <w:tc>
          <w:tcPr>
            <w:tcW w:w="859" w:type="dxa"/>
            <w:tcBorders>
              <w:top w:val="single" w:color="000000" w:sz="4" w:space="0"/>
              <w:left w:val="nil"/>
              <w:bottom w:val="single" w:color="000000" w:sz="4" w:space="0"/>
              <w:right w:val="single" w:color="000000" w:sz="4" w:space="0"/>
            </w:tcBorders>
            <w:vAlign w:val="center"/>
          </w:tcPr>
          <w:p w14:paraId="2EACDAF2">
            <w:pPr>
              <w:jc w:val="center"/>
              <w:rPr>
                <w:rFonts w:hint="default" w:ascii="宋体" w:hAnsi="宋体"/>
                <w:color w:val="auto"/>
                <w:sz w:val="18"/>
                <w:szCs w:val="18"/>
                <w:highlight w:val="none"/>
                <w:lang w:val="en-US"/>
              </w:rPr>
            </w:pPr>
          </w:p>
        </w:tc>
      </w:tr>
      <w:tr w14:paraId="31F6CCBD">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60811E23">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2</w:t>
            </w:r>
          </w:p>
        </w:tc>
        <w:tc>
          <w:tcPr>
            <w:tcW w:w="817" w:type="dxa"/>
            <w:tcBorders>
              <w:top w:val="single" w:color="000000" w:sz="4" w:space="0"/>
              <w:left w:val="nil"/>
              <w:bottom w:val="single" w:color="000000" w:sz="4" w:space="0"/>
              <w:right w:val="single" w:color="000000" w:sz="4" w:space="0"/>
            </w:tcBorders>
            <w:vAlign w:val="center"/>
          </w:tcPr>
          <w:p w14:paraId="587B23BD">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光能黑板</w:t>
            </w:r>
          </w:p>
        </w:tc>
        <w:tc>
          <w:tcPr>
            <w:tcW w:w="4112" w:type="dxa"/>
            <w:tcBorders>
              <w:top w:val="single" w:color="000000" w:sz="4" w:space="0"/>
              <w:left w:val="nil"/>
              <w:bottom w:val="single" w:color="000000" w:sz="4" w:space="0"/>
              <w:right w:val="single" w:color="000000" w:sz="4" w:space="0"/>
            </w:tcBorders>
            <w:vAlign w:val="center"/>
          </w:tcPr>
          <w:p w14:paraId="7969143D">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一、结构要求</w:t>
            </w:r>
          </w:p>
          <w:p w14:paraId="1D465D3E">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1.整体结构上采取左、右光能黑板+中间触控一体机的组合方式（ABA放置样式）。单块书写板尺寸≥1283（长）*1169（高）mm</w:t>
            </w:r>
            <w:r>
              <w:rPr>
                <w:rFonts w:hint="eastAsia" w:ascii="宋体" w:hAnsi="宋体"/>
                <w:color w:val="auto"/>
                <w:kern w:val="0"/>
                <w:sz w:val="18"/>
                <w:szCs w:val="18"/>
                <w:highlight w:val="none"/>
                <w:lang w:val="en-US" w:eastAsia="zh-CN"/>
              </w:rPr>
              <w:t>(允差±5cm)</w:t>
            </w:r>
            <w:r>
              <w:rPr>
                <w:rFonts w:hint="eastAsia" w:ascii="宋体" w:hAnsi="宋体"/>
                <w:color w:val="auto"/>
                <w:kern w:val="0"/>
                <w:sz w:val="18"/>
                <w:szCs w:val="18"/>
                <w:highlight w:val="none"/>
              </w:rPr>
              <w:t>。</w:t>
            </w:r>
          </w:p>
          <w:p w14:paraId="085E0DCA">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2.黑板采用铝合金机身，坚固耐用，具有较好的耐腐蚀特性，甲醛释放限量符合GB28231-2011《书写板安全卫生要求》。</w:t>
            </w:r>
          </w:p>
          <w:p w14:paraId="081EB969">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3.黑板表面可吸附磁贴、磁扣等教学工具，丰富课堂应用。</w:t>
            </w:r>
          </w:p>
          <w:p w14:paraId="4BA4D26A">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4.日常维护使用家用洗涤剂或消毒剂温水，擦拭书写板的书写面后，书写面应不变色，无表皮脱落。</w:t>
            </w:r>
          </w:p>
          <w:p w14:paraId="74EAA4A8">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5.黑板表面采用液晶书写膜，板书时依靠压力改变内部液晶分子状态，使用任何硬度适中的物体均可书写，无需专用耗材。</w:t>
            </w:r>
          </w:p>
          <w:p w14:paraId="14367B88">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二、功能要求</w:t>
            </w:r>
          </w:p>
          <w:p w14:paraId="35CBE778">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1.贴合教师使用习惯，每套黑板配备书写笔工具，单点书写10万次后无划痕。</w:t>
            </w:r>
          </w:p>
          <w:p w14:paraId="022AAE8F">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▲2.书写可视距离超40米，可视角度超过150°。（提供国家认证认可监督管理委员会认证的检测机构所出具的检测报告复印件并加盖公章，并提供全国认证认可信息公共服务平台对应检测报告查询记录截图）</w:t>
            </w:r>
          </w:p>
          <w:p w14:paraId="1FC0B8DA">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黑板应无频闪、无背光、不应产生眩光，光泽度不高于30。（提供国家认证认可监督管理委员会认证的检测机构所出具的检测报告复印件并加盖公章，并提供全国认证认可信息公共服务平台对应检测报告查询记录截图）</w:t>
            </w:r>
          </w:p>
          <w:p w14:paraId="35608CA0">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4.黑板可使用配备的板擦和手势对错误的液晶板书进行局部擦除。</w:t>
            </w:r>
          </w:p>
          <w:p w14:paraId="26EA104D">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5.轻按一键清除按键，可实现快速整板擦除，无残留痕迹，减少师生擦拭黑板负担。</w:t>
            </w:r>
          </w:p>
          <w:p w14:paraId="0D06FB23">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黑板应通过《GB4943.1-2011信息技术设备安全通用要求》中的电池试验、温度试验、异常工作和故障条件试验。（提供国家认证认可监督管理委员会认证的检测机构所出具的检测报告复印件并加盖公章，并提供全国认证认可信息公共服务平台对应检测报告查询记录截图）</w:t>
            </w:r>
          </w:p>
          <w:p w14:paraId="70D84370">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7.黑板应符合GB9254-2008标准，空间辐射伤害和线缆辐射伤害均不超过B级。</w:t>
            </w:r>
          </w:p>
          <w:p w14:paraId="2A493F2E">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8.黑板应符合GB/T17618-2015标准，通过防静电、抗辐射、防雷击、突然断电安全的检测项目。</w:t>
            </w:r>
          </w:p>
          <w:p w14:paraId="47FED638">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三、软件要求</w:t>
            </w:r>
          </w:p>
          <w:p w14:paraId="0A032428">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1.互联快捷键为触摸式设计，布置在黑板两侧靠近边框位置，使用按压点触方式进行操作，方便教师教学使用</w:t>
            </w:r>
          </w:p>
          <w:p w14:paraId="623C65B1">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2.互联快捷键数量不少于12个，且每个按键均可以与中央教学一体机产生联动效果。</w:t>
            </w:r>
          </w:p>
          <w:p w14:paraId="5AF014A1">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3.为丰富教师教学效果，互联快捷键拥有全屏模式可实现一体与黑板的全屏同步效果；分屏模式可实现一体机与黑板的三拼同步效果；桌面模式可实现一体机电脑桌面与副机黑板的书写内容同时记录效果。</w:t>
            </w:r>
          </w:p>
          <w:p w14:paraId="5E65BB88">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4.快捷键一键分享可实现教学画面的快速分享。</w:t>
            </w:r>
          </w:p>
          <w:p w14:paraId="0A688D7D">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5.快捷键一键启动录屏功能，可以实现电脑桌面的画面录制。</w:t>
            </w:r>
          </w:p>
          <w:p w14:paraId="7F6275EF">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6.快捷键具备常用的白，红，黄三种常用颜色设置，上下翻页可以快速查看页面记录信息。</w:t>
            </w:r>
          </w:p>
          <w:p w14:paraId="79DD8DA5">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7.无需任何点击软件即可实现互联书写的自动启动</w:t>
            </w:r>
          </w:p>
          <w:p w14:paraId="7CD0BD52">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8.黑板投放至中央一体机的笔记同步比例可以进行调节，拥有16：9与4：3多种不同方式。</w:t>
            </w:r>
          </w:p>
          <w:p w14:paraId="41EF6CEB">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9.互联软件可通过锁板模式保护教师教学隐私，教师可自由选择是否进行板书记录与板书同步。</w:t>
            </w:r>
          </w:p>
          <w:p w14:paraId="3E524658">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10.互联软件具有强大的兼容性，可适配市场上任意教学一体机，在不改变教师使用白板教学软件的基础上，赋予互联互通的功能。</w:t>
            </w:r>
          </w:p>
          <w:p w14:paraId="28FF33DE">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11.互联软件可以采用移动设备通过扫描二维码直接保存相关板书。</w:t>
            </w:r>
          </w:p>
          <w:p w14:paraId="6A7A0A3A">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12.互联软件支持快速投票功能，用户可以通过使用移动设备扫描二维码进行快速投票，对于投票的结果系统自动统计数据并展示。</w:t>
            </w:r>
          </w:p>
        </w:tc>
        <w:tc>
          <w:tcPr>
            <w:tcW w:w="1040" w:type="dxa"/>
            <w:tcBorders>
              <w:top w:val="single" w:color="000000" w:sz="4" w:space="0"/>
              <w:left w:val="nil"/>
              <w:bottom w:val="single" w:color="000000" w:sz="4" w:space="0"/>
              <w:right w:val="single" w:color="000000" w:sz="4" w:space="0"/>
            </w:tcBorders>
            <w:vAlign w:val="center"/>
          </w:tcPr>
          <w:p w14:paraId="7385E3B2">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14:paraId="0208D8B6">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50634467">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37D0CDB3">
            <w:pPr>
              <w:jc w:val="center"/>
              <w:rPr>
                <w:rFonts w:ascii="宋体" w:hAnsi="宋体"/>
                <w:color w:val="auto"/>
                <w:sz w:val="18"/>
                <w:szCs w:val="18"/>
                <w:highlight w:val="none"/>
              </w:rPr>
            </w:pPr>
          </w:p>
        </w:tc>
      </w:tr>
      <w:tr w14:paraId="7E2950C7">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52EA3A10">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3</w:t>
            </w:r>
          </w:p>
        </w:tc>
        <w:tc>
          <w:tcPr>
            <w:tcW w:w="817" w:type="dxa"/>
            <w:tcBorders>
              <w:top w:val="single" w:color="000000" w:sz="4" w:space="0"/>
              <w:left w:val="nil"/>
              <w:bottom w:val="single" w:color="000000" w:sz="4" w:space="0"/>
              <w:right w:val="single" w:color="000000" w:sz="4" w:space="0"/>
            </w:tcBorders>
            <w:vAlign w:val="center"/>
          </w:tcPr>
          <w:p w14:paraId="7D7465EF">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智能讲台</w:t>
            </w:r>
          </w:p>
        </w:tc>
        <w:tc>
          <w:tcPr>
            <w:tcW w:w="4112" w:type="dxa"/>
            <w:tcBorders>
              <w:top w:val="single" w:color="000000" w:sz="4" w:space="0"/>
              <w:left w:val="nil"/>
              <w:bottom w:val="single" w:color="000000" w:sz="4" w:space="0"/>
              <w:right w:val="single" w:color="000000" w:sz="4" w:space="0"/>
            </w:tcBorders>
            <w:vAlign w:val="center"/>
          </w:tcPr>
          <w:p w14:paraId="62857947">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1.智能讲台结构：木结构部分均采用E0级木质板材结构，甲醛释放量≤0.05mg/m³，桌面防静电。</w:t>
            </w:r>
          </w:p>
          <w:p w14:paraId="51A3BB6F">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2.智能讲台尺寸及外观：（长×宽×高）≥ 1100mm× 550mm× 900mm</w:t>
            </w:r>
            <w:r>
              <w:rPr>
                <w:rFonts w:hint="eastAsia" w:ascii="宋体" w:hAnsi="宋体"/>
                <w:color w:val="auto"/>
                <w:kern w:val="0"/>
                <w:sz w:val="18"/>
                <w:szCs w:val="18"/>
                <w:highlight w:val="none"/>
                <w:lang w:eastAsia="zh-CN"/>
              </w:rPr>
              <w:t>（</w:t>
            </w:r>
            <w:r>
              <w:rPr>
                <w:rFonts w:hint="eastAsia" w:ascii="宋体" w:hAnsi="宋体"/>
                <w:color w:val="auto"/>
                <w:kern w:val="0"/>
                <w:sz w:val="18"/>
                <w:szCs w:val="18"/>
                <w:highlight w:val="none"/>
                <w:lang w:val="en-US" w:eastAsia="zh-CN"/>
              </w:rPr>
              <w:t>允差±5cm</w:t>
            </w:r>
            <w:r>
              <w:rPr>
                <w:rFonts w:hint="eastAsia" w:ascii="宋体" w:hAnsi="宋体"/>
                <w:color w:val="auto"/>
                <w:kern w:val="0"/>
                <w:sz w:val="18"/>
                <w:szCs w:val="18"/>
                <w:highlight w:val="none"/>
                <w:lang w:eastAsia="zh-CN"/>
              </w:rPr>
              <w:t>）</w:t>
            </w:r>
            <w:r>
              <w:rPr>
                <w:rFonts w:hint="eastAsia" w:ascii="宋体" w:hAnsi="宋体"/>
                <w:color w:val="auto"/>
                <w:kern w:val="0"/>
                <w:sz w:val="18"/>
                <w:szCs w:val="18"/>
                <w:highlight w:val="none"/>
              </w:rPr>
              <w:t>，讲台三面环抱式设计，根据人体力学设计，讲台桌面高度合适老师放置教学用品，讲台产品外观桌面平整，悬浮式设计，边缘光滑，无棱角处理，保护师生安全。</w:t>
            </w:r>
          </w:p>
          <w:p w14:paraId="2F31944A">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▲3.智能讲台包含至少21.5英寸电容触摸屏幕，支持10点同时触摸。（提供国家认证认可监督管理委员会认可的检测机构具有CMA或CNAS标志所出具的检测报告复印件）</w:t>
            </w:r>
          </w:p>
          <w:p w14:paraId="3E90FF4B">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4.智能讲台屏幕采用防眩光全钢化防爆玻璃面板，厚度≥3mm。</w:t>
            </w:r>
          </w:p>
          <w:p w14:paraId="27ADF3D2">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智能讲台支持通过触控屏幕对一体机的画面进行控制，同时支持同步显示一体机画面，老师讲课无需转身背对学生，提高授课效率。（提供国家认证认可监督管理委员会认可的检测机构具有CMA或CNAS标志所出具的检测报告复印件）</w:t>
            </w:r>
          </w:p>
          <w:p w14:paraId="0A52726F">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6.智能讲台设置物理实体快捷按键，两侧按键共≥5个。</w:t>
            </w:r>
          </w:p>
          <w:p w14:paraId="6F515B19">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7.智能讲台具备独立的快捷按键，用户可通过快捷按键对一体机进行进行一键熄屏、音量加控制、音量减控制。</w:t>
            </w:r>
          </w:p>
          <w:p w14:paraId="1D2DB916">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智能讲台至少具备1个可自定义功能按键，可通过软件设置选择按键功能，包括一键启动白板、一键启动视频展台，一键关闭当前应用程序选项功能。（提供国家认证认可监督管理委员会认可的检测机构具有CMA或CNAS标志所出具的检测报告复印件）</w:t>
            </w:r>
          </w:p>
          <w:p w14:paraId="20C42C3B">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9.智能讲台设置的USB口，可供老师接入键盘、鼠标、U盘等设备，可被一体机识别通讯。</w:t>
            </w:r>
          </w:p>
          <w:p w14:paraId="19204C5B">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▲10.智能讲台支持蓝牙BLE功能，可以无线控制支持蓝牙功能的一体机产品开机，减少额外连线或二次装修部署。（提供国家认证认可监督管理委员会认可的检测机构具有CMA或CNAS标志所出具的检测报告复印件）</w:t>
            </w:r>
          </w:p>
        </w:tc>
        <w:tc>
          <w:tcPr>
            <w:tcW w:w="1040" w:type="dxa"/>
            <w:tcBorders>
              <w:top w:val="single" w:color="000000" w:sz="4" w:space="0"/>
              <w:left w:val="nil"/>
              <w:bottom w:val="single" w:color="000000" w:sz="4" w:space="0"/>
              <w:right w:val="single" w:color="000000" w:sz="4" w:space="0"/>
            </w:tcBorders>
            <w:vAlign w:val="center"/>
          </w:tcPr>
          <w:p w14:paraId="1BE606DF">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14:paraId="781D81C8">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73FD83B8">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5096A705">
            <w:pPr>
              <w:jc w:val="center"/>
              <w:rPr>
                <w:rFonts w:ascii="宋体" w:hAnsi="宋体"/>
                <w:color w:val="auto"/>
                <w:sz w:val="18"/>
                <w:szCs w:val="18"/>
                <w:highlight w:val="none"/>
                <w:lang w:val="en-US" w:eastAsia="zh-CN"/>
              </w:rPr>
            </w:pPr>
          </w:p>
        </w:tc>
      </w:tr>
      <w:tr w14:paraId="6C94C3A9">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6CAC1DFF">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4</w:t>
            </w:r>
          </w:p>
        </w:tc>
        <w:tc>
          <w:tcPr>
            <w:tcW w:w="817" w:type="dxa"/>
            <w:tcBorders>
              <w:top w:val="single" w:color="000000" w:sz="4" w:space="0"/>
              <w:left w:val="nil"/>
              <w:bottom w:val="single" w:color="000000" w:sz="4" w:space="0"/>
              <w:right w:val="single" w:color="000000" w:sz="4" w:space="0"/>
            </w:tcBorders>
            <w:vAlign w:val="center"/>
          </w:tcPr>
          <w:p w14:paraId="00CC2951">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实物展台</w:t>
            </w:r>
          </w:p>
        </w:tc>
        <w:tc>
          <w:tcPr>
            <w:tcW w:w="4112" w:type="dxa"/>
            <w:tcBorders>
              <w:top w:val="single" w:color="000000" w:sz="4" w:space="0"/>
              <w:left w:val="nil"/>
              <w:bottom w:val="single" w:color="000000" w:sz="4" w:space="0"/>
              <w:right w:val="single" w:color="000000" w:sz="4" w:space="0"/>
            </w:tcBorders>
            <w:vAlign w:val="center"/>
          </w:tcPr>
          <w:p w14:paraId="14AD7145">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1.整机采用壁挂安装，防止丢失及损坏。</w:t>
            </w:r>
          </w:p>
          <w:p w14:paraId="351B085F">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2.采用≥800万像素摄像头；采用 USB五伏电源直接供电，无需额外配置电源适配器，环保无辐射；箱内USB连线采用隐藏式设计，箱内无可见连线且USB口下出，有效防止积尘，且方便布线和返修。</w:t>
            </w:r>
          </w:p>
          <w:p w14:paraId="03F14D20">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3.箱内USB连线采用隐藏式设计，箱内无可见连线且USB口下出，有效防止积尘，且方便布线和返修。</w:t>
            </w:r>
          </w:p>
          <w:p w14:paraId="0B4A8CD4">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4.整机采用圆弧式设计，无锐角；同时托板采用磁吸吸附式机构，防止托板打落，方便打开及固定，避免机械式锁具故障率高的问题。。</w:t>
            </w:r>
          </w:p>
          <w:p w14:paraId="7A2DE03E">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5.具有故障自动检测功能：在调用展台却无法出现镜头采集画面信号时，可自动出现检测链接，并给出导致性原因（如硬件连接、摄像头占用、配套软件版本等问题）。</w:t>
            </w:r>
          </w:p>
        </w:tc>
        <w:tc>
          <w:tcPr>
            <w:tcW w:w="1040" w:type="dxa"/>
            <w:tcBorders>
              <w:top w:val="single" w:color="000000" w:sz="4" w:space="0"/>
              <w:left w:val="nil"/>
              <w:bottom w:val="single" w:color="000000" w:sz="4" w:space="0"/>
              <w:right w:val="single" w:color="000000" w:sz="4" w:space="0"/>
            </w:tcBorders>
            <w:vAlign w:val="center"/>
          </w:tcPr>
          <w:p w14:paraId="56429ED6">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14:paraId="7BFE4F76">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04ED0C30">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4A606952">
            <w:pPr>
              <w:jc w:val="center"/>
              <w:rPr>
                <w:rFonts w:ascii="宋体" w:hAnsi="宋体"/>
                <w:color w:val="auto"/>
                <w:sz w:val="18"/>
                <w:szCs w:val="18"/>
                <w:highlight w:val="none"/>
                <w:lang w:val="en-US" w:eastAsia="zh-CN"/>
              </w:rPr>
            </w:pPr>
          </w:p>
        </w:tc>
      </w:tr>
      <w:tr w14:paraId="15F165BF">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4D2E28A1">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5</w:t>
            </w:r>
          </w:p>
        </w:tc>
        <w:tc>
          <w:tcPr>
            <w:tcW w:w="817" w:type="dxa"/>
            <w:tcBorders>
              <w:top w:val="single" w:color="000000" w:sz="4" w:space="0"/>
              <w:left w:val="nil"/>
              <w:bottom w:val="single" w:color="000000" w:sz="4" w:space="0"/>
              <w:right w:val="single" w:color="000000" w:sz="4" w:space="0"/>
            </w:tcBorders>
            <w:vAlign w:val="center"/>
          </w:tcPr>
          <w:p w14:paraId="7E08934F">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一体化音箱</w:t>
            </w:r>
          </w:p>
        </w:tc>
        <w:tc>
          <w:tcPr>
            <w:tcW w:w="4112" w:type="dxa"/>
            <w:tcBorders>
              <w:top w:val="single" w:color="000000" w:sz="4" w:space="0"/>
              <w:left w:val="nil"/>
              <w:bottom w:val="single" w:color="000000" w:sz="4" w:space="0"/>
              <w:right w:val="single" w:color="000000" w:sz="4" w:space="0"/>
            </w:tcBorders>
            <w:vAlign w:val="center"/>
          </w:tcPr>
          <w:p w14:paraId="6B562025">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音箱采用≥2个喇叭单元，其中1个≥6"中低音喇叭单元，1个≥1"高音喇叭单元。</w:t>
            </w:r>
          </w:p>
          <w:p w14:paraId="5677D235">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音箱外壳采用高强度的HIPS材料。</w:t>
            </w:r>
          </w:p>
          <w:p w14:paraId="78E0BF36">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标配原厂壁挂支架，支持水平方向±90°、垂直方向±90°范围调节。</w:t>
            </w:r>
          </w:p>
          <w:p w14:paraId="4272B255">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额定功率≥30W。</w:t>
            </w:r>
          </w:p>
          <w:p w14:paraId="6B1C2D6A">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最大功率≥60W。</w:t>
            </w:r>
          </w:p>
          <w:p w14:paraId="1B62D18C">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阻抗为8Ω。</w:t>
            </w:r>
          </w:p>
          <w:p w14:paraId="3BAA8DF5">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 最大声压级≥105dBSPL。</w:t>
            </w:r>
          </w:p>
          <w:p w14:paraId="1F9B8AC0">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 灵敏度为86dB（±3dB）。</w:t>
            </w:r>
          </w:p>
          <w:p w14:paraId="28611875">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9. 频率响应范围为70Hz~20KHz。</w:t>
            </w:r>
          </w:p>
        </w:tc>
        <w:tc>
          <w:tcPr>
            <w:tcW w:w="1040" w:type="dxa"/>
            <w:tcBorders>
              <w:top w:val="single" w:color="000000" w:sz="4" w:space="0"/>
              <w:left w:val="nil"/>
              <w:bottom w:val="single" w:color="000000" w:sz="4" w:space="0"/>
              <w:right w:val="single" w:color="000000" w:sz="4" w:space="0"/>
            </w:tcBorders>
            <w:vAlign w:val="center"/>
          </w:tcPr>
          <w:p w14:paraId="01CCEBEA">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14:paraId="17720855">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43E74BB9">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297AA08B">
            <w:pPr>
              <w:jc w:val="center"/>
              <w:rPr>
                <w:rFonts w:ascii="宋体" w:hAnsi="宋体"/>
                <w:color w:val="auto"/>
                <w:sz w:val="18"/>
                <w:szCs w:val="18"/>
                <w:highlight w:val="none"/>
                <w:lang w:val="en-US" w:eastAsia="zh-CN"/>
              </w:rPr>
            </w:pPr>
          </w:p>
        </w:tc>
      </w:tr>
      <w:tr w14:paraId="1DF5DC44">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0990B710">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6</w:t>
            </w:r>
          </w:p>
        </w:tc>
        <w:tc>
          <w:tcPr>
            <w:tcW w:w="817" w:type="dxa"/>
            <w:tcBorders>
              <w:top w:val="single" w:color="000000" w:sz="4" w:space="0"/>
              <w:left w:val="nil"/>
              <w:bottom w:val="single" w:color="000000" w:sz="4" w:space="0"/>
              <w:right w:val="single" w:color="000000" w:sz="4" w:space="0"/>
            </w:tcBorders>
            <w:vAlign w:val="center"/>
          </w:tcPr>
          <w:p w14:paraId="300C9638">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指向性拾音麦克风</w:t>
            </w:r>
          </w:p>
        </w:tc>
        <w:tc>
          <w:tcPr>
            <w:tcW w:w="4112" w:type="dxa"/>
            <w:tcBorders>
              <w:top w:val="single" w:color="000000" w:sz="4" w:space="0"/>
              <w:left w:val="nil"/>
              <w:bottom w:val="single" w:color="000000" w:sz="4" w:space="0"/>
              <w:right w:val="single" w:color="000000" w:sz="4" w:space="0"/>
            </w:tcBorders>
            <w:vAlign w:val="center"/>
          </w:tcPr>
          <w:p w14:paraId="7C1A85B8">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麦克风采用线阵列设计，内置≥6个传感器单元。</w:t>
            </w:r>
          </w:p>
          <w:p w14:paraId="17DEAAA2">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麦克风无需额外适配器供电，能够通过网线实现麦克风供电、音频信号传输。</w:t>
            </w:r>
          </w:p>
          <w:p w14:paraId="79E1CF66">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麦克风采用≥2个网口进行模拟音频信号传输，配以强驱动输出电路，实现强抗干扰能力。</w:t>
            </w:r>
          </w:p>
          <w:p w14:paraId="6F38494A">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麦克风采用12V直流供电。</w:t>
            </w:r>
          </w:p>
          <w:p w14:paraId="01CA27A6">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麦克风拾音距离≥6米。</w:t>
            </w:r>
          </w:p>
          <w:p w14:paraId="102EF1CC">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麦克风频率响应范围为100Hz~20KHz。</w:t>
            </w:r>
          </w:p>
          <w:p w14:paraId="19AF77EA">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 麦克风灵敏度为-37dB±3dB。</w:t>
            </w:r>
          </w:p>
          <w:p w14:paraId="0FEF27CC">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 麦克风信噪比≥70dB。</w:t>
            </w:r>
          </w:p>
          <w:p w14:paraId="02427A28">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 麦克风输出阻抗为100Ω±20%。</w:t>
            </w:r>
          </w:p>
          <w:p w14:paraId="4EB496A8">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10. 麦克风最大声压级≥110dBSPL。</w:t>
            </w:r>
          </w:p>
          <w:p w14:paraId="78E4BDC0">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11. 麦克风采用标准1/4吋螺口，适配各种类型标准吊杆。</w:t>
            </w:r>
          </w:p>
        </w:tc>
        <w:tc>
          <w:tcPr>
            <w:tcW w:w="1040" w:type="dxa"/>
            <w:tcBorders>
              <w:top w:val="single" w:color="000000" w:sz="4" w:space="0"/>
              <w:left w:val="nil"/>
              <w:bottom w:val="single" w:color="000000" w:sz="4" w:space="0"/>
              <w:right w:val="single" w:color="000000" w:sz="4" w:space="0"/>
            </w:tcBorders>
            <w:vAlign w:val="center"/>
          </w:tcPr>
          <w:p w14:paraId="56E3756D">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14:paraId="0B077CD3">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7764ED6E">
            <w:pPr>
              <w:jc w:val="center"/>
              <w:rPr>
                <w:rFonts w:hint="default" w:ascii="宋体" w:hAnsi="宋体" w:eastAsia="宋体"/>
                <w:color w:val="FF0000"/>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620B07C9">
            <w:pPr>
              <w:jc w:val="center"/>
              <w:rPr>
                <w:rFonts w:ascii="宋体" w:hAnsi="宋体"/>
                <w:color w:val="auto"/>
                <w:sz w:val="18"/>
                <w:szCs w:val="18"/>
                <w:highlight w:val="green"/>
                <w:lang w:val="en-US" w:eastAsia="zh-CN"/>
              </w:rPr>
            </w:pPr>
          </w:p>
        </w:tc>
      </w:tr>
      <w:tr w14:paraId="41CE0386">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447F2A21">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7</w:t>
            </w:r>
          </w:p>
        </w:tc>
        <w:tc>
          <w:tcPr>
            <w:tcW w:w="817" w:type="dxa"/>
            <w:tcBorders>
              <w:top w:val="single" w:color="000000" w:sz="4" w:space="0"/>
              <w:left w:val="nil"/>
              <w:bottom w:val="single" w:color="000000" w:sz="4" w:space="0"/>
              <w:right w:val="single" w:color="000000" w:sz="4" w:space="0"/>
            </w:tcBorders>
            <w:vAlign w:val="center"/>
          </w:tcPr>
          <w:p w14:paraId="719DD174">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音频处理器</w:t>
            </w:r>
          </w:p>
        </w:tc>
        <w:tc>
          <w:tcPr>
            <w:tcW w:w="4112" w:type="dxa"/>
            <w:tcBorders>
              <w:top w:val="single" w:color="000000" w:sz="4" w:space="0"/>
              <w:left w:val="nil"/>
              <w:bottom w:val="single" w:color="000000" w:sz="4" w:space="0"/>
              <w:right w:val="single" w:color="000000" w:sz="4" w:space="0"/>
            </w:tcBorders>
            <w:vAlign w:val="center"/>
          </w:tcPr>
          <w:p w14:paraId="6BC9BD67">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1.主机需采用处理器CPU核心数量≥4个，CPU主频≥1.5GHz。</w:t>
            </w:r>
          </w:p>
          <w:p w14:paraId="4A39C7FF">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2.主机采用高度集成一体化设计，集成音频信号处理模块、数字功放模块、交流转直流开关电源模块。</w:t>
            </w:r>
          </w:p>
          <w:p w14:paraId="50253482">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3.主机外壳采用全金属设计，机身高度≤1U。</w:t>
            </w:r>
          </w:p>
          <w:p w14:paraId="34D08B68">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4.支持≥2路RJ45网口音频输入；支持≥6路凤凰端子差分输入，其中≥4路支持 48V幻象电源供电。</w:t>
            </w:r>
          </w:p>
          <w:p w14:paraId="1E8746B0">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5.主机采用≥1个船型开关控制电源供电。</w:t>
            </w:r>
          </w:p>
          <w:p w14:paraId="76EAEA10">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6.主机具备≥2个状态指示灯，可显示主机工作状态，红色电源指示灯常亮表示正常上电状态，绿色运行指示灯常亮表示正常工作状态。</w:t>
            </w:r>
          </w:p>
          <w:p w14:paraId="0F78481F">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7.主机具备≥9个音量调节旋钮，支持调节各输入输出通道的音量大小，音量调节旋钮均带箭头指示标识。</w:t>
            </w:r>
          </w:p>
          <w:p w14:paraId="5CC2CAD7">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8.音量调节旋钮采用内陷式防误触设计，防止用户误触调节音量大小。</w:t>
            </w:r>
          </w:p>
          <w:p w14:paraId="230B17C1">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9.支持拾扩一体功能，可通过一只吊装麦克风实现本地扩声和远程互动，本地扩音和远程互动能同时进行，并且相互不影响效果；本地扩音要求声音清晰响亮、无啸叫；远程互动要求声音清晰、无噪声和回声。</w:t>
            </w:r>
          </w:p>
          <w:p w14:paraId="762D12FC">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10.支持鹅颈麦、无线麦与吊麦自动切换。当鹅颈麦、无线麦开启并有输入后，吊麦不扩声或降低音量，保证鹅颈麦、无线麦声音清晰；鹅颈麦、无线麦关闭或静音后，自动切换到吊麦扩声，保证扩声功能正常。</w:t>
            </w:r>
          </w:p>
          <w:p w14:paraId="106503AB">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11.功率放大器的输出功率≥2*150W。</w:t>
            </w:r>
          </w:p>
          <w:p w14:paraId="541E1882">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12.采样率≥48KHz。</w:t>
            </w:r>
          </w:p>
          <w:p w14:paraId="2E8461E2">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13.频率响应范围为100Hz~20KHz。</w:t>
            </w:r>
          </w:p>
          <w:p w14:paraId="49AD41F7">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14.支持虚拟音幕功能，在麦克风前方180°的讲台区域可以正常扩声，在麦克风后方180°的学生区域无法扩声，从而实现对学生区域嘈杂声的精准过滤。</w:t>
            </w:r>
          </w:p>
          <w:p w14:paraId="66747706">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15. 支持通过音频线与录播主机进行握手通信，可实现录播主机音频矩阵的自动化配置。</w:t>
            </w:r>
          </w:p>
        </w:tc>
        <w:tc>
          <w:tcPr>
            <w:tcW w:w="1040" w:type="dxa"/>
            <w:tcBorders>
              <w:top w:val="single" w:color="000000" w:sz="4" w:space="0"/>
              <w:left w:val="nil"/>
              <w:bottom w:val="single" w:color="000000" w:sz="4" w:space="0"/>
              <w:right w:val="single" w:color="000000" w:sz="4" w:space="0"/>
            </w:tcBorders>
            <w:vAlign w:val="center"/>
          </w:tcPr>
          <w:p w14:paraId="63153EB9">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14:paraId="5E7FF829">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402D2263">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7BA1FE63">
            <w:pPr>
              <w:jc w:val="center"/>
              <w:rPr>
                <w:rFonts w:ascii="宋体" w:hAnsi="宋体"/>
                <w:color w:val="auto"/>
                <w:sz w:val="18"/>
                <w:szCs w:val="18"/>
                <w:highlight w:val="none"/>
                <w:lang w:val="en-US" w:eastAsia="zh-CN"/>
              </w:rPr>
            </w:pPr>
          </w:p>
        </w:tc>
      </w:tr>
      <w:tr w14:paraId="71F506E8">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0ED8CBE3">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8</w:t>
            </w:r>
          </w:p>
        </w:tc>
        <w:tc>
          <w:tcPr>
            <w:tcW w:w="817" w:type="dxa"/>
            <w:tcBorders>
              <w:top w:val="single" w:color="000000" w:sz="4" w:space="0"/>
              <w:left w:val="nil"/>
              <w:bottom w:val="single" w:color="000000" w:sz="4" w:space="0"/>
              <w:right w:val="single" w:color="000000" w:sz="4" w:space="0"/>
            </w:tcBorders>
            <w:vAlign w:val="center"/>
          </w:tcPr>
          <w:p w14:paraId="4109D95C">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智能笔</w:t>
            </w:r>
          </w:p>
        </w:tc>
        <w:tc>
          <w:tcPr>
            <w:tcW w:w="4112" w:type="dxa"/>
            <w:tcBorders>
              <w:top w:val="single" w:color="000000" w:sz="4" w:space="0"/>
              <w:left w:val="nil"/>
              <w:bottom w:val="single" w:color="000000" w:sz="4" w:space="0"/>
              <w:right w:val="single" w:color="000000" w:sz="4" w:space="0"/>
            </w:tcBorders>
            <w:vAlign w:val="center"/>
          </w:tcPr>
          <w:p w14:paraId="46AB8601">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1.外观：笔身造型采用圆润一体化笔型设计，表面采用手感漆工艺便于握持；笔身长度≤17cm,笔身直径≤13mm，笔身重量≤18g；</w:t>
            </w:r>
          </w:p>
          <w:p w14:paraId="7F3931F6">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2.笔身配置不少于五个按键，具备上下翻页，智能语音，远程聚光灯/放大，书写颜色切换，兼顾触摸书写以及远程操控的握持姿态；</w:t>
            </w:r>
          </w:p>
          <w:p w14:paraId="41B420E1">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3.笔头：采用锥型笔尖设计，直径≤3mm；同时支持电容，红外触控设备书写，书写最小精度2mm；</w:t>
            </w:r>
          </w:p>
          <w:p w14:paraId="66DC1946">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4.笔头：连续书写距离不小于7km；</w:t>
            </w:r>
          </w:p>
          <w:p w14:paraId="70EAEC89">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5.翻页按键：短按上下翻页按键，可实现白板软件/ppt/pdf等文档上下翻页；长按上下翻页按键3s，可实现ppt播放/退出；</w:t>
            </w:r>
          </w:p>
          <w:p w14:paraId="2F705710">
            <w:pPr>
              <w:widowControl/>
              <w:jc w:val="left"/>
              <w:textAlignment w:val="center"/>
              <w:rPr>
                <w:rFonts w:ascii="宋体" w:hAnsi="宋体"/>
                <w:color w:val="auto"/>
                <w:kern w:val="0"/>
                <w:sz w:val="18"/>
                <w:szCs w:val="18"/>
                <w:highlight w:val="yellow"/>
              </w:rPr>
            </w:pPr>
            <w:r>
              <w:rPr>
                <w:rFonts w:hint="eastAsia" w:ascii="宋体" w:hAnsi="宋体"/>
                <w:color w:val="auto"/>
                <w:kern w:val="0"/>
                <w:sz w:val="18"/>
                <w:szCs w:val="18"/>
                <w:highlight w:val="yellow"/>
              </w:rPr>
              <w:t>6.多功能按键：a.短按多功能按键，可实现播放/暂停音视频或flash；b.双击此按键，可实现空鼠/放大镜/聚光灯等功能切换，切换顺序空鼠&gt;放大镜&gt;聚光灯；c.长按此按键即可实现对应功能(空鼠/放大镜/聚光灯)（提供样机进行功能演示及生产厂商参数确认函加盖公章）；</w:t>
            </w:r>
          </w:p>
          <w:p w14:paraId="4251A398">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7.语音：内置麦克风，支持按键唤醒语音识别功能，避免杂音造成误唤醒；</w:t>
            </w:r>
          </w:p>
          <w:p w14:paraId="6AA6E6EC">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语音：支持唤醒语音识别时，可直接通过语音打开已安装的应用，可直接通过语音调用网络搜索引擎搜索查询相应资料，可进行语音转写输入，支持语音控制屏幕黑屏、亮屏，音量大小调整，返回桌面，截屏，关机等操作</w:t>
            </w:r>
          </w:p>
          <w:p w14:paraId="60A493E6">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9.语音：支持白板软件内，通过语音控制：切换书写、擦除、选择模式，最小化返回桌面，打开板中板，清空书写批注等操作；</w:t>
            </w:r>
          </w:p>
          <w:p w14:paraId="588CD793">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10.批注：支持按键调起批注功能，可通过按键实现批注颜色切换，长按按键可实现橡皮擦功能</w:t>
            </w:r>
          </w:p>
          <w:p w14:paraId="20C9D352">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11.无线：为保障用户在不同场景使用智能笔，支持无线dongle及蓝牙两种连接方式，支持蓝牙5.1协议；</w:t>
            </w:r>
          </w:p>
          <w:p w14:paraId="30491CD3">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12.无线：无线dongle&amp;蓝牙连接距离≥12m，上下翻页/语音控制/远程批注实现距离≥12m，覆盖标准教室；</w:t>
            </w:r>
          </w:p>
          <w:p w14:paraId="4867CAAB">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13.充电：内置锂电池，支持type-c充电，待机时间≥60h,连续书写时间≥8h，从无电到满电的充电时长≤1小时；</w:t>
            </w:r>
          </w:p>
          <w:p w14:paraId="57428769">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自动休眠：支持智能休眠节电，当设备&gt;5min无人操作时，设备自动进入休眠节电模式；</w:t>
            </w:r>
          </w:p>
          <w:p w14:paraId="286F6E9B">
            <w:pPr>
              <w:widowControl/>
              <w:jc w:val="left"/>
              <w:textAlignment w:val="center"/>
              <w:rPr>
                <w:rFonts w:hint="eastAsia" w:ascii="宋体" w:hAnsi="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控制面板：</w:t>
            </w:r>
          </w:p>
          <w:p w14:paraId="7391B0CB">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采用≥2核的32位处理器。</w:t>
            </w:r>
          </w:p>
          <w:p w14:paraId="68BE4118">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采用≥4英寸电容液晶触控屏。</w:t>
            </w:r>
          </w:p>
          <w:p w14:paraId="54128DC3">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支持分辨率≥480x480。</w:t>
            </w:r>
          </w:p>
          <w:p w14:paraId="333EE08F">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支持≥16位色彩显示。</w:t>
            </w:r>
          </w:p>
          <w:p w14:paraId="2840875A">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支持通过SD存储卡进行升级。</w:t>
            </w:r>
          </w:p>
          <w:p w14:paraId="6329058B">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支持通过RS485通讯方式进行吊麦静音控制、吊麦扩音音量大小控制。</w:t>
            </w:r>
          </w:p>
          <w:p w14:paraId="4B22AD1B">
            <w:pPr>
              <w:widowControl/>
              <w:jc w:val="left"/>
              <w:textAlignment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rPr>
              <w:t>7. 支持自动息屏功能。</w:t>
            </w:r>
          </w:p>
        </w:tc>
        <w:tc>
          <w:tcPr>
            <w:tcW w:w="1040" w:type="dxa"/>
            <w:tcBorders>
              <w:top w:val="single" w:color="000000" w:sz="4" w:space="0"/>
              <w:left w:val="nil"/>
              <w:bottom w:val="single" w:color="000000" w:sz="4" w:space="0"/>
              <w:right w:val="single" w:color="000000" w:sz="4" w:space="0"/>
            </w:tcBorders>
            <w:vAlign w:val="center"/>
          </w:tcPr>
          <w:p w14:paraId="36D8C42F">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14:paraId="3754E09B">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6A38472C">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2D2F7E47">
            <w:pPr>
              <w:jc w:val="center"/>
              <w:rPr>
                <w:rFonts w:ascii="宋体" w:hAnsi="宋体"/>
                <w:color w:val="auto"/>
                <w:sz w:val="18"/>
                <w:szCs w:val="18"/>
                <w:highlight w:val="none"/>
                <w:lang w:val="en-US" w:eastAsia="zh-CN"/>
              </w:rPr>
            </w:pPr>
          </w:p>
        </w:tc>
      </w:tr>
      <w:tr w14:paraId="5379520A">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6755C992">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9</w:t>
            </w:r>
          </w:p>
        </w:tc>
        <w:tc>
          <w:tcPr>
            <w:tcW w:w="817" w:type="dxa"/>
            <w:tcBorders>
              <w:top w:val="single" w:color="000000" w:sz="4" w:space="0"/>
              <w:left w:val="nil"/>
              <w:bottom w:val="single" w:color="000000" w:sz="4" w:space="0"/>
              <w:right w:val="single" w:color="000000" w:sz="4" w:space="0"/>
            </w:tcBorders>
            <w:vAlign w:val="center"/>
          </w:tcPr>
          <w:p w14:paraId="3EB54E1F">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互动录播电脑主机</w:t>
            </w:r>
          </w:p>
        </w:tc>
        <w:tc>
          <w:tcPr>
            <w:tcW w:w="4112" w:type="dxa"/>
            <w:tcBorders>
              <w:top w:val="single" w:color="000000" w:sz="4" w:space="0"/>
              <w:left w:val="nil"/>
              <w:bottom w:val="single" w:color="000000" w:sz="4" w:space="0"/>
              <w:right w:val="single" w:color="000000" w:sz="4" w:space="0"/>
            </w:tcBorders>
            <w:vAlign w:val="center"/>
          </w:tcPr>
          <w:p w14:paraId="48E764B7">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为保证系统整体编解码性能及使用稳定性，主机需采用处理器，具备8核CPU，不少于4个主频2.4GHz芯片，且不少于4个主频1.8GHz芯片。采用Linux深度定制操作系统。</w:t>
            </w:r>
          </w:p>
          <w:p w14:paraId="6ABA5B8E">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主机系统内存≥8GB。</w:t>
            </w:r>
          </w:p>
          <w:p w14:paraId="44954764">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▲为保证不影响授课，主机噪声小于20dB（A）。（需提供具有CNAS及CMA标识的国家权威检测机构出具的检测报告复印件并加盖公章）</w:t>
            </w:r>
          </w:p>
          <w:p w14:paraId="56D89AFA">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主机存储容量不低于1TB。</w:t>
            </w:r>
          </w:p>
          <w:p w14:paraId="477FD6B9">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内置蓝牙无线物联模块，主机无需线缆就可以实现对同品牌音箱的音量控制，也可通过同品牌讲台实现对主机开关机控制。</w:t>
            </w:r>
          </w:p>
          <w:p w14:paraId="4AF242A0">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支持标准USB音视频信号输出，可以同时支持UVC和UAC协议，通过主机TypeC接口可以实现图像和声音同步输出，支持不小于4K图像输出，输出音频可通过主机控制软件实现混音，兼容主流视频会议软件。</w:t>
            </w:r>
          </w:p>
          <w:p w14:paraId="066E3669">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 标配壁装支架，可通过转轴实现翻转，便于接插线和维护。</w:t>
            </w:r>
          </w:p>
          <w:p w14:paraId="44B143B3">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 主机采用高度集成化设计，能够独立完成视频采集、音频采集、音频编码、视频编码、音频处理、视频处理表、直播、录制、互动、远程运维参数设置功能。</w:t>
            </w:r>
          </w:p>
          <w:p w14:paraId="7F87516F">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 ▲内置音频接收模块。无需外接无线音频接收模块，即可完成无线音频采集，支持同时≥2个无线麦克风接入，且同时支持≥2种对频模式。（需提供具有CNAS及CMA标识的国家权威检测机构出具的检测报告复印件并加盖公章）</w:t>
            </w:r>
          </w:p>
          <w:p w14:paraId="6A28A154">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10. ▲支持断电扩声，在主机完全断电的情况下，从主机线性音频通道上输入的音频可以从主机输出通道输出，且≥2个音频输入通道可以支持该功能，满足全场景的教学使用需求。（需提供具有CNAS及CMA标识的国家权威检测机构出具的检测报告复印件并加盖公章）</w:t>
            </w:r>
          </w:p>
          <w:p w14:paraId="41CB0CA0">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11. 支持≥2个HDMI高清采集接口，支持分辨率包含：3840×2160p@30Hz、1920×1080p@60Hz、1920×1080p@30Hz、1680×1050p@30Hz、1600×900p@30Hz、1400×1050p@30fps、1280×1024p@30Hz、1280×1024p@60Hz、1280×960p@30Hz、1280×800p@30Hz、1280×720p@60Hz、1280×720p@30Hz、720×480p@60Hz、640×480p@30Hz 。</w:t>
            </w:r>
          </w:p>
          <w:p w14:paraId="55584092">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12. ▲支持≥4路高清视频输出，视频输出可同一时间输出不同视频源，且输出分辨率不小于4K，其中HDMI信号输出≥3路且UVC视频输出≥1路。（需提供具有CNAS及CMA标识的国家权威检测机构出具的检测报告复印件并加盖公章）</w:t>
            </w:r>
          </w:p>
          <w:p w14:paraId="17FF67F3">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13. 支持≥5个RJ45接口，其中≥3个支持POE。</w:t>
            </w:r>
          </w:p>
          <w:p w14:paraId="5FA8844B">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14. 支持≥1个阵列麦克风输入接口，可在不接入音频处理器的情况下，通过一根网线就可以完成2个阵列麦克风接入主机，通过一根网线可以实现两个麦克风的供电、音频信号传输、音频参数设置，支持无损数字音频传输。</w:t>
            </w:r>
          </w:p>
          <w:p w14:paraId="3AD0F87B">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15. 支持≥5个USB类型接口，其中USB-A接口≥3个，Type-C接口≥2个。</w:t>
            </w:r>
          </w:p>
          <w:p w14:paraId="38954FB7">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16. 支持 H.264(BP/MP/HP)视频编码与解码，可扩展支持H.265 编码/解码。</w:t>
            </w:r>
          </w:p>
          <w:p w14:paraId="5BFF942B">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17. 主机采用≥15英寸触控电容屏，采用全贴合工艺，屏幕色域≥72% NTSC，表面硬度≥7H，屏幕分辨率≥1920*1080。</w:t>
            </w:r>
          </w:p>
          <w:p w14:paraId="1170A443">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18. ▲支持网络监测功能，无需安装第三方软件，在触控屏幕上显示教室网络状态，包括：服务联通性、网络稳定性、上下行速度、网络追踪性、网卡信息。（需提供具有CNAS及CMA标识的国家权威检测机构出具的检测报告复印件并加盖公章）</w:t>
            </w:r>
          </w:p>
          <w:p w14:paraId="5C159F50">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19. 支持录制时长设定，录制时长到达后可自动停止录制，支持设定时长包括 40 分钟、1 小时、2 小时、6小时、12 小时，用户可根据需要提前结束录制；录制过程中，用户可通过互动录播电脑主机一体化触控屏查看已录制时长。</w:t>
            </w:r>
          </w:p>
          <w:p w14:paraId="4AD75110">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20. 支持通过主机一体化触控屏幕，选择自动/手动导播模式。</w:t>
            </w:r>
          </w:p>
          <w:p w14:paraId="7EF5E7F4">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21. ▲支持通过互联网，查看当前的主机总数、日活个数、月活个数、当前在线数量，支持通过平台查看设备在线和离线状态，支持通过平台查看设备 ID 地址、IP 地址、激活时间信息。（需提供具有CNAS及CMA标识的国家权威检测机构出具的检测报告复印件并加盖公章）</w:t>
            </w:r>
          </w:p>
          <w:p w14:paraId="3C4A4E10">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22. ▲支持通过互联网，实现对设备的远程配置，支持唤醒、关机、重启、参数配置操作。（需提供具有CNAS及CMA标识的国家权威检测机构出具的检测报告复印件并加盖公章）</w:t>
            </w:r>
          </w:p>
          <w:p w14:paraId="4058BD53">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23. 支持通过互联网，按照版本号进行查询。可查看该版本的主机数量和总体占比，支持通过 IOT 物联平台实现主机的远程升级，可查看不同版本的占比，可按照行政区域进行分区升级。</w:t>
            </w:r>
          </w:p>
          <w:p w14:paraId="36ADE823">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24. 为保证设备稳定运行，要求设备平均无故障运行时间（MTBF）≥250000小时。</w:t>
            </w:r>
          </w:p>
        </w:tc>
        <w:tc>
          <w:tcPr>
            <w:tcW w:w="1040" w:type="dxa"/>
            <w:tcBorders>
              <w:top w:val="single" w:color="000000" w:sz="4" w:space="0"/>
              <w:left w:val="nil"/>
              <w:bottom w:val="single" w:color="000000" w:sz="4" w:space="0"/>
              <w:right w:val="single" w:color="000000" w:sz="4" w:space="0"/>
            </w:tcBorders>
            <w:vAlign w:val="center"/>
          </w:tcPr>
          <w:p w14:paraId="63EFD28C">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14:paraId="705505F3">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2CAC0C6E">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59BCDA97">
            <w:pPr>
              <w:jc w:val="center"/>
              <w:rPr>
                <w:rFonts w:ascii="宋体" w:hAnsi="宋体"/>
                <w:color w:val="auto"/>
                <w:sz w:val="18"/>
                <w:szCs w:val="18"/>
                <w:highlight w:val="none"/>
                <w:lang w:val="en-US" w:eastAsia="zh-CN"/>
              </w:rPr>
            </w:pPr>
          </w:p>
        </w:tc>
      </w:tr>
      <w:tr w14:paraId="1791EE5E">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79411884">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0</w:t>
            </w:r>
          </w:p>
        </w:tc>
        <w:tc>
          <w:tcPr>
            <w:tcW w:w="817" w:type="dxa"/>
            <w:tcBorders>
              <w:top w:val="single" w:color="000000" w:sz="4" w:space="0"/>
              <w:left w:val="nil"/>
              <w:bottom w:val="single" w:color="000000" w:sz="4" w:space="0"/>
              <w:right w:val="single" w:color="000000" w:sz="4" w:space="0"/>
            </w:tcBorders>
            <w:vAlign w:val="center"/>
          </w:tcPr>
          <w:p w14:paraId="31A1FC3D">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主机导播系统</w:t>
            </w:r>
          </w:p>
        </w:tc>
        <w:tc>
          <w:tcPr>
            <w:tcW w:w="4112" w:type="dxa"/>
            <w:tcBorders>
              <w:top w:val="single" w:color="000000" w:sz="4" w:space="0"/>
              <w:left w:val="nil"/>
              <w:bottom w:val="single" w:color="000000" w:sz="4" w:space="0"/>
              <w:right w:val="single" w:color="000000" w:sz="4" w:space="0"/>
            </w:tcBorders>
            <w:vAlign w:val="center"/>
          </w:tcPr>
          <w:p w14:paraId="50F7F7ED">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自动导播默认画面支持自定义设定，支持选择自动导播画面，可根据需要选择自动导播的画面，可设置自动导播画面的保护时间和保持时间。</w:t>
            </w:r>
          </w:p>
          <w:p w14:paraId="5B95B444">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支持多种画面模式，支持单画面、画中画、左右等分、三画面、四画面多种画面合成模式，支持自动导播、手动导播，可通过互动录播电脑主机一体化触控屏实现模式选择。</w:t>
            </w:r>
          </w:p>
          <w:p w14:paraId="467671C3">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导播优先级可自定义设定，支持定时切换设置，可自由选择切换时间和切换画面，支持根据学生、老师行为状态实现画面智能切换。</w:t>
            </w:r>
          </w:p>
          <w:p w14:paraId="2D4E40D8">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支持本地导播、远程导播，本地导播可通过互动录播电脑主机一体化触控屏实现本地导播控制；也可通过触控回传实现画面导播，无需外接键鼠设备，通过交互智能平板实现对互动录播电脑主机的导播控制，远程导播可通过网络实现远程导播控制。</w:t>
            </w:r>
          </w:p>
          <w:p w14:paraId="3A5CE819">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支持课件画面自动检测，可设置检测灵敏度；支持课件画面检测区域设定，可屏蔽电脑弹窗区域。</w:t>
            </w:r>
          </w:p>
          <w:p w14:paraId="40432D2F">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支持导入与导出互动录播主机配置文件，进行升级和调试。</w:t>
            </w:r>
          </w:p>
          <w:p w14:paraId="16765465">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 支持云台摄像机控制，支持 PTZ（云台全方位移动及镜头变倍、变焦），多个预置位设置和调用；同时支持通过鼠标点击画面，实现云台摄像机跟踪，可通过鼠标滑轮实现镜头画面放大缩小。</w:t>
            </w:r>
          </w:p>
          <w:p w14:paraId="2C137629">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 在导播界面的预览窗口可实时观看教师全景/特写、学生全景/特写、多媒体电脑共五路画面，点击可进行画面切换。预监画面可实时推流给资源平台，实现平台直播。</w:t>
            </w:r>
          </w:p>
          <w:p w14:paraId="1D3CFD3F">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 支持电影模式和资源模式同步录制，可根据用户的不同需求选择录制模式。</w:t>
            </w:r>
          </w:p>
          <w:p w14:paraId="6447F20C">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10. 支持外接导播台，可通过导播台实现对录播主机的录制控制、画面切换、云台跟踪、预置位设定与调取、音量调节。</w:t>
            </w:r>
          </w:p>
          <w:p w14:paraId="3DD3320F">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11. 录播画面比例支持16：9，触控回传响应延时≤70ms。</w:t>
            </w:r>
          </w:p>
        </w:tc>
        <w:tc>
          <w:tcPr>
            <w:tcW w:w="1040" w:type="dxa"/>
            <w:tcBorders>
              <w:top w:val="single" w:color="000000" w:sz="4" w:space="0"/>
              <w:left w:val="nil"/>
              <w:bottom w:val="single" w:color="000000" w:sz="4" w:space="0"/>
              <w:right w:val="single" w:color="000000" w:sz="4" w:space="0"/>
            </w:tcBorders>
            <w:vAlign w:val="center"/>
          </w:tcPr>
          <w:p w14:paraId="0493AE4F">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14:paraId="7761A54F">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471C57FB">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74F00642">
            <w:pPr>
              <w:jc w:val="center"/>
              <w:rPr>
                <w:rFonts w:ascii="宋体" w:hAnsi="宋体"/>
                <w:color w:val="auto"/>
                <w:sz w:val="18"/>
                <w:szCs w:val="18"/>
                <w:highlight w:val="none"/>
                <w:lang w:val="en-US" w:eastAsia="zh-CN"/>
              </w:rPr>
            </w:pPr>
          </w:p>
        </w:tc>
      </w:tr>
      <w:tr w14:paraId="231D98FB">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06815190">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1</w:t>
            </w:r>
          </w:p>
        </w:tc>
        <w:tc>
          <w:tcPr>
            <w:tcW w:w="817" w:type="dxa"/>
            <w:tcBorders>
              <w:top w:val="single" w:color="000000" w:sz="4" w:space="0"/>
              <w:left w:val="nil"/>
              <w:bottom w:val="single" w:color="000000" w:sz="4" w:space="0"/>
              <w:right w:val="single" w:color="000000" w:sz="4" w:space="0"/>
            </w:tcBorders>
            <w:vAlign w:val="center"/>
          </w:tcPr>
          <w:p w14:paraId="37A13A45">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主机互动系统</w:t>
            </w:r>
          </w:p>
        </w:tc>
        <w:tc>
          <w:tcPr>
            <w:tcW w:w="4112" w:type="dxa"/>
            <w:tcBorders>
              <w:top w:val="single" w:color="000000" w:sz="4" w:space="0"/>
              <w:left w:val="nil"/>
              <w:bottom w:val="single" w:color="000000" w:sz="4" w:space="0"/>
              <w:right w:val="single" w:color="000000" w:sz="4" w:space="0"/>
            </w:tcBorders>
            <w:vAlign w:val="center"/>
          </w:tcPr>
          <w:p w14:paraId="23117525">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同时支持自动连线和手动连线，自动连线模式下，，听课端会自动接通来自主讲端的互动请求，可选择设置关闭，手动连线模式下，当主讲端发出呼叫请求后，在互动录播电脑主机一体化触控屏上会出现呼叫提醒，用户可选择接听或者挂断。</w:t>
            </w:r>
          </w:p>
          <w:p w14:paraId="6B051508">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支持标准SIP音视频互动协议，支持1080P60fps全高清视频互动。</w:t>
            </w:r>
          </w:p>
          <w:p w14:paraId="26231C59">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支持互动清晰度设置：支持 1080p@60fps，分辨率可选择 1080p、720p、VGA、QVGA，帧率可选择 60fps、30fps、25fps。互动画质可选择极佳、好、一般、流畅四个等级。</w:t>
            </w:r>
          </w:p>
          <w:p w14:paraId="32253111">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支持微信扫码登录，无需单独输入账号，使用微信扫描互动录播电脑主机一体化触控屏上显示的二维码即可登录互动系统，登陆后显示用户头像和用户名。</w:t>
            </w:r>
          </w:p>
          <w:p w14:paraId="27C7B847">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支持手动切换发给远端的画面。支持通过互动录播电脑主机一体化触控屏实现音量大小调整、静音。支持互动过程中一键全屏，全屏放大主画面，隐藏所有图标。支持开启和关闭桌面共享功能。</w:t>
            </w:r>
          </w:p>
          <w:p w14:paraId="40DEDB08">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互动过程中可随时邀请新的听课端加入，支持拨号呼叫，用户可通过互动录播电脑主机一体化触控屏上的拨号键盘实现拨号呼叫；支持互动通讯录功能，通讯录可显示最近呼叫的账号信息，可通过通讯录实现一键呼叫。</w:t>
            </w:r>
          </w:p>
          <w:p w14:paraId="20FB4017">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 无需通过任何第三方软件即可进行网络监测，并在互动录播电脑主机一体化触控屏上显示教室网络状态；实现对网络联通性、网络稳定性、上行速度、下行速度、网络追踪性、网卡信息实时检测；在一段时间内，支持以折线图方式实时呈现网络稳定性、上行速度和下行速度。</w:t>
            </w:r>
          </w:p>
          <w:p w14:paraId="6A764D65">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 支持开始互动同步开始录制，用户可选择进入互动后是否自动开启录制。互动过程中可通过互动录播电脑主机一体化触控屏实现录制和直播控制，互动过程中可以控制开始录制、结束录制、开始直播、结束直播。</w:t>
            </w:r>
          </w:p>
          <w:p w14:paraId="4CF4A3BB">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 教师在开始授课前可根据互动录播电脑主机一体化触控屏检查设备是否正常，包括：在预监画面查看各个视频画面是否正常；在预监画面进行音量调节和查看声音是否正常；支持自动导播和手动导播模式切换；自动导播模式下支持设置参与自动导播的导播画面；选择是否开启直播和桌面共享。</w:t>
            </w:r>
          </w:p>
          <w:p w14:paraId="02F7A968">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10. 支持课堂互动功能，授课过程中老师可通过在互动录播电脑主机一体化触控屏上单击听课教室画面切换听课教室为主画面，并与该教室实时连麦对讲，实现异地互动。</w:t>
            </w:r>
          </w:p>
          <w:p w14:paraId="7AC17A29">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11. 互动过程中，可以在互动录播电脑主机一体化触控屏调出当前视频参数，包括加密方式、音频格式、视频格式、视频分辨率、实时上行/下行速率、丢包率和服务厂商信息。</w:t>
            </w:r>
          </w:p>
          <w:p w14:paraId="6A10D37D">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12. 支持授课预监功能，授课过程中可在互动录播电脑主机一体化触控屏实时显示授课教室和参与互动的听课教室画面，用户可实时查看授课教室拍摄效果和互动教室的听课场景画面。</w:t>
            </w:r>
          </w:p>
          <w:p w14:paraId="22D588FD">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13. 设备双向互动过程中，在系统总丢包率 50%的网络环境下，视频清晰流畅无卡顿，语音连贯。</w:t>
            </w:r>
          </w:p>
        </w:tc>
        <w:tc>
          <w:tcPr>
            <w:tcW w:w="1040" w:type="dxa"/>
            <w:tcBorders>
              <w:top w:val="single" w:color="000000" w:sz="4" w:space="0"/>
              <w:left w:val="nil"/>
              <w:bottom w:val="single" w:color="000000" w:sz="4" w:space="0"/>
              <w:right w:val="single" w:color="000000" w:sz="4" w:space="0"/>
            </w:tcBorders>
            <w:vAlign w:val="center"/>
          </w:tcPr>
          <w:p w14:paraId="47031A4F">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14:paraId="63F6E7E5">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1CB64F96">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6D7CABA4">
            <w:pPr>
              <w:jc w:val="center"/>
              <w:rPr>
                <w:rFonts w:ascii="宋体" w:hAnsi="宋体"/>
                <w:color w:val="auto"/>
                <w:sz w:val="18"/>
                <w:szCs w:val="18"/>
                <w:highlight w:val="none"/>
                <w:lang w:val="en-US" w:eastAsia="zh-CN"/>
              </w:rPr>
            </w:pPr>
          </w:p>
        </w:tc>
      </w:tr>
      <w:tr w14:paraId="5709DF80">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7F2048B9">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2</w:t>
            </w:r>
          </w:p>
        </w:tc>
        <w:tc>
          <w:tcPr>
            <w:tcW w:w="817" w:type="dxa"/>
            <w:tcBorders>
              <w:top w:val="single" w:color="000000" w:sz="4" w:space="0"/>
              <w:left w:val="nil"/>
              <w:bottom w:val="single" w:color="000000" w:sz="4" w:space="0"/>
              <w:right w:val="single" w:color="000000" w:sz="4" w:space="0"/>
            </w:tcBorders>
            <w:vAlign w:val="center"/>
          </w:tcPr>
          <w:p w14:paraId="34BDB5B1">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主机视频处理系统</w:t>
            </w:r>
          </w:p>
        </w:tc>
        <w:tc>
          <w:tcPr>
            <w:tcW w:w="4112" w:type="dxa"/>
            <w:tcBorders>
              <w:top w:val="single" w:color="000000" w:sz="4" w:space="0"/>
              <w:left w:val="nil"/>
              <w:bottom w:val="single" w:color="000000" w:sz="4" w:space="0"/>
              <w:right w:val="single" w:color="000000" w:sz="4" w:space="0"/>
            </w:tcBorders>
            <w:vAlign w:val="center"/>
          </w:tcPr>
          <w:p w14:paraId="24E5207C">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支持合成1920*1080的PGM画面，包含导播画面、教师全景画面、教师特写画面、学生全景画面、学生特写画面。</w:t>
            </w:r>
          </w:p>
          <w:p w14:paraId="30F76218">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支持多种类型视频信号接入，支持标准网络视频信号接入、高速数字信号接入。</w:t>
            </w:r>
          </w:p>
          <w:p w14:paraId="587095A4">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支持通过rtsp协议接入第三方摄像机视频流。</w:t>
            </w:r>
          </w:p>
          <w:p w14:paraId="7C2F0CCC">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支持不少于3种编码复杂度，支持Baseline Profile、Main profile、High profile</w:t>
            </w:r>
          </w:p>
          <w:p w14:paraId="50B3C6A2">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支持不少于两种码率控制方式，支持CBR（Constant Bit Rate）、VBR（Variable Bit Rate）。</w:t>
            </w:r>
          </w:p>
          <w:p w14:paraId="5B6D5C50">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支持通过网络实现对接入摄像机的设备信息检索。</w:t>
            </w:r>
          </w:p>
          <w:p w14:paraId="330BC671">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 POE视频接入单元支持802.3af标准协议，可实现POE摄像机接入。</w:t>
            </w:r>
          </w:p>
          <w:p w14:paraId="2190C009">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8. HDMI采集通道支持画面缩放，可完成4K图像采集。</w:t>
            </w:r>
          </w:p>
        </w:tc>
        <w:tc>
          <w:tcPr>
            <w:tcW w:w="1040" w:type="dxa"/>
            <w:tcBorders>
              <w:top w:val="single" w:color="000000" w:sz="4" w:space="0"/>
              <w:left w:val="nil"/>
              <w:bottom w:val="single" w:color="000000" w:sz="4" w:space="0"/>
              <w:right w:val="single" w:color="000000" w:sz="4" w:space="0"/>
            </w:tcBorders>
            <w:vAlign w:val="center"/>
          </w:tcPr>
          <w:p w14:paraId="4ED7E742">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14:paraId="3C82630F">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192EB02C">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41D6554F">
            <w:pPr>
              <w:jc w:val="center"/>
              <w:rPr>
                <w:rFonts w:ascii="宋体" w:hAnsi="宋体"/>
                <w:color w:val="auto"/>
                <w:sz w:val="18"/>
                <w:szCs w:val="18"/>
                <w:highlight w:val="none"/>
                <w:lang w:val="en-US" w:eastAsia="zh-CN"/>
              </w:rPr>
            </w:pPr>
          </w:p>
        </w:tc>
      </w:tr>
      <w:tr w14:paraId="2D1A283B">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34A21AA7">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3</w:t>
            </w:r>
          </w:p>
        </w:tc>
        <w:tc>
          <w:tcPr>
            <w:tcW w:w="817" w:type="dxa"/>
            <w:tcBorders>
              <w:top w:val="single" w:color="000000" w:sz="4" w:space="0"/>
              <w:left w:val="nil"/>
              <w:bottom w:val="single" w:color="000000" w:sz="4" w:space="0"/>
              <w:right w:val="single" w:color="000000" w:sz="4" w:space="0"/>
            </w:tcBorders>
            <w:vAlign w:val="center"/>
          </w:tcPr>
          <w:p w14:paraId="0DAA5393">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4K</w:t>
            </w:r>
            <w:r>
              <w:rPr>
                <w:rFonts w:hint="eastAsia" w:ascii="宋体" w:hAnsi="宋体"/>
                <w:color w:val="auto"/>
                <w:kern w:val="0"/>
                <w:sz w:val="18"/>
                <w:szCs w:val="18"/>
                <w:highlight w:val="none"/>
              </w:rPr>
              <w:t>教师摄像机</w:t>
            </w:r>
          </w:p>
        </w:tc>
        <w:tc>
          <w:tcPr>
            <w:tcW w:w="4112" w:type="dxa"/>
            <w:tcBorders>
              <w:top w:val="single" w:color="000000" w:sz="4" w:space="0"/>
              <w:left w:val="nil"/>
              <w:bottom w:val="single" w:color="000000" w:sz="4" w:space="0"/>
              <w:right w:val="single" w:color="000000" w:sz="4" w:space="0"/>
            </w:tcBorders>
            <w:vAlign w:val="center"/>
          </w:tcPr>
          <w:p w14:paraId="676017BB">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采用全景特写双镜头，全景镜头水平视场角≥40°，特写镜头水平视场角≥20°。</w:t>
            </w:r>
          </w:p>
          <w:p w14:paraId="006C95CC">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摄像机采用一体化集成设计，支持4K超高清，最大可提供4K图像编码输出，同时向下兼容1080p，720p分辨率。</w:t>
            </w:r>
          </w:p>
          <w:p w14:paraId="1C749B55">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内置图像识别跟踪算法，搭配隐藏式微型云台，保证清晰度的同时，也减小对课堂的干扰。</w:t>
            </w:r>
          </w:p>
          <w:p w14:paraId="29EEC74D">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镜头采用无畸变设计，保证拍摄画面无畸变，减少畸变校正造成的图像质量损失。</w:t>
            </w:r>
          </w:p>
          <w:p w14:paraId="726061E9">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摄像机接口支持RJ45≥1路，Type-C≥1路，Line in接口≥1路。</w:t>
            </w:r>
          </w:p>
          <w:p w14:paraId="61B25851">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支持POE有线网络供电，只需要1路网线，即可实现供电及信号传输，支持同时输出特写和全景等多路画面。</w:t>
            </w:r>
          </w:p>
          <w:p w14:paraId="548AB745">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 传感器尺寸 CMOS ≥ 1/2.8英寸。</w:t>
            </w:r>
          </w:p>
          <w:p w14:paraId="1BC78112">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 全景图像传感器有效像素≥400万，特写图像传感器有效像素≥800万。</w:t>
            </w:r>
          </w:p>
          <w:p w14:paraId="35D8323D">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 支持2D&amp;3D数字降噪，信噪比≥55dB。</w:t>
            </w:r>
          </w:p>
          <w:p w14:paraId="2264BE6C">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10. 支持H.264、H.265、MJPEG视频编码格式。</w:t>
            </w:r>
          </w:p>
          <w:p w14:paraId="20A8F31C">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11. 主码流分辨率：3840x2160, 1920x1080, 1920x1080, 1280x720, 1024x576, 720x576(50Hz), 720x480(60Hz), 720x408, 640x360, 480x270, 320x240, 320x180。</w:t>
            </w:r>
          </w:p>
          <w:p w14:paraId="02971004">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12. 支持标准USB音视频信号输出，可以同时支持UVC和UAC协议，通过主机TypeC接口可以实现图像和声音同步输出，最大支持最大支持4K@30fps输出，兼容主流视频会议软件。</w:t>
            </w:r>
          </w:p>
          <w:p w14:paraId="442B98C7">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13. 摄像机支持≥6种网络流传输协议。</w:t>
            </w:r>
          </w:p>
          <w:p w14:paraId="06CAE519">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14. 整机功耗≤12W。</w:t>
            </w:r>
          </w:p>
          <w:p w14:paraId="73836BD4">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15. 支持硬件复位功能，可通过Reset复位键实现整机复位。</w:t>
            </w:r>
          </w:p>
          <w:p w14:paraId="022F67A2">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16. 为确保运行稳定，使用平均无故障运行时间(MTBF)应≥250000小时。</w:t>
            </w:r>
          </w:p>
        </w:tc>
        <w:tc>
          <w:tcPr>
            <w:tcW w:w="1040" w:type="dxa"/>
            <w:tcBorders>
              <w:top w:val="single" w:color="000000" w:sz="4" w:space="0"/>
              <w:left w:val="nil"/>
              <w:bottom w:val="single" w:color="000000" w:sz="4" w:space="0"/>
              <w:right w:val="single" w:color="000000" w:sz="4" w:space="0"/>
            </w:tcBorders>
            <w:vAlign w:val="center"/>
          </w:tcPr>
          <w:p w14:paraId="470CFA28">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14:paraId="3D8CECF3">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402E641D">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19C63EDA">
            <w:pPr>
              <w:jc w:val="center"/>
              <w:rPr>
                <w:rFonts w:ascii="宋体" w:hAnsi="宋体"/>
                <w:color w:val="auto"/>
                <w:sz w:val="18"/>
                <w:szCs w:val="18"/>
                <w:highlight w:val="none"/>
                <w:lang w:val="en-US" w:eastAsia="zh-CN"/>
              </w:rPr>
            </w:pPr>
          </w:p>
        </w:tc>
      </w:tr>
      <w:tr w14:paraId="1F4A060D">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1572E0AE">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4</w:t>
            </w:r>
          </w:p>
        </w:tc>
        <w:tc>
          <w:tcPr>
            <w:tcW w:w="817" w:type="dxa"/>
            <w:tcBorders>
              <w:top w:val="single" w:color="000000" w:sz="4" w:space="0"/>
              <w:left w:val="nil"/>
              <w:bottom w:val="single" w:color="000000" w:sz="4" w:space="0"/>
              <w:right w:val="single" w:color="000000" w:sz="4" w:space="0"/>
            </w:tcBorders>
            <w:vAlign w:val="center"/>
          </w:tcPr>
          <w:p w14:paraId="6E6B7600">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教师摄像机图像处理系统</w:t>
            </w:r>
          </w:p>
        </w:tc>
        <w:tc>
          <w:tcPr>
            <w:tcW w:w="4112" w:type="dxa"/>
            <w:tcBorders>
              <w:top w:val="single" w:color="000000" w:sz="4" w:space="0"/>
              <w:left w:val="nil"/>
              <w:bottom w:val="single" w:color="000000" w:sz="4" w:space="0"/>
              <w:right w:val="single" w:color="000000" w:sz="4" w:space="0"/>
            </w:tcBorders>
            <w:vAlign w:val="center"/>
          </w:tcPr>
          <w:p w14:paraId="0868BFEE">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摄像机内嵌智能跟踪算法，无需单独安装定位跟踪主机及其他任何辅助拍摄设备，即可实现跟踪定位控制功能。</w:t>
            </w:r>
          </w:p>
          <w:p w14:paraId="5357452E">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系统应采用智能图像识别算法，高清摄像机同时输出2路场景画面并分析计算，实现1台摄像机的2景位拍摄，通过导播跟踪系统，实现所有画面的自动导播切换：</w:t>
            </w:r>
          </w:p>
          <w:p w14:paraId="1B47FD4A">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a) 当教师在讲台区域站立授课时，自动切换为教师特写，当教师在讲台区域进行走动时，自动切换到教师全景；</w:t>
            </w:r>
          </w:p>
          <w:p w14:paraId="27BF53E9">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b) 当教师切换多媒体授课时，自动切换为多媒体特写画面。</w:t>
            </w:r>
          </w:p>
          <w:p w14:paraId="1D599636">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支持设置摄像机分辨率、帧率、码率。</w:t>
            </w:r>
          </w:p>
          <w:p w14:paraId="5A30A13B">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支持设置摄像机亮度、饱和度、对比度、锐度、色度、快门速度。</w:t>
            </w:r>
          </w:p>
          <w:p w14:paraId="0B06DD3B">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图像支持左右镜像、上下翻转，默认不开启。</w:t>
            </w:r>
          </w:p>
          <w:p w14:paraId="058E9694">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支持对摄像机网络进行管理，包括设置IP地址/网关/DNS等，支持组播协议搜索IP地址，并修改摄像机IP。</w:t>
            </w:r>
          </w:p>
          <w:p w14:paraId="30E021EF">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 支持rtmp推流，推流地址可设置。</w:t>
            </w:r>
          </w:p>
          <w:p w14:paraId="5E3CDAC6">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 支持TRSP推流，推流地址可设置。</w:t>
            </w:r>
          </w:p>
          <w:p w14:paraId="2D9FCA56">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 支持ONVIF协议，可预览ONVIF画面。</w:t>
            </w:r>
          </w:p>
          <w:p w14:paraId="3AF820D0">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10. 支持GB28181协议，可使用GB28181协议推流。</w:t>
            </w:r>
          </w:p>
          <w:p w14:paraId="5AECEB9B">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11. 支持摄像机内部导播，支持外部服务器导播。</w:t>
            </w:r>
          </w:p>
          <w:p w14:paraId="18D4D447">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12. 支持至少1个矩形导播跟踪区划定。</w:t>
            </w:r>
          </w:p>
          <w:p w14:paraId="25B2AC6E">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13. 支持至少2个导播屏蔽区划定。</w:t>
            </w:r>
          </w:p>
          <w:p w14:paraId="6A9A4084">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14. 支持跟随模式、混合模式、双镜模式等多种导播模式。</w:t>
            </w:r>
          </w:p>
          <w:p w14:paraId="6817161B">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15. 支持跟踪灵敏度设置，可适配不同的灵敏度要求场景。</w:t>
            </w:r>
          </w:p>
          <w:p w14:paraId="7A1FCAC5">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16. 支持开启/关闭跟踪功能。</w:t>
            </w:r>
          </w:p>
        </w:tc>
        <w:tc>
          <w:tcPr>
            <w:tcW w:w="1040" w:type="dxa"/>
            <w:tcBorders>
              <w:top w:val="single" w:color="000000" w:sz="4" w:space="0"/>
              <w:left w:val="nil"/>
              <w:bottom w:val="single" w:color="000000" w:sz="4" w:space="0"/>
              <w:right w:val="single" w:color="000000" w:sz="4" w:space="0"/>
            </w:tcBorders>
            <w:vAlign w:val="center"/>
          </w:tcPr>
          <w:p w14:paraId="650DE5DC">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14:paraId="1F6797BE">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173B858B">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7EF6591B">
            <w:pPr>
              <w:jc w:val="center"/>
              <w:rPr>
                <w:rFonts w:ascii="宋体" w:hAnsi="宋体"/>
                <w:color w:val="auto"/>
                <w:sz w:val="18"/>
                <w:szCs w:val="18"/>
                <w:highlight w:val="none"/>
                <w:lang w:val="en-US" w:eastAsia="zh-CN"/>
              </w:rPr>
            </w:pPr>
          </w:p>
        </w:tc>
      </w:tr>
      <w:tr w14:paraId="5D19536B">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2E859FC4">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5</w:t>
            </w:r>
          </w:p>
        </w:tc>
        <w:tc>
          <w:tcPr>
            <w:tcW w:w="817" w:type="dxa"/>
            <w:tcBorders>
              <w:top w:val="single" w:color="000000" w:sz="4" w:space="0"/>
              <w:left w:val="nil"/>
              <w:bottom w:val="single" w:color="000000" w:sz="4" w:space="0"/>
              <w:right w:val="single" w:color="000000" w:sz="4" w:space="0"/>
            </w:tcBorders>
            <w:vAlign w:val="center"/>
          </w:tcPr>
          <w:p w14:paraId="399EFCEF">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4K</w:t>
            </w:r>
            <w:r>
              <w:rPr>
                <w:rFonts w:hint="eastAsia" w:ascii="宋体" w:hAnsi="宋体"/>
                <w:color w:val="auto"/>
                <w:kern w:val="0"/>
                <w:sz w:val="18"/>
                <w:szCs w:val="18"/>
                <w:highlight w:val="none"/>
              </w:rPr>
              <w:t>学生摄像机</w:t>
            </w:r>
          </w:p>
        </w:tc>
        <w:tc>
          <w:tcPr>
            <w:tcW w:w="4112" w:type="dxa"/>
            <w:tcBorders>
              <w:top w:val="single" w:color="000000" w:sz="4" w:space="0"/>
              <w:left w:val="nil"/>
              <w:bottom w:val="single" w:color="000000" w:sz="4" w:space="0"/>
              <w:right w:val="single" w:color="000000" w:sz="4" w:space="0"/>
            </w:tcBorders>
            <w:vAlign w:val="center"/>
          </w:tcPr>
          <w:p w14:paraId="7E5C1F19">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1.采用全景特写双镜头，全景镜头水平视场角≥110°，特写镜头水平视场角≥40°。</w:t>
            </w:r>
          </w:p>
          <w:p w14:paraId="5E980576">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摄像机采用一体化集成设计，支持4K超高清，最大可提供4K图像编码输出，同时向下兼容1080p，720p分辨率。</w:t>
            </w:r>
          </w:p>
          <w:p w14:paraId="39A74651">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内置图像识别跟踪算法，搭配隐藏式微型云台，保证清晰度的同时，也减小对课堂的干扰。</w:t>
            </w:r>
          </w:p>
          <w:p w14:paraId="4766B609">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镜头采用无畸变设计，保证拍摄画面无畸变，减少畸变校正造成的图像质量损失。</w:t>
            </w:r>
          </w:p>
          <w:p w14:paraId="68CBDDD5">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摄像机接口支持RJ45≥1路，Type-C≥1路，Line in接口≥1路。</w:t>
            </w:r>
          </w:p>
          <w:p w14:paraId="33A54037">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支持POE有线网络供电，只需要1路网线，即可实现供电及信号传输，支持同时输出特写和全景等多路画面。</w:t>
            </w:r>
          </w:p>
          <w:p w14:paraId="73EDF93E">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 传感器尺寸 CMOS ≥ 1/2.8英寸。</w:t>
            </w:r>
          </w:p>
          <w:p w14:paraId="3EE24180">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 全景图像传感器有效像素≥400万，特写图像传感器有效像素≥800万。</w:t>
            </w:r>
          </w:p>
          <w:p w14:paraId="109EBF71">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 支持2D&amp;3D数字降噪，信噪比≥55dB。</w:t>
            </w:r>
          </w:p>
          <w:p w14:paraId="4A1319AD">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10. 支持H.264、H.265、MJPEG视频编码格式。</w:t>
            </w:r>
          </w:p>
          <w:p w14:paraId="1FDC2A43">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11. 主码流分辨率：3840x2160, 1920x1080, 1920x1080, 1280x720, 1024x576, 720x576(50Hz), 720x480(60Hz), 720x408, 640x360, 480x270, 320x240, 320x180。</w:t>
            </w:r>
          </w:p>
          <w:p w14:paraId="380884B0">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12. 支持标准USB音视频信号输出，可以同时支持UVC和UAC协议，通过主机TypeC接口可以实现图像和声音同步输出，最大支持最大支持4K@30fps输出，兼容主流视频会议软件。</w:t>
            </w:r>
          </w:p>
          <w:p w14:paraId="6F97D537">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13. 摄像机支持≥6种网络流传输协议。</w:t>
            </w:r>
          </w:p>
          <w:p w14:paraId="34810265">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14. 整机功耗≤12W。</w:t>
            </w:r>
          </w:p>
          <w:p w14:paraId="442256E7">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15. 支持硬件复位功能，可通过Reset复位键实现整机复位。</w:t>
            </w:r>
          </w:p>
          <w:p w14:paraId="770FCA2A">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16. 为确保运行稳定，使用平均无故障运行时间(MTBF)应≥250000小时。</w:t>
            </w:r>
          </w:p>
        </w:tc>
        <w:tc>
          <w:tcPr>
            <w:tcW w:w="1040" w:type="dxa"/>
            <w:tcBorders>
              <w:top w:val="single" w:color="000000" w:sz="4" w:space="0"/>
              <w:left w:val="nil"/>
              <w:bottom w:val="single" w:color="000000" w:sz="4" w:space="0"/>
              <w:right w:val="single" w:color="000000" w:sz="4" w:space="0"/>
            </w:tcBorders>
            <w:vAlign w:val="center"/>
          </w:tcPr>
          <w:p w14:paraId="2E4C03F4">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14:paraId="64D3B31F">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3F9132D1">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1FC74F15">
            <w:pPr>
              <w:jc w:val="center"/>
              <w:rPr>
                <w:rFonts w:ascii="宋体" w:hAnsi="宋体"/>
                <w:color w:val="auto"/>
                <w:sz w:val="18"/>
                <w:szCs w:val="18"/>
                <w:highlight w:val="none"/>
                <w:lang w:val="en-US" w:eastAsia="zh-CN"/>
              </w:rPr>
            </w:pPr>
          </w:p>
        </w:tc>
      </w:tr>
      <w:tr w14:paraId="01B73BF5">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07EBFBC6">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6</w:t>
            </w:r>
          </w:p>
        </w:tc>
        <w:tc>
          <w:tcPr>
            <w:tcW w:w="817" w:type="dxa"/>
            <w:tcBorders>
              <w:top w:val="single" w:color="000000" w:sz="4" w:space="0"/>
              <w:left w:val="nil"/>
              <w:bottom w:val="single" w:color="000000" w:sz="4" w:space="0"/>
              <w:right w:val="single" w:color="000000" w:sz="4" w:space="0"/>
            </w:tcBorders>
            <w:vAlign w:val="center"/>
          </w:tcPr>
          <w:p w14:paraId="61BE281F">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学生摄像机图像处理系统</w:t>
            </w:r>
          </w:p>
        </w:tc>
        <w:tc>
          <w:tcPr>
            <w:tcW w:w="4112" w:type="dxa"/>
            <w:tcBorders>
              <w:top w:val="single" w:color="000000" w:sz="4" w:space="0"/>
              <w:left w:val="nil"/>
              <w:bottom w:val="single" w:color="000000" w:sz="4" w:space="0"/>
              <w:right w:val="single" w:color="000000" w:sz="4" w:space="0"/>
            </w:tcBorders>
            <w:vAlign w:val="center"/>
          </w:tcPr>
          <w:p w14:paraId="483E6D28">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摄像机内嵌智能跟踪算法，无需单独安装定位跟踪主机及其他任何辅助拍摄设备，即可实现跟踪定位控制功能。</w:t>
            </w:r>
          </w:p>
          <w:p w14:paraId="27F3B0E4">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系统应采用智能图像识别算法，高清摄像机同时输出2路场景画面并分析计算，实现1台摄像机的2景位拍摄，通过导播跟踪系统，实现所有画面的自动导播切换：</w:t>
            </w:r>
          </w:p>
          <w:p w14:paraId="29239381">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a) 学生起立发言时，首先切换为学生全景，再过渡为发言学生的特写画面，当多名学生站立时，自动切换到学生全景；</w:t>
            </w:r>
          </w:p>
          <w:p w14:paraId="5385EF59">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b) 学生跟踪具备人脸检测辅助识别功能。</w:t>
            </w:r>
          </w:p>
          <w:p w14:paraId="1681DE46">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支持设置摄像机分辨率、帧率、码率。</w:t>
            </w:r>
          </w:p>
          <w:p w14:paraId="1DBB601B">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支持设置摄像机亮度、饱和度、对比度、锐度、色度、快门速度。</w:t>
            </w:r>
          </w:p>
          <w:p w14:paraId="55640268">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图像支持左右镜像、上下翻转，默认不开启。</w:t>
            </w:r>
          </w:p>
          <w:p w14:paraId="54785618">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支持对摄像机网络进行管理，包括设置IP地址/网关/DNS等，支持组播协议搜索IP地址，并修改摄像机IP。</w:t>
            </w:r>
          </w:p>
          <w:p w14:paraId="3D1B531A">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 支持rtmp推流，推流地址可设置。</w:t>
            </w:r>
          </w:p>
          <w:p w14:paraId="12BC7E1F">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 支持TRSP推流，推流地址可设置。</w:t>
            </w:r>
          </w:p>
          <w:p w14:paraId="36B33D65">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 支持ONVIF协议，可预览ONVIF画面。</w:t>
            </w:r>
          </w:p>
          <w:p w14:paraId="4C6CBB4A">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10. 支持GB28181协议，可使用GB28181协议推流。</w:t>
            </w:r>
          </w:p>
          <w:p w14:paraId="48B5819A">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11. 支持摄像机内部导播，支持外部服务器导播。</w:t>
            </w:r>
          </w:p>
          <w:p w14:paraId="5719DAEA">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12. 支持至少1个六边形导播跟踪区划定。</w:t>
            </w:r>
          </w:p>
          <w:p w14:paraId="673226E5">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13. 跟踪区域划定方式为任意两个边缘点连线，确保可以构建合适的跟踪区域。</w:t>
            </w:r>
          </w:p>
          <w:p w14:paraId="5C1C28AF">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14. 支持跟踪灵敏度设置，可适配不同的灵敏度要求场景。</w:t>
            </w:r>
          </w:p>
          <w:p w14:paraId="47E7DE6D">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15. 支持开启/关闭跟踪功能。</w:t>
            </w:r>
          </w:p>
        </w:tc>
        <w:tc>
          <w:tcPr>
            <w:tcW w:w="1040" w:type="dxa"/>
            <w:tcBorders>
              <w:top w:val="single" w:color="000000" w:sz="4" w:space="0"/>
              <w:left w:val="nil"/>
              <w:bottom w:val="single" w:color="000000" w:sz="4" w:space="0"/>
              <w:right w:val="single" w:color="000000" w:sz="4" w:space="0"/>
            </w:tcBorders>
            <w:vAlign w:val="center"/>
          </w:tcPr>
          <w:p w14:paraId="2370D820">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14:paraId="458892A0">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0F763418">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2B916170">
            <w:pPr>
              <w:jc w:val="center"/>
              <w:rPr>
                <w:rFonts w:ascii="宋体" w:hAnsi="宋体"/>
                <w:color w:val="auto"/>
                <w:sz w:val="18"/>
                <w:szCs w:val="18"/>
                <w:highlight w:val="none"/>
                <w:lang w:val="en-US" w:eastAsia="zh-CN"/>
              </w:rPr>
            </w:pPr>
          </w:p>
        </w:tc>
      </w:tr>
      <w:tr w14:paraId="0D2AD424">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3AFADF41">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7</w:t>
            </w:r>
          </w:p>
        </w:tc>
        <w:tc>
          <w:tcPr>
            <w:tcW w:w="817" w:type="dxa"/>
            <w:tcBorders>
              <w:top w:val="single" w:color="000000" w:sz="4" w:space="0"/>
              <w:left w:val="nil"/>
              <w:bottom w:val="single" w:color="000000" w:sz="4" w:space="0"/>
              <w:right w:val="single" w:color="000000" w:sz="4" w:space="0"/>
            </w:tcBorders>
            <w:vAlign w:val="center"/>
          </w:tcPr>
          <w:p w14:paraId="37AF2E43">
            <w:pPr>
              <w:widowControl/>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指向性拾音麦</w:t>
            </w:r>
          </w:p>
          <w:p w14:paraId="0D0AA9AF">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克风</w:t>
            </w:r>
          </w:p>
        </w:tc>
        <w:tc>
          <w:tcPr>
            <w:tcW w:w="4112" w:type="dxa"/>
            <w:tcBorders>
              <w:top w:val="single" w:color="000000" w:sz="4" w:space="0"/>
              <w:left w:val="nil"/>
              <w:bottom w:val="single" w:color="000000" w:sz="4" w:space="0"/>
              <w:right w:val="single" w:color="000000" w:sz="4" w:space="0"/>
            </w:tcBorders>
            <w:vAlign w:val="center"/>
          </w:tcPr>
          <w:p w14:paraId="0AAFFA4C">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麦克风采用≥4核的国产音频芯片。</w:t>
            </w:r>
          </w:p>
          <w:p w14:paraId="6EDD8110">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麦克风频率响应范围不低于50Hz~16KHz。</w:t>
            </w:r>
          </w:p>
          <w:p w14:paraId="62A1C1D4">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麦克风拾音半径≥8m。</w:t>
            </w:r>
          </w:p>
          <w:p w14:paraId="0DA002A1">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麦克风信噪比≥68dB。</w:t>
            </w:r>
          </w:p>
          <w:p w14:paraId="70151BDB">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麦克风声压级≥130dBSPL，10%THD@1 KHz。</w:t>
            </w:r>
          </w:p>
          <w:p w14:paraId="2F771249">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麦克风无需额外适配器供电，能够通过网线实现麦克风供电、音频信号传输、参数调整。</w:t>
            </w:r>
          </w:p>
          <w:p w14:paraId="6631C547">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 麦克风具备≥1个状态指示灯，可显示麦克风工作状态。</w:t>
            </w:r>
          </w:p>
          <w:p w14:paraId="2CA6523B">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 麦克风采用标准1/4吋螺口，适配各种类型标准吊杆。</w:t>
            </w:r>
          </w:p>
          <w:p w14:paraId="3F55A404">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 麦克风支持≥2个数字音频接口，每个接口都具备输入接口和输出接口能力，支持盲插。</w:t>
            </w:r>
          </w:p>
          <w:p w14:paraId="287750CE">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10. 麦克风支持≥1个Type-C接口。</w:t>
            </w:r>
          </w:p>
          <w:p w14:paraId="7D0A688E">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11. 麦克风内置≥8个硅麦传感器单元。</w:t>
            </w:r>
          </w:p>
          <w:p w14:paraId="0C3584E5">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12. 麦克风支持在线OTA，可在线对麦克风进行升级，无需人员现场维护。</w:t>
            </w:r>
          </w:p>
          <w:p w14:paraId="46B11854">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13. 麦克风支持降噪、回声抵消、混响抑制、自动增益控制、多麦融合多种音频算法。</w:t>
            </w:r>
          </w:p>
          <w:p w14:paraId="332C0A18">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14. 麦克风支持无损数字音频传输，避免模拟信号传输导致的电流干扰。</w:t>
            </w:r>
          </w:p>
          <w:p w14:paraId="1C8ED5B8">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15. 麦克风套件标配2支麦克风和2套安装支架。</w:t>
            </w:r>
          </w:p>
        </w:tc>
        <w:tc>
          <w:tcPr>
            <w:tcW w:w="1040" w:type="dxa"/>
            <w:tcBorders>
              <w:top w:val="single" w:color="000000" w:sz="4" w:space="0"/>
              <w:left w:val="nil"/>
              <w:bottom w:val="single" w:color="000000" w:sz="4" w:space="0"/>
              <w:right w:val="single" w:color="000000" w:sz="4" w:space="0"/>
            </w:tcBorders>
            <w:vAlign w:val="center"/>
          </w:tcPr>
          <w:p w14:paraId="73527E25">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14:paraId="4AA31373">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54DEE5E1">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261A72F8">
            <w:pPr>
              <w:jc w:val="center"/>
              <w:rPr>
                <w:rFonts w:ascii="宋体" w:hAnsi="宋体"/>
                <w:color w:val="auto"/>
                <w:sz w:val="18"/>
                <w:szCs w:val="18"/>
                <w:highlight w:val="none"/>
                <w:lang w:val="en-US" w:eastAsia="zh-CN"/>
              </w:rPr>
            </w:pPr>
          </w:p>
        </w:tc>
      </w:tr>
      <w:tr w14:paraId="18F57D89">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76FDCD30">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8</w:t>
            </w:r>
          </w:p>
        </w:tc>
        <w:tc>
          <w:tcPr>
            <w:tcW w:w="817" w:type="dxa"/>
            <w:tcBorders>
              <w:top w:val="single" w:color="000000" w:sz="4" w:space="0"/>
              <w:left w:val="nil"/>
              <w:bottom w:val="single" w:color="000000" w:sz="4" w:space="0"/>
              <w:right w:val="single" w:color="000000" w:sz="4" w:space="0"/>
            </w:tcBorders>
            <w:vAlign w:val="center"/>
          </w:tcPr>
          <w:p w14:paraId="328A3B45">
            <w:pPr>
              <w:widowControl/>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麦克风音频处</w:t>
            </w:r>
          </w:p>
          <w:p w14:paraId="514E5F7B">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理系统</w:t>
            </w:r>
          </w:p>
        </w:tc>
        <w:tc>
          <w:tcPr>
            <w:tcW w:w="4112" w:type="dxa"/>
            <w:tcBorders>
              <w:top w:val="single" w:color="000000" w:sz="4" w:space="0"/>
              <w:left w:val="nil"/>
              <w:bottom w:val="single" w:color="000000" w:sz="4" w:space="0"/>
              <w:right w:val="single" w:color="000000" w:sz="4" w:space="0"/>
            </w:tcBorders>
            <w:vAlign w:val="center"/>
          </w:tcPr>
          <w:p w14:paraId="0448B5B6">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支持全频带全双工自适应回声消除算法。</w:t>
            </w:r>
          </w:p>
          <w:p w14:paraId="59A2905E">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支持全频自适应AI降噪技术，降噪电平≥24dB。</w:t>
            </w:r>
          </w:p>
          <w:p w14:paraId="6032F28E">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支持自动增益控制。</w:t>
            </w:r>
          </w:p>
          <w:p w14:paraId="3A5471E0">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支持啸叫抑制。</w:t>
            </w:r>
          </w:p>
          <w:p w14:paraId="5A74A9CE">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支持智能混音，可智能选择最佳麦克风采集音频。</w:t>
            </w:r>
          </w:p>
          <w:p w14:paraId="11489B1A">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支持多通道音频矩阵，可根据场景需求进行相应设置。</w:t>
            </w:r>
          </w:p>
          <w:p w14:paraId="328CD3CC">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 支持音频参数调节。</w:t>
            </w:r>
          </w:p>
          <w:p w14:paraId="75BD8061">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 支持波束成形。</w:t>
            </w:r>
          </w:p>
          <w:p w14:paraId="43A8263A">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 支持远程OTA升级。</w:t>
            </w:r>
          </w:p>
          <w:p w14:paraId="3EF59A2B">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10. 支持连接录播主机作为录播音频输入设备使用，也可连接Windows系统，并为其提供音频输入。</w:t>
            </w:r>
          </w:p>
        </w:tc>
        <w:tc>
          <w:tcPr>
            <w:tcW w:w="1040" w:type="dxa"/>
            <w:tcBorders>
              <w:top w:val="single" w:color="000000" w:sz="4" w:space="0"/>
              <w:left w:val="nil"/>
              <w:bottom w:val="single" w:color="000000" w:sz="4" w:space="0"/>
              <w:right w:val="single" w:color="000000" w:sz="4" w:space="0"/>
            </w:tcBorders>
            <w:vAlign w:val="center"/>
          </w:tcPr>
          <w:p w14:paraId="0511F188">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14:paraId="178A8226">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78C7DACF">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5C158659">
            <w:pPr>
              <w:jc w:val="center"/>
              <w:rPr>
                <w:rFonts w:ascii="宋体" w:hAnsi="宋体"/>
                <w:color w:val="auto"/>
                <w:sz w:val="18"/>
                <w:szCs w:val="18"/>
                <w:highlight w:val="none"/>
                <w:lang w:val="en-US" w:eastAsia="zh-CN"/>
              </w:rPr>
            </w:pPr>
          </w:p>
        </w:tc>
      </w:tr>
      <w:tr w14:paraId="7AB96B0C">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476DA458">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19</w:t>
            </w:r>
          </w:p>
        </w:tc>
        <w:tc>
          <w:tcPr>
            <w:tcW w:w="817" w:type="dxa"/>
            <w:tcBorders>
              <w:top w:val="single" w:color="000000" w:sz="4" w:space="0"/>
              <w:left w:val="nil"/>
              <w:bottom w:val="single" w:color="000000" w:sz="4" w:space="0"/>
              <w:right w:val="single" w:color="000000" w:sz="4" w:space="0"/>
            </w:tcBorders>
            <w:vAlign w:val="center"/>
          </w:tcPr>
          <w:p w14:paraId="02B488E0">
            <w:pPr>
              <w:widowControl/>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双通道无线麦</w:t>
            </w:r>
          </w:p>
          <w:p w14:paraId="6BDE6C34">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克风</w:t>
            </w:r>
          </w:p>
        </w:tc>
        <w:tc>
          <w:tcPr>
            <w:tcW w:w="4112" w:type="dxa"/>
            <w:tcBorders>
              <w:top w:val="single" w:color="000000" w:sz="4" w:space="0"/>
              <w:left w:val="nil"/>
              <w:bottom w:val="single" w:color="000000" w:sz="4" w:space="0"/>
              <w:right w:val="single" w:color="000000" w:sz="4" w:space="0"/>
            </w:tcBorders>
            <w:vAlign w:val="center"/>
          </w:tcPr>
          <w:p w14:paraId="693C3B27">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麦克风支持≥1个3.5mm音频接口，可输入头戴麦音频信号，输出幅值≥2V（RMS）。整机3.5mm音频接口≥2个。</w:t>
            </w:r>
          </w:p>
          <w:p w14:paraId="5B008731">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麦克风支持≥1个Pogo pin接口，支持通过Pogo pin接口进行充电。整机Pogo pin接口≥2个。</w:t>
            </w:r>
          </w:p>
          <w:p w14:paraId="72B4A916">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麦克风支持≥1个三合一按键，可控制麦克风的开关机、静音和配对。</w:t>
            </w:r>
          </w:p>
          <w:p w14:paraId="3ECA8517">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麦克风支持≥2个音量控制按钮，可通过音量“+”“—”按钮控制麦克风输出音量。</w:t>
            </w:r>
          </w:p>
          <w:p w14:paraId="34F4BCF7">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麦克风标配充电仓，方便快速充电及收纳。</w:t>
            </w:r>
          </w:p>
          <w:p w14:paraId="0EC1EE8F">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麦克风支持≥4种佩戴方式。</w:t>
            </w:r>
          </w:p>
          <w:p w14:paraId="2C14DBAD">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 麦克风领夹角度支持自由调节，调节角度≥±90°，以适配不同的使用者衣物；调节至0°位置时会有“卡扣感”,方便回归标准位置。</w:t>
            </w:r>
          </w:p>
          <w:p w14:paraId="7B240B8D">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 整机标配两个无线麦克风，且两个麦克风支持同时工作。</w:t>
            </w:r>
          </w:p>
          <w:p w14:paraId="1F382124">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 麦克风支持≥2种配对方式，可通过麦克风从充电仓拿出自动开始配对、短按按键开始配对，配对完成时间≤5s。</w:t>
            </w:r>
          </w:p>
          <w:p w14:paraId="7ED39849">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10. 麦克风支持通过音量调节按钮调节输出音量；音量调节过程中通过麦克风一体化屏幕动态提示当前音量等级。</w:t>
            </w:r>
          </w:p>
          <w:p w14:paraId="7CE6BFB3">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11. 支持任意两个麦克风放入同一个充电仓完成配对，配对后两个麦克风可同时连接一个接收端。</w:t>
            </w:r>
          </w:p>
          <w:p w14:paraId="45B0B4EE">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12. 麦克风信噪比≥95dB。</w:t>
            </w:r>
          </w:p>
          <w:p w14:paraId="5BC6CC64">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13. 麦克风音频采样率≥48000Hz。</w:t>
            </w:r>
          </w:p>
          <w:p w14:paraId="387E3A3C">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14. 支持红外和无线2.4G同时配对，实现远距离配对的同时，防止误配对。</w:t>
            </w:r>
          </w:p>
          <w:p w14:paraId="1C3CC73F">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15. 麦克风自带全彩显示屏，支持显示显示麦克风电池电量、麦克风配对状态、麦克风所连接的设备、显示当前麦克风接收声音强度、无线连接信号强度。</w:t>
            </w:r>
          </w:p>
        </w:tc>
        <w:tc>
          <w:tcPr>
            <w:tcW w:w="1040" w:type="dxa"/>
            <w:tcBorders>
              <w:top w:val="single" w:color="000000" w:sz="4" w:space="0"/>
              <w:left w:val="nil"/>
              <w:bottom w:val="single" w:color="000000" w:sz="4" w:space="0"/>
              <w:right w:val="single" w:color="000000" w:sz="4" w:space="0"/>
            </w:tcBorders>
            <w:vAlign w:val="center"/>
          </w:tcPr>
          <w:p w14:paraId="448681D7">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14:paraId="31C3992D">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3DC5E832">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7C5E25CE">
            <w:pPr>
              <w:jc w:val="center"/>
              <w:rPr>
                <w:rFonts w:ascii="宋体" w:hAnsi="宋体"/>
                <w:color w:val="auto"/>
                <w:sz w:val="18"/>
                <w:szCs w:val="18"/>
                <w:highlight w:val="none"/>
                <w:lang w:val="en-US" w:eastAsia="zh-CN"/>
              </w:rPr>
            </w:pPr>
          </w:p>
        </w:tc>
      </w:tr>
      <w:tr w14:paraId="1351184A">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4DBCB54A">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2</w:t>
            </w:r>
            <w:r>
              <w:rPr>
                <w:rFonts w:hint="eastAsia" w:ascii="宋体" w:hAnsi="宋体"/>
                <w:color w:val="auto"/>
                <w:kern w:val="0"/>
                <w:sz w:val="18"/>
                <w:szCs w:val="18"/>
                <w:highlight w:val="none"/>
                <w:lang w:val="en-US" w:eastAsia="zh-CN"/>
              </w:rPr>
              <w:t>0</w:t>
            </w:r>
          </w:p>
        </w:tc>
        <w:tc>
          <w:tcPr>
            <w:tcW w:w="817" w:type="dxa"/>
            <w:tcBorders>
              <w:top w:val="single" w:color="000000" w:sz="4" w:space="0"/>
              <w:left w:val="nil"/>
              <w:bottom w:val="single" w:color="000000" w:sz="4" w:space="0"/>
              <w:right w:val="single" w:color="000000" w:sz="4" w:space="0"/>
            </w:tcBorders>
            <w:vAlign w:val="center"/>
          </w:tcPr>
          <w:p w14:paraId="48DE6641">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麦克风音频处理系统</w:t>
            </w:r>
          </w:p>
        </w:tc>
        <w:tc>
          <w:tcPr>
            <w:tcW w:w="4112" w:type="dxa"/>
            <w:tcBorders>
              <w:top w:val="single" w:color="000000" w:sz="4" w:space="0"/>
              <w:left w:val="nil"/>
              <w:bottom w:val="single" w:color="000000" w:sz="4" w:space="0"/>
              <w:right w:val="single" w:color="000000" w:sz="4" w:space="0"/>
            </w:tcBorders>
            <w:vAlign w:val="center"/>
          </w:tcPr>
          <w:p w14:paraId="4DE71FEE">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麦克风音频编码方式采用LC3 plus。</w:t>
            </w:r>
          </w:p>
          <w:p w14:paraId="2356477C">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支持啸叫抑制算法，本地扩声时不产生啸叫现象。</w:t>
            </w:r>
          </w:p>
          <w:p w14:paraId="01DC9962">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支持降噪功能设置。</w:t>
            </w:r>
          </w:p>
          <w:p w14:paraId="04A22012">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4. 支持多通道输入混音。</w:t>
            </w:r>
          </w:p>
        </w:tc>
        <w:tc>
          <w:tcPr>
            <w:tcW w:w="1040" w:type="dxa"/>
            <w:tcBorders>
              <w:top w:val="single" w:color="000000" w:sz="4" w:space="0"/>
              <w:left w:val="nil"/>
              <w:bottom w:val="single" w:color="000000" w:sz="4" w:space="0"/>
              <w:right w:val="single" w:color="000000" w:sz="4" w:space="0"/>
            </w:tcBorders>
            <w:vAlign w:val="center"/>
          </w:tcPr>
          <w:p w14:paraId="67909958">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14:paraId="6841D577">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3DE8F29E">
            <w:pPr>
              <w:jc w:val="center"/>
              <w:rPr>
                <w:rFonts w:hint="default" w:ascii="宋体" w:hAnsi="宋体"/>
                <w:color w:val="auto"/>
                <w:sz w:val="18"/>
                <w:szCs w:val="18"/>
                <w:highlight w:val="none"/>
                <w:lang w:val="en-US"/>
              </w:rPr>
            </w:pPr>
          </w:p>
        </w:tc>
        <w:tc>
          <w:tcPr>
            <w:tcW w:w="859" w:type="dxa"/>
            <w:tcBorders>
              <w:top w:val="single" w:color="000000" w:sz="4" w:space="0"/>
              <w:left w:val="nil"/>
              <w:bottom w:val="single" w:color="000000" w:sz="4" w:space="0"/>
              <w:right w:val="single" w:color="000000" w:sz="4" w:space="0"/>
            </w:tcBorders>
            <w:vAlign w:val="center"/>
          </w:tcPr>
          <w:p w14:paraId="630AEA95">
            <w:pPr>
              <w:jc w:val="center"/>
              <w:rPr>
                <w:rFonts w:ascii="宋体" w:hAnsi="宋体"/>
                <w:color w:val="auto"/>
                <w:sz w:val="18"/>
                <w:szCs w:val="18"/>
                <w:highlight w:val="green"/>
                <w:lang w:val="en-US" w:eastAsia="zh-CN"/>
              </w:rPr>
            </w:pPr>
          </w:p>
        </w:tc>
      </w:tr>
      <w:tr w14:paraId="7DD0183B">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59B6D93D">
            <w:pPr>
              <w:widowControl/>
              <w:jc w:val="center"/>
              <w:textAlignment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21</w:t>
            </w:r>
          </w:p>
        </w:tc>
        <w:tc>
          <w:tcPr>
            <w:tcW w:w="817" w:type="dxa"/>
            <w:tcBorders>
              <w:top w:val="single" w:color="000000" w:sz="4" w:space="0"/>
              <w:left w:val="nil"/>
              <w:bottom w:val="single" w:color="000000" w:sz="4" w:space="0"/>
              <w:right w:val="single" w:color="000000" w:sz="4" w:space="0"/>
            </w:tcBorders>
            <w:vAlign w:val="center"/>
          </w:tcPr>
          <w:p w14:paraId="3B4C39EE">
            <w:pPr>
              <w:widowControl/>
              <w:jc w:val="center"/>
              <w:textAlignment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kern w:val="0"/>
                <w:sz w:val="18"/>
                <w:szCs w:val="18"/>
                <w:highlight w:val="none"/>
              </w:rPr>
              <w:t>POE交换机（24口）</w:t>
            </w:r>
          </w:p>
        </w:tc>
        <w:tc>
          <w:tcPr>
            <w:tcW w:w="4112" w:type="dxa"/>
            <w:tcBorders>
              <w:top w:val="single" w:color="000000" w:sz="4" w:space="0"/>
              <w:left w:val="nil"/>
              <w:bottom w:val="single" w:color="000000" w:sz="4" w:space="0"/>
              <w:right w:val="single" w:color="000000" w:sz="4" w:space="0"/>
            </w:tcBorders>
            <w:vAlign w:val="center"/>
          </w:tcPr>
          <w:p w14:paraId="012B739E">
            <w:pPr>
              <w:widowControl/>
              <w:jc w:val="left"/>
              <w:textAlignment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kern w:val="0"/>
                <w:sz w:val="18"/>
                <w:szCs w:val="18"/>
                <w:highlight w:val="none"/>
              </w:rPr>
              <w:t>1.传输速率:10/100/1000Mbps 2.交换方式:存储-转发 3.包转发率:41.66Mpps 4.端口数量:24个 5.端口描述:24个10/100/1000Base-T以太网端口，4个千兆SFP  6.支持4K个VLAN7.支持Access/Trunk/Hybrid/QinQ接入方式8.支持基于端口划分VLAN9.支持MAC地址自动学习10.支持MAC地址自动老化11.支持静态MAC表项</w:t>
            </w:r>
          </w:p>
        </w:tc>
        <w:tc>
          <w:tcPr>
            <w:tcW w:w="1040" w:type="dxa"/>
            <w:tcBorders>
              <w:top w:val="single" w:color="000000" w:sz="4" w:space="0"/>
              <w:left w:val="nil"/>
              <w:bottom w:val="single" w:color="000000" w:sz="4" w:space="0"/>
              <w:right w:val="single" w:color="000000" w:sz="4" w:space="0"/>
            </w:tcBorders>
            <w:vAlign w:val="center"/>
          </w:tcPr>
          <w:p w14:paraId="4D7AC9EA">
            <w:pPr>
              <w:widowControl/>
              <w:jc w:val="center"/>
              <w:textAlignment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14:paraId="0524304A">
            <w:pPr>
              <w:widowControl/>
              <w:jc w:val="center"/>
              <w:textAlignment w:val="center"/>
              <w:rPr>
                <w:rFonts w:hint="eastAsia" w:ascii="宋体" w:hAnsi="宋体" w:eastAsia="宋体" w:cs="Times New Roman"/>
                <w:color w:val="auto"/>
                <w:kern w:val="2"/>
                <w:sz w:val="20"/>
                <w:szCs w:val="20"/>
                <w:highlight w:val="none"/>
                <w:lang w:val="en-US" w:eastAsia="zh-CN" w:bidi="ar-SA"/>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11A9E119">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62731B1E">
            <w:pPr>
              <w:jc w:val="center"/>
              <w:rPr>
                <w:rFonts w:ascii="宋体" w:hAnsi="宋体"/>
                <w:color w:val="auto"/>
                <w:sz w:val="18"/>
                <w:szCs w:val="18"/>
                <w:highlight w:val="none"/>
                <w:lang w:val="en-US" w:eastAsia="zh-CN"/>
              </w:rPr>
            </w:pPr>
          </w:p>
        </w:tc>
      </w:tr>
      <w:tr w14:paraId="55A2EEB6">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21CE764F">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22</w:t>
            </w:r>
          </w:p>
        </w:tc>
        <w:tc>
          <w:tcPr>
            <w:tcW w:w="817" w:type="dxa"/>
            <w:tcBorders>
              <w:top w:val="single" w:color="000000" w:sz="4" w:space="0"/>
              <w:left w:val="nil"/>
              <w:bottom w:val="single" w:color="000000" w:sz="4" w:space="0"/>
              <w:right w:val="single" w:color="000000" w:sz="4" w:space="0"/>
            </w:tcBorders>
            <w:vAlign w:val="center"/>
          </w:tcPr>
          <w:p w14:paraId="36FCF168">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附件及线材</w:t>
            </w:r>
          </w:p>
        </w:tc>
        <w:tc>
          <w:tcPr>
            <w:tcW w:w="4112" w:type="dxa"/>
            <w:tcBorders>
              <w:top w:val="single" w:color="000000" w:sz="4" w:space="0"/>
              <w:left w:val="nil"/>
              <w:bottom w:val="single" w:color="000000" w:sz="4" w:space="0"/>
              <w:right w:val="single" w:color="000000" w:sz="4" w:space="0"/>
            </w:tcBorders>
            <w:vAlign w:val="center"/>
          </w:tcPr>
          <w:p w14:paraId="18E480A1">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HDMI高清音视频信号线</w:t>
            </w:r>
            <w:r>
              <w:rPr>
                <w:rFonts w:hint="eastAsia" w:ascii="宋体" w:hAnsi="宋体"/>
                <w:color w:val="auto"/>
                <w:kern w:val="0"/>
                <w:sz w:val="18"/>
                <w:szCs w:val="18"/>
                <w:highlight w:val="none"/>
                <w:lang w:val="en-US" w:eastAsia="zh-CN"/>
              </w:rPr>
              <w:t>10m</w:t>
            </w:r>
            <w:r>
              <w:rPr>
                <w:rFonts w:hint="eastAsia" w:ascii="宋体" w:hAnsi="宋体"/>
                <w:color w:val="auto"/>
                <w:kern w:val="0"/>
                <w:sz w:val="18"/>
                <w:szCs w:val="18"/>
                <w:highlight w:val="none"/>
              </w:rPr>
              <w:t>、超五类网络传输线200m、RVVP线缆10m。</w:t>
            </w:r>
          </w:p>
        </w:tc>
        <w:tc>
          <w:tcPr>
            <w:tcW w:w="1040" w:type="dxa"/>
            <w:tcBorders>
              <w:top w:val="single" w:color="000000" w:sz="4" w:space="0"/>
              <w:left w:val="nil"/>
              <w:bottom w:val="single" w:color="000000" w:sz="4" w:space="0"/>
              <w:right w:val="single" w:color="000000" w:sz="4" w:space="0"/>
            </w:tcBorders>
            <w:vAlign w:val="center"/>
          </w:tcPr>
          <w:p w14:paraId="1EC9B19A">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14:paraId="2B8915F9">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lang w:val="en-US" w:eastAsia="zh-CN"/>
              </w:rPr>
              <w:t>项</w:t>
            </w:r>
          </w:p>
        </w:tc>
        <w:tc>
          <w:tcPr>
            <w:tcW w:w="1084" w:type="dxa"/>
            <w:tcBorders>
              <w:top w:val="single" w:color="000000" w:sz="4" w:space="0"/>
              <w:left w:val="nil"/>
              <w:bottom w:val="single" w:color="000000" w:sz="4" w:space="0"/>
              <w:right w:val="single" w:color="000000" w:sz="4" w:space="0"/>
            </w:tcBorders>
            <w:vAlign w:val="center"/>
          </w:tcPr>
          <w:p w14:paraId="0371969B">
            <w:pPr>
              <w:jc w:val="center"/>
              <w:rPr>
                <w:rFonts w:hint="default" w:ascii="宋体" w:hAnsi="宋体"/>
                <w:color w:val="auto"/>
                <w:sz w:val="18"/>
                <w:szCs w:val="18"/>
                <w:highlight w:val="none"/>
                <w:lang w:val="en-US"/>
              </w:rPr>
            </w:pPr>
          </w:p>
        </w:tc>
        <w:tc>
          <w:tcPr>
            <w:tcW w:w="859" w:type="dxa"/>
            <w:tcBorders>
              <w:top w:val="single" w:color="000000" w:sz="4" w:space="0"/>
              <w:left w:val="nil"/>
              <w:bottom w:val="single" w:color="000000" w:sz="4" w:space="0"/>
              <w:right w:val="single" w:color="000000" w:sz="4" w:space="0"/>
            </w:tcBorders>
            <w:vAlign w:val="center"/>
          </w:tcPr>
          <w:p w14:paraId="7EF88D0D">
            <w:pPr>
              <w:jc w:val="center"/>
              <w:rPr>
                <w:rFonts w:ascii="宋体" w:hAnsi="宋体"/>
                <w:color w:val="auto"/>
                <w:sz w:val="18"/>
                <w:szCs w:val="18"/>
                <w:highlight w:val="green"/>
                <w:lang w:val="en-US" w:eastAsia="zh-CN"/>
              </w:rPr>
            </w:pPr>
          </w:p>
        </w:tc>
      </w:tr>
      <w:tr w14:paraId="074571F4">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4628A1B3">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23</w:t>
            </w:r>
          </w:p>
        </w:tc>
        <w:tc>
          <w:tcPr>
            <w:tcW w:w="817" w:type="dxa"/>
            <w:tcBorders>
              <w:top w:val="single" w:color="000000" w:sz="4" w:space="0"/>
              <w:left w:val="nil"/>
              <w:bottom w:val="single" w:color="000000" w:sz="4" w:space="0"/>
              <w:right w:val="single" w:color="000000" w:sz="4" w:space="0"/>
            </w:tcBorders>
            <w:vAlign w:val="center"/>
          </w:tcPr>
          <w:p w14:paraId="5C962A17">
            <w:pPr>
              <w:widowControl/>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信息发布及管</w:t>
            </w:r>
          </w:p>
          <w:p w14:paraId="357C9768">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理平台</w:t>
            </w:r>
          </w:p>
        </w:tc>
        <w:tc>
          <w:tcPr>
            <w:tcW w:w="4112" w:type="dxa"/>
            <w:tcBorders>
              <w:top w:val="single" w:color="000000" w:sz="4" w:space="0"/>
              <w:left w:val="nil"/>
              <w:bottom w:val="single" w:color="000000" w:sz="4" w:space="0"/>
              <w:right w:val="single" w:color="000000" w:sz="4" w:space="0"/>
            </w:tcBorders>
            <w:vAlign w:val="center"/>
          </w:tcPr>
          <w:p w14:paraId="191E181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一、信息发布</w:t>
            </w:r>
          </w:p>
          <w:p w14:paraId="2AFADD8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1.系统可在后台发布班牌展示信息内容，支持照片、视频、新闻、公告、电子欢迎横幅等类型，内容支持图文混合排版；信息发布具备定向发布功能，可按照全校、班级层级进行定向信息推送；</w:t>
            </w:r>
          </w:p>
          <w:p w14:paraId="61E731F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2.区域云班：支持区域教育局等单位直接发布图片、视频、资讯、海报等内容到学校。下发后学校班牌上会同步展示发布的内容；</w:t>
            </w:r>
          </w:p>
          <w:p w14:paraId="20CF906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3.联动校宣：发布的校级图片、视频、新闻、公告，可同时传到班牌和一体机（安装校园信息视窗软件）上展示。</w:t>
            </w:r>
          </w:p>
          <w:p w14:paraId="6C6F7A7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4.设置屏保模式后，班牌长时间处于无人操作状态下将自动切换至屏幕保护模式，屏保模式下可选择全校、班级相册轮播、置顶已发布公告等多种内容展示。</w:t>
            </w:r>
          </w:p>
          <w:p w14:paraId="274E8BC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5.系统内置超过200张屏保云图，分属于不同的云图库（如：卫生健康、党建文化、科普知识等），用户可以选择需要的云图库作为班牌屏保。（提供第三方检验中心所出具的权威检测报告复印件并加盖公章）</w:t>
            </w:r>
          </w:p>
          <w:p w14:paraId="0E015E4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6.支持发布校级重要公告，新增公告内容同步在全校班牌置顶展示。</w:t>
            </w:r>
          </w:p>
          <w:p w14:paraId="062388F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7.系统内置超过20套公告模板（如：家长会通知、寒暑假通知等），可供用户发布公告时套用。</w:t>
            </w:r>
          </w:p>
          <w:p w14:paraId="435CB3A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8.系统内置50+海报模板（如，欢迎模式，卫生健康，校园风采，通知公告等），支持用户自定义修改背景及文案。同时可以自定义管理海报分类。（提供第三方检验中心所出具的权威检测报告复印件并加盖公章）</w:t>
            </w:r>
          </w:p>
          <w:p w14:paraId="75ED372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9.支持以校级或班级为单位发布事件倒计时，可编辑事件名称和倒计时截止时间，事件剩余时间在班牌实时显示，可同时发布不少于3个事件倒计时。</w:t>
            </w:r>
          </w:p>
          <w:p w14:paraId="10A3201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10.支持发布班级值日安排，可在班牌显示当日对应的值日生名单。</w:t>
            </w:r>
          </w:p>
          <w:p w14:paraId="773066F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11.支持展示学校所在区域今日及明后两天的天气状况和今日空气质量指数，可详细查看当日PM10、PM2.5、NO2、SO2等常见污染物数据，并根据当前天气状态自动切换对应的主题插图。</w:t>
            </w:r>
          </w:p>
          <w:p w14:paraId="3CBCA62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12.支持对信息发布进行审核权限管理，可同时设置不同审核人，用户进行信息发布时，需由指定用户审核后才可在设备上展示。</w:t>
            </w:r>
          </w:p>
          <w:p w14:paraId="481CAF9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13.支持信息发布IP白名暈管理，可将相关管理人员的办公网络IP地址纳入“IP白名单”，白名单外的IP地址无法获取信息发布权限。</w:t>
            </w:r>
          </w:p>
          <w:p w14:paraId="14EA338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二、课程管理</w:t>
            </w:r>
          </w:p>
          <w:p w14:paraId="781D1CA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14.系统提供科目数据库，内置常见学科科目名称，且支持自定义增添科目。</w:t>
            </w:r>
          </w:p>
          <w:p w14:paraId="0C61FF6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15.支持以电子表格形式快速导入或人工创建课程表，具备单科目快速排课功能，可将某科目在课程表中跨日跨时段快速复制，提高录入效率。</w:t>
            </w:r>
          </w:p>
          <w:p w14:paraId="2E802CE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16.管理员可授权班主任自助管理本班课程表。</w:t>
            </w:r>
          </w:p>
          <w:p w14:paraId="060323E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系统支持发布课程作息时间表，可按全校和年级层级进行分层执行。每天可执行不同的课程作息时间表，便于灵活管理教学作息时间。学生、教师可在班牌查看对应课程表；班牌智能高亮标记显示今日课程及当前进行的课程，便于学生教师查看。</w:t>
            </w:r>
          </w:p>
          <w:p w14:paraId="50FE101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三、考勤管理</w:t>
            </w:r>
          </w:p>
          <w:p w14:paraId="5A7CC20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18.系统提供学生日循环考勤、单次事件考勤、课程考勤等考勤规则模式，可设置考勤事件的名称、起始时间、考勤人员范围。考勤时间段内班牌显示内容自动切换为考勤模式，实时显示应到学生、已到学生的数量及名单。</w:t>
            </w:r>
          </w:p>
          <w:p w14:paraId="6105634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19.人脸识别考勤功能支持离线识别，无网络环境下班牌仍可以进行人脸识别考勤。</w:t>
            </w:r>
          </w:p>
          <w:p w14:paraId="7F3DA7B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20.班牌可显示对应场地的历史考勤记录，可按日查看考勤事件的名称、考勤时间、考勤结果，考勤结果按准点、迟到、缺勤、请假等状态分类展示考勤名单，突出标识迟到或缺勤人员。21.学生考勤结果可自动推送至家长手机端，供家长查看学生考勤信息。支持考勤结束后自动推送考勤结果给班主任和任课老师，同时老师可设置关闭通知开关。</w:t>
            </w:r>
          </w:p>
          <w:p w14:paraId="4FC7A4A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22.支持教师授课考勤，教师通过人脸识别或手机扫描所在班级班牌的二维码完成授课考勤。考勤结果支持按日查询，可查看每名教师的打卡时间及考勤状态，总览教师授课出勤准点率等情况。针对指定课程，可设置教师与学生同时进行考勤，也可只对学生或教师单独进行考勤。</w:t>
            </w:r>
          </w:p>
          <w:p w14:paraId="526B381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23.教师可在手机端修改学生的考勤记录（并非使用浏览器打开指定网址）。</w:t>
            </w:r>
          </w:p>
          <w:p w14:paraId="5A6F7FA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四、校园及班级管理</w:t>
            </w:r>
          </w:p>
          <w:p w14:paraId="56D9CC8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24.系统提供基础信息库，包含教师、班级、学生、场地、一卡通等数据，支持电子表格批量导入或手工导入。提供考试信息库，包含考场号、场地、考试时间、科目等数据，支持电子表格批量导入或手工导入。提供考试信息库，包含考场号、场地、考试时间、科目等数据，支持电子表格批量导入或手工导入。</w:t>
            </w:r>
          </w:p>
          <w:p w14:paraId="2BB0488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25.支持管理员、年级级长和班主任多层级角色和权限管理，可以自定义年级级长和管理员权限。</w:t>
            </w:r>
          </w:p>
          <w:p w14:paraId="3AC1CFD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26.一个班级可以设置不少于3位班主任；</w:t>
            </w:r>
          </w:p>
          <w:p w14:paraId="5A1B4A5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27.考场模式：班牌显示在进入考试时间段前1小时自动切换至考试预告模式；到达考试时间自动切换至考试模式，展示考场号、场地、考试时间段、科目等信息，考场模式下，学生无法操控班牌，需进行二维码扫描身份验证后才可进行操作。</w:t>
            </w:r>
          </w:p>
          <w:p w14:paraId="018A083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28.支持在云班后台将可用来预约的场地开启场地预约，然后老师即可在云班后台发起场地预约。同时班牌端会显示当前场地近两周的预约占用情况。</w:t>
            </w:r>
          </w:p>
          <w:p w14:paraId="4676ACA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29.支持自定义德育督导班级评分标准，设定全校评价维度，督导教师可通过扫描班牌显示的班级专属二维码对班级进行评分，可按日、周、月查看班级总分，可以柱状图查看各评价维度的分数。</w:t>
            </w:r>
          </w:p>
          <w:p w14:paraId="7550E2D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30.班牌可展示过去一周、一月的本班评分名次，及全校前三名的光荣班级，激励学生自觉维护班级冗余，提升学生综合素质。</w:t>
            </w:r>
          </w:p>
          <w:p w14:paraId="5805C1D5">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31.支持批量为班级颁发具备有效期限的流动红旗，获奖班级班牌界面使用荣誉班级专用主题风格。</w:t>
            </w:r>
          </w:p>
          <w:p w14:paraId="29DACA5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32.班牌可连接对应场地内的网络摄像头和录播设备，在班牌即可査看教室内的上课画面，实现电子可视化巡课；可在单个班牌切换查看多个班级部署可视化巡课系统的课堂画面。</w:t>
            </w:r>
          </w:p>
          <w:p w14:paraId="77B70AD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33.班牌巡课具备权限管理功能，需用户扫码验证教师后，方可使用该功能，避免无关人士使用。</w:t>
            </w:r>
          </w:p>
          <w:p w14:paraId="32D5268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34.巡课界面下，当一段时间处于无人操作状态，班牌将自动退出巡课模式返回首页；支持管理系统与学生行为评价软件账号的单点登录、数据互通，教师对学生进行评价后，相应的分数会实时同步至班牌。同时，家长可以在移动端查看孩子近一个月孩子的课堂表现数据。</w:t>
            </w:r>
          </w:p>
          <w:p w14:paraId="578319D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35.支持班级名称更新，学年结束后管理员可一键升级全校班牌的班级名称，如“一年级一班”自动升级为“二年级一班”，管理员也可一键将毕业年级升级为毕业班。</w:t>
            </w:r>
          </w:p>
          <w:p w14:paraId="50C543C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36.班牌投票：支持老师在手机端发布投票到班牌，然后学生可以在班牌端通过刷脸或刷卡进行投票表决。</w:t>
            </w:r>
          </w:p>
          <w:p w14:paraId="087AC99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37.体温监测：通过体温枪检测学生体温，检测后学生在体温枪上刷卡，即可将对应学生的体温数据自动汇总到后台，管理员可在后台查看全校体温数据。老师/家长可以收到学生体温数据微信提醒（需搭配第三方体温枪）；</w:t>
            </w:r>
          </w:p>
          <w:p w14:paraId="7CD235C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38.支持学校管理员或班主任在微信端编辑并发起问卷，家长在微信端填写问卷（如：体温打卡）后，即可实现信息回传给学校，学校老师可以在云班后台或微信端实时查看家长提交的数据。</w:t>
            </w:r>
          </w:p>
          <w:p w14:paraId="54EFB0D2">
            <w:pPr>
              <w:widowControl/>
              <w:jc w:val="left"/>
              <w:textAlignment w:val="center"/>
              <w:rPr>
                <w:rFonts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39.班牌端录入人脸识别照片：老师在班牌端扫码后，即可进入人脸照片录入界面，可依次让学生直接在班牌上拍照上传人脸识别照片。</w:t>
            </w:r>
          </w:p>
        </w:tc>
        <w:tc>
          <w:tcPr>
            <w:tcW w:w="1040" w:type="dxa"/>
            <w:tcBorders>
              <w:top w:val="single" w:color="000000" w:sz="4" w:space="0"/>
              <w:left w:val="nil"/>
              <w:bottom w:val="single" w:color="000000" w:sz="4" w:space="0"/>
              <w:right w:val="single" w:color="000000" w:sz="4" w:space="0"/>
            </w:tcBorders>
            <w:vAlign w:val="center"/>
          </w:tcPr>
          <w:p w14:paraId="77026B46">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531B3D6D">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3B6590E8">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56165B0B">
            <w:pPr>
              <w:jc w:val="center"/>
              <w:rPr>
                <w:rFonts w:ascii="宋体" w:hAnsi="宋体"/>
                <w:color w:val="auto"/>
                <w:sz w:val="18"/>
                <w:szCs w:val="18"/>
                <w:highlight w:val="green"/>
                <w:lang w:val="en-US" w:eastAsia="zh-CN"/>
              </w:rPr>
            </w:pPr>
          </w:p>
        </w:tc>
      </w:tr>
      <w:tr w14:paraId="21ADCE60">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13923CC0">
            <w:pPr>
              <w:widowControl/>
              <w:jc w:val="center"/>
              <w:textAlignment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24</w:t>
            </w:r>
          </w:p>
        </w:tc>
        <w:tc>
          <w:tcPr>
            <w:tcW w:w="817" w:type="dxa"/>
            <w:tcBorders>
              <w:top w:val="single" w:color="000000" w:sz="4" w:space="0"/>
              <w:left w:val="nil"/>
              <w:bottom w:val="single" w:color="000000" w:sz="4" w:space="0"/>
              <w:right w:val="single" w:color="000000" w:sz="4" w:space="0"/>
            </w:tcBorders>
            <w:vAlign w:val="center"/>
          </w:tcPr>
          <w:p w14:paraId="4112251C">
            <w:pPr>
              <w:widowControl/>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智慧班牌硬件</w:t>
            </w:r>
          </w:p>
        </w:tc>
        <w:tc>
          <w:tcPr>
            <w:tcW w:w="4112" w:type="dxa"/>
            <w:tcBorders>
              <w:top w:val="single" w:color="000000" w:sz="4" w:space="0"/>
              <w:left w:val="nil"/>
              <w:bottom w:val="single" w:color="000000" w:sz="4" w:space="0"/>
              <w:right w:val="single" w:color="000000" w:sz="4" w:space="0"/>
            </w:tcBorders>
            <w:vAlign w:val="center"/>
          </w:tcPr>
          <w:p w14:paraId="2BDDD56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1、采用≥21.5英寸横屏式电容显示屏，支持10点触控，屏幕分辨率≥1920*1080，显示比例16:9；屏幕亮度≥500cd/㎡。</w:t>
            </w:r>
          </w:p>
          <w:p w14:paraId="5964139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2、屏体采用宽温液晶屏，屏体工作温度区间跨度不小于零下20°C-80°C。</w:t>
            </w:r>
          </w:p>
          <w:p w14:paraId="52AA33E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3、整机采用防水防尘结构设计，适用于学校教室半户外环境，防护等级不低于IP65。</w:t>
            </w:r>
          </w:p>
          <w:p w14:paraId="30F40E7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4、整机背部与墙面微距全贴合，背面与平整墙面间隙最大处≤2.5mm，保障教学环境的安全性。</w:t>
            </w:r>
          </w:p>
          <w:p w14:paraId="1AA178B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5、整机最大厚度不大于30mm。</w:t>
            </w:r>
          </w:p>
          <w:p w14:paraId="4BA1A07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6、整机正面覆盖钢化玻璃</w:t>
            </w:r>
          </w:p>
          <w:p w14:paraId="02A82EE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7、整机正面不采用贴膜方式具备防眩光功能</w:t>
            </w:r>
          </w:p>
          <w:p w14:paraId="4A471A66">
            <w:pPr>
              <w:widowControl/>
              <w:jc w:val="left"/>
              <w:textAlignment w:val="center"/>
              <w:rPr>
                <w:rFonts w:ascii="宋体" w:hAnsi="宋体"/>
                <w:color w:val="auto"/>
                <w:sz w:val="18"/>
                <w:szCs w:val="18"/>
                <w:highlight w:val="yellow"/>
              </w:rPr>
            </w:pPr>
            <w:r>
              <w:rPr>
                <w:rFonts w:hint="eastAsia" w:ascii="宋体" w:hAnsi="宋体"/>
                <w:color w:val="auto"/>
                <w:sz w:val="18"/>
                <w:szCs w:val="18"/>
                <w:highlight w:val="yellow"/>
              </w:rPr>
              <w:t>8、可拍摄不低于200W像素的照片，支持不少于10人同时进行人脸识别。可支持学生无卡考勤签到、查看个人课程表、家长留言等个人信息。（提供第三方检验中心所出具的权威检测报告复印件并加盖公章）</w:t>
            </w:r>
          </w:p>
          <w:p w14:paraId="65A2C30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9、整机在逆光（人像处于背景照度≥80000Lux）环境下距离≤0.5m可正常进行人脸识别</w:t>
            </w:r>
          </w:p>
          <w:p w14:paraId="4DBF605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10、整机内置红外补光灯和双目摄像头，能同时打开彩色和黑白照片，具备活体检测功能</w:t>
            </w:r>
          </w:p>
          <w:p w14:paraId="0F51A1A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11、内置高灵敏度的全向麦克风，拾音半径不小于0.5m，支持学生语音留言，留言内容同步发送至家长微信。</w:t>
            </w:r>
          </w:p>
          <w:p w14:paraId="0B3A73F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12、内置2.0立体声道功放，支持视频及家长留言的音频播放。</w:t>
            </w:r>
          </w:p>
          <w:p w14:paraId="11ADA81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13、刷卡器：具有内置IC卡刷卡器，支持14443协议。学生可佩带相应的终端设备完成刷卡签到、查看个人信息等操作。</w:t>
            </w:r>
          </w:p>
          <w:p w14:paraId="4EF3AEC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14、整机具备至少一路RJ45网络接口；具备不少于2路USB 2.0接口。</w:t>
            </w:r>
          </w:p>
          <w:p w14:paraId="2EF3421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15、整机采用内置天线设计，无任何天线外露。</w:t>
            </w:r>
          </w:p>
          <w:p w14:paraId="17566A4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16、整机支持外接门禁控制。</w:t>
            </w:r>
          </w:p>
          <w:p w14:paraId="74EBA50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17、系统运行内存不低于2GB，存储容量不低于16GB；操作系统版本不低于Android 9.0。</w:t>
            </w:r>
          </w:p>
          <w:p w14:paraId="3CE3938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18、整机CPU≥4核，最高主频≥1.9G，操作系统版本不低于Android 9.0。</w:t>
            </w:r>
          </w:p>
          <w:p w14:paraId="6234BBA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19、整机电源采用插墙式电源适配器，适配器无需悬挂，线材上出。</w:t>
            </w:r>
          </w:p>
          <w:p w14:paraId="3A2B25B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20、支持远程开关机功能，远程唤醒待机功耗≤2W。</w:t>
            </w:r>
          </w:p>
          <w:p w14:paraId="5F0BD190">
            <w:pPr>
              <w:widowControl/>
              <w:jc w:val="left"/>
              <w:textAlignment w:val="center"/>
              <w:rPr>
                <w:rFonts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21、整机支持自动感光调节屏幕亮度</w:t>
            </w:r>
          </w:p>
        </w:tc>
        <w:tc>
          <w:tcPr>
            <w:tcW w:w="1040" w:type="dxa"/>
            <w:tcBorders>
              <w:top w:val="single" w:color="000000" w:sz="4" w:space="0"/>
              <w:left w:val="nil"/>
              <w:bottom w:val="single" w:color="000000" w:sz="4" w:space="0"/>
              <w:right w:val="single" w:color="000000" w:sz="4" w:space="0"/>
            </w:tcBorders>
            <w:vAlign w:val="center"/>
          </w:tcPr>
          <w:p w14:paraId="169CDDC7">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14:paraId="5BCAAEA1">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7CB28249">
            <w:pPr>
              <w:jc w:val="center"/>
              <w:rPr>
                <w:rFonts w:hint="default" w:ascii="宋体" w:hAnsi="宋体"/>
                <w:color w:val="auto"/>
                <w:sz w:val="18"/>
                <w:szCs w:val="18"/>
                <w:highlight w:val="none"/>
                <w:lang w:val="en-US"/>
              </w:rPr>
            </w:pPr>
          </w:p>
        </w:tc>
        <w:tc>
          <w:tcPr>
            <w:tcW w:w="859" w:type="dxa"/>
            <w:tcBorders>
              <w:top w:val="single" w:color="000000" w:sz="4" w:space="0"/>
              <w:left w:val="nil"/>
              <w:bottom w:val="single" w:color="000000" w:sz="4" w:space="0"/>
              <w:right w:val="single" w:color="000000" w:sz="4" w:space="0"/>
            </w:tcBorders>
            <w:vAlign w:val="center"/>
          </w:tcPr>
          <w:p w14:paraId="6CE4EF61">
            <w:pPr>
              <w:jc w:val="center"/>
              <w:rPr>
                <w:rFonts w:ascii="宋体" w:hAnsi="宋体"/>
                <w:color w:val="auto"/>
                <w:sz w:val="18"/>
                <w:szCs w:val="18"/>
                <w:highlight w:val="green"/>
                <w:lang w:val="en-US" w:eastAsia="zh-CN"/>
              </w:rPr>
            </w:pPr>
          </w:p>
        </w:tc>
      </w:tr>
      <w:tr w14:paraId="0A15E08C">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7CAE4C7A">
            <w:pPr>
              <w:widowControl/>
              <w:jc w:val="center"/>
              <w:textAlignment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25</w:t>
            </w:r>
          </w:p>
        </w:tc>
        <w:tc>
          <w:tcPr>
            <w:tcW w:w="817" w:type="dxa"/>
            <w:tcBorders>
              <w:top w:val="single" w:color="000000" w:sz="4" w:space="0"/>
              <w:left w:val="nil"/>
              <w:bottom w:val="single" w:color="000000" w:sz="4" w:space="0"/>
              <w:right w:val="single" w:color="000000" w:sz="4" w:space="0"/>
            </w:tcBorders>
            <w:vAlign w:val="center"/>
          </w:tcPr>
          <w:p w14:paraId="7859CE0D">
            <w:pPr>
              <w:widowControl/>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智慧校园班牌</w:t>
            </w:r>
          </w:p>
          <w:p w14:paraId="67625DF7">
            <w:pPr>
              <w:widowControl/>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软件</w:t>
            </w:r>
          </w:p>
        </w:tc>
        <w:tc>
          <w:tcPr>
            <w:tcW w:w="4112" w:type="dxa"/>
            <w:tcBorders>
              <w:top w:val="single" w:color="000000" w:sz="4" w:space="0"/>
              <w:left w:val="nil"/>
              <w:bottom w:val="single" w:color="000000" w:sz="4" w:space="0"/>
              <w:right w:val="single" w:color="000000" w:sz="4" w:space="0"/>
            </w:tcBorders>
            <w:vAlign w:val="center"/>
          </w:tcPr>
          <w:p w14:paraId="003867F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1、自助查询：</w:t>
            </w:r>
          </w:p>
          <w:p w14:paraId="63EAE20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1.系统提供学生个人空间，学生可在个人空间中查询与自己个人相关的信息，也可与家长进行留言互动。</w:t>
            </w:r>
          </w:p>
          <w:p w14:paraId="2BB5D88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2.支持学生在全校任意班牌通过刷卡或者人脸识别登录学生个人空间。</w:t>
            </w:r>
          </w:p>
          <w:p w14:paraId="3EF2345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3.支持学生在个人空间查看每日课程表，包含上课时间、场地、任课老师等信息。</w:t>
            </w:r>
          </w:p>
          <w:p w14:paraId="3C5E5CE3">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4.支持学生在个人空间查看个人每日考勤记录。</w:t>
            </w:r>
          </w:p>
          <w:p w14:paraId="2569843F">
            <w:pPr>
              <w:widowControl/>
              <w:jc w:val="left"/>
              <w:textAlignment w:val="center"/>
              <w:rPr>
                <w:rFonts w:ascii="宋体" w:hAnsi="宋体"/>
                <w:color w:val="auto"/>
                <w:sz w:val="18"/>
                <w:szCs w:val="18"/>
                <w:highlight w:val="yellow"/>
              </w:rPr>
            </w:pPr>
            <w:r>
              <w:rPr>
                <w:rFonts w:hint="eastAsia" w:ascii="宋体" w:hAnsi="宋体"/>
                <w:color w:val="auto"/>
                <w:sz w:val="18"/>
                <w:szCs w:val="18"/>
                <w:highlight w:val="yellow"/>
              </w:rPr>
              <w:t>5.学生在班牌刷卡登录个人中心后，可以主动向家长发起语音留言，留言后家长微信可收到提醒。（提供第三方检验中心所出具的权威检测报告复印件并加盖公章）</w:t>
            </w:r>
          </w:p>
          <w:p w14:paraId="2E6A9441">
            <w:pPr>
              <w:widowControl/>
              <w:jc w:val="left"/>
              <w:textAlignment w:val="center"/>
              <w:rPr>
                <w:rFonts w:ascii="宋体" w:hAnsi="宋体"/>
                <w:color w:val="auto"/>
                <w:sz w:val="18"/>
                <w:szCs w:val="18"/>
                <w:highlight w:val="yellow"/>
              </w:rPr>
            </w:pPr>
            <w:r>
              <w:rPr>
                <w:rFonts w:hint="eastAsia" w:ascii="宋体" w:hAnsi="宋体"/>
                <w:color w:val="auto"/>
                <w:sz w:val="18"/>
                <w:szCs w:val="18"/>
                <w:highlight w:val="yellow"/>
                <w:lang w:val="en-US" w:eastAsia="zh-CN"/>
              </w:rPr>
              <w:t>6</w:t>
            </w:r>
            <w:r>
              <w:rPr>
                <w:rFonts w:hint="eastAsia" w:ascii="宋体" w:hAnsi="宋体"/>
                <w:color w:val="auto"/>
                <w:sz w:val="18"/>
                <w:szCs w:val="18"/>
                <w:highlight w:val="yellow"/>
              </w:rPr>
              <w:t>.支持在学生个人空间内嵌入第三方应用，以满足学校多样化的业务查询需求。</w:t>
            </w:r>
          </w:p>
          <w:p w14:paraId="30C2E7F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2.家校互通：</w:t>
            </w:r>
          </w:p>
          <w:p w14:paraId="7CECEA3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1.家长发送留言后，学生所在班级的班牌会显示该学生有新信息提醒，学生刷卡或人脸识别验证后方可查看信息，保护学生隐私。</w:t>
            </w:r>
          </w:p>
          <w:p w14:paraId="38A80B3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2.一个学生最多可以绑定4个家长，学生的考勤信息、在校动态、亲情留言均支持和多位家长对应。</w:t>
            </w:r>
          </w:p>
          <w:p w14:paraId="5F84ECB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3.学生可点选家长预设的回复选项或投票选项，答复结果实时推送到家长手机端。</w:t>
            </w:r>
          </w:p>
          <w:p w14:paraId="394D57F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4.家长可在手机端查看孩子每日的课程表、考勤报告。</w:t>
            </w:r>
          </w:p>
          <w:p w14:paraId="0599F68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5.支持向家长发送语音留言，留言信息实时推送至家长微信小程序手机端，并且家长可对留言进行文字回复；支持学生通过个人空间査看家长回复的文字留言。</w:t>
            </w:r>
          </w:p>
          <w:p w14:paraId="50ABAC1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家长可在手机端发起学生请假请求，可添加照片作为请假凭证。班主任手机端即时收到提醒，班牌同步该学生的请假状态，取消该学生的考勤要求。同时，学生可以在个人空间查看个人请假记录。支持导出电子表格的学生请假列表。</w:t>
            </w:r>
          </w:p>
          <w:p w14:paraId="3D7E0D2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7.教师可在手机端发起学生请假请求，可添加照片作为请假凭证，家长手机端即时收到提醒。同时，学生可以在个人空间查看个人请假记录。</w:t>
            </w:r>
          </w:p>
          <w:p w14:paraId="49F52CF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8.手机端APP支持管理员、教师、家长多重身份切换，应用内可直接切换账户角色，无需退出账号重新登录。</w:t>
            </w:r>
          </w:p>
          <w:p w14:paraId="4244374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9.支持管理系统与学生行为评价软件账号的单点登录、数据互通，教师对学生进行评价后，相应的评价分数会实时同步至班牌。</w:t>
            </w:r>
          </w:p>
          <w:p w14:paraId="7DD738C4">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10.可授权家长在微信端上传学生照片，用于人脸识别</w:t>
            </w:r>
          </w:p>
          <w:p w14:paraId="2337D28B">
            <w:pPr>
              <w:widowControl/>
              <w:jc w:val="left"/>
              <w:textAlignment w:val="center"/>
              <w:rPr>
                <w:rFonts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11.可授权家长在微信端查看班牌展示的班级相册、新闻、公告等内容。</w:t>
            </w:r>
          </w:p>
        </w:tc>
        <w:tc>
          <w:tcPr>
            <w:tcW w:w="1040" w:type="dxa"/>
            <w:tcBorders>
              <w:top w:val="single" w:color="000000" w:sz="4" w:space="0"/>
              <w:left w:val="nil"/>
              <w:bottom w:val="single" w:color="000000" w:sz="4" w:space="0"/>
              <w:right w:val="single" w:color="000000" w:sz="4" w:space="0"/>
            </w:tcBorders>
            <w:vAlign w:val="center"/>
          </w:tcPr>
          <w:p w14:paraId="03D38A37">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14:paraId="7568BE11">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052DA084">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3E2D8804">
            <w:pPr>
              <w:jc w:val="center"/>
              <w:rPr>
                <w:rFonts w:ascii="宋体" w:hAnsi="宋体"/>
                <w:color w:val="auto"/>
                <w:sz w:val="18"/>
                <w:szCs w:val="18"/>
                <w:highlight w:val="none"/>
                <w:lang w:val="en-US" w:eastAsia="zh-CN"/>
              </w:rPr>
            </w:pPr>
          </w:p>
        </w:tc>
      </w:tr>
      <w:tr w14:paraId="77E499CF">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6FBD3F75">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2</w:t>
            </w:r>
            <w:r>
              <w:rPr>
                <w:rFonts w:hint="eastAsia" w:ascii="宋体" w:hAnsi="宋体"/>
                <w:color w:val="auto"/>
                <w:sz w:val="18"/>
                <w:szCs w:val="18"/>
                <w:highlight w:val="none"/>
                <w:lang w:val="en-US" w:eastAsia="zh-CN"/>
              </w:rPr>
              <w:t>6</w:t>
            </w:r>
          </w:p>
        </w:tc>
        <w:tc>
          <w:tcPr>
            <w:tcW w:w="817" w:type="dxa"/>
            <w:tcBorders>
              <w:top w:val="single" w:color="000000" w:sz="4" w:space="0"/>
              <w:left w:val="nil"/>
              <w:bottom w:val="single" w:color="000000" w:sz="4" w:space="0"/>
              <w:right w:val="single" w:color="000000" w:sz="4" w:space="0"/>
            </w:tcBorders>
            <w:vAlign w:val="center"/>
          </w:tcPr>
          <w:p w14:paraId="2E6DE86D">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86英寸双屏电容一体机</w:t>
            </w:r>
          </w:p>
        </w:tc>
        <w:tc>
          <w:tcPr>
            <w:tcW w:w="4112" w:type="dxa"/>
            <w:tcBorders>
              <w:top w:val="single" w:color="000000" w:sz="4" w:space="0"/>
              <w:left w:val="nil"/>
              <w:bottom w:val="single" w:color="000000" w:sz="4" w:space="0"/>
              <w:right w:val="single" w:color="000000" w:sz="4" w:space="0"/>
            </w:tcBorders>
            <w:vAlign w:val="center"/>
          </w:tcPr>
          <w:p w14:paraId="4245F6B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1.整机采用一体设计，外部无任何可见内部功能模块连接线。整机采用全金属外壳设计，边角采用弧形设计，表面无尖锐边缘或凸起。</w:t>
            </w:r>
          </w:p>
          <w:p w14:paraId="53F8E90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w:t>
            </w:r>
            <w:r>
              <w:rPr>
                <w:rFonts w:hint="eastAsia" w:ascii="宋体" w:hAnsi="宋体"/>
                <w:color w:val="auto"/>
                <w:sz w:val="18"/>
                <w:szCs w:val="18"/>
                <w:highlight w:val="none"/>
                <w:lang w:val="en-US" w:eastAsia="zh-CN"/>
              </w:rPr>
              <w:t>屏幕不小于</w:t>
            </w:r>
            <w:r>
              <w:rPr>
                <w:rFonts w:hint="eastAsia" w:ascii="宋体" w:hAnsi="宋体"/>
                <w:color w:val="auto"/>
                <w:sz w:val="18"/>
                <w:szCs w:val="18"/>
                <w:highlight w:val="none"/>
              </w:rPr>
              <w:t>86英寸，整机采用超高清LED液晶显示屏，显示比例16:9，分辨率3840×2160。 整机色域覆盖率（NTSC）≥90%</w:t>
            </w:r>
          </w:p>
          <w:p w14:paraId="215EEC7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3.接口设置：</w:t>
            </w:r>
          </w:p>
          <w:p w14:paraId="044ECC5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侧置输入接口具备2路HDMI、1路RS232、1路USB接口，1路3.5mm audio in 音频输入接口  ；</w:t>
            </w:r>
          </w:p>
          <w:p w14:paraId="250503B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侧置输出接口具备1路3.5mm audio out音频输出、1路触控USB输出；</w:t>
            </w:r>
          </w:p>
          <w:p w14:paraId="0AE30EB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侧置输出接口具备1路HDMI out接口，支持3840×2160p/60Hz视频输出；</w:t>
            </w:r>
          </w:p>
          <w:p w14:paraId="6E35266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前置输入接口3路USB接口（包含1路Type-C、2路USB）。</w:t>
            </w:r>
          </w:p>
          <w:p w14:paraId="60FEEE6D">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4.整机系统采用高性能8核CPU。</w:t>
            </w:r>
          </w:p>
          <w:p w14:paraId="78F63C5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5.▲嵌入式系统版本不低于Android 13，内存≥4GB，存储空间≥32GB。（提供国家认证认可监督管理委员会认可的检测机构具有CMA或CNAS标志所出具的检测报告复印件）</w:t>
            </w:r>
          </w:p>
          <w:p w14:paraId="193D500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6.整机支持全通道支持4K UI界面显示，包括安卓通道、PC通道、HDMI通道、Type-C通道。</w:t>
            </w:r>
          </w:p>
          <w:p w14:paraId="0B71DD0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7.采用电容触控方式，支持Windows系统中进</w:t>
            </w:r>
            <w:r>
              <w:rPr>
                <w:rFonts w:hint="eastAsia" w:ascii="宋体" w:hAnsi="宋体" w:cs="Times New Roman"/>
                <w:color w:val="auto"/>
                <w:sz w:val="18"/>
                <w:szCs w:val="18"/>
                <w:highlight w:val="none"/>
              </w:rPr>
              <w:t>行</w:t>
            </w:r>
            <w:r>
              <w:rPr>
                <w:rFonts w:hint="eastAsia" w:ascii="宋体" w:hAnsi="宋体" w:cs="Times New Roman"/>
                <w:color w:val="auto"/>
                <w:sz w:val="18"/>
                <w:szCs w:val="18"/>
                <w:highlight w:val="none"/>
                <w:lang w:val="en-US" w:eastAsia="zh-CN"/>
              </w:rPr>
              <w:t>50</w:t>
            </w:r>
            <w:r>
              <w:rPr>
                <w:rFonts w:hint="eastAsia" w:ascii="宋体" w:hAnsi="宋体" w:cs="Times New Roman"/>
                <w:color w:val="auto"/>
                <w:sz w:val="18"/>
                <w:szCs w:val="18"/>
                <w:highlight w:val="none"/>
              </w:rPr>
              <w:t>点或以上</w:t>
            </w:r>
            <w:r>
              <w:rPr>
                <w:rFonts w:hint="eastAsia" w:ascii="宋体" w:hAnsi="宋体"/>
                <w:color w:val="auto"/>
                <w:sz w:val="18"/>
                <w:szCs w:val="18"/>
                <w:highlight w:val="none"/>
              </w:rPr>
              <w:t>触控，支持在Android系统中进行40点或以上触控。</w:t>
            </w:r>
          </w:p>
          <w:p w14:paraId="16F0A49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整机内置2.2声道扬声器，位于设备上边框，顶置朝前发声，前朝向10W高音扬声器2个，上朝向20W中低音扬声器2个，额定总功率60W。（提供国家认证认可监督管理委员会认可的检测机构具有CMA或CNAS标志所出具的检测报告复印件）</w:t>
            </w:r>
          </w:p>
          <w:p w14:paraId="6EE0D9C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9.整机扬声器在100%音量下，可做到1米处声压级≥88db，10米处声压级≥79dB10.内置摄像头、麦克风无需外接线材连接，无任何可见外接线材及模块化拼接痕迹，未占用整机设备端口。</w:t>
            </w:r>
          </w:p>
          <w:p w14:paraId="46A63C5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10.支持标准、听力、观影和 AI 空间感知音效模式，AI 空间感知音效模式可通过内置麦克风采集教室物理环境声音，自动生成符合当前教室物理环境的频段、音量、音效。</w:t>
            </w:r>
          </w:p>
          <w:p w14:paraId="219BBC7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整机内置独立音频CPU处理器，支持麦克风3A算法（自动增益控制（AGC）、自动抑制噪声（ANC）、自动回声消除（AEC）），提升麦克风拾音效果；（提供国家认证认可监督管理委员会认可的检测机构具有CMA或CNAS标志所出具的检测报告复印件）</w:t>
            </w:r>
          </w:p>
          <w:p w14:paraId="53A2812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12.整机内置专属的4核音频CPU处理器，最多支持8路麦克风数据处理，采样率支持192K，同时不占用整机系统的CPU能力。</w:t>
            </w:r>
          </w:p>
          <w:p w14:paraId="4547387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13.▲整机全通道支持纸质护眼模式，可实现画面纹理的实时调整。（提供国家认证认可监督管理委员会认可的检测机构具有CMA或CNAS标志所出具的检测报告复印件）</w:t>
            </w:r>
          </w:p>
          <w:p w14:paraId="3D37B79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14.整机支持蓝牙Bluetooth 5.4标准，固件版本号HCI13.0/LMP13.0。</w:t>
            </w:r>
          </w:p>
          <w:p w14:paraId="3224C79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15.▲整机支持发出频率为 18kHz-22kHz 超声波信号，智能手机通过麦克风接收后，智能手机与整机无需在同一局域网内，可实现配对，一键投屏，用户无需手动输入投屏码或扫码获取投屏码。（提供国家认证认可监督管理委员会认可的检测机构具有CMA或CNAS标志所出具的检测报告复印件）</w:t>
            </w:r>
          </w:p>
          <w:p w14:paraId="099C60F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16.▲整机上边框内置非独立式摄像头，采用一体化集成设计，摄像头数量≥3个；（提供国家认证认可监督管理委员会认可的检测机构具有CMA或CNAS标志所出具的检测报告复印件）</w:t>
            </w:r>
          </w:p>
          <w:p w14:paraId="188C9C8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上边框内置非独立式广角高清摄像头，视场角≥151度，水平视场角≥135度，支持输出4:3、16:9比例的图片和视频；在清晰度为3840x2160分辨率下，支持30帧的视频输出。（提供国家认证认可监督管理委员会认可的检测机构具有CMA或CNAS标志所出具的检测报告复印件）</w:t>
            </w:r>
          </w:p>
          <w:p w14:paraId="4F6A87B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18.▲整机Windows通道支持文件传输应用，支持通过扫码、wifi直联、超声三种方式与手机进行握手连接，实现文件传输功能。（提供国家认证认可监督管理委员会认可的检测机构具有CMA或CNAS标志所出具的检测报告复印件）</w:t>
            </w:r>
          </w:p>
          <w:p w14:paraId="09F0A16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二、内置电脑模块</w:t>
            </w:r>
          </w:p>
          <w:p w14:paraId="76573D3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1.整机架构:为降低电脑模块维护成本，与大屏无单独接线；</w:t>
            </w:r>
          </w:p>
          <w:p w14:paraId="2365F09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2.为保证产品安全性，采用螺丝固定，无需工具即可快速拆卸电脑模块。</w:t>
            </w:r>
          </w:p>
          <w:p w14:paraId="63F5068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3.CPU</w:t>
            </w:r>
            <w:r>
              <w:rPr>
                <w:rFonts w:hint="eastAsia" w:ascii="宋体" w:hAnsi="宋体"/>
                <w:color w:val="auto"/>
                <w:sz w:val="18"/>
                <w:szCs w:val="18"/>
                <w:highlight w:val="none"/>
                <w:lang w:val="en-US" w:eastAsia="zh-CN"/>
              </w:rPr>
              <w:t>核心数</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8核，主频</w:t>
            </w:r>
            <w:r>
              <w:rPr>
                <w:rFonts w:hint="eastAsia" w:ascii="宋体" w:hAnsi="宋体"/>
                <w:color w:val="FF0000"/>
                <w:sz w:val="18"/>
                <w:szCs w:val="18"/>
                <w:highlight w:val="none"/>
              </w:rPr>
              <w:t>≥</w:t>
            </w:r>
            <w:r>
              <w:rPr>
                <w:rFonts w:hint="eastAsia" w:ascii="宋体" w:hAnsi="宋体"/>
                <w:color w:val="FF0000"/>
                <w:sz w:val="18"/>
                <w:szCs w:val="18"/>
                <w:highlight w:val="none"/>
                <w:lang w:val="en-US" w:eastAsia="zh-CN"/>
              </w:rPr>
              <w:t>1.8</w:t>
            </w:r>
            <w:r>
              <w:rPr>
                <w:rFonts w:hint="eastAsia" w:ascii="宋体" w:hAnsi="宋体"/>
                <w:color w:val="auto"/>
                <w:sz w:val="18"/>
                <w:szCs w:val="18"/>
                <w:highlight w:val="none"/>
                <w:lang w:val="en-US" w:eastAsia="zh-CN"/>
              </w:rPr>
              <w:t>GHz</w:t>
            </w:r>
            <w:r>
              <w:rPr>
                <w:rFonts w:hint="eastAsia" w:ascii="宋体" w:hAnsi="宋体"/>
                <w:color w:val="auto"/>
                <w:sz w:val="18"/>
                <w:szCs w:val="18"/>
                <w:highlight w:val="none"/>
              </w:rPr>
              <w:t>；内存：≥8G DDR4；硬盘：≥256G SSD；独立显卡≥6G；</w:t>
            </w:r>
          </w:p>
          <w:p w14:paraId="6570DD7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4.USB接口要求：USB3.0≥3，USB2.0≥1；</w:t>
            </w:r>
          </w:p>
          <w:p w14:paraId="12AC81F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5.具有标准 PC 防盗锁孔，确保电脑模块安全防盗；</w:t>
            </w:r>
          </w:p>
        </w:tc>
        <w:tc>
          <w:tcPr>
            <w:tcW w:w="1040" w:type="dxa"/>
            <w:tcBorders>
              <w:top w:val="single" w:color="000000" w:sz="4" w:space="0"/>
              <w:left w:val="nil"/>
              <w:bottom w:val="single" w:color="000000" w:sz="4" w:space="0"/>
              <w:right w:val="single" w:color="000000" w:sz="4" w:space="0"/>
            </w:tcBorders>
            <w:vAlign w:val="center"/>
          </w:tcPr>
          <w:p w14:paraId="7DE3A38A">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3C0F3153">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40915F95">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213B1D19">
            <w:pPr>
              <w:jc w:val="center"/>
              <w:rPr>
                <w:rFonts w:ascii="宋体" w:hAnsi="宋体"/>
                <w:color w:val="auto"/>
                <w:sz w:val="18"/>
                <w:szCs w:val="18"/>
                <w:highlight w:val="none"/>
                <w:lang w:val="en-US" w:eastAsia="zh-CN"/>
              </w:rPr>
            </w:pPr>
          </w:p>
        </w:tc>
      </w:tr>
      <w:tr w14:paraId="2F2CD520">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4A09D96B">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2</w:t>
            </w:r>
            <w:r>
              <w:rPr>
                <w:rFonts w:hint="eastAsia" w:ascii="宋体" w:hAnsi="宋体"/>
                <w:color w:val="auto"/>
                <w:sz w:val="18"/>
                <w:szCs w:val="18"/>
                <w:highlight w:val="none"/>
                <w:lang w:val="en-US" w:eastAsia="zh-CN"/>
              </w:rPr>
              <w:t>7</w:t>
            </w:r>
          </w:p>
        </w:tc>
        <w:tc>
          <w:tcPr>
            <w:tcW w:w="817" w:type="dxa"/>
            <w:tcBorders>
              <w:top w:val="single" w:color="000000" w:sz="4" w:space="0"/>
              <w:left w:val="nil"/>
              <w:bottom w:val="single" w:color="000000" w:sz="4" w:space="0"/>
              <w:right w:val="single" w:color="000000" w:sz="4" w:space="0"/>
            </w:tcBorders>
            <w:vAlign w:val="center"/>
          </w:tcPr>
          <w:p w14:paraId="0396D66F">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小组研讨屏</w:t>
            </w:r>
          </w:p>
        </w:tc>
        <w:tc>
          <w:tcPr>
            <w:tcW w:w="4112" w:type="dxa"/>
            <w:tcBorders>
              <w:top w:val="single" w:color="000000" w:sz="4" w:space="0"/>
              <w:left w:val="nil"/>
              <w:bottom w:val="single" w:color="000000" w:sz="4" w:space="0"/>
              <w:right w:val="single" w:color="000000" w:sz="4" w:space="0"/>
            </w:tcBorders>
            <w:vAlign w:val="center"/>
          </w:tcPr>
          <w:p w14:paraId="56C04B7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（1）整机基础参数</w:t>
            </w:r>
          </w:p>
          <w:p w14:paraId="01AEEAA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1、整机屏幕采用≥65英寸，UHD超高清LED液晶屏，显示比例16:9，屏幕图像分辨率≥3840*2160；</w:t>
            </w:r>
          </w:p>
          <w:p w14:paraId="110F024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2、整机采用无推拉式结构及外露连接线；</w:t>
            </w:r>
          </w:p>
          <w:p w14:paraId="2417952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3、整机提供前置输入接口，≥2路前置双通道USB接口，≥1路Type-C；</w:t>
            </w:r>
          </w:p>
          <w:p w14:paraId="0C2CB64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4、侧置接口具备≥1路音频输出，≥1路触控USB；</w:t>
            </w:r>
          </w:p>
          <w:p w14:paraId="3355324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5、整机嵌入式系统版本不低于Android 13或同类嵌入式系统，内存≥2GB，存储空间≥8GB。</w:t>
            </w:r>
          </w:p>
          <w:p w14:paraId="004CA76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6、整机屏体亮度≥350cd/M2；整机色域覆盖率（NTSC）≥72%；对比度≥4000：1；整机屏体最大可视角度≥178度。</w:t>
            </w:r>
          </w:p>
          <w:p w14:paraId="5A66A53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7、依据相关国家标准，整机视网膜蓝光危害（蓝光加权辐射亮度LB）满足IEC TR 62778:2014蓝光危害RG0级别，LB限制范围≤100，蓝光无危害。</w:t>
            </w:r>
          </w:p>
          <w:p w14:paraId="704A8EC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8、整机能感应并自动调节屏幕亮度来达到在不同光照环境下的不同亮度显示效果，此功能可自行开启或关闭。</w:t>
            </w:r>
          </w:p>
          <w:p w14:paraId="5BA66F8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（2）音视频配置模块</w:t>
            </w:r>
          </w:p>
          <w:p w14:paraId="077470E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1、设备需搭载总功率不低于60W的扩声系统，不低于2.2声道，扬声器位于设备上方，声音方向朝前，保证后排清晰，前排不震耳。</w:t>
            </w:r>
          </w:p>
          <w:p w14:paraId="59F26A6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2、为满足远程教学及实训指导拾音需求，整机内置非独立外扩展的8阵列麦克风，可用于对教室环境音频进行采集；</w:t>
            </w:r>
          </w:p>
          <w:p w14:paraId="50BE917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3、整机支持蓝牙Bluetooth 5.4标准，支持主动发现蓝牙外设从而连接，支持连接外部蓝牙音箱播放音频。</w:t>
            </w:r>
          </w:p>
          <w:p w14:paraId="2A293FC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▲4、整机上边框内置非独式广角摄像头和智能拼接摄像头， 均支持 3D 降噪算法和数字宽动态范围成像WDR 技术，支持输出 MJPG、 H.264 视频格式；（提供国家认证认可监督管理委员会认可的检测机构具有CMA或CNAS标志所出具的检测报告复印件）</w:t>
            </w:r>
          </w:p>
          <w:p w14:paraId="07D8E43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▲5、整机需内置非独立的高清摄像头支持输出4:3、16:9比例的图片和视频；在清晰度为2592 x 1944分辨率下，支持30帧的视频输出。（提供国家认证认可监督管理委员会认可的检测机构具有CMA或CNAS标志所出具的检测报告复印件）</w:t>
            </w:r>
          </w:p>
          <w:p w14:paraId="323176F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整机摄像头支持人脸识别、快速点人数、随机抽人，可识别镜头前的所有学生，并显示人脸标记、随机抽选。支持同时显示标记不少于60人。（提供国家认证认可监督管理委员会认可的检测机构具有CMA或CNAS标志所出具的检测报告复印件）</w:t>
            </w:r>
          </w:p>
          <w:p w14:paraId="4CF5274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支持标准、听力、观影和AI空间感知音效模式，AI空间感知音效模式可通过内置麦克风采集教室物理环境声音，自动生成符合当前教室物理环境的频段、音量、音效。（提供国家认证认可监督管理委员会认可的检测机构具有CMA或CNAS标志所出具的检测报告复印件）</w:t>
            </w:r>
          </w:p>
          <w:p w14:paraId="54B8503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（3）便捷使用设计</w:t>
            </w:r>
          </w:p>
          <w:p w14:paraId="469BE58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1、支持通过前置面板物理按键一键启动录课功能；</w:t>
            </w:r>
          </w:p>
          <w:p w14:paraId="79A52DD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▲2、需支持纸质护眼模式，支持包括但不限于素描纸、牛皮纸、宣纸、水彩纸、水纹纸等多个模式。（提供国家认证认可监督管理委员会认可的检测机构具有CMA或CNAS标志所出具的检测报告复印件）</w:t>
            </w:r>
          </w:p>
          <w:p w14:paraId="1DB2088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3、设备可根据需要修改及记忆信号源名称，支持自动识别及切换到新接入的信号源来显示，断开信号源连接后经确认即可返回之前信号源；</w:t>
            </w:r>
          </w:p>
          <w:p w14:paraId="28E1B0A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4、支持智能板擦功能，系统可根据触控物体的形状自动识别出实物板擦，可擦除电子白板中的内容，无需依赖外部电子设备；</w:t>
            </w:r>
          </w:p>
          <w:p w14:paraId="56A08FB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5、安卓系统自检功能，可检测整机内存，存储使用情况；可检测内置电脑，触控系统，光感系统，可判断硬件是否正常工作；</w:t>
            </w:r>
          </w:p>
          <w:p w14:paraId="10F222D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整机Windows通道支持文件传输应用，支持通过扫码、wifi直联、超声三种方式与手机进行握手连接，实现文件传输功能。（提供国家认证认可监督管理委员会认可的检测机构具有CMA或CNAS标志所出具的检测报告复印件）</w:t>
            </w:r>
          </w:p>
          <w:p w14:paraId="717D8AA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整机支持发出频率为18kHz-22kHz超声波信号，智能手机通过麦克风接收后，智能手机与整机无需在同一局域网内，可实现配对，一键投屏，用户无需手动输入投屏码或扫码获取投屏码；（提供国家认证认可监督管理委员会认可的检测机构具有CMA或CNAS标志所出具的检测报告复印件）</w:t>
            </w:r>
          </w:p>
          <w:p w14:paraId="6E471F9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8、支持通过Type-C接口U盘进行文件传输，兼容Type-C接口手机充电；</w:t>
            </w:r>
          </w:p>
          <w:p w14:paraId="33E2968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（5）OPS性能参数要求</w:t>
            </w:r>
          </w:p>
          <w:p w14:paraId="384A2F4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1.整机架构:为降低电脑模块维护成本，与大屏无单独接线；</w:t>
            </w:r>
          </w:p>
          <w:p w14:paraId="2D31309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2.为保证产品安全性，采用螺丝固定，无需工具即可快速拆卸电脑模块。</w:t>
            </w:r>
          </w:p>
          <w:p w14:paraId="2311653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3.CPU</w:t>
            </w:r>
            <w:r>
              <w:rPr>
                <w:rFonts w:hint="eastAsia" w:ascii="宋体" w:hAnsi="宋体"/>
                <w:color w:val="auto"/>
                <w:sz w:val="18"/>
                <w:szCs w:val="18"/>
                <w:highlight w:val="none"/>
                <w:lang w:val="en-US" w:eastAsia="zh-CN"/>
              </w:rPr>
              <w:t>核心数</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8核，主频</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1.8GHz</w:t>
            </w:r>
            <w:r>
              <w:rPr>
                <w:rFonts w:hint="eastAsia" w:ascii="宋体" w:hAnsi="宋体"/>
                <w:color w:val="auto"/>
                <w:sz w:val="18"/>
                <w:szCs w:val="18"/>
                <w:highlight w:val="none"/>
              </w:rPr>
              <w:t>；内存：≥8G DDR4；硬盘：≥256G SSD；</w:t>
            </w:r>
          </w:p>
          <w:p w14:paraId="039FF1B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4.USB接口要求：USB3.0≥3，USB2.0≥1；</w:t>
            </w:r>
          </w:p>
          <w:p w14:paraId="1D79609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5.具有标准 PC 防盗锁孔，确保电脑模块安全防盗；</w:t>
            </w:r>
          </w:p>
        </w:tc>
        <w:tc>
          <w:tcPr>
            <w:tcW w:w="1040" w:type="dxa"/>
            <w:tcBorders>
              <w:top w:val="single" w:color="000000" w:sz="4" w:space="0"/>
              <w:left w:val="nil"/>
              <w:bottom w:val="single" w:color="000000" w:sz="4" w:space="0"/>
              <w:right w:val="single" w:color="000000" w:sz="4" w:space="0"/>
            </w:tcBorders>
            <w:vAlign w:val="center"/>
          </w:tcPr>
          <w:p w14:paraId="0D5C7057">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0625AB6A">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603C0544">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42BC7335">
            <w:pPr>
              <w:jc w:val="center"/>
              <w:rPr>
                <w:rFonts w:ascii="宋体" w:hAnsi="宋体"/>
                <w:color w:val="auto"/>
                <w:sz w:val="18"/>
                <w:szCs w:val="18"/>
                <w:highlight w:val="none"/>
                <w:lang w:val="en-US" w:eastAsia="zh-CN"/>
              </w:rPr>
            </w:pPr>
          </w:p>
        </w:tc>
      </w:tr>
      <w:tr w14:paraId="642BDADF">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10353774">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2</w:t>
            </w:r>
            <w:r>
              <w:rPr>
                <w:rFonts w:hint="eastAsia" w:ascii="宋体" w:hAnsi="宋体"/>
                <w:color w:val="auto"/>
                <w:kern w:val="0"/>
                <w:sz w:val="18"/>
                <w:szCs w:val="18"/>
                <w:highlight w:val="none"/>
                <w:lang w:val="en-US" w:eastAsia="zh-CN"/>
              </w:rPr>
              <w:t>8</w:t>
            </w:r>
          </w:p>
        </w:tc>
        <w:tc>
          <w:tcPr>
            <w:tcW w:w="817" w:type="dxa"/>
            <w:tcBorders>
              <w:top w:val="single" w:color="000000" w:sz="4" w:space="0"/>
              <w:left w:val="nil"/>
              <w:bottom w:val="single" w:color="000000" w:sz="4" w:space="0"/>
              <w:right w:val="single" w:color="000000" w:sz="4" w:space="0"/>
            </w:tcBorders>
            <w:vAlign w:val="center"/>
          </w:tcPr>
          <w:p w14:paraId="7596D86D">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智能讲台</w:t>
            </w:r>
          </w:p>
        </w:tc>
        <w:tc>
          <w:tcPr>
            <w:tcW w:w="4112" w:type="dxa"/>
            <w:tcBorders>
              <w:top w:val="single" w:color="000000" w:sz="4" w:space="0"/>
              <w:left w:val="nil"/>
              <w:bottom w:val="single" w:color="000000" w:sz="4" w:space="0"/>
              <w:right w:val="single" w:color="000000" w:sz="4" w:space="0"/>
            </w:tcBorders>
            <w:vAlign w:val="center"/>
          </w:tcPr>
          <w:p w14:paraId="7CE755E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1.智能讲台结构：木结构部分均采用E0级木质板材结构，甲醛释放量≤0.05mg/m³，桌面防静电。</w:t>
            </w:r>
          </w:p>
          <w:p w14:paraId="3D0C565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2.智能讲台尺寸及外观：（长×宽×高）≥ 1100mm× 550mm× 900mm</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允差±5cm</w:t>
            </w:r>
            <w:r>
              <w:rPr>
                <w:rFonts w:hint="eastAsia" w:ascii="宋体" w:hAnsi="宋体"/>
                <w:color w:val="auto"/>
                <w:sz w:val="18"/>
                <w:szCs w:val="18"/>
                <w:highlight w:val="none"/>
                <w:lang w:eastAsia="zh-CN"/>
              </w:rPr>
              <w:t>）</w:t>
            </w:r>
            <w:r>
              <w:rPr>
                <w:rFonts w:hint="eastAsia" w:ascii="宋体" w:hAnsi="宋体"/>
                <w:color w:val="auto"/>
                <w:sz w:val="18"/>
                <w:szCs w:val="18"/>
                <w:highlight w:val="none"/>
              </w:rPr>
              <w:t>，讲台三面环抱式设计，根据人体力学设计，讲台桌面高度合适老师放置教学用品，讲台产品外观桌面平整，悬浮式设计，边缘光滑，无棱角处理，保护师生安全。</w:t>
            </w:r>
          </w:p>
          <w:p w14:paraId="702C19A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3.智能讲台包含至少21.5英寸电容触摸屏幕，支持10点同时触摸。</w:t>
            </w:r>
          </w:p>
          <w:p w14:paraId="070D9D6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4.智能讲台屏幕采用防眩光全钢化防爆玻璃面板，厚度≥3mm。</w:t>
            </w:r>
          </w:p>
          <w:p w14:paraId="1D1D349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5.智能讲台支持通过触控屏幕对一体机的画面进行控制，同时支持同步显示一体机画面，老师讲课无需转身背对学生，提高授课效率。</w:t>
            </w:r>
          </w:p>
          <w:p w14:paraId="3DDDEAC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6.智能讲台设置物理实体快捷按键，两侧按键共≥5个。</w:t>
            </w:r>
          </w:p>
          <w:p w14:paraId="230D9FF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7.智能讲台具备独立的快捷按键，用户可通过快捷按键对一体机进行进行一键熄屏、音量加控制、音量减控制。</w:t>
            </w:r>
          </w:p>
          <w:p w14:paraId="7662232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8.智能讲台至少具备1个可自定义功能按键，可通过软件设置选择按键功能，包括一键启动白板、一键启动视频展台，一键关闭当前应用程序选项功能。</w:t>
            </w:r>
          </w:p>
          <w:p w14:paraId="72BF63A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9.智能讲台设置的USB口，可供老师接入键盘、鼠标、U盘等设备，可被一体机识别通讯。</w:t>
            </w:r>
          </w:p>
          <w:p w14:paraId="7C69077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10.智能讲台支持蓝牙BLE功能，可以无线控制支持蓝牙功能的一体机产品开机，减少额外连线或二次装修部署。</w:t>
            </w:r>
          </w:p>
        </w:tc>
        <w:tc>
          <w:tcPr>
            <w:tcW w:w="1040" w:type="dxa"/>
            <w:tcBorders>
              <w:top w:val="single" w:color="000000" w:sz="4" w:space="0"/>
              <w:left w:val="nil"/>
              <w:bottom w:val="single" w:color="000000" w:sz="4" w:space="0"/>
              <w:right w:val="single" w:color="000000" w:sz="4" w:space="0"/>
            </w:tcBorders>
            <w:vAlign w:val="center"/>
          </w:tcPr>
          <w:p w14:paraId="19E03027">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0BA60D73">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287F8FEC">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1B9F4A30">
            <w:pPr>
              <w:jc w:val="center"/>
              <w:rPr>
                <w:rFonts w:ascii="宋体" w:hAnsi="宋体"/>
                <w:color w:val="auto"/>
                <w:sz w:val="18"/>
                <w:szCs w:val="18"/>
                <w:highlight w:val="none"/>
                <w:lang w:val="en-US" w:eastAsia="zh-CN"/>
              </w:rPr>
            </w:pPr>
          </w:p>
        </w:tc>
      </w:tr>
      <w:tr w14:paraId="660817A4">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4C6ECA4B">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2</w:t>
            </w:r>
            <w:r>
              <w:rPr>
                <w:rFonts w:hint="eastAsia" w:ascii="宋体" w:hAnsi="宋体"/>
                <w:color w:val="auto"/>
                <w:kern w:val="0"/>
                <w:sz w:val="18"/>
                <w:szCs w:val="18"/>
                <w:highlight w:val="none"/>
                <w:lang w:val="en-US" w:eastAsia="zh-CN"/>
              </w:rPr>
              <w:t>9</w:t>
            </w:r>
          </w:p>
        </w:tc>
        <w:tc>
          <w:tcPr>
            <w:tcW w:w="817" w:type="dxa"/>
            <w:tcBorders>
              <w:top w:val="single" w:color="000000" w:sz="4" w:space="0"/>
              <w:left w:val="nil"/>
              <w:bottom w:val="single" w:color="000000" w:sz="4" w:space="0"/>
              <w:right w:val="single" w:color="000000" w:sz="4" w:space="0"/>
            </w:tcBorders>
            <w:vAlign w:val="center"/>
          </w:tcPr>
          <w:p w14:paraId="7956E98F">
            <w:pPr>
              <w:widowControl/>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指向性拾音麦</w:t>
            </w:r>
          </w:p>
          <w:p w14:paraId="736F1533">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克风</w:t>
            </w:r>
          </w:p>
        </w:tc>
        <w:tc>
          <w:tcPr>
            <w:tcW w:w="4112" w:type="dxa"/>
            <w:tcBorders>
              <w:top w:val="single" w:color="000000" w:sz="4" w:space="0"/>
              <w:left w:val="nil"/>
              <w:bottom w:val="single" w:color="000000" w:sz="4" w:space="0"/>
              <w:right w:val="single" w:color="000000" w:sz="4" w:space="0"/>
            </w:tcBorders>
            <w:vAlign w:val="center"/>
          </w:tcPr>
          <w:p w14:paraId="25B1862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麦克风采用线阵列设计，内置≥6个传感器单元。</w:t>
            </w:r>
          </w:p>
          <w:p w14:paraId="44BC500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麦克风无需额外适配器供电，能够通过网线实现麦克风供电、音频信号传输。</w:t>
            </w:r>
          </w:p>
          <w:p w14:paraId="5E97CD1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麦克风采用≥2个网口进行模拟音频信号传输，配以强驱动输出电路，实现强抗干扰能力。</w:t>
            </w:r>
          </w:p>
          <w:p w14:paraId="1189A35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麦克风采用12V直流供电。</w:t>
            </w:r>
          </w:p>
          <w:p w14:paraId="3A31A10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麦克风拾音距离≥6米。</w:t>
            </w:r>
          </w:p>
          <w:p w14:paraId="41E9DD6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麦克风频率响应范围为100Hz~20KHz。</w:t>
            </w:r>
          </w:p>
          <w:p w14:paraId="1C6CDE8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麦克风灵敏度为-37dB±3dB。</w:t>
            </w:r>
          </w:p>
          <w:p w14:paraId="2CD4D1B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麦克风信噪比≥70dB。</w:t>
            </w:r>
          </w:p>
          <w:p w14:paraId="3CE629C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麦克风输出阻抗为100Ω±20%。</w:t>
            </w:r>
          </w:p>
          <w:p w14:paraId="0BDAB90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麦克风最大声压级≥110dBSPL。</w:t>
            </w:r>
          </w:p>
          <w:p w14:paraId="28E71FF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 麦克风采用标准1/4吋螺口，适配各种类型标准吊杆。</w:t>
            </w:r>
          </w:p>
        </w:tc>
        <w:tc>
          <w:tcPr>
            <w:tcW w:w="1040" w:type="dxa"/>
            <w:tcBorders>
              <w:top w:val="single" w:color="000000" w:sz="4" w:space="0"/>
              <w:left w:val="nil"/>
              <w:bottom w:val="single" w:color="000000" w:sz="4" w:space="0"/>
              <w:right w:val="single" w:color="000000" w:sz="4" w:space="0"/>
            </w:tcBorders>
            <w:vAlign w:val="center"/>
          </w:tcPr>
          <w:p w14:paraId="2F9C0BAD">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3C0D12DA">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5A23FCBD">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3851C5AB">
            <w:pPr>
              <w:jc w:val="center"/>
              <w:rPr>
                <w:rFonts w:hint="eastAsia" w:ascii="宋体" w:hAnsi="宋体"/>
                <w:color w:val="auto"/>
                <w:sz w:val="18"/>
                <w:szCs w:val="18"/>
                <w:highlight w:val="none"/>
                <w:lang w:val="en-US" w:eastAsia="zh-CN"/>
              </w:rPr>
            </w:pPr>
          </w:p>
        </w:tc>
      </w:tr>
      <w:tr w14:paraId="5F9C1A87">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7FD73E5E">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30</w:t>
            </w:r>
          </w:p>
        </w:tc>
        <w:tc>
          <w:tcPr>
            <w:tcW w:w="817" w:type="dxa"/>
            <w:tcBorders>
              <w:top w:val="single" w:color="000000" w:sz="4" w:space="0"/>
              <w:left w:val="nil"/>
              <w:bottom w:val="single" w:color="000000" w:sz="4" w:space="0"/>
              <w:right w:val="single" w:color="000000" w:sz="4" w:space="0"/>
            </w:tcBorders>
            <w:vAlign w:val="center"/>
          </w:tcPr>
          <w:p w14:paraId="68A08A44">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音频处理器</w:t>
            </w:r>
          </w:p>
        </w:tc>
        <w:tc>
          <w:tcPr>
            <w:tcW w:w="4112" w:type="dxa"/>
            <w:tcBorders>
              <w:top w:val="single" w:color="000000" w:sz="4" w:space="0"/>
              <w:left w:val="nil"/>
              <w:bottom w:val="single" w:color="000000" w:sz="4" w:space="0"/>
              <w:right w:val="single" w:color="000000" w:sz="4" w:space="0"/>
            </w:tcBorders>
            <w:vAlign w:val="center"/>
          </w:tcPr>
          <w:p w14:paraId="639F523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1.主机需采用处理器CPU核心数量≥4个，CPU主频≥1.5GHz。</w:t>
            </w:r>
          </w:p>
          <w:p w14:paraId="2EEF48A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2.主机采用高度集成一体化设计，集成音频信号处理模块、数字功放模块、交流转直流开关电源模块。</w:t>
            </w:r>
          </w:p>
          <w:p w14:paraId="3214E50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3.主机外壳采用全金属设计，机身高度≤1U。</w:t>
            </w:r>
          </w:p>
          <w:p w14:paraId="647CB51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4.支持≥2路RJ45网口音频输入；支持≥6路凤凰端子差分输入，其中≥4路支持 48V幻象电源供电。</w:t>
            </w:r>
          </w:p>
          <w:p w14:paraId="0685F7D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5.主机采用≥1个船型开关控制电源供电。</w:t>
            </w:r>
          </w:p>
          <w:p w14:paraId="16D7FD3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6.主机具备≥2个状态指示灯，可显示主机工作状态，红色电源指示灯常亮表示正常上电状态，绿色运行指示灯常亮表示正常工作状态。</w:t>
            </w:r>
          </w:p>
          <w:p w14:paraId="4EAC519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7.主机具备≥9个音量调节旋钮，支持调节各输入输出通道的音量大小，音量调节旋钮均带箭头指示标识。</w:t>
            </w:r>
          </w:p>
          <w:p w14:paraId="6C55E9B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8.音量调节旋钮采用内陷式防误触设计，防止用户误触调节音量大小。</w:t>
            </w:r>
          </w:p>
          <w:p w14:paraId="16F43C9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9.支持拾扩一体功能，可通过一只吊装麦克风实现本地扩声和远程互动，本地扩音和远程互动能同时进行，并且相互不影响效果；本地扩音要求声音清晰响亮、无啸叫；远程互动要求声音清晰、无噪声和回声。</w:t>
            </w:r>
          </w:p>
          <w:p w14:paraId="3938A9B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10.支持鹅颈麦、无线麦与吊麦自动切换。当鹅颈麦、无线麦开启并有输入后，吊麦不扩声或降低音量，保证鹅颈麦、无线麦声音清晰；鹅颈麦、无线麦关闭或静音后，自动切换到吊麦扩声，保证扩声功能正常。</w:t>
            </w:r>
          </w:p>
          <w:p w14:paraId="7DE5184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11.功率放大器的输出功率≥2*150W。</w:t>
            </w:r>
          </w:p>
          <w:p w14:paraId="0AD1E23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12.采样率≥48KHz。</w:t>
            </w:r>
          </w:p>
          <w:p w14:paraId="37133EB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13.频率响应范围为100Hz~20KHz。</w:t>
            </w:r>
          </w:p>
          <w:p w14:paraId="7964C6B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14.支持虚拟音幕功能，在麦克风前方180°的讲台区域可以正常扩声，在麦克风后方180°的学生区域无法扩声，从而实现对学生区域嘈杂声的精准过滤。</w:t>
            </w:r>
          </w:p>
          <w:p w14:paraId="4D97E4AE">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15. 支持通过音频线与录播主机进行握手通信，可实现录播主机音频矩阵的自动化配置。</w:t>
            </w:r>
          </w:p>
          <w:p w14:paraId="23571C55">
            <w:pPr>
              <w:widowControl/>
              <w:jc w:val="left"/>
              <w:textAlignment w:val="center"/>
              <w:rPr>
                <w:rFonts w:hint="eastAsia" w:ascii="宋体" w:hAnsi="宋体"/>
                <w:color w:val="auto"/>
                <w:kern w:val="0"/>
                <w:sz w:val="18"/>
                <w:szCs w:val="18"/>
                <w:highlight w:val="none"/>
                <w:lang w:eastAsia="zh-CN"/>
              </w:rPr>
            </w:pPr>
            <w:r>
              <w:rPr>
                <w:rFonts w:hint="eastAsia" w:ascii="宋体" w:hAnsi="宋体"/>
                <w:color w:val="auto"/>
                <w:kern w:val="0"/>
                <w:sz w:val="18"/>
                <w:szCs w:val="18"/>
                <w:highlight w:val="none"/>
              </w:rPr>
              <w:t>控制面板</w:t>
            </w:r>
            <w:r>
              <w:rPr>
                <w:rFonts w:hint="eastAsia" w:ascii="宋体" w:hAnsi="宋体"/>
                <w:color w:val="auto"/>
                <w:kern w:val="0"/>
                <w:sz w:val="18"/>
                <w:szCs w:val="18"/>
                <w:highlight w:val="none"/>
                <w:lang w:eastAsia="zh-CN"/>
              </w:rPr>
              <w:t>：</w:t>
            </w:r>
          </w:p>
          <w:p w14:paraId="58C93E87">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采用≥2核的32位处理器。</w:t>
            </w:r>
          </w:p>
          <w:p w14:paraId="07843312">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采用≥4英寸电容液晶触控屏。</w:t>
            </w:r>
          </w:p>
          <w:p w14:paraId="3242273F">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支持分辨率≥480x480。</w:t>
            </w:r>
          </w:p>
          <w:p w14:paraId="52A37081">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支持≥16位色彩显示。</w:t>
            </w:r>
          </w:p>
          <w:p w14:paraId="11DA2713">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支持通过SD存储卡进行升级。</w:t>
            </w:r>
          </w:p>
          <w:p w14:paraId="340C927E">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支持通过RS485通讯方式进行吊麦静音控制、吊麦扩音音量大小控制。</w:t>
            </w:r>
          </w:p>
          <w:p w14:paraId="09C167F5">
            <w:pPr>
              <w:widowControl/>
              <w:jc w:val="left"/>
              <w:textAlignment w:val="center"/>
              <w:rPr>
                <w:rFonts w:hint="eastAsia" w:ascii="宋体" w:hAnsi="宋体"/>
                <w:color w:val="auto"/>
                <w:kern w:val="0"/>
                <w:sz w:val="18"/>
                <w:szCs w:val="18"/>
                <w:highlight w:val="none"/>
                <w:lang w:eastAsia="zh-CN"/>
              </w:rPr>
            </w:pPr>
            <w:r>
              <w:rPr>
                <w:rFonts w:hint="eastAsia" w:ascii="宋体" w:hAnsi="宋体"/>
                <w:color w:val="auto"/>
                <w:kern w:val="0"/>
                <w:sz w:val="18"/>
                <w:szCs w:val="18"/>
                <w:highlight w:val="none"/>
              </w:rPr>
              <w:t>7. 支持自动息屏功能。</w:t>
            </w:r>
          </w:p>
        </w:tc>
        <w:tc>
          <w:tcPr>
            <w:tcW w:w="1040" w:type="dxa"/>
            <w:tcBorders>
              <w:top w:val="single" w:color="000000" w:sz="4" w:space="0"/>
              <w:left w:val="nil"/>
              <w:bottom w:val="single" w:color="000000" w:sz="4" w:space="0"/>
              <w:right w:val="single" w:color="000000" w:sz="4" w:space="0"/>
            </w:tcBorders>
            <w:vAlign w:val="center"/>
          </w:tcPr>
          <w:p w14:paraId="19C746C3">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6FFB8976">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1A07997C">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00147C3A">
            <w:pPr>
              <w:jc w:val="center"/>
              <w:rPr>
                <w:rFonts w:ascii="宋体" w:hAnsi="宋体"/>
                <w:color w:val="auto"/>
                <w:sz w:val="18"/>
                <w:szCs w:val="18"/>
                <w:highlight w:val="none"/>
                <w:lang w:val="en-US" w:eastAsia="zh-CN"/>
              </w:rPr>
            </w:pPr>
          </w:p>
        </w:tc>
      </w:tr>
      <w:tr w14:paraId="20BC05B8">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46DD9238">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31</w:t>
            </w:r>
          </w:p>
        </w:tc>
        <w:tc>
          <w:tcPr>
            <w:tcW w:w="817" w:type="dxa"/>
            <w:tcBorders>
              <w:top w:val="single" w:color="000000" w:sz="4" w:space="0"/>
              <w:left w:val="nil"/>
              <w:bottom w:val="single" w:color="000000" w:sz="4" w:space="0"/>
              <w:right w:val="single" w:color="000000" w:sz="4" w:space="0"/>
            </w:tcBorders>
            <w:vAlign w:val="center"/>
          </w:tcPr>
          <w:p w14:paraId="429DEC4E">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一体化音箱</w:t>
            </w:r>
          </w:p>
        </w:tc>
        <w:tc>
          <w:tcPr>
            <w:tcW w:w="4112" w:type="dxa"/>
            <w:tcBorders>
              <w:top w:val="single" w:color="000000" w:sz="4" w:space="0"/>
              <w:left w:val="nil"/>
              <w:bottom w:val="single" w:color="000000" w:sz="4" w:space="0"/>
              <w:right w:val="single" w:color="000000" w:sz="4" w:space="0"/>
            </w:tcBorders>
            <w:vAlign w:val="center"/>
          </w:tcPr>
          <w:p w14:paraId="21DAC22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音箱采用≥2个喇叭单元，其中1个≥6"中低音喇叭单元，1个≥1"高音喇叭单元。</w:t>
            </w:r>
          </w:p>
          <w:p w14:paraId="32CA3A9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音箱外壳采用高强度的HIPS材料。</w:t>
            </w:r>
          </w:p>
          <w:p w14:paraId="33E653A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标配原厂壁挂支架，支持水平方向±90°、垂直方向±90°范围调节。</w:t>
            </w:r>
          </w:p>
          <w:p w14:paraId="54D0207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额定功率≥30W。</w:t>
            </w:r>
          </w:p>
          <w:p w14:paraId="15B80F7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最大功率≥60W。</w:t>
            </w:r>
          </w:p>
          <w:p w14:paraId="53D56C6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阻抗为8Ω。</w:t>
            </w:r>
          </w:p>
          <w:p w14:paraId="1F79276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最大声压级≥105dBSPL。</w:t>
            </w:r>
          </w:p>
          <w:p w14:paraId="11F7DEB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灵敏度为86dB（±3dB）。</w:t>
            </w:r>
          </w:p>
          <w:p w14:paraId="1B55A47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频率响应范围为70Hz~20KHz。</w:t>
            </w:r>
          </w:p>
        </w:tc>
        <w:tc>
          <w:tcPr>
            <w:tcW w:w="1040" w:type="dxa"/>
            <w:tcBorders>
              <w:top w:val="single" w:color="000000" w:sz="4" w:space="0"/>
              <w:left w:val="nil"/>
              <w:bottom w:val="single" w:color="000000" w:sz="4" w:space="0"/>
              <w:right w:val="single" w:color="000000" w:sz="4" w:space="0"/>
            </w:tcBorders>
            <w:vAlign w:val="center"/>
          </w:tcPr>
          <w:p w14:paraId="093A73E4">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1ACFCC8B">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2E955577">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58184E64">
            <w:pPr>
              <w:jc w:val="center"/>
              <w:rPr>
                <w:rFonts w:ascii="宋体" w:hAnsi="宋体"/>
                <w:color w:val="auto"/>
                <w:sz w:val="18"/>
                <w:szCs w:val="18"/>
                <w:highlight w:val="none"/>
                <w:lang w:val="en-US" w:eastAsia="zh-CN"/>
              </w:rPr>
            </w:pPr>
          </w:p>
        </w:tc>
      </w:tr>
      <w:tr w14:paraId="22C7912B">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16421AEB">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3</w:t>
            </w:r>
            <w:r>
              <w:rPr>
                <w:rFonts w:hint="eastAsia" w:ascii="宋体" w:hAnsi="宋体"/>
                <w:color w:val="auto"/>
                <w:kern w:val="0"/>
                <w:sz w:val="18"/>
                <w:szCs w:val="18"/>
                <w:highlight w:val="none"/>
                <w:lang w:val="en-US" w:eastAsia="zh-CN"/>
              </w:rPr>
              <w:t>2</w:t>
            </w:r>
          </w:p>
        </w:tc>
        <w:tc>
          <w:tcPr>
            <w:tcW w:w="817" w:type="dxa"/>
            <w:tcBorders>
              <w:top w:val="single" w:color="000000" w:sz="4" w:space="0"/>
              <w:left w:val="nil"/>
              <w:bottom w:val="single" w:color="000000" w:sz="4" w:space="0"/>
              <w:right w:val="single" w:color="000000" w:sz="4" w:space="0"/>
            </w:tcBorders>
            <w:vAlign w:val="center"/>
          </w:tcPr>
          <w:p w14:paraId="4054A164">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实物展台</w:t>
            </w:r>
          </w:p>
        </w:tc>
        <w:tc>
          <w:tcPr>
            <w:tcW w:w="4112" w:type="dxa"/>
            <w:tcBorders>
              <w:top w:val="single" w:color="000000" w:sz="4" w:space="0"/>
              <w:left w:val="nil"/>
              <w:bottom w:val="single" w:color="000000" w:sz="4" w:space="0"/>
              <w:right w:val="single" w:color="000000" w:sz="4" w:space="0"/>
            </w:tcBorders>
            <w:vAlign w:val="center"/>
          </w:tcPr>
          <w:p w14:paraId="3FB2937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1.整机采用壁挂安装，防止丢失及损坏。</w:t>
            </w:r>
          </w:p>
          <w:p w14:paraId="213C935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2.采用≥800万像素摄像头；采用 USB五伏电源直接供电，无需额外配置电源适配器，环保无辐射；箱内USB连线采用隐藏式设计，箱内无可见连线且USB口下出，有效防止积尘，且方便布线和返修。</w:t>
            </w:r>
          </w:p>
          <w:p w14:paraId="5E3FC63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3.箱内USB连线采用隐藏式设计，箱内无可见连线且USB口下出，有效防止积尘，且方便布线和返修。</w:t>
            </w:r>
          </w:p>
          <w:p w14:paraId="6914941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4.整机采用圆弧式设计，无锐角；同时托板采用磁吸吸附式机构，防止托板打落，方便打开及固定，避免机械式锁具故障率高的问题。。</w:t>
            </w:r>
          </w:p>
          <w:p w14:paraId="6FAF108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5.具有故障自动检测功能：在调用展台却无法出现镜头采集画面信号时，可自动出现检测链接，并给出导致性原因（如硬件连接、摄像头占用、配套软件版本等问题）。</w:t>
            </w:r>
          </w:p>
        </w:tc>
        <w:tc>
          <w:tcPr>
            <w:tcW w:w="1040" w:type="dxa"/>
            <w:tcBorders>
              <w:top w:val="single" w:color="000000" w:sz="4" w:space="0"/>
              <w:left w:val="nil"/>
              <w:bottom w:val="single" w:color="000000" w:sz="4" w:space="0"/>
              <w:right w:val="single" w:color="000000" w:sz="4" w:space="0"/>
            </w:tcBorders>
            <w:vAlign w:val="center"/>
          </w:tcPr>
          <w:p w14:paraId="5DCB9BCB">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1C99179E">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3BFCEFFC">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78A17A53">
            <w:pPr>
              <w:jc w:val="center"/>
              <w:rPr>
                <w:rFonts w:ascii="宋体" w:hAnsi="宋体"/>
                <w:color w:val="auto"/>
                <w:sz w:val="18"/>
                <w:szCs w:val="18"/>
                <w:highlight w:val="none"/>
                <w:lang w:val="en-US" w:eastAsia="zh-CN"/>
              </w:rPr>
            </w:pPr>
          </w:p>
        </w:tc>
      </w:tr>
      <w:tr w14:paraId="3530D2E3">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426BC628">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3</w:t>
            </w:r>
            <w:r>
              <w:rPr>
                <w:rFonts w:hint="eastAsia" w:ascii="宋体" w:hAnsi="宋体"/>
                <w:color w:val="auto"/>
                <w:kern w:val="0"/>
                <w:sz w:val="18"/>
                <w:szCs w:val="18"/>
                <w:highlight w:val="none"/>
                <w:lang w:val="en-US" w:eastAsia="zh-CN"/>
              </w:rPr>
              <w:t>3</w:t>
            </w:r>
          </w:p>
        </w:tc>
        <w:tc>
          <w:tcPr>
            <w:tcW w:w="817" w:type="dxa"/>
            <w:tcBorders>
              <w:top w:val="single" w:color="000000" w:sz="4" w:space="0"/>
              <w:left w:val="nil"/>
              <w:bottom w:val="single" w:color="000000" w:sz="4" w:space="0"/>
              <w:right w:val="single" w:color="000000" w:sz="4" w:space="0"/>
            </w:tcBorders>
            <w:vAlign w:val="center"/>
          </w:tcPr>
          <w:p w14:paraId="72660EEB">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智能笔</w:t>
            </w:r>
          </w:p>
        </w:tc>
        <w:tc>
          <w:tcPr>
            <w:tcW w:w="4112" w:type="dxa"/>
            <w:tcBorders>
              <w:top w:val="single" w:color="000000" w:sz="4" w:space="0"/>
              <w:left w:val="nil"/>
              <w:bottom w:val="single" w:color="000000" w:sz="4" w:space="0"/>
              <w:right w:val="single" w:color="000000" w:sz="4" w:space="0"/>
            </w:tcBorders>
            <w:vAlign w:val="center"/>
          </w:tcPr>
          <w:p w14:paraId="16DD42A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1.采用笔型设计，具有三个遥控按键（上下翻页和功能键），既可用于触摸书写，也可用于远程操控。</w:t>
            </w:r>
          </w:p>
          <w:p w14:paraId="1EC08BD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2.采用2.4G无线连接技术，无线接收距离最大可达15米。</w:t>
            </w:r>
          </w:p>
          <w:p w14:paraId="2938735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3.无线接收器采用微型nano设计，并能收纳在笔上，整洁美观。</w:t>
            </w:r>
          </w:p>
          <w:p w14:paraId="6C3F6AE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4.使用单节7号电池驱动，并带自动休眠节电设计。</w:t>
            </w:r>
          </w:p>
          <w:p w14:paraId="72F5D9F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5.单接收器设计，android、windows双系统同时响应。只需安装一个接收器，双系统都能响应智能笔的操作指令。</w:t>
            </w:r>
          </w:p>
          <w:p w14:paraId="1A96D1B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6.支持白板课件、PPT、PDF等多种格式的课件进行远程无线翻页。</w:t>
            </w:r>
          </w:p>
          <w:p w14:paraId="288E4BE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7.功能按键可通过长按/短按实现两种快捷功能，方便教师操作。</w:t>
            </w:r>
          </w:p>
          <w:p w14:paraId="4D47CFC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8.支持自定义按键功能，可选功能包括：一键启动任意通道批注、一键启动/退出PPT播放、一键启动PPT批注、一键启动任意通道冻结与放大屏幕内容。</w:t>
            </w:r>
          </w:p>
        </w:tc>
        <w:tc>
          <w:tcPr>
            <w:tcW w:w="1040" w:type="dxa"/>
            <w:tcBorders>
              <w:top w:val="single" w:color="000000" w:sz="4" w:space="0"/>
              <w:left w:val="nil"/>
              <w:bottom w:val="single" w:color="000000" w:sz="4" w:space="0"/>
              <w:right w:val="single" w:color="000000" w:sz="4" w:space="0"/>
            </w:tcBorders>
            <w:vAlign w:val="center"/>
          </w:tcPr>
          <w:p w14:paraId="402515FB">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32500D74">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0F2D2F4A">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18989CFF">
            <w:pPr>
              <w:jc w:val="center"/>
              <w:rPr>
                <w:rFonts w:ascii="宋体" w:hAnsi="宋体"/>
                <w:color w:val="auto"/>
                <w:sz w:val="18"/>
                <w:szCs w:val="18"/>
                <w:highlight w:val="none"/>
                <w:lang w:val="en-US" w:eastAsia="zh-CN"/>
              </w:rPr>
            </w:pPr>
          </w:p>
        </w:tc>
      </w:tr>
      <w:tr w14:paraId="58870DA2">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4D5DB5BB">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3</w:t>
            </w:r>
            <w:r>
              <w:rPr>
                <w:rFonts w:hint="eastAsia" w:ascii="宋体" w:hAnsi="宋体"/>
                <w:color w:val="auto"/>
                <w:sz w:val="18"/>
                <w:szCs w:val="18"/>
                <w:highlight w:val="none"/>
                <w:lang w:val="en-US" w:eastAsia="zh-CN"/>
              </w:rPr>
              <w:t>4</w:t>
            </w:r>
          </w:p>
        </w:tc>
        <w:tc>
          <w:tcPr>
            <w:tcW w:w="817" w:type="dxa"/>
            <w:tcBorders>
              <w:top w:val="single" w:color="000000" w:sz="4" w:space="0"/>
              <w:left w:val="nil"/>
              <w:bottom w:val="single" w:color="000000" w:sz="4" w:space="0"/>
              <w:right w:val="single" w:color="000000" w:sz="4" w:space="0"/>
            </w:tcBorders>
            <w:vAlign w:val="center"/>
          </w:tcPr>
          <w:p w14:paraId="08E01E6A">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互动录播电脑主机</w:t>
            </w:r>
          </w:p>
        </w:tc>
        <w:tc>
          <w:tcPr>
            <w:tcW w:w="4112" w:type="dxa"/>
            <w:tcBorders>
              <w:top w:val="single" w:color="000000" w:sz="4" w:space="0"/>
              <w:left w:val="nil"/>
              <w:bottom w:val="single" w:color="000000" w:sz="4" w:space="0"/>
              <w:right w:val="single" w:color="000000" w:sz="4" w:space="0"/>
            </w:tcBorders>
            <w:vAlign w:val="center"/>
          </w:tcPr>
          <w:p w14:paraId="0EA711E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主机需采用≥3颗处理器，主处理器采用8核架构</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rPr>
              <w:t>2颗协处理器均采用4核架构。</w:t>
            </w:r>
          </w:p>
          <w:p w14:paraId="572F23B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主机系统内存≥8GB，主机存储容量不低于1TB。</w:t>
            </w:r>
          </w:p>
          <w:p w14:paraId="3A13B4A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▲主机噪声小于20dB（A）。（需提供具有CNAS及CMA标识的国家权威检测机构出具的检测报告复印件并加盖公章）</w:t>
            </w:r>
          </w:p>
          <w:p w14:paraId="7CF7E7D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主机采用≥15.6英寸触控电容屏，屏幕色域≥72% NTSC，表面硬度≥7H，屏幕分辨率≥1920*1080。</w:t>
            </w:r>
          </w:p>
          <w:p w14:paraId="56067DA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内置蓝牙无线物联模块，主机无需线缆就可以实现对同品牌音箱的音量控制，也可通过同品牌讲台实现对主机开关机控制。</w:t>
            </w:r>
          </w:p>
          <w:p w14:paraId="323CCC3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支持标准USB音视频信号输出，通过主机TypeC接口可以实现图像和声音同步输出，最大支持4K图像输出，输出音频可通过主机控制软件实现混音，兼容主流视频会议软件。（需提供具有CNAS及CMA标识的国家权威检测机构出具的检测报告复印件并加盖公章）</w:t>
            </w:r>
          </w:p>
          <w:p w14:paraId="5A2CAB9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支持录制清晰度设定，支持可选择4K、1080p、720p、VGA、QVGA；支持录制帧率设定，可选择 25fps/30fps/60fps；支持录制画质选择，可选择≥5种等级；录制编码码率≥16Mbps。</w:t>
            </w:r>
          </w:p>
          <w:p w14:paraId="420374D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主机采用高度集成化设计，能够独立完成视频采集、音频采集、音频编码、视频编码、音频处理、视频处理、直播、录制、互动、专业导播、远程运维参数设置功能。</w:t>
            </w:r>
          </w:p>
          <w:p w14:paraId="2F964B2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内置音频接收模块。无需外接无线音频接收模块，即可完成无线音频采集，支持同时≥2个无线麦克风接入，且同时支持≥2种对频模式。麦克风链接成功后，主机会显示无线麦克风连接成功图标，可通过麦表动态查看声音采集状态。</w:t>
            </w:r>
          </w:p>
          <w:p w14:paraId="2F6A67E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支持断电扩声，在主机完全断电的情况下，从主机线性音频通道上输入的音频可以从主机输出通道输出，且≥2个音频输入通道可以支持该功能。（需提供具有CNAS及CMA标识的国家权威检测机构出具的检测报告复印件并加盖公章）</w:t>
            </w:r>
          </w:p>
          <w:p w14:paraId="04E43DC3">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11. 支持≥2个HDMI高清采集接口，支持分辨率包含：3840×2160p@30Hz、1920×1080p@60Hz、1920×1080p@30Hz、1680×1050p@30Hz、1600×900p@30Hz、1400×1050p@30fps、1280×1024p@30Hz、1280×1024p@60Hz、1280×960p@30Hz、1280×800p@30Hz、1280×720p@60Hz、1280×720p@30Hz、720×480p@60Hz、640×480p@30Hz 。</w:t>
            </w:r>
          </w:p>
          <w:p w14:paraId="4F7F3D1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 支持≥1路HDMI输入通道具备音频同步采集能力，可通过系统设置音频采集打开或者关闭。</w:t>
            </w:r>
          </w:p>
          <w:p w14:paraId="1FA3EE3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 ▲支持≥4路高清视频输出，4路视频输出可同一时间输出不同视频源，且输出最大分辨率均可达到4K，其中HDMI信号输出≥3路且UVC信号输出≥1路。（需提供具有CNAS及CMA标识的国家权威检测机构出具的检测报告复印件并加盖公章）</w:t>
            </w:r>
          </w:p>
          <w:p w14:paraId="161881E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 支持≥5个RJ45接口，其中≥3个支持POE。</w:t>
            </w:r>
          </w:p>
          <w:p w14:paraId="19462B9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 支持≥2个线路信号立体声输入，可满足不同类型的音频信号接入。</w:t>
            </w:r>
          </w:p>
          <w:p w14:paraId="3B2A00F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 支持≥1个阵列麦克风输入接口，可在不接入音频处理器的情况下，通过网线就可以完成≥8个阵列麦克风接入主机，通过网线可以实现≥8麦克风的供电、音频信号传输、音频参数设置，支持数字音频传输。</w:t>
            </w:r>
          </w:p>
          <w:p w14:paraId="6F32318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17.主机供电采用安全电压，整机供电电压≤24V。</w:t>
            </w:r>
          </w:p>
          <w:p w14:paraId="66E9E3F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18. 支持≥5个USB类型接口，其中USB-A接口≥3个，Type-C接口≥2个。</w:t>
            </w:r>
          </w:p>
          <w:p w14:paraId="5BEF9C0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19. 主机采用多功能电源按键，通过一个按键可以实现开机、关机、节能待机。</w:t>
            </w:r>
          </w:p>
          <w:p w14:paraId="3BD8B7C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20. 支持录制倒计时，自定义设置≥4种倒计时时间。</w:t>
            </w:r>
          </w:p>
          <w:p w14:paraId="4C29D3E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21. 屏幕需满足无蓝光危害，符合IEC 62471:2006要求， LB限制范围≤0.3。</w:t>
            </w:r>
          </w:p>
          <w:p w14:paraId="5230E1B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22. 支持硬件复位功能，可通过Reset复位键实现整机复位。</w:t>
            </w:r>
          </w:p>
          <w:p w14:paraId="50818FA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23. 支持接入标准USB声卡，实现USB双向音频通信。</w:t>
            </w:r>
          </w:p>
          <w:p w14:paraId="2504379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24. 支持双网卡设计，摄像机可在独立网段单独工作，不影响原有网络。</w:t>
            </w:r>
          </w:p>
          <w:p w14:paraId="5BA1AF9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25. 支持检测摄像机接入状态，可根据摄像机在线离线状态自动实现状态更新。</w:t>
            </w:r>
          </w:p>
          <w:p w14:paraId="44B3B02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26. 支持开机后自动实现与无线音频设备链接，支持自动对频，可通过主机屏幕查看对频是否成功。</w:t>
            </w:r>
          </w:p>
          <w:p w14:paraId="77299E5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27. 支持HDMI通道通道检测，可通过主机屏幕显示HDMI信号接入状态。</w:t>
            </w:r>
          </w:p>
          <w:p w14:paraId="19AD7AB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28. 支持≥1路自定义机位绑定设置，可将HDMI in绑定至任意景位。</w:t>
            </w:r>
          </w:p>
          <w:p w14:paraId="01DBAA0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29. 支持≥2种录制视频自动分段模式：支持按照文件大小分段，可选择500MB，1GB，2GB进行分段录制；支持按照录制时长分段，可选择30分钟、60分钟。</w:t>
            </w:r>
          </w:p>
          <w:p w14:paraId="54F9BE9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30. ▲支持网络监测功能，无需安装第三方软件，在触控屏幕上显示教室网络状态，包括：服务联通性、网络稳定性、上下行速度、网络追踪性、网卡信息。（需提供具有CNAS及CMA标识的国家权威检测机构出具的检测报告复印件并加盖公章）</w:t>
            </w:r>
          </w:p>
          <w:p w14:paraId="3DB744A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31. 支持 H.264(BP/MP/HP)视频编码与解码，可扩展支持H.265 编码/解码。</w:t>
            </w:r>
          </w:p>
          <w:p w14:paraId="02CC877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32. ▲支持≥32 路 1080p@30fps 编/解码。（需提供具有CNAS及CMA标识的国家权威检测机构出具的检测报告复印件并加盖公章）</w:t>
            </w:r>
          </w:p>
          <w:p w14:paraId="3EC4ADD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33. 支持分辨率、码率、帧率设定。</w:t>
            </w:r>
          </w:p>
          <w:p w14:paraId="76F2C99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34. 主机内置扬声器，支持音频检测，通过主机内置扬声器可以播放测试音频，通过主机一体化屏幕进行视频预览时能够同步播放音频，且可控制播放音频音量大小。</w:t>
            </w:r>
          </w:p>
          <w:p w14:paraId="333074C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35. 支持多通道同时录制，支持生成标准 MP4 格式视频文件，支持≥ 8 路 MP4 文件同时录制。</w:t>
            </w:r>
          </w:p>
          <w:p w14:paraId="671D84F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36. 支持通过主机一体化触控屏实现开始、暂停、停止录制、发布直播。</w:t>
            </w:r>
          </w:p>
          <w:p w14:paraId="5885544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37. 音画不同步时间差≤167ms。</w:t>
            </w:r>
          </w:p>
          <w:p w14:paraId="7A8C493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38. ▲支持通过互联网，查看当前的主机总数、日活个数、月活个数、当前在线数量，支持通过平台查看设备在线和离线状态，支持通过平台查看设备 ID 地址、IP 地址、激活时间信息。（需提供具有CNAS及CMA标识的国家权威检测机构出具的检测报告复印件并加盖公章）</w:t>
            </w:r>
          </w:p>
          <w:p w14:paraId="1BC6517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39. ▲支持通过互联网，实现对设备的远程配置，支持关机、重启、参数配置操作。（需提供具有CNAS及CMA标识的国家权威检测机构出具的检测报告复印件并加盖公章）</w:t>
            </w:r>
          </w:p>
          <w:p w14:paraId="431F14A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40. 为保证设备稳定运行，要求设备平均无故障运行时间（MTBF）≥250000小时。</w:t>
            </w:r>
          </w:p>
        </w:tc>
        <w:tc>
          <w:tcPr>
            <w:tcW w:w="1040" w:type="dxa"/>
            <w:tcBorders>
              <w:top w:val="single" w:color="000000" w:sz="4" w:space="0"/>
              <w:left w:val="nil"/>
              <w:bottom w:val="single" w:color="000000" w:sz="4" w:space="0"/>
              <w:right w:val="single" w:color="000000" w:sz="4" w:space="0"/>
            </w:tcBorders>
            <w:vAlign w:val="center"/>
          </w:tcPr>
          <w:p w14:paraId="027E70B8">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7C39ECE9">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2C9D5359">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76C1D308">
            <w:pPr>
              <w:jc w:val="center"/>
              <w:rPr>
                <w:rFonts w:ascii="宋体" w:hAnsi="宋体"/>
                <w:color w:val="auto"/>
                <w:sz w:val="18"/>
                <w:szCs w:val="18"/>
                <w:highlight w:val="none"/>
                <w:lang w:val="en-US" w:eastAsia="zh-CN"/>
              </w:rPr>
            </w:pPr>
          </w:p>
        </w:tc>
      </w:tr>
      <w:tr w14:paraId="46CF8AFF">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500B507E">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3</w:t>
            </w:r>
            <w:r>
              <w:rPr>
                <w:rFonts w:hint="eastAsia" w:ascii="宋体" w:hAnsi="宋体"/>
                <w:color w:val="auto"/>
                <w:sz w:val="18"/>
                <w:szCs w:val="18"/>
                <w:highlight w:val="none"/>
                <w:lang w:val="en-US" w:eastAsia="zh-CN"/>
              </w:rPr>
              <w:t>5</w:t>
            </w:r>
          </w:p>
        </w:tc>
        <w:tc>
          <w:tcPr>
            <w:tcW w:w="817" w:type="dxa"/>
            <w:tcBorders>
              <w:top w:val="single" w:color="000000" w:sz="4" w:space="0"/>
              <w:left w:val="nil"/>
              <w:bottom w:val="single" w:color="000000" w:sz="4" w:space="0"/>
              <w:right w:val="single" w:color="000000" w:sz="4" w:space="0"/>
            </w:tcBorders>
            <w:vAlign w:val="center"/>
          </w:tcPr>
          <w:p w14:paraId="23947477">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主机导播系统</w:t>
            </w:r>
          </w:p>
        </w:tc>
        <w:tc>
          <w:tcPr>
            <w:tcW w:w="4112" w:type="dxa"/>
            <w:tcBorders>
              <w:top w:val="single" w:color="000000" w:sz="4" w:space="0"/>
              <w:left w:val="nil"/>
              <w:bottom w:val="single" w:color="000000" w:sz="4" w:space="0"/>
              <w:right w:val="single" w:color="000000" w:sz="4" w:space="0"/>
            </w:tcBorders>
            <w:vAlign w:val="center"/>
          </w:tcPr>
          <w:p w14:paraId="5AC537A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自动导播默认画面支持自定义设定，支持选择自动导播画面，可根据需要选择自动导播的画面，可设置自动导播画面的保护时间和保持时间。</w:t>
            </w:r>
          </w:p>
          <w:p w14:paraId="657F6D1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支持多种画面模式，支持单画面、画中画、左右等分、三画面、四画面多种画面合成模式，支持自动导播、手动导播，可通过互动录播电脑主机一体化触控屏实现模式选择。</w:t>
            </w:r>
          </w:p>
          <w:p w14:paraId="499CD37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导播优先级可自定义设定，支持定时切换设置，可自由选择切换时间和切换画面，支持根据学生、老师行为状态实现画面智能切换。</w:t>
            </w:r>
          </w:p>
          <w:p w14:paraId="31BB237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支持本地导播、远程导播，本地导播可通过互动录播电脑主机一体化触控屏实现本地导播控制；也可通过触控回传实现画面导播，无需外接键鼠设备，通过交互智能平板实现对互动录播电脑主机的导播控制，远程导播可通过网络实现远程导播控制。</w:t>
            </w:r>
          </w:p>
          <w:p w14:paraId="72E0A03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支持课件画面自动检测，可设置检测灵敏度；支持课件画面检测区域设定，可屏蔽电脑弹窗区域。</w:t>
            </w:r>
          </w:p>
          <w:p w14:paraId="39603BD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支持导入与导出互动录播主机配置文件，进行升级和调试。</w:t>
            </w:r>
          </w:p>
          <w:p w14:paraId="1F19F3B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支持云台摄像机控制，支持 PTZ（云台全方位移动及镜头变倍、变焦），多个预置位设置和调用；同时支持通过鼠标点击画面，实现云台摄像机跟踪，可通过鼠标滑轮实现镜头画面放大缩小。</w:t>
            </w:r>
          </w:p>
          <w:p w14:paraId="1539729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在导播界面的预览窗口可实时观看教师全景/特写、学生全景/特写、多媒体电脑共五路画面，点击可进行画面切换。预监画面可实时推流给资源平台，实现平台直播。</w:t>
            </w:r>
          </w:p>
          <w:p w14:paraId="2A262D0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支持电影模式和资源模式同步录制，可根据用户的不同需求选择录制模式。</w:t>
            </w:r>
          </w:p>
          <w:p w14:paraId="291734E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支持外接导播台，可通过导播台实现对录播主机的录制控制、画面切换、云台跟踪、预置位设定与调取、音量调节。</w:t>
            </w:r>
          </w:p>
          <w:p w14:paraId="79D6E52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 录播画面比例支持16：9，触控回传响应延时≤70ms。</w:t>
            </w:r>
          </w:p>
          <w:p w14:paraId="5B629E9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 支持通过U盘导入视频、图片作为片头片尾素材，不少于3种格式；支持单个视频文件≥200MB，单个图片文件≥20MB，可保存≥10个素材；支持设定片头片尾保持时间，保持时间在1s~5s之间可选，片头片尾素材可直接在主机一体化屏幕上进行删除。</w:t>
            </w:r>
          </w:p>
          <w:p w14:paraId="5C120B3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 支持多种格式的字幕，可输入中文、英文、数字、特殊符号，数量≥200个字符；支持调节文字大小、文字透明度；支持≥5种文字颜色设置，文字边缘自带描边；支持滚动字幕。</w:t>
            </w:r>
          </w:p>
          <w:p w14:paraId="38F4CFC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 支持设定图片台标，支持jpeg、png两种格式，支持≥20MB台标文件，台标大小比例可通过主机一体化屏幕实现设置，台标位置可以通过主机一体化屏幕设定在PGM任意位置，支持快速台标位置设定功能，支持5个快速位置。</w:t>
            </w:r>
          </w:p>
          <w:p w14:paraId="1E651BF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 支持通过主机一体化屏幕实现云台摄像机控制，无需按照方位，可任意转动云台方向，实现步进控制、连续控制。</w:t>
            </w:r>
          </w:p>
          <w:p w14:paraId="6126C0D8">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16. 支持通过主机一体化屏幕实现预置位设置与调用，预置位≥9个。</w:t>
            </w:r>
          </w:p>
          <w:p w14:paraId="41E10F3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 支持通过主机一体化屏幕的虚拟摇杆拖动幅度实现云台的变速控制；支持≥3种云台转动灵敏度设置。</w:t>
            </w:r>
          </w:p>
          <w:p w14:paraId="1613169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18. 支持通过主机一体化屏幕实现云台摄像机的放大缩小变焦调节。</w:t>
            </w:r>
          </w:p>
        </w:tc>
        <w:tc>
          <w:tcPr>
            <w:tcW w:w="1040" w:type="dxa"/>
            <w:tcBorders>
              <w:top w:val="single" w:color="000000" w:sz="4" w:space="0"/>
              <w:left w:val="nil"/>
              <w:bottom w:val="single" w:color="000000" w:sz="4" w:space="0"/>
              <w:right w:val="single" w:color="000000" w:sz="4" w:space="0"/>
            </w:tcBorders>
            <w:vAlign w:val="center"/>
          </w:tcPr>
          <w:p w14:paraId="257F9B0D">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6E3911B6">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35952E10">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0E6F910D">
            <w:pPr>
              <w:jc w:val="center"/>
              <w:rPr>
                <w:rFonts w:ascii="宋体" w:hAnsi="宋体"/>
                <w:color w:val="auto"/>
                <w:sz w:val="18"/>
                <w:szCs w:val="18"/>
                <w:highlight w:val="none"/>
                <w:lang w:val="en-US" w:eastAsia="zh-CN"/>
              </w:rPr>
            </w:pPr>
          </w:p>
        </w:tc>
      </w:tr>
      <w:tr w14:paraId="0F5939E6">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79FC79EE">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3</w:t>
            </w:r>
            <w:r>
              <w:rPr>
                <w:rFonts w:hint="eastAsia" w:ascii="宋体" w:hAnsi="宋体"/>
                <w:color w:val="auto"/>
                <w:sz w:val="18"/>
                <w:szCs w:val="18"/>
                <w:highlight w:val="none"/>
                <w:lang w:val="en-US" w:eastAsia="zh-CN"/>
              </w:rPr>
              <w:t>6</w:t>
            </w:r>
          </w:p>
        </w:tc>
        <w:tc>
          <w:tcPr>
            <w:tcW w:w="817" w:type="dxa"/>
            <w:tcBorders>
              <w:top w:val="single" w:color="000000" w:sz="4" w:space="0"/>
              <w:left w:val="nil"/>
              <w:bottom w:val="single" w:color="000000" w:sz="4" w:space="0"/>
              <w:right w:val="single" w:color="000000" w:sz="4" w:space="0"/>
            </w:tcBorders>
            <w:vAlign w:val="center"/>
          </w:tcPr>
          <w:p w14:paraId="4445CD45">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主机互动系统</w:t>
            </w:r>
          </w:p>
        </w:tc>
        <w:tc>
          <w:tcPr>
            <w:tcW w:w="4112" w:type="dxa"/>
            <w:tcBorders>
              <w:top w:val="single" w:color="000000" w:sz="4" w:space="0"/>
              <w:left w:val="nil"/>
              <w:bottom w:val="single" w:color="000000" w:sz="4" w:space="0"/>
              <w:right w:val="single" w:color="000000" w:sz="4" w:space="0"/>
            </w:tcBorders>
            <w:vAlign w:val="center"/>
          </w:tcPr>
          <w:p w14:paraId="797F5CE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同时支持自动连线和手动连线，自动连线模式下听课端会自动接通来自主讲端的互动请求，可选择设置关闭，手动连线模式下，当主讲端发出呼叫请求后，在互动录播电脑主机一体化触控屏上会出现呼叫提醒，用户可选择接听或者挂断。</w:t>
            </w:r>
          </w:p>
          <w:p w14:paraId="2978C3F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支持标准SIP音视频互动协议，支持1080P60fps全高清视频互动。</w:t>
            </w:r>
          </w:p>
          <w:p w14:paraId="02DCEF2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支持互动清晰度设置：支持 1080p@60fps，分辨率可选择 1080p、720p、VGA、QVGA，帧率可选择 60fps、30fps、25fps。互动画质可选择极佳、好、一般、流畅四个等级。</w:t>
            </w:r>
          </w:p>
          <w:p w14:paraId="028BA7D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支持双流自动发送，设置自动发送后，建立呼叫，主讲教室自动发送双流。</w:t>
            </w:r>
          </w:p>
          <w:p w14:paraId="5662FF8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支持课程预约功能，互动录播电脑主机能接收平台下发的互动课表，并显示于互动电脑主机一体化触控屏上，用户点击课表即可立即加入课堂，进行实时互动。</w:t>
            </w:r>
          </w:p>
          <w:p w14:paraId="52E78B1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支持微信扫码登录，无需单独输入账号，使用微信扫描互动录播电脑主机一体化触控屏上显示的二维码即可登录互动系统，登陆后显示用户头像和用户名。</w:t>
            </w:r>
          </w:p>
          <w:p w14:paraId="1D63A13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支持手动切换发给远端的画面。支持通过互动录播电脑主机一体化触控屏实现音量大小调整、静音。支持互动过程中一键全屏，全屏放大主画面，隐藏所有图标。支持开启和关闭桌面共享功能。</w:t>
            </w:r>
          </w:p>
          <w:p w14:paraId="6C9BF49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互动过程中可随时邀请新的听课端加入，支持拨号呼叫，用户可通过互动录播电脑主机一体化触控屏上的拨号键盘实现拨号呼叫；支持互动通讯录功能，通讯录可显示最近呼叫的账号信息，可通过通讯录实现一键呼叫。</w:t>
            </w:r>
          </w:p>
          <w:p w14:paraId="24D042F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支持一键结束互动，用户通过互动录播电脑主机一体化触控屏一键结束互动。</w:t>
            </w:r>
          </w:p>
          <w:p w14:paraId="4914F5C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支持通过互动录播电脑主机一体化触控屏实现导播控制，过程中可选择自动导播/手动导播；支持通过 PC 客户端软件进行远程导播控制。</w:t>
            </w:r>
          </w:p>
          <w:p w14:paraId="0908EE9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 PC 客户端软件支持进行互动听课端列表查看、发言管理功能。</w:t>
            </w:r>
          </w:p>
          <w:p w14:paraId="3BA432C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 无需通过任何第三方软件即可进行网络监测，并在互动录播电脑主机一体化触控屏上显示教室网络状态；实现对网络联通性、网络稳定性、上行速度、下行速度、网络追踪性、网卡信息实时检测；在一段时间内，支持以折线图方式实时呈现网络稳定性、上行速度和下行速度。</w:t>
            </w:r>
          </w:p>
          <w:p w14:paraId="7B7567B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 支持开始互动同步开始录制，用户可选择进入互动后是否自动开启录制。互动过程中可通过互动录播电脑主机一体化触控屏实现录制和直播控制，互动过程中可以控制开始录制、结束录制、开始直播、结束直播。</w:t>
            </w:r>
          </w:p>
          <w:p w14:paraId="6CF5042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 听课教室可申请发言，申请后主讲教室可收到申请，并选择是否接受申请。</w:t>
            </w:r>
          </w:p>
          <w:p w14:paraId="6DFA18D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 听课过程中用户可在互动录播电脑主机一体化触控屏上同时显示授课教室画面和本地教室画面，且互动录播电脑主机支持一键全屏主画面。</w:t>
            </w:r>
          </w:p>
          <w:p w14:paraId="000BEAF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 教师在开始授课前可根据互动录播电脑主机一体化触控屏检查设备是否正常，包括：在预监画面查看各个视频画面是否正常；在预监画面进行音量调节和查看声音是否正常；支持自动导播和手动导播模式切换；自动导播模式下支持设置参与自动导播的导播画面；选择是否开启直播和桌面共享。</w:t>
            </w:r>
          </w:p>
          <w:p w14:paraId="2AD7DD0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 支持课堂互动功能，授课过程中老师可通过在互动录播电脑主机一体化触控屏上单击听课教室画面切换听课教室为主画面，并与该教室实时连麦对讲，实现异地互动。</w:t>
            </w:r>
          </w:p>
          <w:p w14:paraId="352B4A8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18. 互动过程中，可以在互动录播电脑主机一体化触控屏调出当前视频参数，包括加密方式、音频格式、视频格式、视频分辨率、实时上行/下行速率、丢包率和服务厂商信息。</w:t>
            </w:r>
          </w:p>
        </w:tc>
        <w:tc>
          <w:tcPr>
            <w:tcW w:w="1040" w:type="dxa"/>
            <w:tcBorders>
              <w:top w:val="single" w:color="000000" w:sz="4" w:space="0"/>
              <w:left w:val="nil"/>
              <w:bottom w:val="single" w:color="000000" w:sz="4" w:space="0"/>
              <w:right w:val="single" w:color="000000" w:sz="4" w:space="0"/>
            </w:tcBorders>
            <w:vAlign w:val="center"/>
          </w:tcPr>
          <w:p w14:paraId="560B3F53">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112FE329">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5771F228">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71B2BE8B">
            <w:pPr>
              <w:jc w:val="center"/>
              <w:rPr>
                <w:rFonts w:ascii="宋体" w:hAnsi="宋体"/>
                <w:color w:val="auto"/>
                <w:sz w:val="18"/>
                <w:szCs w:val="18"/>
                <w:highlight w:val="none"/>
                <w:lang w:val="en-US" w:eastAsia="zh-CN"/>
              </w:rPr>
            </w:pPr>
          </w:p>
        </w:tc>
      </w:tr>
      <w:tr w14:paraId="3A6B3D9C">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496FE2A3">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3</w:t>
            </w:r>
            <w:r>
              <w:rPr>
                <w:rFonts w:hint="eastAsia" w:ascii="宋体" w:hAnsi="宋体"/>
                <w:color w:val="auto"/>
                <w:sz w:val="18"/>
                <w:szCs w:val="18"/>
                <w:highlight w:val="none"/>
                <w:lang w:val="en-US" w:eastAsia="zh-CN"/>
              </w:rPr>
              <w:t>7</w:t>
            </w:r>
          </w:p>
        </w:tc>
        <w:tc>
          <w:tcPr>
            <w:tcW w:w="817" w:type="dxa"/>
            <w:tcBorders>
              <w:top w:val="single" w:color="000000" w:sz="4" w:space="0"/>
              <w:left w:val="nil"/>
              <w:bottom w:val="single" w:color="000000" w:sz="4" w:space="0"/>
              <w:right w:val="single" w:color="000000" w:sz="4" w:space="0"/>
            </w:tcBorders>
            <w:vAlign w:val="center"/>
          </w:tcPr>
          <w:p w14:paraId="1600889F">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主机视频处理系统</w:t>
            </w:r>
          </w:p>
        </w:tc>
        <w:tc>
          <w:tcPr>
            <w:tcW w:w="4112" w:type="dxa"/>
            <w:tcBorders>
              <w:top w:val="single" w:color="000000" w:sz="4" w:space="0"/>
              <w:left w:val="nil"/>
              <w:bottom w:val="single" w:color="000000" w:sz="4" w:space="0"/>
              <w:right w:val="single" w:color="000000" w:sz="4" w:space="0"/>
            </w:tcBorders>
            <w:vAlign w:val="center"/>
          </w:tcPr>
          <w:p w14:paraId="25195EB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支持合成4K的PGM画面，包含导播画面、教师全景画面、教师特写画面、学生全景画面、学生特写画面。</w:t>
            </w:r>
          </w:p>
          <w:p w14:paraId="4E86CDF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支持多种类型视频信号接入，支持标准网络视频信号接入、高速数字信号接入。</w:t>
            </w:r>
          </w:p>
          <w:p w14:paraId="20BB9F7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支持通过rtsp协议接入第三方摄像机视频流。</w:t>
            </w:r>
          </w:p>
          <w:p w14:paraId="72733BA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支持不少于3种编码复杂度，支持Baseline Profile、Main profile、High profile</w:t>
            </w:r>
          </w:p>
          <w:p w14:paraId="23168BD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支持不少于两种码率控制方式，支持CBR（Constant Bit Rate）、VBR（Variable Bit Rate）。</w:t>
            </w:r>
          </w:p>
          <w:p w14:paraId="06CBDAC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支持通过网络实现对接入摄像机的设备信息检索。</w:t>
            </w:r>
          </w:p>
          <w:p w14:paraId="11706E3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POE视频接入单元支持802.3af标准协议，可实现POE摄像机接入。</w:t>
            </w:r>
          </w:p>
          <w:p w14:paraId="4CC939D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HDMI采集通道支持画面缩放，可完成4K图像采集。</w:t>
            </w:r>
          </w:p>
        </w:tc>
        <w:tc>
          <w:tcPr>
            <w:tcW w:w="1040" w:type="dxa"/>
            <w:tcBorders>
              <w:top w:val="single" w:color="000000" w:sz="4" w:space="0"/>
              <w:left w:val="nil"/>
              <w:bottom w:val="single" w:color="000000" w:sz="4" w:space="0"/>
              <w:right w:val="single" w:color="000000" w:sz="4" w:space="0"/>
            </w:tcBorders>
            <w:vAlign w:val="center"/>
          </w:tcPr>
          <w:p w14:paraId="0C7C6E3F">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267CBD91">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407C32A2">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63AA0867">
            <w:pPr>
              <w:jc w:val="center"/>
              <w:rPr>
                <w:rFonts w:hint="eastAsia" w:ascii="宋体" w:hAnsi="宋体"/>
                <w:color w:val="auto"/>
                <w:sz w:val="18"/>
                <w:szCs w:val="18"/>
                <w:highlight w:val="none"/>
                <w:lang w:val="en-US" w:eastAsia="zh-CN"/>
              </w:rPr>
            </w:pPr>
          </w:p>
        </w:tc>
      </w:tr>
      <w:tr w14:paraId="496216A4">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3A48EECD">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3</w:t>
            </w:r>
            <w:r>
              <w:rPr>
                <w:rFonts w:hint="eastAsia" w:ascii="宋体" w:hAnsi="宋体"/>
                <w:color w:val="auto"/>
                <w:sz w:val="18"/>
                <w:szCs w:val="18"/>
                <w:highlight w:val="none"/>
                <w:lang w:val="en-US" w:eastAsia="zh-CN"/>
              </w:rPr>
              <w:t>8</w:t>
            </w:r>
          </w:p>
        </w:tc>
        <w:tc>
          <w:tcPr>
            <w:tcW w:w="817" w:type="dxa"/>
            <w:tcBorders>
              <w:top w:val="single" w:color="000000" w:sz="4" w:space="0"/>
              <w:left w:val="nil"/>
              <w:bottom w:val="single" w:color="000000" w:sz="4" w:space="0"/>
              <w:right w:val="single" w:color="000000" w:sz="4" w:space="0"/>
            </w:tcBorders>
            <w:vAlign w:val="center"/>
          </w:tcPr>
          <w:p w14:paraId="1F0FB1FC">
            <w:pPr>
              <w:widowControl/>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远程互动助手</w:t>
            </w:r>
          </w:p>
          <w:p w14:paraId="62F807AA">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软件</w:t>
            </w:r>
          </w:p>
        </w:tc>
        <w:tc>
          <w:tcPr>
            <w:tcW w:w="4112" w:type="dxa"/>
            <w:tcBorders>
              <w:top w:val="single" w:color="000000" w:sz="4" w:space="0"/>
              <w:left w:val="nil"/>
              <w:bottom w:val="single" w:color="000000" w:sz="4" w:space="0"/>
              <w:right w:val="single" w:color="000000" w:sz="4" w:space="0"/>
            </w:tcBorders>
            <w:vAlign w:val="center"/>
          </w:tcPr>
          <w:p w14:paraId="269AB8F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1.基础应用</w:t>
            </w:r>
          </w:p>
          <w:p w14:paraId="66E1821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(1)软件应支持微信扫码登录，无需输入帐号密码即可实现登录，用户可便捷、快速进入课堂。</w:t>
            </w:r>
          </w:p>
          <w:p w14:paraId="4010520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(2)支持按天显示预约的活动信息，包括直播活动、互动课堂、网络教研的活动类型、活动名称、活动时间、活动状态。</w:t>
            </w:r>
          </w:p>
          <w:p w14:paraId="580CC5A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(3)支持搭配录播主机，进入录制视频、直播活动、互动课堂、网络教研等活动，满足教师多场景需求；支持在课前设置录播机的录制画面、导播模式，在课中更改导播模式，方便老师一体化操作，减轻授课负担。</w:t>
            </w:r>
          </w:p>
          <w:p w14:paraId="1299153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 xml:space="preserve">(4)支持搭配录播机，进入录制前自动倒计时不小于2秒，避免录入教师操作的多余镜头；录制过程显示已录制时间，支持暂停和结束录制，并在结束时自动提示本次录制总时长。 </w:t>
            </w:r>
          </w:p>
          <w:p w14:paraId="2857730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(5)支持搭配录播机，授课过程中，授课老师可远程控制听课端的导播画面，可选择听课端的教师画面、学生画面、电脑画面作为视频画面。</w:t>
            </w:r>
          </w:p>
          <w:p w14:paraId="27FEA34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(6)支持用户无需通过平台，直接创建公网直播，即时生成直播二维码，支持不少于180点同时观看高清直播功能。</w:t>
            </w:r>
          </w:p>
          <w:p w14:paraId="1023256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(7)支持用户通过公网点开直播链接，观看已结束的直播活动视频，视频至少在云端保存七天，并支持下载MP4格式到本地。</w:t>
            </w:r>
          </w:p>
          <w:p w14:paraId="4E11E4A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(8)支持用户无需通过平台，直接创建网络教研，即时生成教研二维码，扫码可进行查看教研简介、发送点评等。</w:t>
            </w:r>
          </w:p>
          <w:p w14:paraId="62CA333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(9)互动课堂连接支持按键拨号形式，可直接拨号呼叫，账号为11位手机号码，充分考虑用户的日常使用习惯，无需额外学习即可快速掌握使用方法。</w:t>
            </w:r>
          </w:p>
          <w:p w14:paraId="4E82A77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(10)授课过程中，可实时显示授课端及参与互动的听课端画面，用户可实时查看授课端的拍摄效果，及听课端的实时状态。</w:t>
            </w:r>
          </w:p>
          <w:p w14:paraId="00977CE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(11)授课过程中提供工具窗口，支持用户切换画面，调出互动工具；工具窗口可切换为迷你模式，以悬浮工具条形式显示，可置于授课课件上方。</w:t>
            </w:r>
          </w:p>
          <w:p w14:paraId="1958D23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(12)授课过程中，老师可选择任一班级，一键开麦即可与该教室实时连麦对讲，实现异地互动。</w:t>
            </w:r>
          </w:p>
          <w:p w14:paraId="7DB9C97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(13)支持授课过程中老师任意放大某一端的画面，方便授课过程中，任一班级进行全屏显示。</w:t>
            </w:r>
          </w:p>
          <w:p w14:paraId="60C88A8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(14)申请发言：支持听课端一键主动申请发言，申请后在授课端进行提示，授课端可选择接受或拒绝，不影响正常授课。</w:t>
            </w:r>
          </w:p>
          <w:p w14:paraId="1D9A9A5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(15)支持授课端移除听课端，方便授课老师对课堂进行管控。</w:t>
            </w:r>
          </w:p>
          <w:p w14:paraId="76267EB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(16)支持授课端互动时，选择授课端的教师画面、学生画面、电脑画面、板书画面、本地摄像头作为视频画面，推送至听课端并进行直播。</w:t>
            </w:r>
          </w:p>
          <w:p w14:paraId="3E7D2D2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(17)可查看参与互动的教室的网络连接情况，了解彼此的设备网络环境。</w:t>
            </w:r>
          </w:p>
          <w:p w14:paraId="5E46FC1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(18)系统具备前向纠错、丢包重传等功能，支持冗余数据（FEC）和重传策略（ARQ）的动态平衡，既保障宽带的充分利用，又可避免抢带宽造成的链路自身拥塞。</w:t>
            </w:r>
          </w:p>
          <w:p w14:paraId="2799555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(19)根据应用场景实现码率和帧率的智能调节，保障画质和流畅性的平衡效果。</w:t>
            </w:r>
          </w:p>
          <w:p w14:paraId="01CD1F0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(20)网络自适应：提供端到端的全链条优化算法，能根据当前网络情况预测网速并自动进行流控，支持弱网自适应推流和拉流。在网络转差的情况下，使用大丢包调高延迟策略，保障延迟和流畅的动态平衡效果，优先保障可用性和声音流畅。在网络转好的情况下，提升画质和降低延迟。</w:t>
            </w:r>
          </w:p>
          <w:p w14:paraId="431618F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(21)支持多系统兼容性。除适配Windows操作系统外，至少能与主流国产操作系统（鸿蒙、UOS、麒麟、深度）其中一个适配并正常安装运行，满足国内不同教学系统环境要求。</w:t>
            </w:r>
          </w:p>
          <w:p w14:paraId="253A229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(22)绑定摄像机实现美颜功能，美化课堂人物效果。支持对教师特写、教师全景、学生特写、学生全景、本地摄像头画面进行美颜处理，并显示对应的实时画面，方便教师查看美颜效果；支持对比控制，显示无美颜和美颜后的画面效果；支持一键美颜，通过滚动条快速调节美颜深度；至少支持自定义6个美颜项目，包括美白、磨皮、瘦脸等，满足各类美颜需求。</w:t>
            </w:r>
          </w:p>
          <w:p w14:paraId="4A74BC9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(23)绑定摄像机实现无绿幕虚拟抠像，方便教师更换画面背景，突出人物；支持对教师特写、教师全景、学生特写、学生全景、本地摄像头画面进行虚拟背景处理，并显示对应的实时画面，方便教师查看虚拟背景效果；支持对比控制，显示无虚拟背景和虚拟背景后的画面效果；支持背景虚化和更换背景；提供不少于3个默认背景图，方便教师快速选用；支持添加本地图片设置为背景图，方便教师满足更多主题需求。</w:t>
            </w:r>
          </w:p>
          <w:p w14:paraId="004820A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2.自定义设置</w:t>
            </w:r>
          </w:p>
          <w:p w14:paraId="01AF32E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(1)支持≥6个视频信号自定义设置，可调用网络摄像头、本地摄像头等信号。</w:t>
            </w:r>
          </w:p>
          <w:p w14:paraId="6EFEA8F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(2)支持授课端设置自动接受听课申请。听课端拨号后无需进行确认，即可直接加入互动课堂。</w:t>
            </w:r>
          </w:p>
          <w:p w14:paraId="0068B59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(3)支持授课端开启桌面共享，将电脑画面、摄像头画面分别传输到听课端，实现双流互动模式；听课端可同时观看2路画面的内容。</w:t>
            </w:r>
          </w:p>
          <w:p w14:paraId="6492F0C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(4)支持自定义分屏布局，至少包括均衡模式、经典模式；选择分屏布局后，教师进入互动课堂或网络教研时，录播主机与扩展屏幕均按分屏布局生效。</w:t>
            </w:r>
          </w:p>
          <w:p w14:paraId="0695437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(5)课件悬浮工具条支持多种布局选择，至少支持2种布局方式，可自由选择课件翻页方式。</w:t>
            </w:r>
          </w:p>
          <w:p w14:paraId="16E5E36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(6)支持调整互动直播布局功能，至少支持2种布局方式，并支持听课端发言时自动放大画面功能。</w:t>
            </w:r>
          </w:p>
          <w:p w14:paraId="292E747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3.互动工具</w:t>
            </w:r>
          </w:p>
          <w:p w14:paraId="4D21E04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(1)板书同步：授课过程中支持用户调起白板工具，在大屏上进行板书，板书内容将在听课端实时同步；且支持听课端在大屏上板书，反向实时同步至授课端及其他听课端。</w:t>
            </w:r>
          </w:p>
          <w:p w14:paraId="4AC638D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(2)书写笔迹支持至少3种不同粗细选择，10种不同颜色选择。</w:t>
            </w:r>
          </w:p>
          <w:p w14:paraId="0EC8CDD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(3)默认颜色：系统智能分配授课端及不同听课端的默认笔迹颜色，学生可区分不同教室板书内容。</w:t>
            </w:r>
          </w:p>
          <w:p w14:paraId="6B7CBEE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(4)云课件：支持用户在线打开云课件列表，无需下载至本地，即可在线打开云课件进行展示及讲授。</w:t>
            </w:r>
          </w:p>
          <w:p w14:paraId="61B7556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课堂活动：支持用户在云课件中进行远程同步课堂游戏，异地教室的学生可同时在大屏上进行知识竞赛，以左右分屏形式实现两个教室的学生同台竞争。支持至少5种类型、40个模板的课堂活动，丰富课堂趣味性。支持班级竞赛模式，老师可看到所有参与班级的游戏进度，活动结束后有分数排名。</w:t>
            </w:r>
          </w:p>
          <w:p w14:paraId="7EA1C50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拍照上传：支持在授课端及听课端生成拍照上传二维码，使用手机微信扫码后，可实时上传学生作业、试卷内容至大屏，授课端及听课端同步显示照片内容，且分别支持授课端与听课端的师生对照片进行拖动、放大、批注操作，实现远程讲评。</w:t>
            </w:r>
          </w:p>
          <w:p w14:paraId="44B7704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画板同步：授课过程中支持用户调起画板工具，提供不少于4种书写工具和12种基础颜色；提供调色板功能，可选择任意基础颜色进行混合产生新的颜色；画板工具中所有功能均可在授课端及听课端同步操作，且可同时独立调色，互不干扰。</w:t>
            </w:r>
          </w:p>
          <w:p w14:paraId="116FEA1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(8)乐器同步：授课过程中支持用户调起乐器工具，提供虚拟键盘，不少于36个 琴键，授课端弹奏的内容可同步到所有听课端；听课端也可弹奏并反向同步到所有授课端和听课端。</w:t>
            </w:r>
          </w:p>
          <w:p w14:paraId="5C8AA77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(9)支持互动课堂中可对本地班级、听课班级中表现好的班级发送点评奖励，每堂课可统计各班点评总分，并在课上一键展示最高得分的班级进行表扬。</w:t>
            </w:r>
          </w:p>
          <w:p w14:paraId="25AF1BF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(10)提供不少于4个通用工具，8个学科工具，支持语文、数学、英语、美术、地理等学科使用，并支持授课端与听课端多方交互触控。</w:t>
            </w:r>
          </w:p>
        </w:tc>
        <w:tc>
          <w:tcPr>
            <w:tcW w:w="1040" w:type="dxa"/>
            <w:tcBorders>
              <w:top w:val="single" w:color="000000" w:sz="4" w:space="0"/>
              <w:left w:val="nil"/>
              <w:bottom w:val="single" w:color="000000" w:sz="4" w:space="0"/>
              <w:right w:val="single" w:color="000000" w:sz="4" w:space="0"/>
            </w:tcBorders>
            <w:vAlign w:val="center"/>
          </w:tcPr>
          <w:p w14:paraId="4C67B43E">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79CEB648">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2E267BFB">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3673C4E9">
            <w:pPr>
              <w:jc w:val="center"/>
              <w:rPr>
                <w:rFonts w:ascii="宋体" w:hAnsi="宋体"/>
                <w:color w:val="auto"/>
                <w:sz w:val="18"/>
                <w:szCs w:val="18"/>
                <w:highlight w:val="none"/>
                <w:lang w:val="en-US" w:eastAsia="zh-CN"/>
              </w:rPr>
            </w:pPr>
          </w:p>
        </w:tc>
      </w:tr>
      <w:tr w14:paraId="1DCE53BD">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1739565D">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3</w:t>
            </w:r>
            <w:r>
              <w:rPr>
                <w:rFonts w:hint="eastAsia" w:ascii="宋体" w:hAnsi="宋体"/>
                <w:color w:val="auto"/>
                <w:sz w:val="18"/>
                <w:szCs w:val="18"/>
                <w:highlight w:val="none"/>
                <w:lang w:val="en-US" w:eastAsia="zh-CN"/>
              </w:rPr>
              <w:t>9</w:t>
            </w:r>
          </w:p>
        </w:tc>
        <w:tc>
          <w:tcPr>
            <w:tcW w:w="817" w:type="dxa"/>
            <w:tcBorders>
              <w:top w:val="single" w:color="000000" w:sz="4" w:space="0"/>
              <w:left w:val="nil"/>
              <w:bottom w:val="single" w:color="000000" w:sz="4" w:space="0"/>
              <w:right w:val="single" w:color="000000" w:sz="4" w:space="0"/>
            </w:tcBorders>
            <w:vAlign w:val="center"/>
          </w:tcPr>
          <w:p w14:paraId="6A5A21B3">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机械云台摄像机</w:t>
            </w:r>
          </w:p>
        </w:tc>
        <w:tc>
          <w:tcPr>
            <w:tcW w:w="4112" w:type="dxa"/>
            <w:tcBorders>
              <w:top w:val="single" w:color="000000" w:sz="4" w:space="0"/>
              <w:left w:val="nil"/>
              <w:bottom w:val="single" w:color="000000" w:sz="4" w:space="0"/>
              <w:right w:val="single" w:color="000000" w:sz="4" w:space="0"/>
            </w:tcBorders>
            <w:vAlign w:val="center"/>
          </w:tcPr>
          <w:p w14:paraId="6B0DADD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1)传感器尺寸：≥CMOS 1/1.8英寸</w:t>
            </w:r>
          </w:p>
          <w:p w14:paraId="0461C59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2)传感器有效像素≥800万</w:t>
            </w:r>
          </w:p>
          <w:p w14:paraId="0DE1E7F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3)支持不少于40倍变焦</w:t>
            </w:r>
          </w:p>
          <w:p w14:paraId="0B803E1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4)扫描方式：逐行</w:t>
            </w:r>
          </w:p>
          <w:p w14:paraId="19F976C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5)支持畸变矫正功能，畸变＜1.5%，校正后可实现视觉无畸变</w:t>
            </w:r>
          </w:p>
          <w:p w14:paraId="069CDD7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6)最低照度： 0.5Lux @ (F1.8, AGC ON)</w:t>
            </w:r>
          </w:p>
          <w:p w14:paraId="4F1B9A8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7)镜头： F1.58 ~ F3.95</w:t>
            </w:r>
          </w:p>
          <w:p w14:paraId="1A9A100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8)快门： 1/30s ~ 1/10000s</w:t>
            </w:r>
          </w:p>
          <w:p w14:paraId="1F12D05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9)支持自动白平衡功能</w:t>
            </w:r>
          </w:p>
          <w:p w14:paraId="388380F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10)支持背光补偿功能</w:t>
            </w:r>
          </w:p>
          <w:p w14:paraId="12CEC4E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11)支持图像冻结功能</w:t>
            </w:r>
          </w:p>
          <w:p w14:paraId="6011CF6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12)支持POE供电</w:t>
            </w:r>
          </w:p>
          <w:p w14:paraId="7401D58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13)支持2D&amp;3D数字降噪，信噪比≥55dB</w:t>
            </w:r>
          </w:p>
          <w:p w14:paraId="076A736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14)支持预置位个数≥255个，预置位精度≤0.1°</w:t>
            </w:r>
          </w:p>
          <w:p w14:paraId="71C5950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15)支持水平翻转、垂直翻转，水平转动范围：±170°，垂直转动范围：-30°~+90°</w:t>
            </w:r>
          </w:p>
          <w:p w14:paraId="6B6B338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16)支持最大水平视场角≥60°，最大垂直视场角≥35°</w:t>
            </w:r>
          </w:p>
          <w:p w14:paraId="2181EE3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17)支持最大水平转动速度≥100°/s，最大垂直转动速度≥69°/s</w:t>
            </w:r>
          </w:p>
        </w:tc>
        <w:tc>
          <w:tcPr>
            <w:tcW w:w="1040" w:type="dxa"/>
            <w:tcBorders>
              <w:top w:val="single" w:color="000000" w:sz="4" w:space="0"/>
              <w:left w:val="nil"/>
              <w:bottom w:val="single" w:color="000000" w:sz="4" w:space="0"/>
              <w:right w:val="single" w:color="000000" w:sz="4" w:space="0"/>
            </w:tcBorders>
            <w:vAlign w:val="center"/>
          </w:tcPr>
          <w:p w14:paraId="46848A34">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2</w:t>
            </w:r>
          </w:p>
        </w:tc>
        <w:tc>
          <w:tcPr>
            <w:tcW w:w="935" w:type="dxa"/>
            <w:tcBorders>
              <w:top w:val="single" w:color="000000" w:sz="4" w:space="0"/>
              <w:left w:val="nil"/>
              <w:bottom w:val="single" w:color="000000" w:sz="4" w:space="0"/>
              <w:right w:val="single" w:color="000000" w:sz="4" w:space="0"/>
            </w:tcBorders>
            <w:vAlign w:val="center"/>
          </w:tcPr>
          <w:p w14:paraId="583EF380">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375112AC">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0AF6E217">
            <w:pPr>
              <w:jc w:val="center"/>
              <w:rPr>
                <w:rFonts w:ascii="宋体" w:hAnsi="宋体"/>
                <w:color w:val="auto"/>
                <w:sz w:val="18"/>
                <w:szCs w:val="18"/>
                <w:highlight w:val="none"/>
                <w:lang w:val="en-US" w:eastAsia="zh-CN"/>
              </w:rPr>
            </w:pPr>
          </w:p>
        </w:tc>
      </w:tr>
      <w:tr w14:paraId="3F5AC501">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6C508595">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40</w:t>
            </w:r>
          </w:p>
        </w:tc>
        <w:tc>
          <w:tcPr>
            <w:tcW w:w="817" w:type="dxa"/>
            <w:tcBorders>
              <w:top w:val="single" w:color="000000" w:sz="4" w:space="0"/>
              <w:left w:val="nil"/>
              <w:bottom w:val="single" w:color="000000" w:sz="4" w:space="0"/>
              <w:right w:val="single" w:color="000000" w:sz="4" w:space="0"/>
            </w:tcBorders>
            <w:vAlign w:val="center"/>
          </w:tcPr>
          <w:p w14:paraId="59A953F3">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云台摄像机图像处理系统</w:t>
            </w:r>
          </w:p>
        </w:tc>
        <w:tc>
          <w:tcPr>
            <w:tcW w:w="4112" w:type="dxa"/>
            <w:tcBorders>
              <w:top w:val="single" w:color="000000" w:sz="4" w:space="0"/>
              <w:left w:val="nil"/>
              <w:bottom w:val="single" w:color="000000" w:sz="4" w:space="0"/>
              <w:right w:val="single" w:color="000000" w:sz="4" w:space="0"/>
            </w:tcBorders>
            <w:vAlign w:val="center"/>
          </w:tcPr>
          <w:p w14:paraId="276C0E7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1)设备采用ARM硬件架构，linux操作系统</w:t>
            </w:r>
          </w:p>
          <w:p w14:paraId="60CA40D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2)支持自动白平衡</w:t>
            </w:r>
          </w:p>
          <w:p w14:paraId="416E4AB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3)支持背光补偿功能</w:t>
            </w:r>
          </w:p>
          <w:p w14:paraId="61FA546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4)支持2D、3D数字降噪</w:t>
            </w:r>
          </w:p>
          <w:p w14:paraId="4596A92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5)支持不少于4种编码等级，包含baseline、mainprofile、highprofile、svc-t</w:t>
            </w:r>
          </w:p>
          <w:p w14:paraId="13636F3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6)支持AAC、G711A两种音频编码格式</w:t>
            </w:r>
          </w:p>
          <w:p w14:paraId="67F8691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7)支持TCP/IP, HTTP, RTSP, RTMP, Onvif, DHCP, 组播等网络协议</w:t>
            </w:r>
          </w:p>
          <w:p w14:paraId="0833F26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8)支持设置摄像机分辨率、帧率、码率</w:t>
            </w:r>
          </w:p>
          <w:p w14:paraId="22EE876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9)支持设置摄像机亮度、饱和度、对比度、锐度、色度、快门速度</w:t>
            </w:r>
          </w:p>
          <w:p w14:paraId="1F2A157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10)图像支持左右镜像、上下翻转，默认不开启</w:t>
            </w:r>
          </w:p>
          <w:p w14:paraId="5840C85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11)支持对摄像机网络进行管理，包括设置IP地址/网关/DNS等，支持组播协议搜索IP地址，并修改摄像机IP</w:t>
            </w:r>
          </w:p>
          <w:p w14:paraId="552F3B4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12)支持RTMP推流，RTSP拉流，地址可设置</w:t>
            </w:r>
          </w:p>
          <w:p w14:paraId="5B138CC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13)支持ONVIF协议，可预览ONVIF画面</w:t>
            </w:r>
          </w:p>
          <w:p w14:paraId="46B2A91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14)支持GB28181协议，可使用GB28181协议推流</w:t>
            </w:r>
          </w:p>
        </w:tc>
        <w:tc>
          <w:tcPr>
            <w:tcW w:w="1040" w:type="dxa"/>
            <w:tcBorders>
              <w:top w:val="single" w:color="000000" w:sz="4" w:space="0"/>
              <w:left w:val="nil"/>
              <w:bottom w:val="single" w:color="000000" w:sz="4" w:space="0"/>
              <w:right w:val="single" w:color="000000" w:sz="4" w:space="0"/>
            </w:tcBorders>
            <w:vAlign w:val="center"/>
          </w:tcPr>
          <w:p w14:paraId="41F3CC02">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2</w:t>
            </w:r>
          </w:p>
        </w:tc>
        <w:tc>
          <w:tcPr>
            <w:tcW w:w="935" w:type="dxa"/>
            <w:tcBorders>
              <w:top w:val="single" w:color="000000" w:sz="4" w:space="0"/>
              <w:left w:val="nil"/>
              <w:bottom w:val="single" w:color="000000" w:sz="4" w:space="0"/>
              <w:right w:val="single" w:color="000000" w:sz="4" w:space="0"/>
            </w:tcBorders>
            <w:vAlign w:val="center"/>
          </w:tcPr>
          <w:p w14:paraId="2FACB914">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2B098027">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4927F4F6">
            <w:pPr>
              <w:jc w:val="center"/>
              <w:rPr>
                <w:rFonts w:ascii="宋体" w:hAnsi="宋体"/>
                <w:color w:val="auto"/>
                <w:sz w:val="18"/>
                <w:szCs w:val="18"/>
                <w:highlight w:val="none"/>
                <w:lang w:val="en-US" w:eastAsia="zh-CN"/>
              </w:rPr>
            </w:pPr>
          </w:p>
        </w:tc>
      </w:tr>
      <w:tr w14:paraId="383B48B2">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6C1E1C38">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4</w:t>
            </w:r>
            <w:r>
              <w:rPr>
                <w:rFonts w:hint="eastAsia" w:ascii="宋体" w:hAnsi="宋体"/>
                <w:color w:val="auto"/>
                <w:kern w:val="0"/>
                <w:sz w:val="18"/>
                <w:szCs w:val="18"/>
                <w:highlight w:val="none"/>
                <w:lang w:val="en-US" w:eastAsia="zh-CN"/>
              </w:rPr>
              <w:t>1</w:t>
            </w:r>
          </w:p>
        </w:tc>
        <w:tc>
          <w:tcPr>
            <w:tcW w:w="817" w:type="dxa"/>
            <w:tcBorders>
              <w:top w:val="single" w:color="000000" w:sz="4" w:space="0"/>
              <w:left w:val="nil"/>
              <w:bottom w:val="single" w:color="000000" w:sz="4" w:space="0"/>
              <w:right w:val="single" w:color="000000" w:sz="4" w:space="0"/>
            </w:tcBorders>
            <w:vAlign w:val="center"/>
          </w:tcPr>
          <w:p w14:paraId="40D47F8C">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4K</w:t>
            </w:r>
            <w:r>
              <w:rPr>
                <w:rFonts w:hint="eastAsia" w:ascii="宋体" w:hAnsi="宋体"/>
                <w:color w:val="auto"/>
                <w:kern w:val="0"/>
                <w:sz w:val="18"/>
                <w:szCs w:val="18"/>
                <w:highlight w:val="none"/>
              </w:rPr>
              <w:t>教师摄像机</w:t>
            </w:r>
          </w:p>
        </w:tc>
        <w:tc>
          <w:tcPr>
            <w:tcW w:w="4112" w:type="dxa"/>
            <w:tcBorders>
              <w:top w:val="single" w:color="000000" w:sz="4" w:space="0"/>
              <w:left w:val="nil"/>
              <w:bottom w:val="single" w:color="000000" w:sz="4" w:space="0"/>
              <w:right w:val="single" w:color="000000" w:sz="4" w:space="0"/>
            </w:tcBorders>
            <w:vAlign w:val="center"/>
          </w:tcPr>
          <w:p w14:paraId="00A5632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1)镜头水平视场角≥40°</w:t>
            </w:r>
          </w:p>
          <w:p w14:paraId="0EF6E38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2)一体化集成设计，支持4K超高清，最大可提供4K图像编码输出，同时向下兼容1080p，720p等分辨率。</w:t>
            </w:r>
          </w:p>
          <w:p w14:paraId="632112E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3)内置图像识别跟踪算法，无需物理转动，即可实现平滑自然的跟踪效果，避免干扰课堂教学。</w:t>
            </w:r>
          </w:p>
          <w:p w14:paraId="2D1AF19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4)全景画面支持畸变矫正功能。</w:t>
            </w:r>
          </w:p>
          <w:p w14:paraId="4BF8B9D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5)全景画面与特写画面必须采用相同图像传感器和图像处理器，确保两者图像输出亮度、颜色、风格等保持一致。</w:t>
            </w:r>
          </w:p>
          <w:p w14:paraId="06D3848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6)整机接口≥1路RJ45。</w:t>
            </w:r>
          </w:p>
          <w:p w14:paraId="20CB93B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7)支持POE有线网络供电，只需要1路网线，即可实现供电及信号传输，支持同时输出特写和全景等多路画面。</w:t>
            </w:r>
          </w:p>
          <w:p w14:paraId="65C5874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8)传感器尺寸≥CMOS 1/2.8英寸。</w:t>
            </w:r>
          </w:p>
          <w:p w14:paraId="1617D71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9)传感器有效像素≥800万。</w:t>
            </w:r>
          </w:p>
          <w:p w14:paraId="0BDB146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10)扫描方式：逐行 。</w:t>
            </w:r>
          </w:p>
          <w:p w14:paraId="0CCE972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11)最低照度：0.5 Lux @（F1.8, AGC ON）。</w:t>
            </w:r>
          </w:p>
          <w:p w14:paraId="0164CDD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12)电子快门：1/30s ~ 1/10000s。</w:t>
            </w:r>
          </w:p>
          <w:p w14:paraId="5008323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13)支持自动白平衡。</w:t>
            </w:r>
          </w:p>
          <w:p w14:paraId="2C02EE0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14)支持2D&amp;3D数字降噪，信噪比≥55dB。</w:t>
            </w:r>
          </w:p>
          <w:p w14:paraId="209995D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15)支持H.264、H.265视频编码格式。</w:t>
            </w:r>
          </w:p>
          <w:p w14:paraId="3314281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16)主码流分辨率：3840x2160, 1920x1080, 1920x1080, 1280x720, 1024x576, 720x576(50Hz), 720x480(60Hz), 720x408, 640x360, 480x270, 320x240, 320x180</w:t>
            </w:r>
          </w:p>
          <w:p w14:paraId="1A70B26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17)辅码流分辨率：1920x1080, 1280x720, 1024x576, 960x540, 640x480, 640x360, 320x240, 320x180</w:t>
            </w:r>
          </w:p>
          <w:p w14:paraId="1560D23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 xml:space="preserve">18)视频码率：32Kbps ~ 16384Kbps。 </w:t>
            </w:r>
          </w:p>
          <w:p w14:paraId="4DFD9FD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 xml:space="preserve">19)帧率：1~25fps。 </w:t>
            </w:r>
          </w:p>
          <w:p w14:paraId="17DD1CD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20)网络流传输协议：TCP, HTTP, UDP，RTSP, RTMP, ONVIF。</w:t>
            </w:r>
          </w:p>
          <w:p w14:paraId="3A689F9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21)输入电压：DC12V/PoE（IEEE802.3af）。</w:t>
            </w:r>
          </w:p>
          <w:p w14:paraId="1199832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22)功耗≤9W。</w:t>
            </w:r>
          </w:p>
          <w:p w14:paraId="2010847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23)净重≤0.3kg。</w:t>
            </w:r>
          </w:p>
          <w:p w14:paraId="46AA8C6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24)为确保运行稳定，使用平均无故障运行时间(MTBF)应≥250000小时。</w:t>
            </w:r>
          </w:p>
        </w:tc>
        <w:tc>
          <w:tcPr>
            <w:tcW w:w="1040" w:type="dxa"/>
            <w:tcBorders>
              <w:top w:val="single" w:color="000000" w:sz="4" w:space="0"/>
              <w:left w:val="nil"/>
              <w:bottom w:val="single" w:color="000000" w:sz="4" w:space="0"/>
              <w:right w:val="single" w:color="000000" w:sz="4" w:space="0"/>
            </w:tcBorders>
            <w:vAlign w:val="center"/>
          </w:tcPr>
          <w:p w14:paraId="42B8A2BE">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29C40805">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19420C42">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488A5334">
            <w:pPr>
              <w:jc w:val="center"/>
              <w:rPr>
                <w:rFonts w:ascii="宋体" w:hAnsi="宋体"/>
                <w:color w:val="auto"/>
                <w:sz w:val="18"/>
                <w:szCs w:val="18"/>
                <w:highlight w:val="none"/>
                <w:lang w:val="en-US" w:eastAsia="zh-CN"/>
              </w:rPr>
            </w:pPr>
          </w:p>
        </w:tc>
      </w:tr>
      <w:tr w14:paraId="1B5877E9">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119762B5">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4</w:t>
            </w:r>
            <w:r>
              <w:rPr>
                <w:rFonts w:hint="eastAsia" w:ascii="宋体" w:hAnsi="宋体"/>
                <w:color w:val="auto"/>
                <w:sz w:val="18"/>
                <w:szCs w:val="18"/>
                <w:highlight w:val="none"/>
                <w:lang w:val="en-US" w:eastAsia="zh-CN"/>
              </w:rPr>
              <w:t>2</w:t>
            </w:r>
          </w:p>
        </w:tc>
        <w:tc>
          <w:tcPr>
            <w:tcW w:w="817" w:type="dxa"/>
            <w:tcBorders>
              <w:top w:val="single" w:color="000000" w:sz="4" w:space="0"/>
              <w:left w:val="nil"/>
              <w:bottom w:val="single" w:color="000000" w:sz="4" w:space="0"/>
              <w:right w:val="single" w:color="000000" w:sz="4" w:space="0"/>
            </w:tcBorders>
            <w:vAlign w:val="center"/>
          </w:tcPr>
          <w:p w14:paraId="0B556AD8">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教师摄像机图像处理系统</w:t>
            </w:r>
          </w:p>
        </w:tc>
        <w:tc>
          <w:tcPr>
            <w:tcW w:w="4112" w:type="dxa"/>
            <w:tcBorders>
              <w:top w:val="single" w:color="000000" w:sz="4" w:space="0"/>
              <w:left w:val="nil"/>
              <w:bottom w:val="single" w:color="000000" w:sz="4" w:space="0"/>
              <w:right w:val="single" w:color="000000" w:sz="4" w:space="0"/>
            </w:tcBorders>
            <w:vAlign w:val="center"/>
          </w:tcPr>
          <w:p w14:paraId="6CEDE74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1)4K教师摄像机内嵌智能跟踪算法，无需单独安装定位跟踪主机及其他任何辅助拍摄设备，即可实现跟踪定位控制功能。</w:t>
            </w:r>
          </w:p>
          <w:p w14:paraId="2B23A8D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2)系统应采用智能图像识别算法，高清摄像机同时输出2路场景画面并分析计算，实现1台摄像机的2景位拍摄，通过导播跟踪系统，实现所有画面的自动导播切换：</w:t>
            </w:r>
          </w:p>
          <w:p w14:paraId="5C3237A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a)当教师在讲台区域站立授课时，自动切换为教师特写，当教师在讲台区域进行走动时，自动切换到教师全景；</w:t>
            </w:r>
          </w:p>
          <w:p w14:paraId="440C3DF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b)当教师切换多媒体授课时，自动切换为多媒体特写画面；</w:t>
            </w:r>
          </w:p>
          <w:p w14:paraId="1D82611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3)支持设置摄像机分辨率、帧率、码率</w:t>
            </w:r>
          </w:p>
          <w:p w14:paraId="14D4F58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4)支持设置摄像机亮度、饱和度、对比度、锐度、色度、快门速度</w:t>
            </w:r>
          </w:p>
          <w:p w14:paraId="0BBBF89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5)图像支持左右镜像、上下翻转，默认不开启</w:t>
            </w:r>
          </w:p>
          <w:p w14:paraId="0FE7EEF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6)支持对摄像机网络进行管理，包括设置IP地址/网关/DNS等，支持组播协议搜索IP地址，并修改摄像机IP</w:t>
            </w:r>
          </w:p>
          <w:p w14:paraId="242F0A8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7)支持RTMP推流，RTSP拉流，地址可设置。</w:t>
            </w:r>
          </w:p>
          <w:p w14:paraId="1077F21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8)支持ONVIF协议，可预览ONVIF画面</w:t>
            </w:r>
          </w:p>
          <w:p w14:paraId="590E6F7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9)支持GB28181协议，可使用GB28181协议推流</w:t>
            </w:r>
          </w:p>
          <w:p w14:paraId="272FF23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10)支持摄像机内部导播，支持外部服务器导播</w:t>
            </w:r>
          </w:p>
          <w:p w14:paraId="4067A54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11)支持至少1个矩形导播跟踪区划定</w:t>
            </w:r>
          </w:p>
          <w:p w14:paraId="24501F8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12)支持至少2个导播屏蔽区划定</w:t>
            </w:r>
          </w:p>
          <w:p w14:paraId="1797BA3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13)支持跟随模式、混合模式、双镜模式等多种导播模式</w:t>
            </w:r>
          </w:p>
          <w:p w14:paraId="64248E1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14)支持跟踪灵敏度设置，可适配不同的灵敏度要求场景</w:t>
            </w:r>
          </w:p>
          <w:p w14:paraId="575AE19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15)支持开启/关闭跟踪功能</w:t>
            </w:r>
          </w:p>
        </w:tc>
        <w:tc>
          <w:tcPr>
            <w:tcW w:w="1040" w:type="dxa"/>
            <w:tcBorders>
              <w:top w:val="single" w:color="000000" w:sz="4" w:space="0"/>
              <w:left w:val="nil"/>
              <w:bottom w:val="single" w:color="000000" w:sz="4" w:space="0"/>
              <w:right w:val="single" w:color="000000" w:sz="4" w:space="0"/>
            </w:tcBorders>
            <w:vAlign w:val="center"/>
          </w:tcPr>
          <w:p w14:paraId="468B861C">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268CA18E">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66B9832D">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454D8389">
            <w:pPr>
              <w:jc w:val="center"/>
              <w:rPr>
                <w:rFonts w:ascii="宋体" w:hAnsi="宋体"/>
                <w:color w:val="auto"/>
                <w:sz w:val="18"/>
                <w:szCs w:val="18"/>
                <w:highlight w:val="none"/>
                <w:lang w:val="en-US" w:eastAsia="zh-CN"/>
              </w:rPr>
            </w:pPr>
          </w:p>
        </w:tc>
      </w:tr>
      <w:tr w14:paraId="4EA878B7">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6FA4F818">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4</w:t>
            </w:r>
            <w:r>
              <w:rPr>
                <w:rFonts w:hint="eastAsia" w:ascii="宋体" w:hAnsi="宋体"/>
                <w:color w:val="auto"/>
                <w:sz w:val="18"/>
                <w:szCs w:val="18"/>
                <w:highlight w:val="none"/>
                <w:lang w:val="en-US" w:eastAsia="zh-CN"/>
              </w:rPr>
              <w:t>3</w:t>
            </w:r>
          </w:p>
        </w:tc>
        <w:tc>
          <w:tcPr>
            <w:tcW w:w="817" w:type="dxa"/>
            <w:tcBorders>
              <w:top w:val="single" w:color="000000" w:sz="4" w:space="0"/>
              <w:left w:val="nil"/>
              <w:bottom w:val="single" w:color="000000" w:sz="4" w:space="0"/>
              <w:right w:val="single" w:color="000000" w:sz="4" w:space="0"/>
            </w:tcBorders>
            <w:vAlign w:val="center"/>
          </w:tcPr>
          <w:p w14:paraId="452C4DFD">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4K</w:t>
            </w:r>
            <w:r>
              <w:rPr>
                <w:rFonts w:hint="eastAsia" w:ascii="宋体" w:hAnsi="宋体"/>
                <w:color w:val="auto"/>
                <w:kern w:val="0"/>
                <w:sz w:val="18"/>
                <w:szCs w:val="18"/>
                <w:highlight w:val="none"/>
              </w:rPr>
              <w:t>学生摄像机</w:t>
            </w:r>
          </w:p>
        </w:tc>
        <w:tc>
          <w:tcPr>
            <w:tcW w:w="4112" w:type="dxa"/>
            <w:tcBorders>
              <w:top w:val="single" w:color="000000" w:sz="4" w:space="0"/>
              <w:left w:val="nil"/>
              <w:bottom w:val="single" w:color="000000" w:sz="4" w:space="0"/>
              <w:right w:val="single" w:color="000000" w:sz="4" w:space="0"/>
            </w:tcBorders>
            <w:vAlign w:val="center"/>
          </w:tcPr>
          <w:p w14:paraId="662FF1E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1)镜头水平视场角≥90°</w:t>
            </w:r>
          </w:p>
          <w:p w14:paraId="0C5363C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2)一体化集成设计，支持4K超高清，最大可提供4K图像编码输出，同时向下兼容1080p，720p等分辨率。</w:t>
            </w:r>
          </w:p>
          <w:p w14:paraId="16EE8C6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3)内置图像识别跟踪算法，无需物理转动，即可实现平滑自然的跟踪效果，避免干扰课堂教学。</w:t>
            </w:r>
          </w:p>
          <w:p w14:paraId="26A8B60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4)全景画面支持畸变矫正功能。</w:t>
            </w:r>
          </w:p>
          <w:p w14:paraId="4DDF15D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5)全景画面与特写画面必须采用相同图像传感器和图像处理器，确保两者图像输出亮度、颜色、风格等保持一致。</w:t>
            </w:r>
          </w:p>
          <w:p w14:paraId="1DAA2BE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6)整机接口:≥1路RJ45。</w:t>
            </w:r>
          </w:p>
          <w:p w14:paraId="377D0B0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7)支持POE有线网络供电，只需要1路网线，即可实现供电及信号传输，支持同时输出特写和全景等多路画面。</w:t>
            </w:r>
          </w:p>
          <w:p w14:paraId="0EB45DF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8)传感器尺寸：≥CMOS 1/2.8英寸。</w:t>
            </w:r>
          </w:p>
          <w:p w14:paraId="533A00C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9)传感器有效像素≥800万。</w:t>
            </w:r>
          </w:p>
          <w:p w14:paraId="16C6B57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10)扫描方式：逐行 。</w:t>
            </w:r>
          </w:p>
          <w:p w14:paraId="032E45A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11)最低照度：0.5 Lux @（F1.8, AGC ON）。</w:t>
            </w:r>
          </w:p>
          <w:p w14:paraId="4C0AB53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12)电子快门：1/30s ~ 1/10000s。</w:t>
            </w:r>
          </w:p>
          <w:p w14:paraId="2ECF0E0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13)支持自动白平衡。</w:t>
            </w:r>
          </w:p>
          <w:p w14:paraId="13E8336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14)支持2D&amp;3D数字降噪，信噪比≥55dB。</w:t>
            </w:r>
          </w:p>
          <w:p w14:paraId="222FE72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15)支持H.264、H.265视频编码格式。</w:t>
            </w:r>
          </w:p>
          <w:p w14:paraId="2E1FA27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16)主码流分辨率：3840x2160, 1920x1080, 1920x1080, 1280x720, 1024x576, 720x576(50Hz), 720x480(60Hz), 720x408, 640x360, 480x270, 320x240, 320x180</w:t>
            </w:r>
          </w:p>
          <w:p w14:paraId="1E0E881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17)辅码流分辨率：1920x1080, 1280x720, 1024x576, 960x540, 640x480, 640x360, 320x240, 320x180</w:t>
            </w:r>
          </w:p>
          <w:p w14:paraId="7A405CF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 xml:space="preserve">18)视频码率：32Kbps ~ 16384Kbps。 </w:t>
            </w:r>
          </w:p>
          <w:p w14:paraId="6C7177C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 xml:space="preserve">19)帧率：1~25fps。 </w:t>
            </w:r>
          </w:p>
          <w:p w14:paraId="27AE5EC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20)网络流传输协议：TCP, HTTP, UDP，RTSP, RTMP, ONVIF。</w:t>
            </w:r>
          </w:p>
          <w:p w14:paraId="369DB4A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21)输入电压：DC12V/PoE（IEEE802.3af）。</w:t>
            </w:r>
          </w:p>
          <w:p w14:paraId="0A8DCE2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22)功耗≤9W。</w:t>
            </w:r>
          </w:p>
          <w:p w14:paraId="29EDF3B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23)净重：≤0.3kg。</w:t>
            </w:r>
          </w:p>
        </w:tc>
        <w:tc>
          <w:tcPr>
            <w:tcW w:w="1040" w:type="dxa"/>
            <w:tcBorders>
              <w:top w:val="single" w:color="000000" w:sz="4" w:space="0"/>
              <w:left w:val="nil"/>
              <w:bottom w:val="single" w:color="000000" w:sz="4" w:space="0"/>
              <w:right w:val="single" w:color="000000" w:sz="4" w:space="0"/>
            </w:tcBorders>
            <w:vAlign w:val="center"/>
          </w:tcPr>
          <w:p w14:paraId="031C5399">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210DECBC">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068C81AD">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15CB6994">
            <w:pPr>
              <w:jc w:val="center"/>
              <w:rPr>
                <w:rFonts w:ascii="宋体" w:hAnsi="宋体"/>
                <w:color w:val="auto"/>
                <w:sz w:val="18"/>
                <w:szCs w:val="18"/>
                <w:highlight w:val="none"/>
                <w:lang w:val="en-US" w:eastAsia="zh-CN"/>
              </w:rPr>
            </w:pPr>
          </w:p>
        </w:tc>
      </w:tr>
      <w:tr w14:paraId="53626883">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3EE81B26">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4</w:t>
            </w:r>
            <w:r>
              <w:rPr>
                <w:rFonts w:hint="eastAsia" w:ascii="宋体" w:hAnsi="宋体"/>
                <w:color w:val="auto"/>
                <w:sz w:val="18"/>
                <w:szCs w:val="18"/>
                <w:highlight w:val="none"/>
                <w:lang w:val="en-US" w:eastAsia="zh-CN"/>
              </w:rPr>
              <w:t>4</w:t>
            </w:r>
          </w:p>
        </w:tc>
        <w:tc>
          <w:tcPr>
            <w:tcW w:w="817" w:type="dxa"/>
            <w:tcBorders>
              <w:top w:val="single" w:color="000000" w:sz="4" w:space="0"/>
              <w:left w:val="nil"/>
              <w:bottom w:val="single" w:color="000000" w:sz="4" w:space="0"/>
              <w:right w:val="single" w:color="000000" w:sz="4" w:space="0"/>
            </w:tcBorders>
            <w:vAlign w:val="center"/>
          </w:tcPr>
          <w:p w14:paraId="39AC24F4">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学生摄像机图像处理系统</w:t>
            </w:r>
          </w:p>
        </w:tc>
        <w:tc>
          <w:tcPr>
            <w:tcW w:w="4112" w:type="dxa"/>
            <w:tcBorders>
              <w:top w:val="single" w:color="000000" w:sz="4" w:space="0"/>
              <w:left w:val="nil"/>
              <w:bottom w:val="single" w:color="000000" w:sz="4" w:space="0"/>
              <w:right w:val="single" w:color="000000" w:sz="4" w:space="0"/>
            </w:tcBorders>
            <w:vAlign w:val="center"/>
          </w:tcPr>
          <w:p w14:paraId="550C3A6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1)4K学生摄像机内嵌智能跟踪算法，无需单独安装定位跟踪主机及其他任何辅助拍摄设备，即可实现跟踪定位控制功能。</w:t>
            </w:r>
          </w:p>
          <w:p w14:paraId="4BDE3F2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2)系统应采用智能图像识别算法，高清摄像机同时输出2路场景画面并分析计算，实现1台摄像机的2景位拍摄，通过导播跟踪系统，实现所有画面的自动导播切换：</w:t>
            </w:r>
          </w:p>
          <w:p w14:paraId="6B8C949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a)学生起立发言时，首先切换为学生全景，再过渡为发言学生的特写画面，当多名学生站立时，自动切换到学生全景；</w:t>
            </w:r>
          </w:p>
          <w:p w14:paraId="421A8E9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b)学生跟踪具备人脸检测辅助识别功能。</w:t>
            </w:r>
          </w:p>
          <w:p w14:paraId="76BC849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3)支持设置摄像机分辨率、帧率、码率</w:t>
            </w:r>
          </w:p>
          <w:p w14:paraId="783BBB8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4)支持设置摄像机亮度、饱和度、对比度、锐度、色度、快门速度</w:t>
            </w:r>
          </w:p>
          <w:p w14:paraId="23E1324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5)图像支持左右镜像、上下翻转，默认不开启</w:t>
            </w:r>
          </w:p>
          <w:p w14:paraId="5CA4E4A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6)支持对摄像机网络进行管理，包括设置IP地址/网关/DNS等，支持组播协议搜索IP地址，并修改摄像机IP</w:t>
            </w:r>
          </w:p>
          <w:p w14:paraId="433CA5A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7)支持RTMP推流，RTSP拉流，地址可设置</w:t>
            </w:r>
          </w:p>
          <w:p w14:paraId="6F9CAA8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8)支持ONVIF协议，可预览ONVIF画面</w:t>
            </w:r>
          </w:p>
          <w:p w14:paraId="38B7707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9)支持GB28181协议，可使用GB28181协议推流</w:t>
            </w:r>
          </w:p>
          <w:p w14:paraId="0F82432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10)支持摄像机内部导播，支持外部服务器导播</w:t>
            </w:r>
          </w:p>
          <w:p w14:paraId="7D12AF0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11)支持至少1个六边形导播跟踪区划定</w:t>
            </w:r>
          </w:p>
          <w:p w14:paraId="352465F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12)跟踪区域划定方式为任意两个边缘点连线，确保可以构建合适的跟踪区域</w:t>
            </w:r>
          </w:p>
          <w:p w14:paraId="5BEB1A0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13)支持跟踪灵敏度设置，可适配不同的灵敏度要求场景</w:t>
            </w:r>
          </w:p>
          <w:p w14:paraId="336526D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14)支持开启/关闭跟踪功能</w:t>
            </w:r>
          </w:p>
        </w:tc>
        <w:tc>
          <w:tcPr>
            <w:tcW w:w="1040" w:type="dxa"/>
            <w:tcBorders>
              <w:top w:val="single" w:color="000000" w:sz="4" w:space="0"/>
              <w:left w:val="nil"/>
              <w:bottom w:val="single" w:color="000000" w:sz="4" w:space="0"/>
              <w:right w:val="single" w:color="000000" w:sz="4" w:space="0"/>
            </w:tcBorders>
            <w:vAlign w:val="center"/>
          </w:tcPr>
          <w:p w14:paraId="714C6329">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35EC6CF4">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33950441">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3564712D">
            <w:pPr>
              <w:jc w:val="center"/>
              <w:rPr>
                <w:rFonts w:ascii="宋体" w:hAnsi="宋体"/>
                <w:color w:val="auto"/>
                <w:sz w:val="18"/>
                <w:szCs w:val="18"/>
                <w:highlight w:val="none"/>
                <w:lang w:val="en-US" w:eastAsia="zh-CN"/>
              </w:rPr>
            </w:pPr>
          </w:p>
        </w:tc>
      </w:tr>
      <w:tr w14:paraId="7E77E28A">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1F415E58">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4</w:t>
            </w:r>
            <w:r>
              <w:rPr>
                <w:rFonts w:hint="eastAsia" w:ascii="宋体" w:hAnsi="宋体"/>
                <w:color w:val="auto"/>
                <w:sz w:val="18"/>
                <w:szCs w:val="18"/>
                <w:highlight w:val="none"/>
                <w:lang w:val="en-US" w:eastAsia="zh-CN"/>
              </w:rPr>
              <w:t>5</w:t>
            </w:r>
          </w:p>
        </w:tc>
        <w:tc>
          <w:tcPr>
            <w:tcW w:w="817" w:type="dxa"/>
            <w:tcBorders>
              <w:top w:val="single" w:color="000000" w:sz="4" w:space="0"/>
              <w:left w:val="nil"/>
              <w:bottom w:val="single" w:color="000000" w:sz="4" w:space="0"/>
              <w:right w:val="single" w:color="000000" w:sz="4" w:space="0"/>
            </w:tcBorders>
            <w:vAlign w:val="center"/>
          </w:tcPr>
          <w:p w14:paraId="4F02104B">
            <w:pPr>
              <w:widowControl/>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指向性拾音麦</w:t>
            </w:r>
          </w:p>
          <w:p w14:paraId="29922682">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克风</w:t>
            </w:r>
          </w:p>
        </w:tc>
        <w:tc>
          <w:tcPr>
            <w:tcW w:w="4112" w:type="dxa"/>
            <w:tcBorders>
              <w:top w:val="single" w:color="000000" w:sz="4" w:space="0"/>
              <w:left w:val="nil"/>
              <w:bottom w:val="single" w:color="000000" w:sz="4" w:space="0"/>
              <w:right w:val="single" w:color="000000" w:sz="4" w:space="0"/>
            </w:tcBorders>
            <w:vAlign w:val="center"/>
          </w:tcPr>
          <w:p w14:paraId="6B8DB31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麦克风采用≥4核的国产音频芯片。</w:t>
            </w:r>
          </w:p>
          <w:p w14:paraId="0B4FAE7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麦克风频率响应范围不低于50Hz~16KHz。</w:t>
            </w:r>
          </w:p>
          <w:p w14:paraId="16D876B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麦克风拾音半径≥8m。</w:t>
            </w:r>
          </w:p>
          <w:p w14:paraId="056AFE2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麦克风信噪比≥68dB。</w:t>
            </w:r>
          </w:p>
          <w:p w14:paraId="487ADE2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麦克风声压级≥130dBSPL，10%THD@1 KHz。</w:t>
            </w:r>
          </w:p>
          <w:p w14:paraId="315A7FC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麦克风无需额外适配器供电，能够通过网线实现麦克风供电、音频信号传输、参数调整。</w:t>
            </w:r>
          </w:p>
          <w:p w14:paraId="2B4153F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麦克风具备≥1个状态指示灯，可显示麦克风工作状态。</w:t>
            </w:r>
          </w:p>
          <w:p w14:paraId="73B9862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麦克风采用标准1/4吋螺口，适配各种类型标准吊杆。</w:t>
            </w:r>
          </w:p>
          <w:p w14:paraId="17DFF12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麦克风支持≥2个数字音频接口，每个接口都具备输入接口和输出接口能力，支持盲插。</w:t>
            </w:r>
          </w:p>
          <w:p w14:paraId="202DAF4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麦克风支持≥1个Type-C接口。</w:t>
            </w:r>
          </w:p>
          <w:p w14:paraId="7C72806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 麦克风内置≥8个硅麦传感器单元。</w:t>
            </w:r>
          </w:p>
          <w:p w14:paraId="518609C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 麦克风支持在线OTA，可在线对麦克风进行升级，无需人员现场维护。</w:t>
            </w:r>
          </w:p>
          <w:p w14:paraId="346B7F0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 麦克风支持降噪、回声抵消、混响抑制、自动增益控制、多麦融合多种音频算法。</w:t>
            </w:r>
          </w:p>
          <w:p w14:paraId="798FED1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 麦克风支持数字音频传输。</w:t>
            </w:r>
          </w:p>
          <w:p w14:paraId="11777BD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 麦克风套件标配2支麦克风和2套安装支架。</w:t>
            </w:r>
          </w:p>
        </w:tc>
        <w:tc>
          <w:tcPr>
            <w:tcW w:w="1040" w:type="dxa"/>
            <w:tcBorders>
              <w:top w:val="single" w:color="000000" w:sz="4" w:space="0"/>
              <w:left w:val="nil"/>
              <w:bottom w:val="single" w:color="000000" w:sz="4" w:space="0"/>
              <w:right w:val="single" w:color="000000" w:sz="4" w:space="0"/>
            </w:tcBorders>
            <w:vAlign w:val="center"/>
          </w:tcPr>
          <w:p w14:paraId="35DED7B4">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42F26BD0">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6CC304B6">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3E6C1BFF">
            <w:pPr>
              <w:jc w:val="center"/>
              <w:rPr>
                <w:rFonts w:hint="eastAsia" w:ascii="宋体" w:hAnsi="宋体"/>
                <w:color w:val="auto"/>
                <w:sz w:val="18"/>
                <w:szCs w:val="18"/>
                <w:highlight w:val="green"/>
                <w:lang w:val="en-US" w:eastAsia="zh-CN"/>
              </w:rPr>
            </w:pPr>
          </w:p>
        </w:tc>
      </w:tr>
      <w:tr w14:paraId="35A69F6B">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33BB4659">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4</w:t>
            </w:r>
            <w:r>
              <w:rPr>
                <w:rFonts w:hint="eastAsia" w:ascii="宋体" w:hAnsi="宋体"/>
                <w:color w:val="auto"/>
                <w:sz w:val="18"/>
                <w:szCs w:val="18"/>
                <w:highlight w:val="none"/>
                <w:lang w:val="en-US" w:eastAsia="zh-CN"/>
              </w:rPr>
              <w:t>6</w:t>
            </w:r>
          </w:p>
        </w:tc>
        <w:tc>
          <w:tcPr>
            <w:tcW w:w="817" w:type="dxa"/>
            <w:tcBorders>
              <w:top w:val="single" w:color="000000" w:sz="4" w:space="0"/>
              <w:left w:val="nil"/>
              <w:bottom w:val="single" w:color="000000" w:sz="4" w:space="0"/>
              <w:right w:val="single" w:color="000000" w:sz="4" w:space="0"/>
            </w:tcBorders>
            <w:vAlign w:val="center"/>
          </w:tcPr>
          <w:p w14:paraId="6E71293B">
            <w:pPr>
              <w:widowControl/>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麦克风音频处</w:t>
            </w:r>
          </w:p>
          <w:p w14:paraId="11729D81">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理系统</w:t>
            </w:r>
          </w:p>
        </w:tc>
        <w:tc>
          <w:tcPr>
            <w:tcW w:w="4112" w:type="dxa"/>
            <w:tcBorders>
              <w:top w:val="single" w:color="000000" w:sz="4" w:space="0"/>
              <w:left w:val="nil"/>
              <w:bottom w:val="single" w:color="000000" w:sz="4" w:space="0"/>
              <w:right w:val="single" w:color="000000" w:sz="4" w:space="0"/>
            </w:tcBorders>
            <w:vAlign w:val="center"/>
          </w:tcPr>
          <w:p w14:paraId="43E471E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支持全频带全双工自适应回声消除算法。</w:t>
            </w:r>
          </w:p>
          <w:p w14:paraId="2F4359C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支持全频自适应AI降噪技术，降噪电平≥24dB。</w:t>
            </w:r>
          </w:p>
          <w:p w14:paraId="4B35294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支持自动增益控制。</w:t>
            </w:r>
          </w:p>
          <w:p w14:paraId="5DBDA10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支持啸叫抑制。</w:t>
            </w:r>
          </w:p>
          <w:p w14:paraId="7A8B539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支持智能混音，可智能选择最佳麦克风采集音频。</w:t>
            </w:r>
          </w:p>
          <w:p w14:paraId="7A2C81C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支持多通道音频矩阵，可根据场景需求进行相应设置。</w:t>
            </w:r>
          </w:p>
          <w:p w14:paraId="313B0C6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支持音频参数调节。</w:t>
            </w:r>
          </w:p>
          <w:p w14:paraId="01BF1CC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支持波束成形。</w:t>
            </w:r>
          </w:p>
          <w:p w14:paraId="3784087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支持远程OTA升级。</w:t>
            </w:r>
          </w:p>
          <w:p w14:paraId="14AFFEB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支持连接录播主机作为录播音频输入设备使用，也可连接Windows系统，并为其提供音频输入。</w:t>
            </w:r>
          </w:p>
        </w:tc>
        <w:tc>
          <w:tcPr>
            <w:tcW w:w="1040" w:type="dxa"/>
            <w:tcBorders>
              <w:top w:val="single" w:color="000000" w:sz="4" w:space="0"/>
              <w:left w:val="nil"/>
              <w:bottom w:val="single" w:color="000000" w:sz="4" w:space="0"/>
              <w:right w:val="single" w:color="000000" w:sz="4" w:space="0"/>
            </w:tcBorders>
            <w:vAlign w:val="center"/>
          </w:tcPr>
          <w:p w14:paraId="0454E4E4">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2BCD21E0">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510485DB">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3EEFCC2C">
            <w:pPr>
              <w:jc w:val="center"/>
              <w:rPr>
                <w:rFonts w:hint="eastAsia" w:ascii="宋体" w:hAnsi="宋体"/>
                <w:color w:val="auto"/>
                <w:sz w:val="18"/>
                <w:szCs w:val="18"/>
                <w:highlight w:val="none"/>
                <w:lang w:val="en-US" w:eastAsia="zh-CN"/>
              </w:rPr>
            </w:pPr>
          </w:p>
        </w:tc>
      </w:tr>
      <w:tr w14:paraId="3145ED37">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78854A95">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4</w:t>
            </w:r>
            <w:r>
              <w:rPr>
                <w:rFonts w:hint="eastAsia" w:ascii="宋体" w:hAnsi="宋体"/>
                <w:color w:val="auto"/>
                <w:sz w:val="18"/>
                <w:szCs w:val="18"/>
                <w:highlight w:val="none"/>
                <w:lang w:val="en-US" w:eastAsia="zh-CN"/>
              </w:rPr>
              <w:t>7</w:t>
            </w:r>
          </w:p>
        </w:tc>
        <w:tc>
          <w:tcPr>
            <w:tcW w:w="817" w:type="dxa"/>
            <w:tcBorders>
              <w:top w:val="single" w:color="000000" w:sz="4" w:space="0"/>
              <w:left w:val="nil"/>
              <w:bottom w:val="single" w:color="000000" w:sz="4" w:space="0"/>
              <w:right w:val="single" w:color="000000" w:sz="4" w:space="0"/>
            </w:tcBorders>
            <w:vAlign w:val="center"/>
          </w:tcPr>
          <w:p w14:paraId="370ECB14">
            <w:pPr>
              <w:widowControl/>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双通道无线麦</w:t>
            </w:r>
          </w:p>
          <w:p w14:paraId="59F13EE5">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克风</w:t>
            </w:r>
          </w:p>
        </w:tc>
        <w:tc>
          <w:tcPr>
            <w:tcW w:w="4112" w:type="dxa"/>
            <w:tcBorders>
              <w:top w:val="single" w:color="000000" w:sz="4" w:space="0"/>
              <w:left w:val="nil"/>
              <w:bottom w:val="single" w:color="000000" w:sz="4" w:space="0"/>
              <w:right w:val="single" w:color="000000" w:sz="4" w:space="0"/>
            </w:tcBorders>
            <w:vAlign w:val="center"/>
          </w:tcPr>
          <w:p w14:paraId="566B8DE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麦克风支持≥1个3.5mm音频接口，可输入头戴麦音频信号，输出幅值≥2V（RMS）。整机3.5mm音频接口≥2个。</w:t>
            </w:r>
          </w:p>
          <w:p w14:paraId="3FAFD08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麦克风支持≥1个Pogo pin接口，支持通过Pogo pin接口进行充电。整机Pogo pin接口≥2个。</w:t>
            </w:r>
          </w:p>
          <w:p w14:paraId="0299F8B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麦克风支持≥1个三合一按键，可控制麦克风的开关机、静音和配对。</w:t>
            </w:r>
          </w:p>
          <w:p w14:paraId="5B9E311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麦克风支持≥2个音量控制按钮，可通过音量“+”“—”按钮控制麦克风输出音量。</w:t>
            </w:r>
          </w:p>
          <w:p w14:paraId="7AC4D61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麦克风标配充电仓，方便快速充电及收纳。</w:t>
            </w:r>
          </w:p>
          <w:p w14:paraId="72F13A3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麦克风支持≥4种佩戴方式。</w:t>
            </w:r>
          </w:p>
          <w:p w14:paraId="3C77BCE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麦克风领夹角度支持自由调节，调节角度≥±90°，以适配不同的使用者衣物；调节至0°位置时会有“卡扣感”,方便回归标准位置。</w:t>
            </w:r>
          </w:p>
          <w:p w14:paraId="38E876E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整机标配两个无线麦克风，且两个麦克风支持同时工作。</w:t>
            </w:r>
          </w:p>
          <w:p w14:paraId="0F5935A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麦克风支持≥2种配对方式，可通过麦克风从充电仓拿出自动开始配对、短按按键开始配对，配对完成时间≤5s。</w:t>
            </w:r>
          </w:p>
          <w:p w14:paraId="3D3F50E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麦克风支持通过音量调节按钮调节输出音量；音量调节过程中通过麦克风一体化屏幕动态提示当前音量等级。</w:t>
            </w:r>
          </w:p>
          <w:p w14:paraId="6DA6E47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 支持任意两个麦克风放入同一个充电仓完成配对，配对后两个麦克风可同时连接一个接收端。</w:t>
            </w:r>
          </w:p>
          <w:p w14:paraId="152A7CE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 麦克风信噪比≥95dB。</w:t>
            </w:r>
          </w:p>
          <w:p w14:paraId="2DBFC53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 麦克风音频采样率≥48000Hz。</w:t>
            </w:r>
          </w:p>
          <w:p w14:paraId="36D6DCF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 支持红外和无线2.4G同时配对，实现远距离配对的同时，防止误配对。</w:t>
            </w:r>
          </w:p>
          <w:p w14:paraId="0C6D364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 麦克风自带全彩显示屏，支持显示显示麦克风电池电量、麦克风配对状态、麦克风所连接的设备、显示当前麦克风接收声音强度、无线连接信号强度。</w:t>
            </w:r>
          </w:p>
        </w:tc>
        <w:tc>
          <w:tcPr>
            <w:tcW w:w="1040" w:type="dxa"/>
            <w:tcBorders>
              <w:top w:val="single" w:color="000000" w:sz="4" w:space="0"/>
              <w:left w:val="nil"/>
              <w:bottom w:val="single" w:color="000000" w:sz="4" w:space="0"/>
              <w:right w:val="single" w:color="000000" w:sz="4" w:space="0"/>
            </w:tcBorders>
            <w:vAlign w:val="center"/>
          </w:tcPr>
          <w:p w14:paraId="551EEE1E">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32B0F8FD">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6431A0A4">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0EF68EE0">
            <w:pPr>
              <w:jc w:val="center"/>
              <w:rPr>
                <w:rFonts w:ascii="宋体" w:hAnsi="宋体"/>
                <w:color w:val="auto"/>
                <w:sz w:val="18"/>
                <w:szCs w:val="18"/>
                <w:highlight w:val="none"/>
                <w:lang w:val="en-US" w:eastAsia="zh-CN"/>
              </w:rPr>
            </w:pPr>
          </w:p>
        </w:tc>
      </w:tr>
      <w:tr w14:paraId="435F6774">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0B595005">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4</w:t>
            </w:r>
            <w:r>
              <w:rPr>
                <w:rFonts w:hint="eastAsia" w:ascii="宋体" w:hAnsi="宋体"/>
                <w:color w:val="auto"/>
                <w:sz w:val="18"/>
                <w:szCs w:val="18"/>
                <w:highlight w:val="none"/>
                <w:lang w:val="en-US" w:eastAsia="zh-CN"/>
              </w:rPr>
              <w:t>8</w:t>
            </w:r>
          </w:p>
        </w:tc>
        <w:tc>
          <w:tcPr>
            <w:tcW w:w="817" w:type="dxa"/>
            <w:tcBorders>
              <w:top w:val="single" w:color="000000" w:sz="4" w:space="0"/>
              <w:left w:val="nil"/>
              <w:bottom w:val="single" w:color="000000" w:sz="4" w:space="0"/>
              <w:right w:val="single" w:color="000000" w:sz="4" w:space="0"/>
            </w:tcBorders>
            <w:vAlign w:val="center"/>
          </w:tcPr>
          <w:p w14:paraId="0E13D15A">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麦克风音频处理系统</w:t>
            </w:r>
          </w:p>
        </w:tc>
        <w:tc>
          <w:tcPr>
            <w:tcW w:w="4112" w:type="dxa"/>
            <w:tcBorders>
              <w:top w:val="single" w:color="000000" w:sz="4" w:space="0"/>
              <w:left w:val="nil"/>
              <w:bottom w:val="single" w:color="000000" w:sz="4" w:space="0"/>
              <w:right w:val="single" w:color="000000" w:sz="4" w:space="0"/>
            </w:tcBorders>
            <w:vAlign w:val="center"/>
          </w:tcPr>
          <w:p w14:paraId="57E4828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麦克风音频编码方式采用LC3 plus。</w:t>
            </w:r>
          </w:p>
          <w:p w14:paraId="71E94A7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支持啸叫抑制算法，本地扩声时不产生啸叫现象。</w:t>
            </w:r>
          </w:p>
          <w:p w14:paraId="4C819DF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支持降噪功能设置。</w:t>
            </w:r>
          </w:p>
          <w:p w14:paraId="1E1458E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支持多通道输入混音。</w:t>
            </w:r>
          </w:p>
        </w:tc>
        <w:tc>
          <w:tcPr>
            <w:tcW w:w="1040" w:type="dxa"/>
            <w:tcBorders>
              <w:top w:val="single" w:color="000000" w:sz="4" w:space="0"/>
              <w:left w:val="nil"/>
              <w:bottom w:val="single" w:color="000000" w:sz="4" w:space="0"/>
              <w:right w:val="single" w:color="000000" w:sz="4" w:space="0"/>
            </w:tcBorders>
            <w:vAlign w:val="center"/>
          </w:tcPr>
          <w:p w14:paraId="590479A7">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4F6B3FE6">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596E62AE">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4AC18DCE">
            <w:pPr>
              <w:jc w:val="center"/>
              <w:rPr>
                <w:rFonts w:hint="eastAsia" w:ascii="宋体" w:hAnsi="宋体"/>
                <w:color w:val="auto"/>
                <w:sz w:val="18"/>
                <w:szCs w:val="18"/>
                <w:highlight w:val="none"/>
                <w:lang w:val="en-US" w:eastAsia="zh-CN"/>
              </w:rPr>
            </w:pPr>
          </w:p>
        </w:tc>
      </w:tr>
      <w:tr w14:paraId="3E12F909">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3CFCE3AF">
            <w:pPr>
              <w:widowControl/>
              <w:jc w:val="center"/>
              <w:textAlignment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49</w:t>
            </w:r>
          </w:p>
        </w:tc>
        <w:tc>
          <w:tcPr>
            <w:tcW w:w="817" w:type="dxa"/>
            <w:tcBorders>
              <w:top w:val="single" w:color="000000" w:sz="4" w:space="0"/>
              <w:left w:val="nil"/>
              <w:bottom w:val="single" w:color="000000" w:sz="4" w:space="0"/>
              <w:right w:val="single" w:color="000000" w:sz="4" w:space="0"/>
            </w:tcBorders>
            <w:vAlign w:val="center"/>
          </w:tcPr>
          <w:p w14:paraId="55DFDF94">
            <w:pPr>
              <w:widowControl/>
              <w:jc w:val="center"/>
              <w:textAlignment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kern w:val="0"/>
                <w:sz w:val="18"/>
                <w:szCs w:val="18"/>
                <w:highlight w:val="none"/>
              </w:rPr>
              <w:t>互动电视</w:t>
            </w:r>
          </w:p>
        </w:tc>
        <w:tc>
          <w:tcPr>
            <w:tcW w:w="4112" w:type="dxa"/>
            <w:tcBorders>
              <w:top w:val="single" w:color="000000" w:sz="4" w:space="0"/>
              <w:left w:val="nil"/>
              <w:bottom w:val="single" w:color="000000" w:sz="4" w:space="0"/>
              <w:right w:val="single" w:color="000000" w:sz="4" w:space="0"/>
            </w:tcBorders>
            <w:vAlign w:val="center"/>
          </w:tcPr>
          <w:p w14:paraId="6D034F4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1.屏幕物理尺寸≥55吋</w:t>
            </w:r>
          </w:p>
          <w:p w14:paraId="74923CE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2.屏幕分辨率≥3840*2160</w:t>
            </w:r>
          </w:p>
          <w:p w14:paraId="2277512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3.屏幕刷新率≥60Hz</w:t>
            </w:r>
          </w:p>
          <w:p w14:paraId="033089A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4.支持HDMI接入检测开机，HDMI有输入信号后，可自动开机，至少有3个HDMI接口支持该功能</w:t>
            </w:r>
          </w:p>
          <w:p w14:paraId="3705FAA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5.整机功耗≤120W</w:t>
            </w:r>
          </w:p>
          <w:p w14:paraId="5F12DAD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6.待机功耗≤0.5W</w:t>
            </w:r>
          </w:p>
          <w:p w14:paraId="7E75540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7.USB接口数量≥2；HDMI输入通道数量≥3</w:t>
            </w:r>
          </w:p>
          <w:p w14:paraId="1411B918">
            <w:pPr>
              <w:widowControl/>
              <w:jc w:val="left"/>
              <w:textAlignment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8.标配遥控器和配套电池</w:t>
            </w:r>
          </w:p>
        </w:tc>
        <w:tc>
          <w:tcPr>
            <w:tcW w:w="1040" w:type="dxa"/>
            <w:tcBorders>
              <w:top w:val="single" w:color="000000" w:sz="4" w:space="0"/>
              <w:left w:val="nil"/>
              <w:bottom w:val="single" w:color="000000" w:sz="4" w:space="0"/>
              <w:right w:val="single" w:color="000000" w:sz="4" w:space="0"/>
            </w:tcBorders>
            <w:vAlign w:val="center"/>
          </w:tcPr>
          <w:p w14:paraId="746DF919">
            <w:pPr>
              <w:widowControl/>
              <w:jc w:val="center"/>
              <w:textAlignment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62A1F8C5">
            <w:pPr>
              <w:widowControl/>
              <w:jc w:val="center"/>
              <w:textAlignment w:val="center"/>
              <w:rPr>
                <w:rFonts w:hint="eastAsia" w:ascii="宋体" w:hAnsi="宋体" w:eastAsia="宋体" w:cs="Times New Roman"/>
                <w:color w:val="auto"/>
                <w:kern w:val="2"/>
                <w:sz w:val="20"/>
                <w:szCs w:val="20"/>
                <w:highlight w:val="none"/>
                <w:lang w:val="en-US" w:eastAsia="zh-CN" w:bidi="ar-SA"/>
              </w:rPr>
            </w:pPr>
            <w:r>
              <w:rPr>
                <w:rFonts w:hint="eastAsia" w:ascii="宋体" w:hAnsi="宋体"/>
                <w:color w:val="auto"/>
                <w:sz w:val="20"/>
                <w:szCs w:val="20"/>
                <w:highlight w:val="none"/>
              </w:rPr>
              <w:t>台</w:t>
            </w:r>
          </w:p>
        </w:tc>
        <w:tc>
          <w:tcPr>
            <w:tcW w:w="1084" w:type="dxa"/>
            <w:tcBorders>
              <w:top w:val="single" w:color="000000" w:sz="4" w:space="0"/>
              <w:left w:val="nil"/>
              <w:bottom w:val="single" w:color="000000" w:sz="4" w:space="0"/>
              <w:right w:val="single" w:color="000000" w:sz="4" w:space="0"/>
            </w:tcBorders>
            <w:vAlign w:val="center"/>
          </w:tcPr>
          <w:p w14:paraId="1155331E">
            <w:pPr>
              <w:jc w:val="center"/>
              <w:rPr>
                <w:rFonts w:ascii="宋体" w:hAnsi="宋体" w:eastAsia="宋体" w:cs="Times New Roman"/>
                <w:color w:val="auto"/>
                <w:kern w:val="2"/>
                <w:sz w:val="18"/>
                <w:szCs w:val="18"/>
                <w:highlight w:val="none"/>
                <w:lang w:val="en-US" w:eastAsia="zh-CN" w:bidi="ar-SA"/>
              </w:rPr>
            </w:pPr>
          </w:p>
        </w:tc>
        <w:tc>
          <w:tcPr>
            <w:tcW w:w="859" w:type="dxa"/>
            <w:tcBorders>
              <w:top w:val="single" w:color="000000" w:sz="4" w:space="0"/>
              <w:left w:val="nil"/>
              <w:bottom w:val="single" w:color="000000" w:sz="4" w:space="0"/>
              <w:right w:val="single" w:color="000000" w:sz="4" w:space="0"/>
            </w:tcBorders>
            <w:vAlign w:val="center"/>
          </w:tcPr>
          <w:p w14:paraId="4F573280">
            <w:pPr>
              <w:jc w:val="center"/>
              <w:rPr>
                <w:rFonts w:ascii="宋体" w:hAnsi="宋体" w:eastAsia="宋体" w:cs="Times New Roman"/>
                <w:color w:val="auto"/>
                <w:kern w:val="2"/>
                <w:sz w:val="18"/>
                <w:szCs w:val="18"/>
                <w:highlight w:val="none"/>
                <w:lang w:val="en-US" w:eastAsia="zh-CN" w:bidi="ar-SA"/>
              </w:rPr>
            </w:pPr>
          </w:p>
        </w:tc>
      </w:tr>
      <w:tr w14:paraId="3123A1EF">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3F9D301D">
            <w:pPr>
              <w:widowControl/>
              <w:jc w:val="center"/>
              <w:textAlignment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50</w:t>
            </w:r>
          </w:p>
        </w:tc>
        <w:tc>
          <w:tcPr>
            <w:tcW w:w="817" w:type="dxa"/>
            <w:tcBorders>
              <w:top w:val="single" w:color="000000" w:sz="4" w:space="0"/>
              <w:left w:val="nil"/>
              <w:bottom w:val="single" w:color="000000" w:sz="4" w:space="0"/>
              <w:right w:val="single" w:color="000000" w:sz="4" w:space="0"/>
            </w:tcBorders>
            <w:vAlign w:val="center"/>
          </w:tcPr>
          <w:p w14:paraId="3797D206">
            <w:pPr>
              <w:widowControl/>
              <w:jc w:val="center"/>
              <w:textAlignment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kern w:val="0"/>
                <w:sz w:val="18"/>
                <w:szCs w:val="18"/>
                <w:highlight w:val="none"/>
              </w:rPr>
              <w:t>POE交换机（24口）</w:t>
            </w:r>
          </w:p>
        </w:tc>
        <w:tc>
          <w:tcPr>
            <w:tcW w:w="4112" w:type="dxa"/>
            <w:tcBorders>
              <w:top w:val="single" w:color="000000" w:sz="4" w:space="0"/>
              <w:left w:val="nil"/>
              <w:bottom w:val="single" w:color="000000" w:sz="4" w:space="0"/>
              <w:right w:val="single" w:color="000000" w:sz="4" w:space="0"/>
            </w:tcBorders>
            <w:vAlign w:val="center"/>
          </w:tcPr>
          <w:p w14:paraId="1B9F361C">
            <w:pPr>
              <w:widowControl/>
              <w:jc w:val="left"/>
              <w:textAlignment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kern w:val="0"/>
                <w:sz w:val="18"/>
                <w:szCs w:val="18"/>
                <w:highlight w:val="none"/>
              </w:rPr>
              <w:t>1.传输速率:10/100/1000Mbps 2.交换方式:存储-转发 3.包转发率:41.66Mpps 4.端口数量:24个 5.端口描述:24个10/100/1000Base-T以太网端口，4个千兆SFP  6.支持4K个VLAN7.支持Access/Trunk/Hybrid/QinQ接入方式8.支持基于端口划分VLAN9.支持MAC地址自动学习10.支持MAC地址自动老化11.支持静态MAC表项</w:t>
            </w:r>
          </w:p>
        </w:tc>
        <w:tc>
          <w:tcPr>
            <w:tcW w:w="1040" w:type="dxa"/>
            <w:tcBorders>
              <w:top w:val="single" w:color="000000" w:sz="4" w:space="0"/>
              <w:left w:val="nil"/>
              <w:bottom w:val="single" w:color="000000" w:sz="4" w:space="0"/>
              <w:right w:val="single" w:color="000000" w:sz="4" w:space="0"/>
            </w:tcBorders>
            <w:vAlign w:val="center"/>
          </w:tcPr>
          <w:p w14:paraId="4CBAA7FC">
            <w:pPr>
              <w:widowControl/>
              <w:jc w:val="center"/>
              <w:textAlignment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6F7815B1">
            <w:pPr>
              <w:widowControl/>
              <w:jc w:val="center"/>
              <w:textAlignment w:val="center"/>
              <w:rPr>
                <w:rFonts w:hint="eastAsia" w:ascii="宋体" w:hAnsi="宋体" w:eastAsia="宋体" w:cs="Times New Roman"/>
                <w:color w:val="auto"/>
                <w:kern w:val="2"/>
                <w:sz w:val="20"/>
                <w:szCs w:val="20"/>
                <w:highlight w:val="none"/>
                <w:lang w:val="en-US" w:eastAsia="zh-CN" w:bidi="ar-SA"/>
              </w:rPr>
            </w:pPr>
            <w:r>
              <w:rPr>
                <w:rFonts w:hint="eastAsia" w:ascii="宋体" w:hAnsi="宋体"/>
                <w:color w:val="auto"/>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61FD7EA6">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288C036B">
            <w:pPr>
              <w:jc w:val="center"/>
              <w:rPr>
                <w:rFonts w:ascii="宋体" w:hAnsi="宋体"/>
                <w:color w:val="auto"/>
                <w:sz w:val="18"/>
                <w:szCs w:val="18"/>
                <w:highlight w:val="none"/>
                <w:lang w:val="en-US" w:eastAsia="zh-CN"/>
              </w:rPr>
            </w:pPr>
          </w:p>
        </w:tc>
      </w:tr>
      <w:tr w14:paraId="1A0B7463">
        <w:tblPrEx>
          <w:tblCellMar>
            <w:top w:w="0" w:type="dxa"/>
            <w:left w:w="108" w:type="dxa"/>
            <w:bottom w:w="0" w:type="dxa"/>
            <w:right w:w="108" w:type="dxa"/>
          </w:tblCellMar>
        </w:tblPrEx>
        <w:trPr>
          <w:trHeight w:val="778"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7CB21786">
            <w:pPr>
              <w:widowControl/>
              <w:jc w:val="center"/>
              <w:textAlignment w:val="center"/>
              <w:rPr>
                <w:rFonts w:hint="default" w:ascii="宋体" w:hAnsi="宋体" w:eastAsia="宋体" w:cs="Times New Roman"/>
                <w:color w:val="auto"/>
                <w:kern w:val="0"/>
                <w:sz w:val="18"/>
                <w:szCs w:val="18"/>
                <w:highlight w:val="none"/>
                <w:lang w:val="en-US" w:eastAsia="zh-CN" w:bidi="ar-SA"/>
              </w:rPr>
            </w:pPr>
            <w:r>
              <w:rPr>
                <w:rFonts w:hint="eastAsia" w:ascii="宋体" w:hAnsi="宋体" w:cs="Times New Roman"/>
                <w:color w:val="auto"/>
                <w:kern w:val="0"/>
                <w:sz w:val="18"/>
                <w:szCs w:val="18"/>
                <w:highlight w:val="none"/>
                <w:lang w:val="en-US" w:eastAsia="zh-CN" w:bidi="ar-SA"/>
              </w:rPr>
              <w:t>51</w:t>
            </w:r>
          </w:p>
        </w:tc>
        <w:tc>
          <w:tcPr>
            <w:tcW w:w="817" w:type="dxa"/>
            <w:tcBorders>
              <w:top w:val="single" w:color="000000" w:sz="4" w:space="0"/>
              <w:left w:val="nil"/>
              <w:bottom w:val="single" w:color="000000" w:sz="4" w:space="0"/>
              <w:right w:val="single" w:color="000000" w:sz="4" w:space="0"/>
            </w:tcBorders>
            <w:vAlign w:val="center"/>
          </w:tcPr>
          <w:p w14:paraId="197AE6F7">
            <w:pPr>
              <w:widowControl/>
              <w:jc w:val="center"/>
              <w:textAlignment w:val="center"/>
              <w:rPr>
                <w:rFonts w:ascii="宋体" w:hAnsi="宋体" w:eastAsia="宋体" w:cs="Times New Roman"/>
                <w:color w:val="auto"/>
                <w:kern w:val="0"/>
                <w:sz w:val="18"/>
                <w:szCs w:val="18"/>
                <w:highlight w:val="none"/>
                <w:lang w:val="en-US" w:eastAsia="zh-CN" w:bidi="ar-SA"/>
              </w:rPr>
            </w:pPr>
            <w:r>
              <w:rPr>
                <w:rFonts w:hint="eastAsia" w:ascii="宋体" w:hAnsi="宋体"/>
                <w:color w:val="auto"/>
                <w:kern w:val="0"/>
                <w:sz w:val="18"/>
                <w:szCs w:val="18"/>
                <w:highlight w:val="none"/>
              </w:rPr>
              <w:t>附件及线材</w:t>
            </w:r>
          </w:p>
        </w:tc>
        <w:tc>
          <w:tcPr>
            <w:tcW w:w="4112" w:type="dxa"/>
            <w:tcBorders>
              <w:top w:val="single" w:color="000000" w:sz="4" w:space="0"/>
              <w:left w:val="nil"/>
              <w:bottom w:val="single" w:color="000000" w:sz="4" w:space="0"/>
              <w:right w:val="single" w:color="000000" w:sz="4" w:space="0"/>
            </w:tcBorders>
            <w:vAlign w:val="center"/>
          </w:tcPr>
          <w:p w14:paraId="082D1A1F">
            <w:pPr>
              <w:widowControl/>
              <w:jc w:val="left"/>
              <w:textAlignment w:val="center"/>
              <w:rPr>
                <w:rFonts w:ascii="宋体" w:hAnsi="宋体" w:eastAsia="宋体" w:cs="Times New Roman"/>
                <w:color w:val="auto"/>
                <w:kern w:val="0"/>
                <w:sz w:val="18"/>
                <w:szCs w:val="18"/>
                <w:highlight w:val="none"/>
                <w:lang w:val="en-US" w:eastAsia="zh-CN" w:bidi="ar-SA"/>
              </w:rPr>
            </w:pPr>
            <w:r>
              <w:rPr>
                <w:rFonts w:hint="eastAsia" w:ascii="宋体" w:hAnsi="宋体"/>
                <w:color w:val="auto"/>
                <w:kern w:val="0"/>
                <w:sz w:val="18"/>
                <w:szCs w:val="18"/>
                <w:highlight w:val="none"/>
              </w:rPr>
              <w:t>HDMI高清音视频信号线100m、超五类网络传输线300m、RVVP线缆10m、电视机挂架/吊架</w:t>
            </w:r>
            <w:r>
              <w:rPr>
                <w:rFonts w:hint="eastAsia" w:ascii="宋体" w:hAnsi="宋体"/>
                <w:color w:val="auto"/>
                <w:kern w:val="0"/>
                <w:sz w:val="18"/>
                <w:szCs w:val="18"/>
                <w:highlight w:val="none"/>
                <w:lang w:val="en-US" w:eastAsia="zh-CN"/>
              </w:rPr>
              <w:t>2套</w:t>
            </w:r>
            <w:r>
              <w:rPr>
                <w:rFonts w:hint="eastAsia" w:ascii="宋体" w:hAnsi="宋体"/>
                <w:color w:val="auto"/>
                <w:kern w:val="0"/>
                <w:sz w:val="18"/>
                <w:szCs w:val="18"/>
                <w:highlight w:val="none"/>
              </w:rPr>
              <w:t>。</w:t>
            </w:r>
          </w:p>
        </w:tc>
        <w:tc>
          <w:tcPr>
            <w:tcW w:w="1040" w:type="dxa"/>
            <w:tcBorders>
              <w:top w:val="single" w:color="000000" w:sz="4" w:space="0"/>
              <w:left w:val="nil"/>
              <w:bottom w:val="single" w:color="000000" w:sz="4" w:space="0"/>
              <w:right w:val="single" w:color="000000" w:sz="4" w:space="0"/>
            </w:tcBorders>
            <w:vAlign w:val="center"/>
          </w:tcPr>
          <w:p w14:paraId="0B4747B5">
            <w:pPr>
              <w:widowControl/>
              <w:jc w:val="center"/>
              <w:textAlignment w:val="center"/>
              <w:rPr>
                <w:rFonts w:ascii="宋体" w:hAnsi="宋体" w:eastAsia="宋体" w:cs="Times New Roman"/>
                <w:color w:val="auto"/>
                <w:kern w:val="2"/>
                <w:sz w:val="18"/>
                <w:szCs w:val="18"/>
                <w:highlight w:val="none"/>
                <w:lang w:val="en-US" w:eastAsia="zh-CN" w:bidi="ar-SA"/>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6A2C9D3F">
            <w:pPr>
              <w:widowControl/>
              <w:jc w:val="center"/>
              <w:textAlignment w:val="center"/>
              <w:rPr>
                <w:rFonts w:ascii="宋体" w:hAnsi="宋体" w:eastAsia="宋体" w:cs="Times New Roman"/>
                <w:color w:val="auto"/>
                <w:kern w:val="2"/>
                <w:sz w:val="20"/>
                <w:szCs w:val="20"/>
                <w:highlight w:val="none"/>
                <w:lang w:val="en-US" w:eastAsia="zh-CN" w:bidi="ar-SA"/>
              </w:rPr>
            </w:pPr>
            <w:r>
              <w:rPr>
                <w:rFonts w:hint="eastAsia" w:ascii="宋体" w:hAnsi="宋体"/>
                <w:color w:val="auto"/>
                <w:sz w:val="20"/>
                <w:szCs w:val="20"/>
                <w:highlight w:val="none"/>
                <w:lang w:val="en-US" w:eastAsia="zh-CN"/>
              </w:rPr>
              <w:t>项</w:t>
            </w:r>
          </w:p>
        </w:tc>
        <w:tc>
          <w:tcPr>
            <w:tcW w:w="1084" w:type="dxa"/>
            <w:tcBorders>
              <w:top w:val="single" w:color="000000" w:sz="4" w:space="0"/>
              <w:left w:val="nil"/>
              <w:bottom w:val="single" w:color="000000" w:sz="4" w:space="0"/>
              <w:right w:val="single" w:color="000000" w:sz="4" w:space="0"/>
            </w:tcBorders>
            <w:vAlign w:val="center"/>
          </w:tcPr>
          <w:p w14:paraId="3113EF2C">
            <w:pPr>
              <w:jc w:val="center"/>
              <w:rPr>
                <w:rFonts w:hint="default" w:ascii="宋体" w:hAnsi="宋体" w:eastAsia="宋体" w:cs="Times New Roman"/>
                <w:color w:val="auto"/>
                <w:kern w:val="2"/>
                <w:sz w:val="18"/>
                <w:szCs w:val="18"/>
                <w:highlight w:val="none"/>
                <w:lang w:val="en-US" w:eastAsia="zh-CN" w:bidi="ar-SA"/>
              </w:rPr>
            </w:pPr>
          </w:p>
        </w:tc>
        <w:tc>
          <w:tcPr>
            <w:tcW w:w="859" w:type="dxa"/>
            <w:tcBorders>
              <w:top w:val="single" w:color="000000" w:sz="4" w:space="0"/>
              <w:left w:val="nil"/>
              <w:bottom w:val="single" w:color="000000" w:sz="4" w:space="0"/>
              <w:right w:val="single" w:color="000000" w:sz="4" w:space="0"/>
            </w:tcBorders>
            <w:vAlign w:val="center"/>
          </w:tcPr>
          <w:p w14:paraId="60B74884">
            <w:pPr>
              <w:jc w:val="center"/>
              <w:rPr>
                <w:rFonts w:ascii="宋体" w:hAnsi="宋体" w:eastAsia="宋体" w:cs="Times New Roman"/>
                <w:color w:val="auto"/>
                <w:kern w:val="2"/>
                <w:sz w:val="18"/>
                <w:szCs w:val="18"/>
                <w:highlight w:val="none"/>
                <w:lang w:val="en-US" w:eastAsia="zh-CN" w:bidi="ar-SA"/>
              </w:rPr>
            </w:pPr>
          </w:p>
        </w:tc>
      </w:tr>
      <w:tr w14:paraId="6497F268">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23175547">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5</w:t>
            </w:r>
            <w:r>
              <w:rPr>
                <w:rFonts w:hint="eastAsia" w:ascii="宋体" w:hAnsi="宋体"/>
                <w:color w:val="auto"/>
                <w:sz w:val="18"/>
                <w:szCs w:val="18"/>
                <w:highlight w:val="none"/>
                <w:lang w:val="en-US" w:eastAsia="zh-CN"/>
              </w:rPr>
              <w:t>2</w:t>
            </w:r>
          </w:p>
        </w:tc>
        <w:tc>
          <w:tcPr>
            <w:tcW w:w="817" w:type="dxa"/>
            <w:tcBorders>
              <w:top w:val="single" w:color="000000" w:sz="4" w:space="0"/>
              <w:left w:val="nil"/>
              <w:bottom w:val="single" w:color="000000" w:sz="4" w:space="0"/>
              <w:right w:val="single" w:color="000000" w:sz="4" w:space="0"/>
            </w:tcBorders>
            <w:vAlign w:val="center"/>
          </w:tcPr>
          <w:p w14:paraId="38D43B97">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专业导播台</w:t>
            </w:r>
          </w:p>
        </w:tc>
        <w:tc>
          <w:tcPr>
            <w:tcW w:w="4112" w:type="dxa"/>
            <w:tcBorders>
              <w:top w:val="single" w:color="000000" w:sz="4" w:space="0"/>
              <w:left w:val="nil"/>
              <w:bottom w:val="single" w:color="000000" w:sz="4" w:space="0"/>
              <w:right w:val="single" w:color="000000" w:sz="4" w:space="0"/>
            </w:tcBorders>
            <w:vAlign w:val="center"/>
          </w:tcPr>
          <w:p w14:paraId="67DE253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1)整机采用纯金属材质，全铝机身，CNC工艺，坚固耐用，质感十足，底部配备≥4个硅胶垫，桌面使用更加稳固；</w:t>
            </w:r>
          </w:p>
          <w:p w14:paraId="4E1F895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采用彩色背光按键，按键数量≥29个，背光颜色≥3种，可通过不同颜色表征不同的工作状态，简化老师理解，支持背光亮度调节，可以根据教室光线环境和用户喜好自行调节背光亮度，满足不同场景和用户使用需求；</w:t>
            </w:r>
          </w:p>
          <w:p w14:paraId="1EA35CF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3)整机配备云台操纵杆，通过整机摇杆操作，支持不少于8个方向的云台控制，可通过操纵杆的倾斜程度实现对云台摄像机的转动速度控制，同时可通过操纵杆实现ZOOM拉进拉远控制，满足精准的拍摄取景；</w:t>
            </w:r>
          </w:p>
          <w:p w14:paraId="1B654D0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4)支持一键复位功能，可通过云台操纵杆，快速将摄像机复位到开机预置位画面；</w:t>
            </w:r>
          </w:p>
          <w:p w14:paraId="4DA43CC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为满足用户在导播过程中对声音控制的诉求，整机支持≥3个音量控制旋钮，可实现对录播主机的实时音量、教师麦克风音量、学生麦克风音量的控制，控制旋钮采用无极编码器，转动顺滑无限位，旋钮表面采用条纹设计，操控触感一流；</w:t>
            </w:r>
          </w:p>
          <w:p w14:paraId="76B4731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6)整机支持≥2种通信方式，可使用USB或RS422进行通信，为保证控制实时性，不接受使用TCP/UDP通信方式；</w:t>
            </w:r>
          </w:p>
          <w:p w14:paraId="202CFFA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7)整机通信接口≥2个，支持至少一个USB2.0接口，至少一个RS422接口；</w:t>
            </w:r>
          </w:p>
          <w:p w14:paraId="5D0E766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整机内置蜂鸣器，用户在进行导播控制时，可通过蜂鸣器实现操控状态提醒，结合软件内部设计的检验机制，可以确保用户操控通过蜂鸣器得到精准反馈，用户也按照自身喜好和场景要求通过快捷键设定蜂鸣器打开和关闭，无需借助外部设备；</w:t>
            </w:r>
          </w:p>
        </w:tc>
        <w:tc>
          <w:tcPr>
            <w:tcW w:w="1040" w:type="dxa"/>
            <w:tcBorders>
              <w:top w:val="single" w:color="000000" w:sz="4" w:space="0"/>
              <w:left w:val="nil"/>
              <w:bottom w:val="single" w:color="000000" w:sz="4" w:space="0"/>
              <w:right w:val="single" w:color="000000" w:sz="4" w:space="0"/>
            </w:tcBorders>
            <w:vAlign w:val="center"/>
          </w:tcPr>
          <w:p w14:paraId="1A7112ED">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5FA02137">
            <w:pPr>
              <w:widowControl/>
              <w:jc w:val="center"/>
              <w:textAlignment w:val="center"/>
              <w:rPr>
                <w:rFonts w:ascii="宋体" w:hAnsi="宋体"/>
                <w:color w:val="auto"/>
                <w:sz w:val="20"/>
                <w:szCs w:val="20"/>
                <w:highlight w:val="none"/>
              </w:rPr>
            </w:pPr>
            <w:r>
              <w:rPr>
                <w:rFonts w:hint="eastAsia" w:ascii="宋体" w:hAnsi="宋体"/>
                <w:color w:val="auto"/>
                <w:sz w:val="20"/>
                <w:szCs w:val="20"/>
                <w:highlight w:val="none"/>
              </w:rPr>
              <w:t>台</w:t>
            </w:r>
          </w:p>
        </w:tc>
        <w:tc>
          <w:tcPr>
            <w:tcW w:w="1084" w:type="dxa"/>
            <w:tcBorders>
              <w:top w:val="single" w:color="000000" w:sz="4" w:space="0"/>
              <w:left w:val="nil"/>
              <w:bottom w:val="single" w:color="000000" w:sz="4" w:space="0"/>
              <w:right w:val="single" w:color="000000" w:sz="4" w:space="0"/>
            </w:tcBorders>
            <w:vAlign w:val="center"/>
          </w:tcPr>
          <w:p w14:paraId="209AC5EB">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419E444B">
            <w:pPr>
              <w:jc w:val="center"/>
              <w:rPr>
                <w:rFonts w:ascii="宋体" w:hAnsi="宋体"/>
                <w:color w:val="auto"/>
                <w:sz w:val="18"/>
                <w:szCs w:val="18"/>
                <w:highlight w:val="none"/>
                <w:lang w:val="en-US" w:eastAsia="zh-CN"/>
              </w:rPr>
            </w:pPr>
          </w:p>
        </w:tc>
      </w:tr>
      <w:tr w14:paraId="729C6D94">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6F84D5F6">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5</w:t>
            </w:r>
            <w:r>
              <w:rPr>
                <w:rFonts w:hint="eastAsia" w:ascii="宋体" w:hAnsi="宋体"/>
                <w:color w:val="auto"/>
                <w:kern w:val="0"/>
                <w:sz w:val="18"/>
                <w:szCs w:val="18"/>
                <w:highlight w:val="none"/>
                <w:lang w:val="en-US" w:eastAsia="zh-CN"/>
              </w:rPr>
              <w:t>3</w:t>
            </w:r>
          </w:p>
        </w:tc>
        <w:tc>
          <w:tcPr>
            <w:tcW w:w="817" w:type="dxa"/>
            <w:tcBorders>
              <w:top w:val="single" w:color="000000" w:sz="4" w:space="0"/>
              <w:left w:val="nil"/>
              <w:bottom w:val="single" w:color="000000" w:sz="4" w:space="0"/>
              <w:right w:val="single" w:color="000000" w:sz="4" w:space="0"/>
            </w:tcBorders>
            <w:vAlign w:val="center"/>
          </w:tcPr>
          <w:p w14:paraId="7E8D4BA6">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导播控制台应用系统</w:t>
            </w:r>
          </w:p>
        </w:tc>
        <w:tc>
          <w:tcPr>
            <w:tcW w:w="4112" w:type="dxa"/>
            <w:tcBorders>
              <w:top w:val="single" w:color="000000" w:sz="4" w:space="0"/>
              <w:left w:val="nil"/>
              <w:bottom w:val="single" w:color="000000" w:sz="4" w:space="0"/>
              <w:right w:val="single" w:color="000000" w:sz="4" w:space="0"/>
            </w:tcBorders>
            <w:vAlign w:val="center"/>
          </w:tcPr>
          <w:p w14:paraId="7F44696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整机支持不少于5个预置位，支持云台预置位设定，预置位设定无需打开其他设置软件，可直接通过键盘完成预置位设定，设定后预置位即刻生效，用户设定预置位过程有灯光提示，减少用户误操作的概率，预置位调用过程中导播键盘提供灯光颜色变化提示+蜂鸣器提示，给用户最准确的操控反馈，用户可直接通过预置位调用控制录制画面切换当前选中的某个预置位，实现对拍摄角度的精准控制；</w:t>
            </w:r>
          </w:p>
          <w:p w14:paraId="111A9A1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2)支持云台摄像机控制选择，用户可以通过整机按键操作，支持≥5个摄像机通道选择，通道选择完成后，键盘操控命令仅对选中摄像机生效，不会产生串码；</w:t>
            </w:r>
          </w:p>
          <w:p w14:paraId="51C46C6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整机与录播主机操作同步，用户通过导播键盘，可以实现开始、暂停、停止、三种录制状态控制，控制实时性良好，能够做到即点即录，无需等待，控制过程导播键盘提供灯光颜色变化提示+蜂鸣器提示，给用户最准确的操控反馈；</w:t>
            </w:r>
          </w:p>
          <w:p w14:paraId="41C24C4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4)支持导播模式控制，用户可根据使用场景需要，设置当前的导播模式，整机可设置录播主机为自动导播模式和手动导播模式，满足不同场景需求；</w:t>
            </w:r>
          </w:p>
          <w:p w14:paraId="1A32905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 xml:space="preserve">5)支持≥6种画面布局，包含单画面、双画面、画中画、三画面、四画面、自定义布局； </w:t>
            </w:r>
          </w:p>
          <w:p w14:paraId="720F9F5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6)支持导播控制，用户可通过整机按键操作实现导播画面选择，选中通道能够高亮显示，支持≥6个导播通道控制；</w:t>
            </w:r>
          </w:p>
        </w:tc>
        <w:tc>
          <w:tcPr>
            <w:tcW w:w="1040" w:type="dxa"/>
            <w:tcBorders>
              <w:top w:val="single" w:color="000000" w:sz="4" w:space="0"/>
              <w:left w:val="nil"/>
              <w:bottom w:val="single" w:color="000000" w:sz="4" w:space="0"/>
              <w:right w:val="single" w:color="000000" w:sz="4" w:space="0"/>
            </w:tcBorders>
            <w:vAlign w:val="center"/>
          </w:tcPr>
          <w:p w14:paraId="4EAF4626">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755F4BD9">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186AAFBA">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7B8BC2BE">
            <w:pPr>
              <w:jc w:val="center"/>
              <w:rPr>
                <w:rFonts w:ascii="宋体" w:hAnsi="宋体"/>
                <w:color w:val="auto"/>
                <w:sz w:val="18"/>
                <w:szCs w:val="18"/>
                <w:highlight w:val="none"/>
                <w:lang w:val="en-US" w:eastAsia="zh-CN"/>
              </w:rPr>
            </w:pPr>
          </w:p>
        </w:tc>
      </w:tr>
      <w:tr w14:paraId="72B3F52B">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45E5CEF9">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5</w:t>
            </w:r>
            <w:r>
              <w:rPr>
                <w:rFonts w:hint="eastAsia" w:ascii="宋体" w:hAnsi="宋体"/>
                <w:color w:val="auto"/>
                <w:kern w:val="0"/>
                <w:sz w:val="18"/>
                <w:szCs w:val="18"/>
                <w:highlight w:val="none"/>
                <w:lang w:val="en-US" w:eastAsia="zh-CN"/>
              </w:rPr>
              <w:t>4</w:t>
            </w:r>
          </w:p>
        </w:tc>
        <w:tc>
          <w:tcPr>
            <w:tcW w:w="817" w:type="dxa"/>
            <w:tcBorders>
              <w:top w:val="single" w:color="000000" w:sz="4" w:space="0"/>
              <w:left w:val="nil"/>
              <w:bottom w:val="single" w:color="000000" w:sz="4" w:space="0"/>
              <w:right w:val="single" w:color="000000" w:sz="4" w:space="0"/>
            </w:tcBorders>
            <w:vAlign w:val="center"/>
          </w:tcPr>
          <w:p w14:paraId="07F9643D">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一体化音箱</w:t>
            </w:r>
          </w:p>
        </w:tc>
        <w:tc>
          <w:tcPr>
            <w:tcW w:w="4112" w:type="dxa"/>
            <w:tcBorders>
              <w:top w:val="single" w:color="000000" w:sz="4" w:space="0"/>
              <w:left w:val="nil"/>
              <w:bottom w:val="single" w:color="000000" w:sz="4" w:space="0"/>
              <w:right w:val="single" w:color="000000" w:sz="4" w:space="0"/>
            </w:tcBorders>
            <w:vAlign w:val="center"/>
          </w:tcPr>
          <w:p w14:paraId="46395F7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1、采用功放与有源音箱一体化设计，内置麦克风无线接收模块，帮助教师实现多媒体扩音以及本地扩声功能。</w:t>
            </w:r>
          </w:p>
          <w:p w14:paraId="51AC9F1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2、输出额定功率≥ 2x15W。</w:t>
            </w:r>
          </w:p>
          <w:p w14:paraId="033BA55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3、音箱灵敏度≥85dB，1W/1M。</w:t>
            </w:r>
          </w:p>
          <w:p w14:paraId="5DDBA78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4、信噪比≥80dB@额定功率、A计权。</w:t>
            </w:r>
          </w:p>
          <w:p w14:paraId="7A5D147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5、全频喇叭单元尺寸≥5英寸。</w:t>
            </w:r>
          </w:p>
          <w:p w14:paraId="2813A87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6、THD+N≤1%。</w:t>
            </w:r>
          </w:p>
          <w:p w14:paraId="791F9D8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7、声频响110Hz-16kHz。</w:t>
            </w:r>
          </w:p>
          <w:p w14:paraId="27858DB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8、距离音箱10米处声压级≥75dB。</w:t>
            </w:r>
          </w:p>
          <w:p w14:paraId="333A84C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9、具备≥1路电源开关、1路LINE IN、1路USB 接口。USB接口可外接U盘设备对音箱固件进行升级。</w:t>
            </w:r>
          </w:p>
          <w:p w14:paraId="17ED379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10、支持无线麦克风扩音接收，采用Wi-Fi射频2.4GHz与 5GHz双频段传输，有效避免环境中运营商U段（700MHz）的信号干扰。</w:t>
            </w:r>
          </w:p>
          <w:p w14:paraId="3681948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11、采用红外对码方式，避免连接到其他教室音箱。可快速完成与教学扩声麦克风对码，无需繁琐操作。</w:t>
            </w:r>
          </w:p>
          <w:p w14:paraId="726F376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12、配置独立音频数字信号处理芯片，支持啸叫抑制功能。</w:t>
            </w:r>
          </w:p>
          <w:p w14:paraId="05BB887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13、持蓝牙无线接收，可分享移动设备上的音频。支持密码模式，防止学生连接。</w:t>
            </w:r>
          </w:p>
          <w:p w14:paraId="3A051A2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14、支持安卓手机通过蓝牙无线连接音箱，实现控制有源音箱的音量、设置蓝牙名称、设置蓝牙密码等功能，方便教师对音箱的管控。</w:t>
            </w:r>
          </w:p>
          <w:p w14:paraId="1EC0420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15、主音箱与副音箱采用有线连接，音箱采用木质材质，保证声音还原度。</w:t>
            </w:r>
          </w:p>
          <w:p w14:paraId="016F4B5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16、为确保与教室白色墙面一致，音箱采取白色外观设计，更加美观。</w:t>
            </w:r>
          </w:p>
        </w:tc>
        <w:tc>
          <w:tcPr>
            <w:tcW w:w="1040" w:type="dxa"/>
            <w:tcBorders>
              <w:top w:val="single" w:color="000000" w:sz="4" w:space="0"/>
              <w:left w:val="nil"/>
              <w:bottom w:val="single" w:color="000000" w:sz="4" w:space="0"/>
              <w:right w:val="single" w:color="000000" w:sz="4" w:space="0"/>
            </w:tcBorders>
            <w:vAlign w:val="center"/>
          </w:tcPr>
          <w:p w14:paraId="55BC0919">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0211FDAB">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对</w:t>
            </w:r>
          </w:p>
        </w:tc>
        <w:tc>
          <w:tcPr>
            <w:tcW w:w="1084" w:type="dxa"/>
            <w:tcBorders>
              <w:top w:val="single" w:color="000000" w:sz="4" w:space="0"/>
              <w:left w:val="nil"/>
              <w:bottom w:val="single" w:color="000000" w:sz="4" w:space="0"/>
              <w:right w:val="single" w:color="000000" w:sz="4" w:space="0"/>
            </w:tcBorders>
            <w:vAlign w:val="center"/>
          </w:tcPr>
          <w:p w14:paraId="57ED80F4">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5DD2F9F3">
            <w:pPr>
              <w:jc w:val="center"/>
              <w:rPr>
                <w:rFonts w:ascii="宋体" w:hAnsi="宋体"/>
                <w:color w:val="auto"/>
                <w:sz w:val="18"/>
                <w:szCs w:val="18"/>
                <w:highlight w:val="none"/>
                <w:lang w:val="en-US" w:eastAsia="zh-CN"/>
              </w:rPr>
            </w:pPr>
          </w:p>
        </w:tc>
      </w:tr>
      <w:tr w14:paraId="291B5F8C">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7A767BA3">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5</w:t>
            </w:r>
            <w:r>
              <w:rPr>
                <w:rFonts w:hint="eastAsia" w:ascii="宋体" w:hAnsi="宋体"/>
                <w:color w:val="auto"/>
                <w:kern w:val="0"/>
                <w:sz w:val="18"/>
                <w:szCs w:val="18"/>
                <w:highlight w:val="none"/>
                <w:lang w:val="en-US" w:eastAsia="zh-CN"/>
              </w:rPr>
              <w:t>5</w:t>
            </w:r>
          </w:p>
        </w:tc>
        <w:tc>
          <w:tcPr>
            <w:tcW w:w="817" w:type="dxa"/>
            <w:tcBorders>
              <w:top w:val="single" w:color="000000" w:sz="4" w:space="0"/>
              <w:left w:val="nil"/>
              <w:bottom w:val="single" w:color="000000" w:sz="4" w:space="0"/>
              <w:right w:val="single" w:color="000000" w:sz="4" w:space="0"/>
            </w:tcBorders>
            <w:vAlign w:val="center"/>
          </w:tcPr>
          <w:p w14:paraId="38D194D3">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互动电视</w:t>
            </w:r>
          </w:p>
        </w:tc>
        <w:tc>
          <w:tcPr>
            <w:tcW w:w="4112" w:type="dxa"/>
            <w:tcBorders>
              <w:top w:val="single" w:color="000000" w:sz="4" w:space="0"/>
              <w:left w:val="nil"/>
              <w:bottom w:val="single" w:color="000000" w:sz="4" w:space="0"/>
              <w:right w:val="single" w:color="000000" w:sz="4" w:space="0"/>
            </w:tcBorders>
            <w:vAlign w:val="center"/>
          </w:tcPr>
          <w:p w14:paraId="0F1C9A5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1.屏幕物理尺寸≥55吋</w:t>
            </w:r>
          </w:p>
          <w:p w14:paraId="676BAC6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2.屏幕分辨率≥3840*2160</w:t>
            </w:r>
          </w:p>
          <w:p w14:paraId="50BD829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3.屏幕刷新率≥60Hz</w:t>
            </w:r>
          </w:p>
          <w:p w14:paraId="6E953CE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4.支持HDMI接入检测开机，HDMI有输入信号后，可自动开机，至少有3个HDMI接口支持该功能</w:t>
            </w:r>
          </w:p>
          <w:p w14:paraId="3F0FD67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5.整机功耗≤120W</w:t>
            </w:r>
          </w:p>
          <w:p w14:paraId="723679F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6.待机功耗≤0.5W</w:t>
            </w:r>
          </w:p>
          <w:p w14:paraId="11E6E3F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7.USB接口数量≥2；HDMI输入通道数量≥3</w:t>
            </w:r>
          </w:p>
          <w:p w14:paraId="2B92BEB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8.标配遥控器和配套电池</w:t>
            </w:r>
          </w:p>
        </w:tc>
        <w:tc>
          <w:tcPr>
            <w:tcW w:w="1040" w:type="dxa"/>
            <w:tcBorders>
              <w:top w:val="single" w:color="000000" w:sz="4" w:space="0"/>
              <w:left w:val="nil"/>
              <w:bottom w:val="single" w:color="000000" w:sz="4" w:space="0"/>
              <w:right w:val="single" w:color="000000" w:sz="4" w:space="0"/>
            </w:tcBorders>
            <w:vAlign w:val="center"/>
          </w:tcPr>
          <w:p w14:paraId="7276353C">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16591F2A">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72B05330">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16266BDB">
            <w:pPr>
              <w:jc w:val="center"/>
              <w:rPr>
                <w:rFonts w:ascii="宋体" w:hAnsi="宋体"/>
                <w:color w:val="auto"/>
                <w:sz w:val="18"/>
                <w:szCs w:val="18"/>
                <w:highlight w:val="none"/>
                <w:lang w:val="en-US" w:eastAsia="zh-CN"/>
              </w:rPr>
            </w:pPr>
          </w:p>
        </w:tc>
      </w:tr>
      <w:tr w14:paraId="1C234E4D">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5A4D8160">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5</w:t>
            </w:r>
            <w:r>
              <w:rPr>
                <w:rFonts w:hint="eastAsia" w:ascii="宋体" w:hAnsi="宋体"/>
                <w:color w:val="auto"/>
                <w:kern w:val="0"/>
                <w:sz w:val="18"/>
                <w:szCs w:val="18"/>
                <w:highlight w:val="none"/>
                <w:lang w:val="en-US" w:eastAsia="zh-CN"/>
              </w:rPr>
              <w:t>6</w:t>
            </w:r>
          </w:p>
        </w:tc>
        <w:tc>
          <w:tcPr>
            <w:tcW w:w="817" w:type="dxa"/>
            <w:tcBorders>
              <w:top w:val="single" w:color="000000" w:sz="4" w:space="0"/>
              <w:left w:val="nil"/>
              <w:bottom w:val="single" w:color="000000" w:sz="4" w:space="0"/>
              <w:right w:val="single" w:color="000000" w:sz="4" w:space="0"/>
            </w:tcBorders>
            <w:vAlign w:val="center"/>
          </w:tcPr>
          <w:p w14:paraId="12B36092">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kern w:val="0"/>
                <w:sz w:val="18"/>
                <w:szCs w:val="18"/>
                <w:highlight w:val="none"/>
              </w:rPr>
              <w:t>POE交换机</w:t>
            </w:r>
            <w:r>
              <w:rPr>
                <w:rFonts w:hint="eastAsia" w:ascii="宋体" w:hAnsi="宋体"/>
                <w:color w:val="auto"/>
                <w:kern w:val="0"/>
                <w:sz w:val="18"/>
                <w:szCs w:val="18"/>
                <w:highlight w:val="none"/>
                <w:lang w:eastAsia="zh-CN"/>
              </w:rPr>
              <w:t>（</w:t>
            </w:r>
            <w:r>
              <w:rPr>
                <w:rFonts w:hint="eastAsia" w:ascii="宋体" w:hAnsi="宋体"/>
                <w:color w:val="auto"/>
                <w:kern w:val="0"/>
                <w:sz w:val="18"/>
                <w:szCs w:val="18"/>
                <w:highlight w:val="none"/>
                <w:lang w:val="en-US" w:eastAsia="zh-CN"/>
              </w:rPr>
              <w:t>24 口）</w:t>
            </w:r>
          </w:p>
        </w:tc>
        <w:tc>
          <w:tcPr>
            <w:tcW w:w="4112" w:type="dxa"/>
            <w:tcBorders>
              <w:top w:val="single" w:color="000000" w:sz="4" w:space="0"/>
              <w:left w:val="nil"/>
              <w:bottom w:val="single" w:color="000000" w:sz="4" w:space="0"/>
              <w:right w:val="single" w:color="000000" w:sz="4" w:space="0"/>
            </w:tcBorders>
            <w:vAlign w:val="center"/>
          </w:tcPr>
          <w:p w14:paraId="221697F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连接所有摄像机、录播主机、外网的核心设备。</w:t>
            </w:r>
          </w:p>
        </w:tc>
        <w:tc>
          <w:tcPr>
            <w:tcW w:w="1040" w:type="dxa"/>
            <w:tcBorders>
              <w:top w:val="single" w:color="000000" w:sz="4" w:space="0"/>
              <w:left w:val="nil"/>
              <w:bottom w:val="single" w:color="000000" w:sz="4" w:space="0"/>
              <w:right w:val="single" w:color="000000" w:sz="4" w:space="0"/>
            </w:tcBorders>
            <w:vAlign w:val="center"/>
          </w:tcPr>
          <w:p w14:paraId="6F32682D">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59564DDF">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65EBCA2E">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5E28F129">
            <w:pPr>
              <w:jc w:val="center"/>
              <w:rPr>
                <w:rFonts w:ascii="宋体" w:hAnsi="宋体"/>
                <w:color w:val="auto"/>
                <w:sz w:val="18"/>
                <w:szCs w:val="18"/>
                <w:highlight w:val="none"/>
                <w:lang w:val="en-US" w:eastAsia="zh-CN"/>
              </w:rPr>
            </w:pPr>
          </w:p>
        </w:tc>
      </w:tr>
      <w:tr w14:paraId="169D22B0">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439F0F17">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5</w:t>
            </w:r>
            <w:r>
              <w:rPr>
                <w:rFonts w:hint="eastAsia" w:ascii="宋体" w:hAnsi="宋体"/>
                <w:color w:val="auto"/>
                <w:kern w:val="0"/>
                <w:sz w:val="18"/>
                <w:szCs w:val="18"/>
                <w:highlight w:val="none"/>
                <w:lang w:val="en-US" w:eastAsia="zh-CN"/>
              </w:rPr>
              <w:t>7</w:t>
            </w:r>
          </w:p>
        </w:tc>
        <w:tc>
          <w:tcPr>
            <w:tcW w:w="817" w:type="dxa"/>
            <w:tcBorders>
              <w:top w:val="single" w:color="000000" w:sz="4" w:space="0"/>
              <w:left w:val="nil"/>
              <w:bottom w:val="single" w:color="000000" w:sz="4" w:space="0"/>
              <w:right w:val="single" w:color="000000" w:sz="4" w:space="0"/>
            </w:tcBorders>
            <w:vAlign w:val="center"/>
          </w:tcPr>
          <w:p w14:paraId="470C2884">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导播显示器</w:t>
            </w:r>
          </w:p>
        </w:tc>
        <w:tc>
          <w:tcPr>
            <w:tcW w:w="4112" w:type="dxa"/>
            <w:tcBorders>
              <w:top w:val="single" w:color="000000" w:sz="4" w:space="0"/>
              <w:left w:val="nil"/>
              <w:bottom w:val="single" w:color="000000" w:sz="4" w:space="0"/>
              <w:right w:val="single" w:color="000000" w:sz="4" w:space="0"/>
            </w:tcBorders>
            <w:vAlign w:val="center"/>
          </w:tcPr>
          <w:p w14:paraId="5EB263B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1.≥23.8英寸显示屏幕，分辨率≥1920*1080，屏幕亮度≥250nit，IPS屏</w:t>
            </w:r>
          </w:p>
          <w:p w14:paraId="7D0EAA0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2.支持VGA≥1，HDMI≥1</w:t>
            </w:r>
          </w:p>
          <w:p w14:paraId="1A7FEE6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3.为保证屏幕色彩显示真实度，显示屏幕DCI-P3色域覆盖率≥ 90%；</w:t>
            </w:r>
          </w:p>
          <w:p w14:paraId="2361624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4.对比度达到1000:1，屏幕刷新率达到75Hz，响应时间≤7ms，可视角度178/178</w:t>
            </w:r>
          </w:p>
          <w:p w14:paraId="17F9CF0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5.电源能效转换效率≥86%</w:t>
            </w:r>
          </w:p>
          <w:p w14:paraId="6B773A8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6.为了适应日常使用和更好的视频播放体验，显示屏分别提供标准模式和炫彩模式选项。</w:t>
            </w:r>
          </w:p>
          <w:p w14:paraId="6342FA4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7.为保证教师、学生的用眼舒适，显示屏幕提供护眼模式，护眼模式下，蓝光比例≤20%。</w:t>
            </w:r>
          </w:p>
          <w:p w14:paraId="489F821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8.为适应长时间阅读场景，显示器提供阅读模式，提供黑白色彩模拟电子书效果，为长时间阅读提供舒适的用眼体验。</w:t>
            </w:r>
          </w:p>
          <w:p w14:paraId="05CDB03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9.显示屏幕采用窄边设计，上左右边框≤3.6mm，下边框≤16.5mm，屏占比≥92%。</w:t>
            </w:r>
          </w:p>
          <w:p w14:paraId="2C5907F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10.为保护教师、学生视力健康，硬件具备硬件低蓝光，获得TUV硬件低蓝光认证；</w:t>
            </w:r>
          </w:p>
          <w:p w14:paraId="0BEA25F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11.为保护教师、学生视力健康，硬件具备无频闪，获得TUV无频闪认证；</w:t>
            </w:r>
          </w:p>
          <w:p w14:paraId="221443C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12.为保证兼容性，显示器与教学主机保持同一品牌。</w:t>
            </w:r>
          </w:p>
        </w:tc>
        <w:tc>
          <w:tcPr>
            <w:tcW w:w="1040" w:type="dxa"/>
            <w:tcBorders>
              <w:top w:val="single" w:color="000000" w:sz="4" w:space="0"/>
              <w:left w:val="nil"/>
              <w:bottom w:val="single" w:color="000000" w:sz="4" w:space="0"/>
              <w:right w:val="single" w:color="000000" w:sz="4" w:space="0"/>
            </w:tcBorders>
            <w:vAlign w:val="center"/>
          </w:tcPr>
          <w:p w14:paraId="38CD5493">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10A6BC98">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台</w:t>
            </w:r>
          </w:p>
        </w:tc>
        <w:tc>
          <w:tcPr>
            <w:tcW w:w="1084" w:type="dxa"/>
            <w:tcBorders>
              <w:top w:val="single" w:color="000000" w:sz="4" w:space="0"/>
              <w:left w:val="nil"/>
              <w:bottom w:val="single" w:color="000000" w:sz="4" w:space="0"/>
              <w:right w:val="single" w:color="000000" w:sz="4" w:space="0"/>
            </w:tcBorders>
            <w:vAlign w:val="center"/>
          </w:tcPr>
          <w:p w14:paraId="30DC1AEB">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266F0060">
            <w:pPr>
              <w:jc w:val="center"/>
              <w:rPr>
                <w:rFonts w:ascii="宋体" w:hAnsi="宋体"/>
                <w:color w:val="auto"/>
                <w:sz w:val="18"/>
                <w:szCs w:val="18"/>
                <w:highlight w:val="none"/>
                <w:lang w:val="en-US" w:eastAsia="zh-CN"/>
              </w:rPr>
            </w:pPr>
          </w:p>
        </w:tc>
      </w:tr>
      <w:tr w14:paraId="1DB09FDA">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5974D0B6">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5</w:t>
            </w:r>
            <w:r>
              <w:rPr>
                <w:rFonts w:hint="eastAsia" w:ascii="宋体" w:hAnsi="宋体"/>
                <w:color w:val="auto"/>
                <w:kern w:val="0"/>
                <w:sz w:val="18"/>
                <w:szCs w:val="18"/>
                <w:highlight w:val="none"/>
                <w:lang w:val="en-US" w:eastAsia="zh-CN"/>
              </w:rPr>
              <w:t>8</w:t>
            </w:r>
          </w:p>
        </w:tc>
        <w:tc>
          <w:tcPr>
            <w:tcW w:w="817" w:type="dxa"/>
            <w:tcBorders>
              <w:top w:val="single" w:color="000000" w:sz="4" w:space="0"/>
              <w:left w:val="nil"/>
              <w:bottom w:val="single" w:color="000000" w:sz="4" w:space="0"/>
              <w:right w:val="single" w:color="000000" w:sz="4" w:space="0"/>
            </w:tcBorders>
            <w:vAlign w:val="center"/>
          </w:tcPr>
          <w:p w14:paraId="5D85F629">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操作台</w:t>
            </w:r>
          </w:p>
        </w:tc>
        <w:tc>
          <w:tcPr>
            <w:tcW w:w="4112" w:type="dxa"/>
            <w:tcBorders>
              <w:top w:val="single" w:color="000000" w:sz="4" w:space="0"/>
              <w:left w:val="nil"/>
              <w:bottom w:val="single" w:color="000000" w:sz="4" w:space="0"/>
              <w:right w:val="single" w:color="000000" w:sz="4" w:space="0"/>
            </w:tcBorders>
            <w:vAlign w:val="center"/>
          </w:tcPr>
          <w:p w14:paraId="25EAD7D9">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观摩室使用，</w:t>
            </w:r>
            <w:r>
              <w:rPr>
                <w:rFonts w:hint="eastAsia" w:ascii="宋体" w:hAnsi="宋体"/>
                <w:color w:val="auto"/>
                <w:kern w:val="0"/>
                <w:sz w:val="18"/>
                <w:szCs w:val="18"/>
                <w:highlight w:val="none"/>
                <w:lang w:eastAsia="zh-CN"/>
              </w:rPr>
              <w:t>定制，</w:t>
            </w:r>
            <w:r>
              <w:rPr>
                <w:rFonts w:hint="eastAsia" w:ascii="宋体" w:hAnsi="宋体"/>
                <w:color w:val="auto"/>
                <w:kern w:val="0"/>
                <w:sz w:val="18"/>
                <w:szCs w:val="18"/>
                <w:highlight w:val="none"/>
              </w:rPr>
              <w:t>钢质主控台（定制）规格：长2000mm，宽760mm，高800mm，桌子材料采用SPCC优质冷轧钢板。经过静电喷涂处理，颜色为灰色，左边为设备边柜，外形精美，环保防潮，维护快捷，防火耐用</w:t>
            </w:r>
          </w:p>
        </w:tc>
        <w:tc>
          <w:tcPr>
            <w:tcW w:w="1040" w:type="dxa"/>
            <w:tcBorders>
              <w:top w:val="single" w:color="000000" w:sz="4" w:space="0"/>
              <w:left w:val="nil"/>
              <w:bottom w:val="single" w:color="000000" w:sz="4" w:space="0"/>
              <w:right w:val="single" w:color="000000" w:sz="4" w:space="0"/>
            </w:tcBorders>
            <w:vAlign w:val="center"/>
          </w:tcPr>
          <w:p w14:paraId="5902BFCA">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5DEE75F0">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775CEF23">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170CCDAF">
            <w:pPr>
              <w:jc w:val="center"/>
              <w:rPr>
                <w:rFonts w:ascii="宋体" w:hAnsi="宋体"/>
                <w:color w:val="auto"/>
                <w:sz w:val="18"/>
                <w:szCs w:val="18"/>
                <w:highlight w:val="none"/>
                <w:lang w:val="en-US" w:eastAsia="zh-CN"/>
              </w:rPr>
            </w:pPr>
          </w:p>
        </w:tc>
      </w:tr>
      <w:tr w14:paraId="160FE1C4">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7F10C810">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5</w:t>
            </w:r>
            <w:r>
              <w:rPr>
                <w:rFonts w:hint="eastAsia" w:ascii="宋体" w:hAnsi="宋体"/>
                <w:color w:val="auto"/>
                <w:kern w:val="0"/>
                <w:sz w:val="18"/>
                <w:szCs w:val="18"/>
                <w:highlight w:val="none"/>
                <w:lang w:val="en-US" w:eastAsia="zh-CN"/>
              </w:rPr>
              <w:t>9</w:t>
            </w:r>
          </w:p>
        </w:tc>
        <w:tc>
          <w:tcPr>
            <w:tcW w:w="817" w:type="dxa"/>
            <w:tcBorders>
              <w:top w:val="single" w:color="000000" w:sz="4" w:space="0"/>
              <w:left w:val="nil"/>
              <w:bottom w:val="single" w:color="000000" w:sz="4" w:space="0"/>
              <w:right w:val="single" w:color="000000" w:sz="4" w:space="0"/>
            </w:tcBorders>
            <w:vAlign w:val="center"/>
          </w:tcPr>
          <w:p w14:paraId="08114D0B">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资源管理平台</w:t>
            </w:r>
          </w:p>
        </w:tc>
        <w:tc>
          <w:tcPr>
            <w:tcW w:w="4112" w:type="dxa"/>
            <w:tcBorders>
              <w:top w:val="single" w:color="000000" w:sz="4" w:space="0"/>
              <w:left w:val="nil"/>
              <w:bottom w:val="single" w:color="000000" w:sz="4" w:space="0"/>
              <w:right w:val="single" w:color="000000" w:sz="4" w:space="0"/>
            </w:tcBorders>
            <w:vAlign w:val="center"/>
          </w:tcPr>
          <w:p w14:paraId="4D0797B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1)系统采用模块化的架构设计B/S架构，用户可通过浏览器实现专递课堂、名校网络课堂、直播活动、用户管理等功能。</w:t>
            </w:r>
          </w:p>
          <w:p w14:paraId="1088711C">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2)角色自定义：支持管理员根据不同教师的工作需求创建角色，自定义该角色的名称和可使用的功能权限；并可查看各角色的人数，方便管理。</w:t>
            </w:r>
          </w:p>
          <w:p w14:paraId="6284946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3)教师可以通过自主账号登录平台，根据教师个人学习需求对全校的视频课程进行筛选、点播观看、在线学习。</w:t>
            </w:r>
          </w:p>
          <w:p w14:paraId="2D156E7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4)视频管理：录播主机录制的视频自动上传至平台，支持本校教师或管理员对视频进行名称编辑、学科学段编辑、下载、删除、发布课程等操作。</w:t>
            </w:r>
          </w:p>
          <w:p w14:paraId="34A0665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5)上传附件：平台支持支持用户在发布课程时上传相关资料；所上传资料可支持不少于5种文件格式；课程发布后，观众观看课程时下载相关资料，进行深入学习。</w:t>
            </w:r>
          </w:p>
          <w:p w14:paraId="347BBC4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6)课程发布：课程发布时，可选择对应的学段、学科、发布模块、示范课分类等，方便用户按不同维度查找课程。</w:t>
            </w:r>
          </w:p>
          <w:p w14:paraId="6B04EA0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7)课程审核：支持学校管理员对本校教师申请发布的课程进行审核，监控公开课程资源的质量；拒绝课程发布时，需填写拒绝原因；若课程未通过时，系统将在消息中心自动通知该课程归属的教师。</w:t>
            </w:r>
          </w:p>
          <w:p w14:paraId="346FBA5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课程评论：支持用户对已发布视频进行视频打点并插入课堂评价，所评论内容需关联视频对应时间点。平台支持用户在线对课堂视频进行评论，所评论内容支持以新消息提示方式自动提醒授课教师。支持管理员对用户评论进行信息管理，可选择性删除评论内容，管控评论秩序。</w:t>
            </w:r>
          </w:p>
          <w:p w14:paraId="7E4580F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9)账号管理：支持用户修改昵称、密码及头像设置等，并可重新绑定用户手机号，同时关联绑定/解绑个人微信号。</w:t>
            </w:r>
          </w:p>
          <w:p w14:paraId="300C613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10)平台支持本地视频上传：可对上传视频进行标题描述、课程介绍等设置，可选择默认的视频缩略图封面，也可选择本地图片上传成为封面。</w:t>
            </w:r>
          </w:p>
          <w:p w14:paraId="09F5961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11)消息中心：新增课程计划、课程审核通过/被拒绝、成功加入教研组等消息可在主页面实时提醒。</w:t>
            </w:r>
          </w:p>
          <w:p w14:paraId="2DE73DC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12)设备管理：</w:t>
            </w:r>
          </w:p>
          <w:p w14:paraId="65B917A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①.显示管理员下辖的教室总数、在线教室总数、活跃教室数，实时呈现整体情况；</w:t>
            </w:r>
          </w:p>
          <w:p w14:paraId="599F70C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②.管理员可实时查看教室信息和状态，包括：教室名称、设备IP、状态、信号源及教室详情，方便远程运维。</w:t>
            </w:r>
          </w:p>
          <w:p w14:paraId="28DFB47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③.支持学校管理员进行远程关机、重启、密码设置等等操作。</w:t>
            </w:r>
          </w:p>
          <w:p w14:paraId="318DFB7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13)公网直播：学校管理员可设置录播设备的直播模式为公网直播，自由发起公网直播活动，方便举办公开课、校园培训等活动。</w:t>
            </w:r>
          </w:p>
          <w:p w14:paraId="72DFBBD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①．全局调度系统：实时收集节点负载、网络质量，并根据终端用户的 IP，将用户请求引导至最优的节点，以降低时延，提升流畅率。</w:t>
            </w:r>
          </w:p>
          <w:p w14:paraId="38919F5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②．冗余带宽：云服务器具备T级的带宽储备和百万级并发承载能力，可应对突发增量的用户访问。</w:t>
            </w:r>
          </w:p>
          <w:p w14:paraId="4DD54ED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14)直播活动：支持用户创建直播，提前设置预约直播信息，并获取直播地址及二维码海报，方便提前发布直播信息。</w:t>
            </w:r>
          </w:p>
          <w:p w14:paraId="7D00BFE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15)直播管理：在直播结束前，支持教师修改直播的结束时间、名称、封面、课件、直播简介、聊天互动权限等设置，并保持原分享链接和二维码不变，活动调整不会导致原分享链接和二维码失效。</w:t>
            </w:r>
          </w:p>
          <w:p w14:paraId="50D62D8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16)直播工作台：创建直播时支持添加直播助教；助教进入工作台可进行直播间秩序维护，具体功能包括：</w:t>
            </w:r>
          </w:p>
          <w:p w14:paraId="03B5CBF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①．删除留言：支持对观众聊天互动的发言记录进行单个/批量删除，保障教师间互动交流的友好秩序；</w:t>
            </w:r>
          </w:p>
          <w:p w14:paraId="697B642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②．禁言观众：支持对观众进行单个/批量的禁言，禁言后观众将不能在直播互动中发表言论，避免不法人员在公众场合捣乱。</w:t>
            </w:r>
          </w:p>
          <w:p w14:paraId="10BC7B7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③．发起签到：支持对当前直播多次发起签到，并在签到结束后导出签到名单；发起签到后观众会在直播界面收到实时的签到提醒，帮助教师及时收集观众在线情况。</w:t>
            </w:r>
          </w:p>
          <w:p w14:paraId="0965EBE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④．管理公告：支持对当前直播活动发布公告内容。</w:t>
            </w:r>
          </w:p>
          <w:p w14:paraId="1902A1A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17)直播分享：用户可一键生成链接并进行分享，其他用户通过打开链接的方式，可登录观看直播视频。</w:t>
            </w:r>
          </w:p>
          <w:p w14:paraId="34527F1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18)活动预告：支持PC端、移动端通过分享链接地址，查看直播活动的相关信息，包括封面、活动名称、学校名称、活动开始时间、简介、预览课件等；在预览课件时，用户可在课件上进行书写、擦除、移动图片素材等操作，且操作不影响原课件内容，方便评课老师在直播开始前，预览主讲老师的课件。</w:t>
            </w:r>
          </w:p>
          <w:p w14:paraId="601EC81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19)活动课件：教师可选择云课件与直播关联，无需耗时上传本地文件；课件与直播关联后，支持用户在活动开始时间前查看云课件；活动开始后，用户可在观看直播视频的同时，在线查看已关联的课件。</w:t>
            </w:r>
          </w:p>
          <w:p w14:paraId="4DEE5EF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20)直播互动：直播过程中，支持用户在直播课程中发布评论、点赞、分享观看链接或二维码，同时可查看直播简介、活动课件和累计观看人次。</w:t>
            </w:r>
          </w:p>
          <w:p w14:paraId="6188A5C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21)直播暖场素材：平台支持用户自主选择上传图片或视频，作为暖场素材在直播间隙循环播放。</w:t>
            </w:r>
          </w:p>
          <w:p w14:paraId="1F4CAE1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22)直播数据：直播开始后，支持查看直播的人气峰值、观看人次、累计点赞、观众发言次数、签到人数等数据，随时掌握直播情况。</w:t>
            </w:r>
          </w:p>
          <w:p w14:paraId="4DD97D0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23)管理直播回放：教师可选择直播中各时段生成的回放视频，删除不必要的回放片段，或选择发布至专递示范课/名校网络课堂/名师示范课，方便其他师生观看。</w:t>
            </w:r>
          </w:p>
          <w:p w14:paraId="2A52F35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24)分组管理：教师可将多场已创建的直播、互动课堂、互动教研、课例评课等活动，添加至同一直播分组；每个分组自动生成分享二维码和链接，方便观众在一个分组链接中选择不同活动进行观看。</w:t>
            </w:r>
          </w:p>
          <w:p w14:paraId="183BE48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25)教研数据：自动统计教研的点评次数、评课表平均分、观看人数等数据，支持查看文字点评的详情记录、评课表题目的客观题评分、主观题回答情况、教师评课记录。</w:t>
            </w:r>
          </w:p>
          <w:p w14:paraId="1DCB973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26)评课表管理：支持管理员创建多张评课表，并自定义评课表的标题、引导语、评分标准、题目分数、主观评价。至少提供一份评课表模板，方便用户快捷创建评课表。</w:t>
            </w:r>
          </w:p>
          <w:p w14:paraId="0EDD084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27).产品应用教程：同一品牌提供有关产品应用的教程视频，方便老师自主学习观摩，熟悉掌握相关的信息化工具应用技术。</w:t>
            </w:r>
          </w:p>
        </w:tc>
        <w:tc>
          <w:tcPr>
            <w:tcW w:w="1040" w:type="dxa"/>
            <w:tcBorders>
              <w:top w:val="single" w:color="000000" w:sz="4" w:space="0"/>
              <w:left w:val="nil"/>
              <w:bottom w:val="single" w:color="000000" w:sz="4" w:space="0"/>
              <w:right w:val="single" w:color="000000" w:sz="4" w:space="0"/>
            </w:tcBorders>
            <w:vAlign w:val="center"/>
          </w:tcPr>
          <w:p w14:paraId="68EB62C9">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42AC7C89">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45022224">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23F70410">
            <w:pPr>
              <w:jc w:val="center"/>
              <w:rPr>
                <w:rFonts w:ascii="宋体" w:hAnsi="宋体"/>
                <w:color w:val="auto"/>
                <w:sz w:val="18"/>
                <w:szCs w:val="18"/>
                <w:highlight w:val="none"/>
                <w:lang w:val="en-US" w:eastAsia="zh-CN"/>
              </w:rPr>
            </w:pPr>
          </w:p>
        </w:tc>
      </w:tr>
      <w:tr w14:paraId="1B64DE62">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0EEE2B3F">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60</w:t>
            </w:r>
          </w:p>
        </w:tc>
        <w:tc>
          <w:tcPr>
            <w:tcW w:w="817" w:type="dxa"/>
            <w:tcBorders>
              <w:top w:val="single" w:color="000000" w:sz="4" w:space="0"/>
              <w:left w:val="nil"/>
              <w:bottom w:val="single" w:color="000000" w:sz="4" w:space="0"/>
              <w:right w:val="single" w:color="000000" w:sz="4" w:space="0"/>
            </w:tcBorders>
            <w:vAlign w:val="center"/>
          </w:tcPr>
          <w:p w14:paraId="02786F5D">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资源服务器</w:t>
            </w:r>
          </w:p>
        </w:tc>
        <w:tc>
          <w:tcPr>
            <w:tcW w:w="4112" w:type="dxa"/>
            <w:tcBorders>
              <w:top w:val="single" w:color="000000" w:sz="4" w:space="0"/>
              <w:left w:val="nil"/>
              <w:bottom w:val="single" w:color="000000" w:sz="4" w:space="0"/>
              <w:right w:val="single" w:color="000000" w:sz="4" w:space="0"/>
            </w:tcBorders>
            <w:vAlign w:val="center"/>
          </w:tcPr>
          <w:p w14:paraId="12DCADE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 xml:space="preserve">1. 处理器： </w:t>
            </w:r>
            <w:r>
              <w:rPr>
                <w:rFonts w:hint="eastAsia" w:ascii="宋体" w:hAnsi="宋体"/>
                <w:color w:val="auto"/>
                <w:sz w:val="18"/>
                <w:szCs w:val="18"/>
                <w:highlight w:val="none"/>
                <w:lang w:val="en-US" w:eastAsia="zh-CN"/>
              </w:rPr>
              <w:t>核心数</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4核,主频</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2.0GHz</w:t>
            </w:r>
            <w:r>
              <w:rPr>
                <w:rFonts w:hint="eastAsia" w:ascii="宋体" w:hAnsi="宋体"/>
                <w:color w:val="auto"/>
                <w:sz w:val="18"/>
                <w:szCs w:val="18"/>
                <w:highlight w:val="none"/>
              </w:rPr>
              <w:t>。</w:t>
            </w:r>
          </w:p>
          <w:p w14:paraId="2187D7B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内存类型： DDR4 UDIMM，内存频率3200MHz。</w:t>
            </w:r>
          </w:p>
          <w:p w14:paraId="006B3AF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内存：内存空间≥32G。</w:t>
            </w:r>
          </w:p>
          <w:p w14:paraId="6D6F38E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硬盘接口：SATA。</w:t>
            </w:r>
          </w:p>
          <w:p w14:paraId="677EFFD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硬盘类型：3.5英吋HDD 。</w:t>
            </w:r>
          </w:p>
          <w:p w14:paraId="4A18431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硬盘空间：物理空间不小于24T。</w:t>
            </w:r>
          </w:p>
          <w:p w14:paraId="3439AD2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设备高度：≤2U。</w:t>
            </w:r>
          </w:p>
          <w:p w14:paraId="07B7D1E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操作系统：支持centos 64位。</w:t>
            </w:r>
          </w:p>
          <w:p w14:paraId="1F7FE40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电源：220V AC。</w:t>
            </w:r>
          </w:p>
          <w:p w14:paraId="466F1BB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整机接口：USB接口≥4个；RJ45接口≥4个，支持10/100/1000Mbps 自适应；VGA接口≥1个、HDMI接口≥1个，DP接口≥1个；Line Out接口≥1个，Mic in接口≥1个；COM口≥1个。</w:t>
            </w:r>
          </w:p>
        </w:tc>
        <w:tc>
          <w:tcPr>
            <w:tcW w:w="1040" w:type="dxa"/>
            <w:tcBorders>
              <w:top w:val="single" w:color="000000" w:sz="4" w:space="0"/>
              <w:left w:val="nil"/>
              <w:bottom w:val="single" w:color="000000" w:sz="4" w:space="0"/>
              <w:right w:val="single" w:color="000000" w:sz="4" w:space="0"/>
            </w:tcBorders>
            <w:vAlign w:val="center"/>
          </w:tcPr>
          <w:p w14:paraId="0F2349E2">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5E4D8841">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3BF1DEB4">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0E62ED60">
            <w:pPr>
              <w:jc w:val="center"/>
              <w:rPr>
                <w:rFonts w:ascii="宋体" w:hAnsi="宋体"/>
                <w:color w:val="auto"/>
                <w:sz w:val="18"/>
                <w:szCs w:val="18"/>
                <w:highlight w:val="none"/>
                <w:lang w:val="en-US" w:eastAsia="zh-CN"/>
              </w:rPr>
            </w:pPr>
          </w:p>
        </w:tc>
      </w:tr>
      <w:tr w14:paraId="7DFE9DBA">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2CD28E61">
            <w:pPr>
              <w:widowControl/>
              <w:jc w:val="center"/>
              <w:textAlignment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61</w:t>
            </w:r>
          </w:p>
        </w:tc>
        <w:tc>
          <w:tcPr>
            <w:tcW w:w="817" w:type="dxa"/>
            <w:tcBorders>
              <w:top w:val="single" w:color="000000" w:sz="4" w:space="0"/>
              <w:left w:val="nil"/>
              <w:bottom w:val="single" w:color="000000" w:sz="4" w:space="0"/>
              <w:right w:val="single" w:color="000000" w:sz="4" w:space="0"/>
            </w:tcBorders>
            <w:vAlign w:val="center"/>
          </w:tcPr>
          <w:p w14:paraId="67F30E59">
            <w:pPr>
              <w:widowControl/>
              <w:jc w:val="center"/>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智慧班牌硬件</w:t>
            </w:r>
          </w:p>
        </w:tc>
        <w:tc>
          <w:tcPr>
            <w:tcW w:w="4112" w:type="dxa"/>
            <w:tcBorders>
              <w:top w:val="single" w:color="000000" w:sz="4" w:space="0"/>
              <w:left w:val="nil"/>
              <w:bottom w:val="single" w:color="000000" w:sz="4" w:space="0"/>
              <w:right w:val="single" w:color="000000" w:sz="4" w:space="0"/>
            </w:tcBorders>
            <w:vAlign w:val="center"/>
          </w:tcPr>
          <w:p w14:paraId="24007F3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1、采用≥21.5英寸横屏式电容显示屏，支持10点触控，屏幕分辨率≥1920*1080，显示比例16:9；屏幕亮度≥500cd/㎡。</w:t>
            </w:r>
          </w:p>
          <w:p w14:paraId="71609B2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2、屏体采用宽温液晶屏，屏体工作温度区间跨度不小于零下20°C-80°C。</w:t>
            </w:r>
          </w:p>
          <w:p w14:paraId="5DCCE63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3、整机采用防水防尘结构设计，适用于学校教室半户外环境，防护等级不低于IP65。</w:t>
            </w:r>
          </w:p>
          <w:p w14:paraId="6529972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4、整机背部与墙面微距全贴合，背面与平整墙面间隙最大处≤2.5mm，保障教学环境的安全性。</w:t>
            </w:r>
          </w:p>
          <w:p w14:paraId="1244105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5、整机最大厚度不大于30mm。</w:t>
            </w:r>
          </w:p>
          <w:p w14:paraId="6B89C8A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6、整机正面覆盖钢化玻璃</w:t>
            </w:r>
          </w:p>
          <w:p w14:paraId="7148CDE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7、整机正面不采用贴膜方式具备防眩光功能</w:t>
            </w:r>
          </w:p>
          <w:p w14:paraId="1FA4FBF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8、可拍摄不低于200W像素的照片，支持不少于10人同时进行人脸识别。可支持学生无卡考勤签到、查看个人课程表、家长留言等个人信息。</w:t>
            </w:r>
          </w:p>
          <w:p w14:paraId="3ED8A8D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9、整机在逆光（人像处于背景照度≥80000Lux）环境下距离≤0.5m可正常进行人脸识别</w:t>
            </w:r>
          </w:p>
          <w:p w14:paraId="725FEF8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10、整机内置红外补光灯和双目摄像头，能同时打开彩色和黑白照片，具备活体检测功能</w:t>
            </w:r>
          </w:p>
          <w:p w14:paraId="5844C55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11、内置高灵敏度的全向麦克风，拾音半径不小于0.5m，支持学生语音留言，留言内容同步发送至家长微信。</w:t>
            </w:r>
          </w:p>
          <w:p w14:paraId="38C035A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12、内置2.0立体声道功放，支持视频及家长留言的音频播放。</w:t>
            </w:r>
          </w:p>
          <w:p w14:paraId="230113C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13、刷卡器：具有内置IC卡刷卡器，支持14443协议。学生可佩带相应的终端设备完成刷卡签到、查看个人信息等操作。</w:t>
            </w:r>
          </w:p>
          <w:p w14:paraId="7667165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14、整机具备至少一路RJ45网络接口；具备不少于2路USB 2.0接口。</w:t>
            </w:r>
          </w:p>
          <w:p w14:paraId="2AC847E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15、整机采用内置天线设计，无任何天线外露。</w:t>
            </w:r>
          </w:p>
          <w:p w14:paraId="13209191">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16、整机支持外接门禁控制。</w:t>
            </w:r>
          </w:p>
          <w:p w14:paraId="0803794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17、系统运行内存≥2GB，存储容量≥16GB；操作系统版本不低于Android 9.0。</w:t>
            </w:r>
          </w:p>
          <w:p w14:paraId="7352B0C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18、整机CPU≥4核，最高主频≥1.9G，操作系统版本不低于Android 9.0。</w:t>
            </w:r>
          </w:p>
          <w:p w14:paraId="61D239B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19、整机电源采用插墙式电源适配器，适配器无需悬挂，线材上出。</w:t>
            </w:r>
          </w:p>
          <w:p w14:paraId="04B9A35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20、支持远程开关机功能，远程唤醒待机功耗≤2W。</w:t>
            </w:r>
          </w:p>
          <w:p w14:paraId="0B499C7E">
            <w:pPr>
              <w:widowControl/>
              <w:jc w:val="left"/>
              <w:textAlignment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21、整机支持自动感光调节屏幕亮度</w:t>
            </w:r>
          </w:p>
        </w:tc>
        <w:tc>
          <w:tcPr>
            <w:tcW w:w="1040" w:type="dxa"/>
            <w:tcBorders>
              <w:top w:val="single" w:color="000000" w:sz="4" w:space="0"/>
              <w:left w:val="nil"/>
              <w:bottom w:val="single" w:color="000000" w:sz="4" w:space="0"/>
              <w:right w:val="single" w:color="000000" w:sz="4" w:space="0"/>
            </w:tcBorders>
            <w:vAlign w:val="center"/>
          </w:tcPr>
          <w:p w14:paraId="018966A5">
            <w:pPr>
              <w:widowControl/>
              <w:jc w:val="center"/>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7C390D56">
            <w:pPr>
              <w:widowControl/>
              <w:jc w:val="center"/>
              <w:textAlignment w:val="center"/>
              <w:rPr>
                <w:rFonts w:hint="eastAsia" w:ascii="宋体" w:hAnsi="宋体"/>
                <w:color w:val="auto"/>
                <w:kern w:val="0"/>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6185BD79">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3ADB2C6B">
            <w:pPr>
              <w:jc w:val="center"/>
              <w:rPr>
                <w:rFonts w:ascii="宋体" w:hAnsi="宋体"/>
                <w:color w:val="auto"/>
                <w:sz w:val="18"/>
                <w:szCs w:val="18"/>
                <w:highlight w:val="none"/>
                <w:lang w:val="en-US" w:eastAsia="zh-CN"/>
              </w:rPr>
            </w:pPr>
          </w:p>
        </w:tc>
      </w:tr>
      <w:tr w14:paraId="5B472377">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36E2B9C4">
            <w:pPr>
              <w:widowControl/>
              <w:jc w:val="center"/>
              <w:textAlignment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62</w:t>
            </w:r>
          </w:p>
        </w:tc>
        <w:tc>
          <w:tcPr>
            <w:tcW w:w="817" w:type="dxa"/>
            <w:tcBorders>
              <w:top w:val="single" w:color="000000" w:sz="4" w:space="0"/>
              <w:left w:val="nil"/>
              <w:bottom w:val="single" w:color="000000" w:sz="4" w:space="0"/>
              <w:right w:val="single" w:color="000000" w:sz="4" w:space="0"/>
            </w:tcBorders>
            <w:vAlign w:val="center"/>
          </w:tcPr>
          <w:p w14:paraId="44363D69">
            <w:pPr>
              <w:widowControl/>
              <w:jc w:val="center"/>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智慧校园班牌</w:t>
            </w:r>
          </w:p>
          <w:p w14:paraId="2A333B09">
            <w:pPr>
              <w:widowControl/>
              <w:jc w:val="center"/>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软件</w:t>
            </w:r>
          </w:p>
        </w:tc>
        <w:tc>
          <w:tcPr>
            <w:tcW w:w="4112" w:type="dxa"/>
            <w:tcBorders>
              <w:top w:val="single" w:color="000000" w:sz="4" w:space="0"/>
              <w:left w:val="nil"/>
              <w:bottom w:val="single" w:color="000000" w:sz="4" w:space="0"/>
              <w:right w:val="single" w:color="000000" w:sz="4" w:space="0"/>
            </w:tcBorders>
            <w:vAlign w:val="center"/>
          </w:tcPr>
          <w:p w14:paraId="64031E6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1、自助查询：</w:t>
            </w:r>
          </w:p>
          <w:p w14:paraId="5AE7517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1.系统提供学生个人空间，学生可在个人空间中查询与自己个人相关的信息，也可与家长进行留言互动。</w:t>
            </w:r>
          </w:p>
          <w:p w14:paraId="4296F1D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2.支持学生在全校任意班牌通过刷卡或者人脸识别登录学生个人空间。</w:t>
            </w:r>
          </w:p>
          <w:p w14:paraId="6DBE9E9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3.支持学生在个人空间查看每日课程表，包含上课时间、场地、任课老师等信息。</w:t>
            </w:r>
          </w:p>
          <w:p w14:paraId="0BE7B604">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4.支持学生在个人空间查看个人每日考勤记录。</w:t>
            </w:r>
          </w:p>
          <w:p w14:paraId="462AB52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5.学生在班牌刷卡登录个人中心后，可以主动向家长发起语音留言，留言后家长微信可收到提醒。</w:t>
            </w:r>
          </w:p>
          <w:p w14:paraId="65E6F0F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5.支持在学生个人空间内嵌入第三方应用，以满足学校多样化的业务查询需求。</w:t>
            </w:r>
          </w:p>
          <w:p w14:paraId="28C371E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2.家校互通：</w:t>
            </w:r>
          </w:p>
          <w:p w14:paraId="340920C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1.家长发送留言后，学生所在班级的班牌会显示该学生有新信息提醒，学生刷卡或人脸识别验证后方可查看信息，保护学生隐私。</w:t>
            </w:r>
          </w:p>
          <w:p w14:paraId="2FBDA2C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2.一个学生最多可以绑定4个家长，学生的考勤信息、在校动态、亲情留言均支持和多位家长对应。</w:t>
            </w:r>
          </w:p>
          <w:p w14:paraId="402A1D5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3.学生可点选家长预设的回复选项或投票选项，答复结果实时推送到家长手机端。</w:t>
            </w:r>
          </w:p>
          <w:p w14:paraId="5315A34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4.家长可在手机端查看孩子每日的课程表、考勤报告。</w:t>
            </w:r>
          </w:p>
          <w:p w14:paraId="19DF24F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5.支持向家长发送语音留言，留言信息实时推送至家长微信小程序手机端，并且家长可对留言进行文字回复；支持学生通过个人空间査看家长回复的文字留言。</w:t>
            </w:r>
          </w:p>
          <w:p w14:paraId="4E59B8B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家长可在手机端发起学生请假请求，可添加照片作为请假凭证。班主任手机端即时收到提醒，班牌同步该学生的请假状态，取消该学生的考勤要求。同时，学生可以在个人空间查看个人请假记录。支持导出电子表格的学生请假列表。</w:t>
            </w:r>
          </w:p>
          <w:p w14:paraId="2536F47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7.教师可在手机端发起学生请假请求，可添加照片作为请假凭证，家长手机端即时收到提醒。同时，学生可以在个人空间查看个人请假记录。</w:t>
            </w:r>
          </w:p>
          <w:p w14:paraId="7D3D5C4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8.手机端APP支持管理员、教师、家长多重身份切换，应用内可直接切换账户角色，无需退出账号重新登录。</w:t>
            </w:r>
          </w:p>
          <w:p w14:paraId="44D0C62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9.支持管理系统与学生行为评价软件账号的单点登录、数据互通，教师对学生进行评价后，相应的评价分数会实时同步至班牌。</w:t>
            </w:r>
          </w:p>
          <w:p w14:paraId="40901F11">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10.可授权家长在微信端上传学生照片，用于人脸识别</w:t>
            </w:r>
          </w:p>
          <w:p w14:paraId="1FA03ED9">
            <w:pPr>
              <w:widowControl/>
              <w:jc w:val="left"/>
              <w:textAlignment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11.可授权家长在微信端查看班牌展示的班级相册、新闻、公告等内容。</w:t>
            </w:r>
          </w:p>
        </w:tc>
        <w:tc>
          <w:tcPr>
            <w:tcW w:w="1040" w:type="dxa"/>
            <w:tcBorders>
              <w:top w:val="single" w:color="000000" w:sz="4" w:space="0"/>
              <w:left w:val="nil"/>
              <w:bottom w:val="single" w:color="000000" w:sz="4" w:space="0"/>
              <w:right w:val="single" w:color="000000" w:sz="4" w:space="0"/>
            </w:tcBorders>
            <w:vAlign w:val="center"/>
          </w:tcPr>
          <w:p w14:paraId="4B00EB90">
            <w:pPr>
              <w:widowControl/>
              <w:jc w:val="center"/>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41317C3C">
            <w:pPr>
              <w:widowControl/>
              <w:jc w:val="center"/>
              <w:textAlignment w:val="center"/>
              <w:rPr>
                <w:rFonts w:hint="eastAsia" w:ascii="宋体" w:hAnsi="宋体"/>
                <w:color w:val="auto"/>
                <w:kern w:val="0"/>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20613847">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59575E2A">
            <w:pPr>
              <w:jc w:val="center"/>
              <w:rPr>
                <w:rFonts w:ascii="宋体" w:hAnsi="宋体"/>
                <w:color w:val="auto"/>
                <w:sz w:val="18"/>
                <w:szCs w:val="18"/>
                <w:highlight w:val="none"/>
                <w:lang w:val="en-US" w:eastAsia="zh-CN"/>
              </w:rPr>
            </w:pPr>
          </w:p>
        </w:tc>
      </w:tr>
      <w:tr w14:paraId="46489380">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1CA9C4A7">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63</w:t>
            </w:r>
          </w:p>
        </w:tc>
        <w:tc>
          <w:tcPr>
            <w:tcW w:w="817" w:type="dxa"/>
            <w:tcBorders>
              <w:top w:val="single" w:color="000000" w:sz="4" w:space="0"/>
              <w:left w:val="nil"/>
              <w:bottom w:val="single" w:color="000000" w:sz="4" w:space="0"/>
              <w:right w:val="single" w:color="000000" w:sz="4" w:space="0"/>
            </w:tcBorders>
            <w:vAlign w:val="center"/>
          </w:tcPr>
          <w:p w14:paraId="788F92B7">
            <w:pPr>
              <w:widowControl/>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分体空调</w:t>
            </w:r>
          </w:p>
          <w:p w14:paraId="3AD7032F">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执行器</w:t>
            </w:r>
          </w:p>
        </w:tc>
        <w:tc>
          <w:tcPr>
            <w:tcW w:w="4112" w:type="dxa"/>
            <w:tcBorders>
              <w:top w:val="single" w:color="000000" w:sz="4" w:space="0"/>
              <w:left w:val="nil"/>
              <w:bottom w:val="single" w:color="000000" w:sz="4" w:space="0"/>
              <w:right w:val="single" w:color="000000" w:sz="4" w:space="0"/>
            </w:tcBorders>
            <w:vAlign w:val="center"/>
          </w:tcPr>
          <w:p w14:paraId="19746F8D">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1、支持远程遥控立柜空调、壁挂空调、电视机、电视机顶盒、投影仪、幕布、音响、空气净化器、DVD、风扇、智能灯等常见的红外电器设备</w:t>
            </w:r>
          </w:p>
          <w:p w14:paraId="35F6D1DA">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2、支持Zigbee通信协议，支持学习和控制红外终端</w:t>
            </w:r>
          </w:p>
          <w:p w14:paraId="6E9F1650">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3、红外直线距离5~10米，支持市面95%以上的红外终端，支持超过8000+以上的云端红外码库，支持90°发射</w:t>
            </w:r>
          </w:p>
          <w:p w14:paraId="3317A9FB">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4、考虑现场环境的复杂性，标配红外延长线来提高遥控稳定性，并实现1对2控制</w:t>
            </w:r>
          </w:p>
          <w:p w14:paraId="50BADC5F">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5、自带电流互感器，支持对电器工作状态进行检测</w:t>
            </w:r>
          </w:p>
          <w:p w14:paraId="5D65092D">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6、为保障更好的物联联动性，支持与物联网平台、传感器实现联动效果</w:t>
            </w:r>
          </w:p>
          <w:p w14:paraId="41D0292B">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7、为保障设备的软件成熟度，要求设备开发成熟度模型能力达到CMMI五级（ Level 5）</w:t>
            </w:r>
          </w:p>
        </w:tc>
        <w:tc>
          <w:tcPr>
            <w:tcW w:w="1040" w:type="dxa"/>
            <w:tcBorders>
              <w:top w:val="single" w:color="000000" w:sz="4" w:space="0"/>
              <w:left w:val="nil"/>
              <w:bottom w:val="single" w:color="000000" w:sz="4" w:space="0"/>
              <w:right w:val="single" w:color="000000" w:sz="4" w:space="0"/>
            </w:tcBorders>
            <w:vAlign w:val="center"/>
          </w:tcPr>
          <w:p w14:paraId="1C189260">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235CD346">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255871F4">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08898BB0">
            <w:pPr>
              <w:jc w:val="center"/>
              <w:rPr>
                <w:rFonts w:ascii="宋体" w:hAnsi="宋体"/>
                <w:color w:val="auto"/>
                <w:sz w:val="18"/>
                <w:szCs w:val="18"/>
                <w:highlight w:val="none"/>
                <w:lang w:val="en-US" w:eastAsia="zh-CN"/>
              </w:rPr>
            </w:pPr>
          </w:p>
        </w:tc>
      </w:tr>
      <w:tr w14:paraId="483BE527">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759B4214">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6</w:t>
            </w:r>
            <w:r>
              <w:rPr>
                <w:rFonts w:hint="eastAsia" w:ascii="宋体" w:hAnsi="宋体"/>
                <w:color w:val="auto"/>
                <w:sz w:val="18"/>
                <w:szCs w:val="18"/>
                <w:highlight w:val="none"/>
                <w:lang w:val="en-US" w:eastAsia="zh-CN"/>
              </w:rPr>
              <w:t>4</w:t>
            </w:r>
          </w:p>
        </w:tc>
        <w:tc>
          <w:tcPr>
            <w:tcW w:w="817" w:type="dxa"/>
            <w:tcBorders>
              <w:top w:val="single" w:color="000000" w:sz="4" w:space="0"/>
              <w:left w:val="nil"/>
              <w:bottom w:val="single" w:color="000000" w:sz="4" w:space="0"/>
              <w:right w:val="single" w:color="000000" w:sz="4" w:space="0"/>
            </w:tcBorders>
            <w:vAlign w:val="center"/>
          </w:tcPr>
          <w:p w14:paraId="581ADB6D">
            <w:pPr>
              <w:widowControl/>
              <w:jc w:val="center"/>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智能开关</w:t>
            </w:r>
          </w:p>
          <w:p w14:paraId="4F544744">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面板-3键</w:t>
            </w:r>
          </w:p>
        </w:tc>
        <w:tc>
          <w:tcPr>
            <w:tcW w:w="4112" w:type="dxa"/>
            <w:tcBorders>
              <w:top w:val="single" w:color="000000" w:sz="4" w:space="0"/>
              <w:left w:val="nil"/>
              <w:bottom w:val="single" w:color="000000" w:sz="4" w:space="0"/>
              <w:right w:val="single" w:color="000000" w:sz="4" w:space="0"/>
            </w:tcBorders>
            <w:vAlign w:val="center"/>
          </w:tcPr>
          <w:p w14:paraId="30BCA666">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1、支持ZigBee自组网通信协议</w:t>
            </w:r>
          </w:p>
          <w:p w14:paraId="14EBEE98">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2、3键</w:t>
            </w:r>
          </w:p>
          <w:p w14:paraId="12FA6CD2">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3、单火线供电</w:t>
            </w:r>
          </w:p>
          <w:p w14:paraId="2DD70986">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4、&gt;10W，适用于传统的灯具，如：LED灯、节能灯、电子镇流器日光灯</w:t>
            </w:r>
          </w:p>
          <w:p w14:paraId="0728966A">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5、0℃~+45℃，10~95%RH无凝结</w:t>
            </w:r>
          </w:p>
          <w:p w14:paraId="3CB41A02">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6、支持触摸面板上的按键本地控制开关状态</w:t>
            </w:r>
          </w:p>
          <w:p w14:paraId="2403362F">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7、支持Web端、APP端远程控制开关状态</w:t>
            </w:r>
          </w:p>
          <w:p w14:paraId="70CE6449">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8、支持定时自动控制开关、设备联动控制开关</w:t>
            </w:r>
          </w:p>
          <w:p w14:paraId="15F03624">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9、支持在物联网平台设置定时策略，如晚上9点自动关闭大楼灯光设备,无需人工手动关闭</w:t>
            </w:r>
          </w:p>
          <w:p w14:paraId="2B061656">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10、支持在物联网平台设置巡检策略，如管理员需要9点巡检全部灯光设备是否关闭,此时系统可自动进行巡检并生成巡检报告,便于管理人员优化运维管理</w:t>
            </w:r>
          </w:p>
          <w:p w14:paraId="4E2416E0">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11、支持统一管理，在物联网平台可统一管理全部智能开关设备</w:t>
            </w:r>
          </w:p>
          <w:p w14:paraId="51894248">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12、支持多层维度划分,让管理员任意切换管理范围,划分重点管理区域</w:t>
            </w:r>
          </w:p>
          <w:p w14:paraId="1080191E">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13、为保障设备的软件成熟度，要求设备开发成熟度模型能力达到CMMI五级（ Level 5）</w:t>
            </w:r>
          </w:p>
        </w:tc>
        <w:tc>
          <w:tcPr>
            <w:tcW w:w="1040" w:type="dxa"/>
            <w:tcBorders>
              <w:top w:val="single" w:color="000000" w:sz="4" w:space="0"/>
              <w:left w:val="nil"/>
              <w:bottom w:val="single" w:color="000000" w:sz="4" w:space="0"/>
              <w:right w:val="single" w:color="000000" w:sz="4" w:space="0"/>
            </w:tcBorders>
            <w:vAlign w:val="center"/>
          </w:tcPr>
          <w:p w14:paraId="069E90A1">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5CE96A28">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6057ED7D">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3FF7451A">
            <w:pPr>
              <w:jc w:val="center"/>
              <w:rPr>
                <w:rFonts w:ascii="宋体" w:hAnsi="宋体"/>
                <w:color w:val="auto"/>
                <w:sz w:val="18"/>
                <w:szCs w:val="18"/>
                <w:highlight w:val="none"/>
                <w:lang w:val="en-US" w:eastAsia="zh-CN"/>
              </w:rPr>
            </w:pPr>
          </w:p>
        </w:tc>
      </w:tr>
      <w:tr w14:paraId="7DB1C43B">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0B55E225">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6</w:t>
            </w:r>
            <w:r>
              <w:rPr>
                <w:rFonts w:hint="eastAsia" w:ascii="宋体" w:hAnsi="宋体"/>
                <w:color w:val="auto"/>
                <w:sz w:val="18"/>
                <w:szCs w:val="18"/>
                <w:highlight w:val="none"/>
                <w:lang w:val="en-US" w:eastAsia="zh-CN"/>
              </w:rPr>
              <w:t>5</w:t>
            </w:r>
          </w:p>
        </w:tc>
        <w:tc>
          <w:tcPr>
            <w:tcW w:w="817" w:type="dxa"/>
            <w:tcBorders>
              <w:top w:val="single" w:color="000000" w:sz="4" w:space="0"/>
              <w:left w:val="nil"/>
              <w:bottom w:val="single" w:color="000000" w:sz="4" w:space="0"/>
              <w:right w:val="single" w:color="000000" w:sz="4" w:space="0"/>
            </w:tcBorders>
            <w:vAlign w:val="center"/>
          </w:tcPr>
          <w:p w14:paraId="4019A8E6">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4.5米窗帘电机</w:t>
            </w:r>
            <w:r>
              <w:rPr>
                <w:rFonts w:hint="eastAsia" w:ascii="宋体" w:hAnsi="宋体"/>
                <w:color w:val="auto"/>
                <w:kern w:val="0"/>
                <w:sz w:val="18"/>
                <w:szCs w:val="18"/>
                <w:highlight w:val="none"/>
                <w:lang w:val="en-US" w:eastAsia="zh-CN"/>
              </w:rPr>
              <w:t>套装</w:t>
            </w:r>
          </w:p>
        </w:tc>
        <w:tc>
          <w:tcPr>
            <w:tcW w:w="4112" w:type="dxa"/>
            <w:tcBorders>
              <w:top w:val="single" w:color="000000" w:sz="4" w:space="0"/>
              <w:left w:val="nil"/>
              <w:bottom w:val="single" w:color="000000" w:sz="4" w:space="0"/>
              <w:right w:val="single" w:color="000000" w:sz="4" w:space="0"/>
            </w:tcBorders>
            <w:vAlign w:val="center"/>
          </w:tcPr>
          <w:p w14:paraId="0633AFAA">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1.保护等级不低于IP20</w:t>
            </w:r>
          </w:p>
          <w:p w14:paraId="375F95BC">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2.ZigBee（2.4G）</w:t>
            </w:r>
          </w:p>
          <w:p w14:paraId="20A14ECB">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3.适用于4.2~5.2米窗户，实现窗帘智能化控制</w:t>
            </w:r>
          </w:p>
          <w:p w14:paraId="27A52CA2">
            <w:pPr>
              <w:widowControl/>
              <w:jc w:val="left"/>
              <w:textAlignment w:val="center"/>
              <w:rPr>
                <w:rFonts w:ascii="宋体" w:hAnsi="宋体"/>
                <w:color w:val="auto"/>
                <w:kern w:val="0"/>
                <w:sz w:val="18"/>
                <w:szCs w:val="18"/>
                <w:highlight w:val="none"/>
              </w:rPr>
            </w:pPr>
            <w:r>
              <w:rPr>
                <w:rFonts w:ascii="宋体" w:hAnsi="宋体"/>
                <w:color w:val="auto"/>
                <w:kern w:val="0"/>
                <w:sz w:val="18"/>
                <w:szCs w:val="18"/>
                <w:highlight w:val="none"/>
              </w:rPr>
              <w:t>4.AC100V-240V 50/60HZ</w:t>
            </w:r>
          </w:p>
          <w:p w14:paraId="1F152E73">
            <w:pPr>
              <w:widowControl/>
              <w:jc w:val="left"/>
              <w:textAlignment w:val="center"/>
              <w:rPr>
                <w:rFonts w:ascii="宋体" w:hAnsi="宋体"/>
                <w:color w:val="auto"/>
                <w:kern w:val="0"/>
                <w:sz w:val="18"/>
                <w:szCs w:val="18"/>
                <w:highlight w:val="none"/>
              </w:rPr>
            </w:pPr>
            <w:r>
              <w:rPr>
                <w:rFonts w:ascii="宋体" w:hAnsi="宋体"/>
                <w:color w:val="auto"/>
                <w:kern w:val="0"/>
                <w:sz w:val="18"/>
                <w:szCs w:val="18"/>
                <w:highlight w:val="none"/>
              </w:rPr>
              <w:t>5.0°C~45°C</w:t>
            </w:r>
          </w:p>
          <w:p w14:paraId="37FF5C4C">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6.10~95%RH无凝结</w:t>
            </w:r>
          </w:p>
          <w:p w14:paraId="0729C942">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7.支持统一管理，在物联网平台可统一管理智能窗帘设备，获取窗帘状态数据、远程窗帘控制</w:t>
            </w:r>
          </w:p>
          <w:p w14:paraId="674F9429">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8.支持远程移动APP进行窗帘控制，可按需进行窗帘开启、暂停、关闭等操作</w:t>
            </w:r>
          </w:p>
          <w:p w14:paraId="00D1DB4C">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9.支持在物联网平台设置一键情景管理策略，如一键开启区域内灯光、窗帘</w:t>
            </w:r>
          </w:p>
        </w:tc>
        <w:tc>
          <w:tcPr>
            <w:tcW w:w="1040" w:type="dxa"/>
            <w:tcBorders>
              <w:top w:val="single" w:color="000000" w:sz="4" w:space="0"/>
              <w:left w:val="nil"/>
              <w:bottom w:val="single" w:color="000000" w:sz="4" w:space="0"/>
              <w:right w:val="single" w:color="000000" w:sz="4" w:space="0"/>
            </w:tcBorders>
            <w:vAlign w:val="center"/>
          </w:tcPr>
          <w:p w14:paraId="0F163C68">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4</w:t>
            </w:r>
          </w:p>
        </w:tc>
        <w:tc>
          <w:tcPr>
            <w:tcW w:w="935" w:type="dxa"/>
            <w:tcBorders>
              <w:top w:val="single" w:color="000000" w:sz="4" w:space="0"/>
              <w:left w:val="nil"/>
              <w:bottom w:val="single" w:color="000000" w:sz="4" w:space="0"/>
              <w:right w:val="single" w:color="000000" w:sz="4" w:space="0"/>
            </w:tcBorders>
            <w:vAlign w:val="center"/>
          </w:tcPr>
          <w:p w14:paraId="49C331F2">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65A3806B">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45000789">
            <w:pPr>
              <w:jc w:val="center"/>
              <w:rPr>
                <w:rFonts w:ascii="宋体" w:hAnsi="宋体"/>
                <w:color w:val="auto"/>
                <w:sz w:val="18"/>
                <w:szCs w:val="18"/>
                <w:highlight w:val="none"/>
                <w:lang w:val="en-US" w:eastAsia="zh-CN"/>
              </w:rPr>
            </w:pPr>
          </w:p>
        </w:tc>
      </w:tr>
      <w:tr w14:paraId="3BD5CB64">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3622AC4E">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6</w:t>
            </w:r>
            <w:r>
              <w:rPr>
                <w:rFonts w:hint="eastAsia" w:ascii="宋体" w:hAnsi="宋体"/>
                <w:color w:val="auto"/>
                <w:sz w:val="18"/>
                <w:szCs w:val="18"/>
                <w:highlight w:val="none"/>
                <w:lang w:val="en-US" w:eastAsia="zh-CN"/>
              </w:rPr>
              <w:t>6</w:t>
            </w:r>
          </w:p>
        </w:tc>
        <w:tc>
          <w:tcPr>
            <w:tcW w:w="817" w:type="dxa"/>
            <w:tcBorders>
              <w:top w:val="single" w:color="000000" w:sz="4" w:space="0"/>
              <w:left w:val="nil"/>
              <w:bottom w:val="single" w:color="000000" w:sz="4" w:space="0"/>
              <w:right w:val="single" w:color="000000" w:sz="4" w:space="0"/>
            </w:tcBorders>
            <w:vAlign w:val="center"/>
          </w:tcPr>
          <w:p w14:paraId="164374C0">
            <w:pPr>
              <w:widowControl/>
              <w:jc w:val="center"/>
              <w:textAlignment w:val="center"/>
              <w:rPr>
                <w:rFonts w:hint="eastAsia" w:ascii="宋体" w:hAnsi="宋体"/>
                <w:color w:val="auto"/>
                <w:kern w:val="0"/>
                <w:sz w:val="18"/>
                <w:szCs w:val="18"/>
                <w:highlight w:val="none"/>
                <w:lang w:eastAsia="zh-CN"/>
              </w:rPr>
            </w:pPr>
            <w:r>
              <w:rPr>
                <w:rFonts w:hint="eastAsia" w:ascii="宋体" w:hAnsi="宋体"/>
                <w:color w:val="auto"/>
                <w:kern w:val="0"/>
                <w:sz w:val="18"/>
                <w:szCs w:val="18"/>
                <w:highlight w:val="none"/>
              </w:rPr>
              <w:t>安全用电系列</w:t>
            </w:r>
            <w:r>
              <w:rPr>
                <w:rFonts w:hint="eastAsia" w:ascii="宋体" w:hAnsi="宋体"/>
                <w:color w:val="auto"/>
                <w:kern w:val="0"/>
                <w:sz w:val="18"/>
                <w:szCs w:val="18"/>
                <w:highlight w:val="none"/>
                <w:lang w:eastAsia="zh-CN"/>
              </w:rPr>
              <w:t>（协议转换</w:t>
            </w:r>
          </w:p>
          <w:p w14:paraId="118A5A52">
            <w:pPr>
              <w:widowControl/>
              <w:jc w:val="center"/>
              <w:textAlignment w:val="center"/>
              <w:rPr>
                <w:rFonts w:hint="eastAsia" w:ascii="宋体" w:hAnsi="宋体" w:eastAsia="宋体"/>
                <w:color w:val="auto"/>
                <w:sz w:val="18"/>
                <w:szCs w:val="18"/>
                <w:highlight w:val="none"/>
                <w:lang w:eastAsia="zh-CN"/>
              </w:rPr>
            </w:pPr>
            <w:r>
              <w:rPr>
                <w:rFonts w:hint="eastAsia" w:ascii="宋体" w:hAnsi="宋体"/>
                <w:color w:val="auto"/>
                <w:kern w:val="0"/>
                <w:sz w:val="18"/>
                <w:szCs w:val="18"/>
                <w:highlight w:val="none"/>
                <w:lang w:eastAsia="zh-CN"/>
              </w:rPr>
              <w:t>器）</w:t>
            </w:r>
          </w:p>
        </w:tc>
        <w:tc>
          <w:tcPr>
            <w:tcW w:w="4112" w:type="dxa"/>
            <w:tcBorders>
              <w:top w:val="single" w:color="000000" w:sz="4" w:space="0"/>
              <w:left w:val="nil"/>
              <w:bottom w:val="single" w:color="000000" w:sz="4" w:space="0"/>
              <w:right w:val="single" w:color="000000" w:sz="4" w:space="0"/>
            </w:tcBorders>
            <w:vAlign w:val="center"/>
          </w:tcPr>
          <w:p w14:paraId="15EECD56">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1、节能系统配件，作为电源模组，配合物联网空气开关、物联网通讯模组实现与物联网平台的互相联动，包括控制电机转发，向物联网终端提供低压直流电源 </w:t>
            </w:r>
          </w:p>
          <w:p w14:paraId="7EDD9A44">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2、额定电流：2.5A（DC12V） </w:t>
            </w:r>
          </w:p>
          <w:p w14:paraId="0AD04E2A">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3、输入电压：AC100V-265V </w:t>
            </w:r>
          </w:p>
          <w:p w14:paraId="24BE2137">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4、额定输出电压：DC12V </w:t>
            </w:r>
          </w:p>
          <w:p w14:paraId="2D7668E2">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5、额定输出电流MAX DC2.5A </w:t>
            </w:r>
          </w:p>
          <w:p w14:paraId="7348A7B5">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6、防雷击浪涌保护最大泄放电流：15KA </w:t>
            </w:r>
          </w:p>
          <w:p w14:paraId="5CC6C897">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7、工作环境：-5℃~45℃ </w:t>
            </w:r>
          </w:p>
          <w:p w14:paraId="06902A9C">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8、安装地点海拔：≤2000m </w:t>
            </w:r>
          </w:p>
          <w:p w14:paraId="633A3857">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9、安装方式：导轨卡口</w:t>
            </w:r>
          </w:p>
        </w:tc>
        <w:tc>
          <w:tcPr>
            <w:tcW w:w="1040" w:type="dxa"/>
            <w:tcBorders>
              <w:top w:val="single" w:color="000000" w:sz="4" w:space="0"/>
              <w:left w:val="nil"/>
              <w:bottom w:val="single" w:color="000000" w:sz="4" w:space="0"/>
              <w:right w:val="single" w:color="000000" w:sz="4" w:space="0"/>
            </w:tcBorders>
            <w:vAlign w:val="center"/>
          </w:tcPr>
          <w:p w14:paraId="5B0533DA">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8</w:t>
            </w:r>
          </w:p>
        </w:tc>
        <w:tc>
          <w:tcPr>
            <w:tcW w:w="935" w:type="dxa"/>
            <w:tcBorders>
              <w:top w:val="single" w:color="000000" w:sz="4" w:space="0"/>
              <w:left w:val="nil"/>
              <w:bottom w:val="single" w:color="000000" w:sz="4" w:space="0"/>
              <w:right w:val="single" w:color="000000" w:sz="4" w:space="0"/>
            </w:tcBorders>
            <w:vAlign w:val="center"/>
          </w:tcPr>
          <w:p w14:paraId="546A72BB">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0AAEED33">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00E3CC9D">
            <w:pPr>
              <w:jc w:val="center"/>
              <w:rPr>
                <w:rFonts w:hint="eastAsia" w:ascii="宋体" w:hAnsi="宋体"/>
                <w:color w:val="auto"/>
                <w:sz w:val="18"/>
                <w:szCs w:val="18"/>
                <w:highlight w:val="none"/>
                <w:lang w:val="en-US" w:eastAsia="zh-CN"/>
              </w:rPr>
            </w:pPr>
          </w:p>
        </w:tc>
      </w:tr>
      <w:tr w14:paraId="60EB64A3">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70A44DDD">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6</w:t>
            </w:r>
            <w:r>
              <w:rPr>
                <w:rFonts w:hint="eastAsia" w:ascii="宋体" w:hAnsi="宋体"/>
                <w:color w:val="auto"/>
                <w:sz w:val="18"/>
                <w:szCs w:val="18"/>
                <w:highlight w:val="none"/>
                <w:lang w:val="en-US" w:eastAsia="zh-CN"/>
              </w:rPr>
              <w:t>7</w:t>
            </w:r>
          </w:p>
        </w:tc>
        <w:tc>
          <w:tcPr>
            <w:tcW w:w="817" w:type="dxa"/>
            <w:tcBorders>
              <w:top w:val="single" w:color="000000" w:sz="4" w:space="0"/>
              <w:left w:val="nil"/>
              <w:bottom w:val="single" w:color="000000" w:sz="4" w:space="0"/>
              <w:right w:val="single" w:color="000000" w:sz="4" w:space="0"/>
            </w:tcBorders>
            <w:vAlign w:val="center"/>
          </w:tcPr>
          <w:p w14:paraId="269DD7A3">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安全用电系列</w:t>
            </w:r>
            <w:r>
              <w:rPr>
                <w:rFonts w:hint="eastAsia" w:ascii="宋体" w:hAnsi="宋体"/>
                <w:color w:val="auto"/>
                <w:kern w:val="0"/>
                <w:sz w:val="18"/>
                <w:szCs w:val="18"/>
                <w:highlight w:val="none"/>
                <w:lang w:eastAsia="zh-CN"/>
              </w:rPr>
              <w:t>（窗帘控制）</w:t>
            </w:r>
          </w:p>
        </w:tc>
        <w:tc>
          <w:tcPr>
            <w:tcW w:w="4112" w:type="dxa"/>
            <w:tcBorders>
              <w:top w:val="single" w:color="000000" w:sz="4" w:space="0"/>
              <w:left w:val="nil"/>
              <w:bottom w:val="single" w:color="000000" w:sz="4" w:space="0"/>
              <w:right w:val="single" w:color="000000" w:sz="4" w:space="0"/>
            </w:tcBorders>
            <w:vAlign w:val="center"/>
          </w:tcPr>
          <w:p w14:paraId="732BB23F">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1、配合物联网通讯模块、网关可实现与物联网平台的互相联动，包括数据回传及策略控制</w:t>
            </w:r>
          </w:p>
          <w:p w14:paraId="68149851">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2、断路器环境规格：2P额定63A</w:t>
            </w:r>
          </w:p>
          <w:p w14:paraId="5232C2C3">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3、短路保护：支持采用动静触电均选择银触点、高等级灭弧材质，优良灭弧结构</w:t>
            </w:r>
          </w:p>
          <w:p w14:paraId="6DBEFAE9">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4、支持过载过流保护、过压保护、打火断电保护、欠压保护等功能</w:t>
            </w:r>
          </w:p>
          <w:p w14:paraId="5B4AA9BA">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5、用电量统计，用电大数据对比分析</w:t>
            </w:r>
          </w:p>
          <w:p w14:paraId="249DCB88">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6、功率限定：超过指定功率时自动断电</w:t>
            </w:r>
          </w:p>
          <w:p w14:paraId="4ADD92EF">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7、用电故障或者检测记录</w:t>
            </w:r>
          </w:p>
          <w:p w14:paraId="3269E887">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8、支持本地电动控制、本地手动推杆</w:t>
            </w:r>
          </w:p>
        </w:tc>
        <w:tc>
          <w:tcPr>
            <w:tcW w:w="1040" w:type="dxa"/>
            <w:tcBorders>
              <w:top w:val="single" w:color="000000" w:sz="4" w:space="0"/>
              <w:left w:val="nil"/>
              <w:bottom w:val="single" w:color="000000" w:sz="4" w:space="0"/>
              <w:right w:val="single" w:color="000000" w:sz="4" w:space="0"/>
            </w:tcBorders>
            <w:vAlign w:val="center"/>
          </w:tcPr>
          <w:p w14:paraId="61A00F1E">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4</w:t>
            </w:r>
          </w:p>
        </w:tc>
        <w:tc>
          <w:tcPr>
            <w:tcW w:w="935" w:type="dxa"/>
            <w:tcBorders>
              <w:top w:val="single" w:color="000000" w:sz="4" w:space="0"/>
              <w:left w:val="nil"/>
              <w:bottom w:val="single" w:color="000000" w:sz="4" w:space="0"/>
              <w:right w:val="single" w:color="000000" w:sz="4" w:space="0"/>
            </w:tcBorders>
            <w:vAlign w:val="center"/>
          </w:tcPr>
          <w:p w14:paraId="307F857D">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19432B70">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0F9116CF">
            <w:pPr>
              <w:jc w:val="center"/>
              <w:rPr>
                <w:rFonts w:hint="eastAsia" w:ascii="宋体" w:hAnsi="宋体"/>
                <w:color w:val="auto"/>
                <w:sz w:val="18"/>
                <w:szCs w:val="18"/>
                <w:highlight w:val="none"/>
                <w:lang w:val="en-US" w:eastAsia="zh-CN"/>
              </w:rPr>
            </w:pPr>
          </w:p>
        </w:tc>
      </w:tr>
      <w:tr w14:paraId="34BBBA00">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4B08B3FD">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6</w:t>
            </w:r>
            <w:r>
              <w:rPr>
                <w:rFonts w:hint="eastAsia" w:ascii="宋体" w:hAnsi="宋体"/>
                <w:color w:val="auto"/>
                <w:sz w:val="18"/>
                <w:szCs w:val="18"/>
                <w:highlight w:val="none"/>
                <w:lang w:val="en-US" w:eastAsia="zh-CN"/>
              </w:rPr>
              <w:t>8</w:t>
            </w:r>
          </w:p>
        </w:tc>
        <w:tc>
          <w:tcPr>
            <w:tcW w:w="817" w:type="dxa"/>
            <w:tcBorders>
              <w:top w:val="single" w:color="000000" w:sz="4" w:space="0"/>
              <w:left w:val="nil"/>
              <w:bottom w:val="single" w:color="000000" w:sz="4" w:space="0"/>
              <w:right w:val="single" w:color="000000" w:sz="4" w:space="0"/>
            </w:tcBorders>
            <w:vAlign w:val="center"/>
          </w:tcPr>
          <w:p w14:paraId="60B30379">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kern w:val="0"/>
                <w:sz w:val="18"/>
                <w:szCs w:val="18"/>
                <w:highlight w:val="none"/>
              </w:rPr>
              <w:t>安全用电系列</w:t>
            </w:r>
            <w:r>
              <w:rPr>
                <w:rFonts w:hint="eastAsia" w:ascii="宋体" w:hAnsi="宋体"/>
                <w:color w:val="auto"/>
                <w:kern w:val="0"/>
                <w:sz w:val="18"/>
                <w:szCs w:val="18"/>
                <w:highlight w:val="none"/>
                <w:lang w:eastAsia="zh-CN"/>
              </w:rPr>
              <w:t>（</w:t>
            </w:r>
            <w:r>
              <w:rPr>
                <w:rFonts w:hint="eastAsia" w:ascii="宋体" w:hAnsi="宋体"/>
                <w:color w:val="auto"/>
                <w:kern w:val="0"/>
                <w:sz w:val="18"/>
                <w:szCs w:val="18"/>
                <w:highlight w:val="none"/>
                <w:lang w:val="en-US" w:eastAsia="zh-CN"/>
              </w:rPr>
              <w:t>电测执行）</w:t>
            </w:r>
          </w:p>
        </w:tc>
        <w:tc>
          <w:tcPr>
            <w:tcW w:w="4112" w:type="dxa"/>
            <w:tcBorders>
              <w:top w:val="single" w:color="000000" w:sz="4" w:space="0"/>
              <w:left w:val="nil"/>
              <w:bottom w:val="single" w:color="000000" w:sz="4" w:space="0"/>
              <w:right w:val="single" w:color="000000" w:sz="4" w:space="0"/>
            </w:tcBorders>
            <w:vAlign w:val="center"/>
          </w:tcPr>
          <w:p w14:paraId="15E1492A">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1、节能系统配件，作为通讯模组，配合物联网空气开关实现与物联网平台的互相联动，包括数据回传及策略控制 </w:t>
            </w:r>
          </w:p>
          <w:p w14:paraId="14C22C71">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2、工作电压：DC12V </w:t>
            </w:r>
          </w:p>
          <w:p w14:paraId="510C8EAC">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3、支持双向互联网通讯 </w:t>
            </w:r>
          </w:p>
          <w:p w14:paraId="013716F5">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4、工作电压：AC100V~265V </w:t>
            </w:r>
          </w:p>
          <w:p w14:paraId="4904DB31">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5、工作环境：-5℃~45℃ </w:t>
            </w:r>
          </w:p>
          <w:p w14:paraId="3239F5D1">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6、安装地点海拔：不高于2000m </w:t>
            </w:r>
          </w:p>
          <w:p w14:paraId="5C58F920">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7、为保障设备兼容性，要求与控制器为同一品牌；</w:t>
            </w:r>
          </w:p>
        </w:tc>
        <w:tc>
          <w:tcPr>
            <w:tcW w:w="1040" w:type="dxa"/>
            <w:tcBorders>
              <w:top w:val="single" w:color="000000" w:sz="4" w:space="0"/>
              <w:left w:val="nil"/>
              <w:bottom w:val="single" w:color="000000" w:sz="4" w:space="0"/>
              <w:right w:val="single" w:color="000000" w:sz="4" w:space="0"/>
            </w:tcBorders>
            <w:vAlign w:val="center"/>
          </w:tcPr>
          <w:p w14:paraId="3A43FBE2">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7CCF5163">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6B348C13">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2F408C34">
            <w:pPr>
              <w:jc w:val="center"/>
              <w:rPr>
                <w:rFonts w:hint="eastAsia" w:ascii="宋体" w:hAnsi="宋体"/>
                <w:color w:val="auto"/>
                <w:sz w:val="18"/>
                <w:szCs w:val="18"/>
                <w:highlight w:val="none"/>
                <w:lang w:val="en-US" w:eastAsia="zh-CN"/>
              </w:rPr>
            </w:pPr>
          </w:p>
        </w:tc>
      </w:tr>
      <w:tr w14:paraId="275B43DF">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15F53D26">
            <w:pPr>
              <w:widowControl/>
              <w:jc w:val="center"/>
              <w:textAlignment w:val="center"/>
              <w:rPr>
                <w:rFonts w:hint="default" w:ascii="宋体" w:hAnsi="宋体" w:eastAsia="宋体" w:cs="Times New Roman"/>
                <w:color w:val="auto"/>
                <w:kern w:val="0"/>
                <w:sz w:val="18"/>
                <w:szCs w:val="18"/>
                <w:highlight w:val="none"/>
                <w:lang w:val="en-US" w:eastAsia="zh-CN" w:bidi="ar-SA"/>
              </w:rPr>
            </w:pPr>
            <w:r>
              <w:rPr>
                <w:rFonts w:hint="eastAsia" w:ascii="宋体" w:hAnsi="宋体" w:cs="Times New Roman"/>
                <w:color w:val="auto"/>
                <w:kern w:val="0"/>
                <w:sz w:val="18"/>
                <w:szCs w:val="18"/>
                <w:highlight w:val="none"/>
                <w:lang w:val="en-US" w:eastAsia="zh-CN" w:bidi="ar-SA"/>
              </w:rPr>
              <w:t>69</w:t>
            </w:r>
          </w:p>
        </w:tc>
        <w:tc>
          <w:tcPr>
            <w:tcW w:w="817" w:type="dxa"/>
            <w:tcBorders>
              <w:top w:val="single" w:color="000000" w:sz="4" w:space="0"/>
              <w:left w:val="nil"/>
              <w:bottom w:val="single" w:color="000000" w:sz="4" w:space="0"/>
              <w:right w:val="single" w:color="000000" w:sz="4" w:space="0"/>
            </w:tcBorders>
            <w:vAlign w:val="center"/>
          </w:tcPr>
          <w:p w14:paraId="11192F11">
            <w:pPr>
              <w:widowControl/>
              <w:jc w:val="center"/>
              <w:textAlignment w:val="center"/>
              <w:rPr>
                <w:rFonts w:hint="default" w:ascii="宋体" w:hAnsi="宋体" w:eastAsia="宋体" w:cs="Times New Roman"/>
                <w:color w:val="auto"/>
                <w:kern w:val="0"/>
                <w:sz w:val="18"/>
                <w:szCs w:val="18"/>
                <w:highlight w:val="none"/>
                <w:lang w:val="en-US" w:eastAsia="zh-CN" w:bidi="ar-SA"/>
              </w:rPr>
            </w:pPr>
            <w:r>
              <w:rPr>
                <w:rFonts w:hint="eastAsia" w:ascii="宋体" w:hAnsi="宋体"/>
                <w:color w:val="auto"/>
                <w:kern w:val="0"/>
                <w:sz w:val="18"/>
                <w:szCs w:val="18"/>
                <w:highlight w:val="none"/>
              </w:rPr>
              <w:t xml:space="preserve"> 控制面板</w:t>
            </w:r>
            <w:r>
              <w:rPr>
                <w:rFonts w:hint="eastAsia" w:ascii="宋体" w:hAnsi="宋体"/>
                <w:color w:val="auto"/>
                <w:kern w:val="0"/>
                <w:sz w:val="18"/>
                <w:szCs w:val="18"/>
                <w:highlight w:val="none"/>
                <w:lang w:eastAsia="zh-CN"/>
              </w:rPr>
              <w:t>（</w:t>
            </w:r>
            <w:r>
              <w:rPr>
                <w:rFonts w:hint="eastAsia" w:ascii="宋体" w:hAnsi="宋体"/>
                <w:color w:val="auto"/>
                <w:kern w:val="0"/>
                <w:sz w:val="18"/>
                <w:szCs w:val="18"/>
                <w:highlight w:val="none"/>
                <w:lang w:val="en-US" w:eastAsia="zh-CN"/>
              </w:rPr>
              <w:t>交流接触控制）</w:t>
            </w:r>
          </w:p>
        </w:tc>
        <w:tc>
          <w:tcPr>
            <w:tcW w:w="4112" w:type="dxa"/>
            <w:tcBorders>
              <w:top w:val="single" w:color="000000" w:sz="4" w:space="0"/>
              <w:left w:val="nil"/>
              <w:bottom w:val="single" w:color="000000" w:sz="4" w:space="0"/>
              <w:right w:val="single" w:color="000000" w:sz="4" w:space="0"/>
            </w:tcBorders>
            <w:vAlign w:val="center"/>
          </w:tcPr>
          <w:p w14:paraId="35B074D1">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智能触控情景面板</w:t>
            </w:r>
          </w:p>
          <w:p w14:paraId="6564E02F">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1、≥3.95寸触控显示屏，分辨率≥720*720，支持视网膜高PPI显示，≥6个实体触控按键，支持≥4个按键自定义对应情景功能。</w:t>
            </w:r>
          </w:p>
          <w:p w14:paraId="0D04E190">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2、≥1个RJ45口支持POE供电。支持触控情景交互，支持显示环境信息、控制灯光、空调、窗帘等环境设备。</w:t>
            </w:r>
          </w:p>
          <w:p w14:paraId="0C47A415">
            <w:pPr>
              <w:widowControl/>
              <w:jc w:val="left"/>
              <w:textAlignment w:val="center"/>
              <w:rPr>
                <w:rFonts w:hint="eastAsia" w:ascii="宋体" w:hAnsi="宋体" w:eastAsia="宋体" w:cs="Times New Roman"/>
                <w:color w:val="auto"/>
                <w:kern w:val="0"/>
                <w:sz w:val="18"/>
                <w:szCs w:val="18"/>
                <w:highlight w:val="none"/>
                <w:lang w:val="en-US" w:eastAsia="zh-CN" w:bidi="ar-SA"/>
              </w:rPr>
            </w:pPr>
            <w:r>
              <w:rPr>
                <w:rFonts w:hint="eastAsia" w:ascii="宋体" w:hAnsi="宋体"/>
                <w:color w:val="auto"/>
                <w:kern w:val="0"/>
                <w:sz w:val="18"/>
                <w:szCs w:val="18"/>
                <w:highlight w:val="none"/>
              </w:rPr>
              <w:t>3、支持多媒体智能化控制，保护音视频源切换和多媒体开关机、音量调节等功能。</w:t>
            </w:r>
          </w:p>
        </w:tc>
        <w:tc>
          <w:tcPr>
            <w:tcW w:w="1040" w:type="dxa"/>
            <w:tcBorders>
              <w:top w:val="single" w:color="000000" w:sz="4" w:space="0"/>
              <w:left w:val="nil"/>
              <w:bottom w:val="single" w:color="000000" w:sz="4" w:space="0"/>
              <w:right w:val="single" w:color="000000" w:sz="4" w:space="0"/>
            </w:tcBorders>
            <w:vAlign w:val="center"/>
          </w:tcPr>
          <w:p w14:paraId="25236E7C">
            <w:pPr>
              <w:widowControl/>
              <w:jc w:val="center"/>
              <w:textAlignment w:val="center"/>
              <w:rPr>
                <w:rFonts w:hint="eastAsia" w:ascii="宋体" w:hAnsi="宋体" w:eastAsia="宋体" w:cs="Times New Roman"/>
                <w:color w:val="auto"/>
                <w:kern w:val="0"/>
                <w:sz w:val="18"/>
                <w:szCs w:val="18"/>
                <w:highlight w:val="none"/>
                <w:lang w:val="en-US" w:eastAsia="zh-CN" w:bidi="ar-SA"/>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3777C25D">
            <w:pPr>
              <w:widowControl/>
              <w:jc w:val="center"/>
              <w:textAlignment w:val="center"/>
              <w:rPr>
                <w:rFonts w:hint="eastAsia" w:ascii="宋体" w:hAnsi="宋体" w:eastAsia="宋体" w:cs="Times New Roman"/>
                <w:color w:val="auto"/>
                <w:kern w:val="0"/>
                <w:sz w:val="20"/>
                <w:szCs w:val="20"/>
                <w:highlight w:val="none"/>
                <w:lang w:val="en-US" w:eastAsia="zh-CN" w:bidi="ar-SA"/>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6D26D99F">
            <w:pPr>
              <w:jc w:val="center"/>
              <w:rPr>
                <w:rFonts w:hint="default" w:ascii="宋体" w:hAnsi="宋体" w:eastAsia="宋体" w:cs="Times New Roman"/>
                <w:color w:val="auto"/>
                <w:kern w:val="2"/>
                <w:sz w:val="18"/>
                <w:szCs w:val="18"/>
                <w:highlight w:val="none"/>
                <w:lang w:val="en-US" w:eastAsia="zh-CN" w:bidi="ar-SA"/>
              </w:rPr>
            </w:pPr>
          </w:p>
        </w:tc>
        <w:tc>
          <w:tcPr>
            <w:tcW w:w="859" w:type="dxa"/>
            <w:tcBorders>
              <w:top w:val="single" w:color="000000" w:sz="4" w:space="0"/>
              <w:left w:val="nil"/>
              <w:bottom w:val="single" w:color="000000" w:sz="4" w:space="0"/>
              <w:right w:val="single" w:color="000000" w:sz="4" w:space="0"/>
            </w:tcBorders>
            <w:vAlign w:val="center"/>
          </w:tcPr>
          <w:p w14:paraId="23142E3F">
            <w:pPr>
              <w:jc w:val="center"/>
              <w:rPr>
                <w:rFonts w:hint="eastAsia" w:ascii="宋体" w:hAnsi="宋体" w:cs="Times New Roman"/>
                <w:color w:val="auto"/>
                <w:kern w:val="2"/>
                <w:sz w:val="18"/>
                <w:szCs w:val="18"/>
                <w:highlight w:val="none"/>
                <w:lang w:val="en-US" w:eastAsia="zh-CN" w:bidi="ar-SA"/>
              </w:rPr>
            </w:pPr>
          </w:p>
        </w:tc>
      </w:tr>
      <w:tr w14:paraId="51A5A851">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004B0428">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70</w:t>
            </w:r>
          </w:p>
        </w:tc>
        <w:tc>
          <w:tcPr>
            <w:tcW w:w="817" w:type="dxa"/>
            <w:tcBorders>
              <w:top w:val="single" w:color="000000" w:sz="4" w:space="0"/>
              <w:left w:val="nil"/>
              <w:bottom w:val="single" w:color="000000" w:sz="4" w:space="0"/>
              <w:right w:val="single" w:color="000000" w:sz="4" w:space="0"/>
            </w:tcBorders>
            <w:vAlign w:val="center"/>
          </w:tcPr>
          <w:p w14:paraId="27BFCD52">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室内型</w:t>
            </w:r>
            <w:r>
              <w:rPr>
                <w:rFonts w:hint="eastAsia" w:ascii="宋体" w:hAnsi="宋体"/>
                <w:color w:val="auto"/>
                <w:kern w:val="0"/>
                <w:sz w:val="18"/>
                <w:szCs w:val="18"/>
                <w:highlight w:val="none"/>
              </w:rPr>
              <w:t>网关</w:t>
            </w:r>
          </w:p>
        </w:tc>
        <w:tc>
          <w:tcPr>
            <w:tcW w:w="4112" w:type="dxa"/>
            <w:tcBorders>
              <w:top w:val="single" w:color="000000" w:sz="4" w:space="0"/>
              <w:left w:val="nil"/>
              <w:bottom w:val="single" w:color="000000" w:sz="4" w:space="0"/>
              <w:right w:val="single" w:color="000000" w:sz="4" w:space="0"/>
            </w:tcBorders>
            <w:vAlign w:val="center"/>
          </w:tcPr>
          <w:p w14:paraId="724C2314">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1、为保障更好的物联联通性，并简化实施部署，支持Zigbee、433、LoRa协议通信协议</w:t>
            </w:r>
          </w:p>
          <w:p w14:paraId="77D7CD39">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2、外置天线</w:t>
            </w:r>
          </w:p>
          <w:p w14:paraId="619FCC3C">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3、RJ45以太网口≥1个,usb≥1个</w:t>
            </w:r>
          </w:p>
          <w:p w14:paraId="5B815C06">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4、支持IEEE标准的PoE供电和本地电源适配器供电两种方式</w:t>
            </w:r>
          </w:p>
          <w:p w14:paraId="03EB2B01">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5、满负荷工作功耗≤10W</w:t>
            </w:r>
          </w:p>
          <w:p w14:paraId="44932848">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6、工作温度：0~45℃工作湿度（非凝结）：10%~95%</w:t>
            </w:r>
          </w:p>
          <w:p w14:paraId="0A86A26D">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7、整机最大接入传感器数量≥120个</w:t>
            </w:r>
          </w:p>
          <w:p w14:paraId="4AC9CA09">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8、支持125KHz/250KHz/500KHz，支持SF07/SF08/SF09/SF10/SF11/SF12等扩频因子调节</w:t>
            </w:r>
          </w:p>
          <w:p w14:paraId="416BB80C">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9、支持软件灵活配置不同射频的发射功率，保障覆盖效果</w:t>
            </w:r>
          </w:p>
          <w:p w14:paraId="7C9687EF">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10、支持二三层发现、DHCP Option43、DNS域名等多种方式自动发现物联平台</w:t>
            </w:r>
          </w:p>
          <w:p w14:paraId="26282EBE">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11、支持平台统一集中管理，支持设备自定义命名</w:t>
            </w:r>
          </w:p>
          <w:p w14:paraId="308CFF83">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12、支持多种传感器接入，包括智能插座、空调恒温器、温湿传感器、数据采集器、人体红外感应装置、智能红外遥控装置、智能开关、智能门锁等传感器</w:t>
            </w:r>
          </w:p>
          <w:p w14:paraId="63D91D63">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13、为保障设备的软件成熟度，要求设备开发成熟度模型能力达到CMMI五级（ Level 5）</w:t>
            </w:r>
          </w:p>
        </w:tc>
        <w:tc>
          <w:tcPr>
            <w:tcW w:w="1040" w:type="dxa"/>
            <w:tcBorders>
              <w:top w:val="single" w:color="000000" w:sz="4" w:space="0"/>
              <w:left w:val="nil"/>
              <w:bottom w:val="single" w:color="000000" w:sz="4" w:space="0"/>
              <w:right w:val="single" w:color="000000" w:sz="4" w:space="0"/>
            </w:tcBorders>
            <w:vAlign w:val="center"/>
          </w:tcPr>
          <w:p w14:paraId="0B187592">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2A4C322D">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1E7AD496">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782A835B">
            <w:pPr>
              <w:jc w:val="center"/>
              <w:rPr>
                <w:rFonts w:hint="eastAsia" w:ascii="宋体" w:hAnsi="宋体"/>
                <w:color w:val="auto"/>
                <w:sz w:val="18"/>
                <w:szCs w:val="18"/>
                <w:highlight w:val="none"/>
                <w:lang w:val="en-US" w:eastAsia="zh-CN"/>
              </w:rPr>
            </w:pPr>
          </w:p>
        </w:tc>
      </w:tr>
      <w:tr w14:paraId="39A53AA1">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3400CF1C">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71</w:t>
            </w:r>
          </w:p>
        </w:tc>
        <w:tc>
          <w:tcPr>
            <w:tcW w:w="817" w:type="dxa"/>
            <w:tcBorders>
              <w:top w:val="single" w:color="000000" w:sz="4" w:space="0"/>
              <w:left w:val="nil"/>
              <w:bottom w:val="single" w:color="000000" w:sz="4" w:space="0"/>
              <w:right w:val="single" w:color="000000" w:sz="4" w:space="0"/>
            </w:tcBorders>
            <w:vAlign w:val="center"/>
          </w:tcPr>
          <w:p w14:paraId="6BE25605">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立柜空调</w:t>
            </w:r>
          </w:p>
        </w:tc>
        <w:tc>
          <w:tcPr>
            <w:tcW w:w="4112" w:type="dxa"/>
            <w:tcBorders>
              <w:top w:val="single" w:color="000000" w:sz="4" w:space="0"/>
              <w:left w:val="nil"/>
              <w:bottom w:val="single" w:color="000000" w:sz="4" w:space="0"/>
              <w:right w:val="single" w:color="000000" w:sz="4" w:space="0"/>
            </w:tcBorders>
            <w:vAlign w:val="center"/>
          </w:tcPr>
          <w:p w14:paraId="175B29A6">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款式：立柜式  匹数：2匹  定频/变频：变频  能效等级：二级</w:t>
            </w:r>
          </w:p>
        </w:tc>
        <w:tc>
          <w:tcPr>
            <w:tcW w:w="1040" w:type="dxa"/>
            <w:tcBorders>
              <w:top w:val="single" w:color="000000" w:sz="4" w:space="0"/>
              <w:left w:val="nil"/>
              <w:bottom w:val="single" w:color="000000" w:sz="4" w:space="0"/>
              <w:right w:val="single" w:color="000000" w:sz="4" w:space="0"/>
            </w:tcBorders>
            <w:vAlign w:val="center"/>
          </w:tcPr>
          <w:p w14:paraId="3450361E">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450F95C3">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台</w:t>
            </w:r>
          </w:p>
        </w:tc>
        <w:tc>
          <w:tcPr>
            <w:tcW w:w="1084" w:type="dxa"/>
            <w:tcBorders>
              <w:top w:val="single" w:color="000000" w:sz="4" w:space="0"/>
              <w:left w:val="nil"/>
              <w:bottom w:val="single" w:color="000000" w:sz="4" w:space="0"/>
              <w:right w:val="single" w:color="000000" w:sz="4" w:space="0"/>
            </w:tcBorders>
            <w:vAlign w:val="center"/>
          </w:tcPr>
          <w:p w14:paraId="0E2FFD44">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6016E7D7">
            <w:pPr>
              <w:jc w:val="center"/>
              <w:rPr>
                <w:rFonts w:ascii="宋体" w:hAnsi="宋体"/>
                <w:color w:val="auto"/>
                <w:sz w:val="18"/>
                <w:szCs w:val="18"/>
                <w:highlight w:val="none"/>
                <w:lang w:val="en-US" w:eastAsia="zh-CN"/>
              </w:rPr>
            </w:pPr>
          </w:p>
        </w:tc>
      </w:tr>
      <w:tr w14:paraId="1A40815D">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26C047D7">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72</w:t>
            </w:r>
          </w:p>
        </w:tc>
        <w:tc>
          <w:tcPr>
            <w:tcW w:w="817" w:type="dxa"/>
            <w:tcBorders>
              <w:top w:val="single" w:color="000000" w:sz="4" w:space="0"/>
              <w:left w:val="nil"/>
              <w:bottom w:val="single" w:color="000000" w:sz="4" w:space="0"/>
              <w:right w:val="single" w:color="000000" w:sz="4" w:space="0"/>
            </w:tcBorders>
            <w:vAlign w:val="center"/>
          </w:tcPr>
          <w:p w14:paraId="52EEDDBA">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壁挂空调</w:t>
            </w:r>
          </w:p>
        </w:tc>
        <w:tc>
          <w:tcPr>
            <w:tcW w:w="4112" w:type="dxa"/>
            <w:tcBorders>
              <w:top w:val="single" w:color="000000" w:sz="4" w:space="0"/>
              <w:left w:val="nil"/>
              <w:bottom w:val="single" w:color="000000" w:sz="4" w:space="0"/>
              <w:right w:val="single" w:color="000000" w:sz="4" w:space="0"/>
            </w:tcBorders>
            <w:vAlign w:val="center"/>
          </w:tcPr>
          <w:p w14:paraId="7886965D">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 xml:space="preserve">款式：壁挂  匹数：1匹   定频/变频：变频  能效等级：二级   </w:t>
            </w:r>
          </w:p>
        </w:tc>
        <w:tc>
          <w:tcPr>
            <w:tcW w:w="1040" w:type="dxa"/>
            <w:tcBorders>
              <w:top w:val="single" w:color="000000" w:sz="4" w:space="0"/>
              <w:left w:val="nil"/>
              <w:bottom w:val="single" w:color="000000" w:sz="4" w:space="0"/>
              <w:right w:val="single" w:color="000000" w:sz="4" w:space="0"/>
            </w:tcBorders>
            <w:vAlign w:val="center"/>
          </w:tcPr>
          <w:p w14:paraId="684697DA">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488E56C6">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台</w:t>
            </w:r>
          </w:p>
        </w:tc>
        <w:tc>
          <w:tcPr>
            <w:tcW w:w="1084" w:type="dxa"/>
            <w:tcBorders>
              <w:top w:val="single" w:color="000000" w:sz="4" w:space="0"/>
              <w:left w:val="nil"/>
              <w:bottom w:val="single" w:color="000000" w:sz="4" w:space="0"/>
              <w:right w:val="single" w:color="000000" w:sz="4" w:space="0"/>
            </w:tcBorders>
            <w:vAlign w:val="center"/>
          </w:tcPr>
          <w:p w14:paraId="0F163E09">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3D330B28">
            <w:pPr>
              <w:jc w:val="center"/>
              <w:rPr>
                <w:rFonts w:ascii="宋体" w:hAnsi="宋体"/>
                <w:color w:val="auto"/>
                <w:sz w:val="18"/>
                <w:szCs w:val="18"/>
                <w:highlight w:val="none"/>
                <w:lang w:val="en-US" w:eastAsia="zh-CN"/>
              </w:rPr>
            </w:pPr>
          </w:p>
        </w:tc>
      </w:tr>
      <w:tr w14:paraId="744AC658">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16B3FA9C">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73</w:t>
            </w:r>
          </w:p>
        </w:tc>
        <w:tc>
          <w:tcPr>
            <w:tcW w:w="817" w:type="dxa"/>
            <w:tcBorders>
              <w:top w:val="single" w:color="000000" w:sz="4" w:space="0"/>
              <w:left w:val="nil"/>
              <w:bottom w:val="single" w:color="000000" w:sz="4" w:space="0"/>
              <w:right w:val="single" w:color="000000" w:sz="4" w:space="0"/>
            </w:tcBorders>
            <w:vAlign w:val="center"/>
          </w:tcPr>
          <w:p w14:paraId="0D6997A0">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单人学生课桌</w:t>
            </w:r>
          </w:p>
        </w:tc>
        <w:tc>
          <w:tcPr>
            <w:tcW w:w="4112" w:type="dxa"/>
            <w:tcBorders>
              <w:top w:val="single" w:color="000000" w:sz="4" w:space="0"/>
              <w:left w:val="nil"/>
              <w:bottom w:val="single" w:color="000000" w:sz="4" w:space="0"/>
              <w:right w:val="single" w:color="000000" w:sz="4" w:space="0"/>
            </w:tcBorders>
            <w:vAlign w:val="center"/>
          </w:tcPr>
          <w:p w14:paraId="35BB712E">
            <w:pPr>
              <w:keepNext w:val="0"/>
              <w:keepLines w:val="0"/>
              <w:widowControl/>
              <w:suppressLineNumbers w:val="0"/>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lang w:val="en-US" w:eastAsia="zh-CN"/>
              </w:rPr>
              <w:t>1、</w:t>
            </w:r>
            <w:r>
              <w:rPr>
                <w:rFonts w:hint="eastAsia" w:ascii="宋体" w:hAnsi="宋体"/>
                <w:color w:val="auto"/>
                <w:kern w:val="0"/>
                <w:sz w:val="18"/>
                <w:szCs w:val="18"/>
                <w:highlight w:val="none"/>
              </w:rPr>
              <w:t>桌面尺寸:450mm*650mm*18mm，</w:t>
            </w:r>
          </w:p>
          <w:p w14:paraId="6C4D4A05">
            <w:pPr>
              <w:widowControl/>
              <w:numPr>
                <w:ilvl w:val="-1"/>
                <w:numId w:val="0"/>
              </w:numPr>
              <w:jc w:val="left"/>
              <w:textAlignment w:val="center"/>
              <w:rPr>
                <w:rFonts w:hint="eastAsia" w:ascii="宋体" w:hAnsi="宋体" w:eastAsia="宋体" w:cs="Times New Roman"/>
                <w:b w:val="0"/>
                <w:bCs w:val="0"/>
                <w:color w:val="auto"/>
                <w:kern w:val="0"/>
                <w:sz w:val="18"/>
                <w:szCs w:val="18"/>
                <w:highlight w:val="none"/>
                <w:lang w:eastAsia="zh-CN"/>
              </w:rPr>
            </w:pPr>
            <w:r>
              <w:rPr>
                <w:rFonts w:hint="eastAsia" w:ascii="宋体" w:hAnsi="宋体" w:eastAsia="宋体" w:cs="Times New Roman"/>
                <w:b w:val="0"/>
                <w:bCs w:val="0"/>
                <w:color w:val="auto"/>
                <w:kern w:val="0"/>
                <w:sz w:val="18"/>
                <w:szCs w:val="18"/>
                <w:highlight w:val="none"/>
                <w:lang w:val="en-US" w:eastAsia="zh-CN"/>
              </w:rPr>
              <w:t>2.桌面</w:t>
            </w:r>
            <w:r>
              <w:rPr>
                <w:rFonts w:hint="eastAsia" w:ascii="宋体" w:hAnsi="宋体" w:eastAsia="宋体" w:cs="Times New Roman"/>
                <w:b w:val="0"/>
                <w:bCs w:val="0"/>
                <w:color w:val="auto"/>
                <w:kern w:val="0"/>
                <w:sz w:val="18"/>
                <w:szCs w:val="18"/>
                <w:highlight w:val="none"/>
              </w:rPr>
              <w:t>使用三聚氰胺贴面中密度纤维板</w:t>
            </w:r>
            <w:r>
              <w:rPr>
                <w:rFonts w:hint="eastAsia" w:ascii="宋体" w:hAnsi="宋体" w:eastAsia="宋体" w:cs="Times New Roman"/>
                <w:b w:val="0"/>
                <w:bCs w:val="0"/>
                <w:color w:val="auto"/>
                <w:kern w:val="0"/>
                <w:sz w:val="18"/>
                <w:szCs w:val="18"/>
                <w:highlight w:val="none"/>
                <w:lang w:eastAsia="zh-CN"/>
              </w:rPr>
              <w:t>，</w:t>
            </w:r>
            <w:r>
              <w:rPr>
                <w:rFonts w:hint="eastAsia" w:ascii="宋体" w:hAnsi="宋体" w:eastAsia="宋体" w:cs="Times New Roman"/>
                <w:b w:val="0"/>
                <w:bCs w:val="0"/>
                <w:color w:val="auto"/>
                <w:kern w:val="0"/>
                <w:sz w:val="18"/>
                <w:szCs w:val="18"/>
                <w:highlight w:val="none"/>
              </w:rPr>
              <w:t>四边采用抗老化PP塑料无缝注塑封边，防水性能经水滴试验无渗透</w:t>
            </w:r>
            <w:r>
              <w:rPr>
                <w:rFonts w:hint="eastAsia" w:ascii="宋体" w:hAnsi="宋体" w:cs="Times New Roman"/>
                <w:b w:val="0"/>
                <w:bCs w:val="0"/>
                <w:color w:val="auto"/>
                <w:kern w:val="0"/>
                <w:sz w:val="18"/>
                <w:szCs w:val="18"/>
                <w:highlight w:val="none"/>
                <w:lang w:eastAsia="zh-CN"/>
              </w:rPr>
              <w:t>。</w:t>
            </w:r>
          </w:p>
          <w:p w14:paraId="3C85ACE9">
            <w:pPr>
              <w:keepNext w:val="0"/>
              <w:keepLines w:val="0"/>
              <w:widowControl/>
              <w:suppressLineNumbers w:val="0"/>
              <w:jc w:val="left"/>
              <w:textAlignment w:val="center"/>
              <w:rPr>
                <w:rFonts w:hint="eastAsia" w:ascii="宋体" w:hAnsi="宋体" w:eastAsia="宋体" w:cs="Times New Roman"/>
                <w:color w:val="auto"/>
                <w:kern w:val="0"/>
                <w:sz w:val="18"/>
                <w:szCs w:val="18"/>
                <w:highlight w:val="none"/>
                <w:lang w:val="en-US" w:eastAsia="zh-CN" w:bidi="ar"/>
              </w:rPr>
            </w:pPr>
            <w:r>
              <w:rPr>
                <w:rFonts w:hint="eastAsia" w:ascii="宋体" w:hAnsi="宋体" w:eastAsia="宋体" w:cs="Times New Roman"/>
                <w:b w:val="0"/>
                <w:bCs w:val="0"/>
                <w:color w:val="auto"/>
                <w:kern w:val="0"/>
                <w:sz w:val="18"/>
                <w:szCs w:val="18"/>
                <w:highlight w:val="none"/>
                <w:lang w:val="en-US" w:eastAsia="zh-CN"/>
              </w:rPr>
              <w:t>3.</w:t>
            </w:r>
            <w:r>
              <w:rPr>
                <w:rFonts w:hint="eastAsia" w:ascii="宋体" w:hAnsi="宋体" w:eastAsia="宋体" w:cs="Times New Roman"/>
                <w:b w:val="0"/>
                <w:bCs w:val="0"/>
                <w:color w:val="auto"/>
                <w:kern w:val="0"/>
                <w:sz w:val="18"/>
                <w:szCs w:val="18"/>
                <w:highlight w:val="none"/>
              </w:rPr>
              <w:t>采用0.</w:t>
            </w:r>
            <w:r>
              <w:rPr>
                <w:rFonts w:hint="eastAsia" w:ascii="宋体" w:hAnsi="宋体" w:eastAsia="宋体" w:cs="Times New Roman"/>
                <w:b w:val="0"/>
                <w:bCs w:val="0"/>
                <w:color w:val="auto"/>
                <w:kern w:val="0"/>
                <w:sz w:val="18"/>
                <w:szCs w:val="18"/>
                <w:highlight w:val="none"/>
                <w:lang w:val="en-US" w:eastAsia="zh-CN"/>
              </w:rPr>
              <w:t>7</w:t>
            </w:r>
            <w:r>
              <w:rPr>
                <w:rFonts w:hint="eastAsia" w:ascii="宋体" w:hAnsi="宋体" w:eastAsia="宋体" w:cs="Times New Roman"/>
                <w:b w:val="0"/>
                <w:bCs w:val="0"/>
                <w:color w:val="auto"/>
                <w:kern w:val="0"/>
                <w:sz w:val="18"/>
                <w:szCs w:val="18"/>
                <w:highlight w:val="none"/>
              </w:rPr>
              <w:t>mm冷板一次成型，桌斗</w:t>
            </w:r>
            <w:r>
              <w:rPr>
                <w:rFonts w:hint="eastAsia" w:ascii="宋体" w:hAnsi="宋体" w:eastAsia="宋体" w:cs="Times New Roman"/>
                <w:b w:val="0"/>
                <w:bCs w:val="0"/>
                <w:color w:val="auto"/>
                <w:kern w:val="0"/>
                <w:sz w:val="18"/>
                <w:szCs w:val="18"/>
                <w:highlight w:val="none"/>
                <w:lang w:val="en-US" w:eastAsia="zh-CN"/>
              </w:rPr>
              <w:t>尺寸</w:t>
            </w:r>
            <w:r>
              <w:rPr>
                <w:rFonts w:hint="eastAsia" w:ascii="宋体" w:hAnsi="宋体" w:eastAsia="宋体" w:cs="Times New Roman"/>
                <w:b w:val="0"/>
                <w:bCs w:val="0"/>
                <w:color w:val="auto"/>
                <w:kern w:val="0"/>
                <w:sz w:val="18"/>
                <w:szCs w:val="18"/>
                <w:highlight w:val="none"/>
              </w:rPr>
              <w:t>450*</w:t>
            </w:r>
            <w:r>
              <w:rPr>
                <w:rFonts w:hint="eastAsia" w:ascii="宋体" w:hAnsi="宋体" w:eastAsia="宋体" w:cs="Times New Roman"/>
                <w:b w:val="0"/>
                <w:bCs w:val="0"/>
                <w:color w:val="auto"/>
                <w:kern w:val="0"/>
                <w:sz w:val="18"/>
                <w:szCs w:val="18"/>
                <w:highlight w:val="none"/>
                <w:lang w:val="en-US" w:eastAsia="zh-CN"/>
              </w:rPr>
              <w:t>30</w:t>
            </w:r>
            <w:r>
              <w:rPr>
                <w:rFonts w:hint="eastAsia" w:ascii="宋体" w:hAnsi="宋体" w:eastAsia="宋体" w:cs="Times New Roman"/>
                <w:b w:val="0"/>
                <w:bCs w:val="0"/>
                <w:color w:val="auto"/>
                <w:kern w:val="0"/>
                <w:sz w:val="18"/>
                <w:szCs w:val="18"/>
                <w:highlight w:val="none"/>
              </w:rPr>
              <w:t>0*1</w:t>
            </w:r>
            <w:r>
              <w:rPr>
                <w:rFonts w:hint="eastAsia" w:ascii="宋体" w:hAnsi="宋体" w:eastAsia="宋体" w:cs="Times New Roman"/>
                <w:b w:val="0"/>
                <w:bCs w:val="0"/>
                <w:color w:val="auto"/>
                <w:kern w:val="0"/>
                <w:sz w:val="18"/>
                <w:szCs w:val="18"/>
                <w:highlight w:val="none"/>
                <w:lang w:val="en-US" w:eastAsia="zh-CN"/>
              </w:rPr>
              <w:t>45</w:t>
            </w:r>
            <w:r>
              <w:rPr>
                <w:rFonts w:hint="eastAsia" w:ascii="宋体" w:hAnsi="宋体" w:eastAsia="宋体" w:cs="Times New Roman"/>
                <w:b w:val="0"/>
                <w:bCs w:val="0"/>
                <w:color w:val="auto"/>
                <w:kern w:val="0"/>
                <w:sz w:val="18"/>
                <w:szCs w:val="18"/>
                <w:highlight w:val="none"/>
              </w:rPr>
              <w:t>mm。</w:t>
            </w:r>
          </w:p>
          <w:p w14:paraId="2BA3D849">
            <w:pPr>
              <w:keepNext w:val="0"/>
              <w:keepLines w:val="0"/>
              <w:widowControl/>
              <w:suppressLineNumbers w:val="0"/>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4.升降方式要求：左右脚架使用冲压冲固定升降孔，使用M8螺丝紧固固定，可根据高度孔位调节螺丝孔位升降高度。</w:t>
            </w:r>
          </w:p>
          <w:p w14:paraId="43E02DF3">
            <w:pPr>
              <w:keepNext w:val="0"/>
              <w:keepLines w:val="0"/>
              <w:widowControl/>
              <w:suppressLineNumbers w:val="0"/>
              <w:jc w:val="left"/>
              <w:textAlignment w:val="center"/>
              <w:rPr>
                <w:rFonts w:hint="eastAsia" w:ascii="宋体" w:hAnsi="宋体" w:cs="Times New Roman"/>
                <w:b w:val="0"/>
                <w:bCs w:val="0"/>
                <w:color w:val="auto"/>
                <w:kern w:val="0"/>
                <w:sz w:val="18"/>
                <w:szCs w:val="18"/>
                <w:highlight w:val="none"/>
                <w:lang w:val="en-US" w:eastAsia="zh-CN"/>
              </w:rPr>
            </w:pPr>
            <w:r>
              <w:rPr>
                <w:rFonts w:hint="eastAsia" w:ascii="宋体" w:hAnsi="宋体"/>
                <w:color w:val="auto"/>
                <w:kern w:val="0"/>
                <w:sz w:val="18"/>
                <w:szCs w:val="18"/>
                <w:highlight w:val="none"/>
                <w:lang w:val="en-US" w:eastAsia="zh-CN"/>
              </w:rPr>
              <w:t>5.桌腿：</w:t>
            </w:r>
            <w:r>
              <w:rPr>
                <w:rFonts w:hint="eastAsia" w:ascii="宋体" w:hAnsi="宋体" w:eastAsia="宋体" w:cs="Times New Roman"/>
                <w:b w:val="0"/>
                <w:bCs w:val="0"/>
                <w:color w:val="auto"/>
                <w:kern w:val="0"/>
                <w:sz w:val="18"/>
                <w:szCs w:val="18"/>
                <w:highlight w:val="none"/>
                <w:lang w:val="en-US" w:eastAsia="zh-CN"/>
              </w:rPr>
              <w:t>主管材均</w:t>
            </w:r>
            <w:r>
              <w:rPr>
                <w:rFonts w:hint="eastAsia" w:ascii="宋体" w:hAnsi="宋体" w:eastAsia="宋体" w:cs="Times New Roman"/>
                <w:b w:val="0"/>
                <w:bCs w:val="0"/>
                <w:color w:val="auto"/>
                <w:kern w:val="0"/>
                <w:sz w:val="18"/>
                <w:szCs w:val="18"/>
                <w:highlight w:val="none"/>
              </w:rPr>
              <w:t>采用金属</w:t>
            </w:r>
            <w:r>
              <w:rPr>
                <w:rFonts w:hint="eastAsia" w:ascii="宋体" w:hAnsi="宋体" w:eastAsia="宋体" w:cs="Times New Roman"/>
                <w:b w:val="0"/>
                <w:bCs w:val="0"/>
                <w:color w:val="auto"/>
                <w:kern w:val="0"/>
                <w:sz w:val="18"/>
                <w:szCs w:val="18"/>
                <w:highlight w:val="none"/>
                <w:lang w:val="en-US" w:eastAsia="zh-CN"/>
              </w:rPr>
              <w:t>扁圆</w:t>
            </w:r>
            <w:r>
              <w:rPr>
                <w:rFonts w:hint="eastAsia" w:ascii="宋体" w:hAnsi="宋体" w:eastAsia="宋体" w:cs="Times New Roman"/>
                <w:b w:val="0"/>
                <w:bCs w:val="0"/>
                <w:color w:val="auto"/>
                <w:kern w:val="0"/>
                <w:sz w:val="18"/>
                <w:szCs w:val="18"/>
                <w:highlight w:val="none"/>
              </w:rPr>
              <w:t>管</w:t>
            </w:r>
            <w:r>
              <w:rPr>
                <w:rFonts w:hint="eastAsia" w:ascii="宋体" w:hAnsi="宋体" w:eastAsia="宋体" w:cs="Times New Roman"/>
                <w:b w:val="0"/>
                <w:bCs w:val="0"/>
                <w:color w:val="auto"/>
                <w:kern w:val="0"/>
                <w:sz w:val="18"/>
                <w:szCs w:val="18"/>
                <w:highlight w:val="none"/>
                <w:lang w:val="en-US" w:eastAsia="zh-CN"/>
              </w:rPr>
              <w:t>，着地钢管为30X50X1.2mm扁圆管经液压弯管机器一次性弯管而成，上架升降调节管采用20X40X1.2mm扁圆管经液压弯管机器一次性弯管而成</w:t>
            </w:r>
            <w:r>
              <w:rPr>
                <w:rFonts w:hint="eastAsia" w:ascii="宋体" w:hAnsi="宋体" w:cs="Times New Roman"/>
                <w:b w:val="0"/>
                <w:bCs w:val="0"/>
                <w:color w:val="auto"/>
                <w:kern w:val="0"/>
                <w:sz w:val="18"/>
                <w:szCs w:val="18"/>
                <w:highlight w:val="none"/>
                <w:lang w:val="en-US" w:eastAsia="zh-CN"/>
              </w:rPr>
              <w:t>。</w:t>
            </w:r>
          </w:p>
          <w:p w14:paraId="516BB009">
            <w:pPr>
              <w:widowControl/>
              <w:jc w:val="left"/>
              <w:textAlignment w:val="center"/>
              <w:rPr>
                <w:rFonts w:hint="eastAsia" w:ascii="宋体" w:hAnsi="宋体"/>
                <w:color w:val="auto"/>
                <w:kern w:val="0"/>
                <w:sz w:val="18"/>
                <w:szCs w:val="18"/>
                <w:highlight w:val="none"/>
                <w:lang w:val="en-US" w:eastAsia="zh-CN"/>
              </w:rPr>
            </w:pPr>
            <w:r>
              <w:rPr>
                <w:rFonts w:hint="eastAsia" w:ascii="宋体" w:hAnsi="宋体" w:eastAsia="宋体" w:cs="Times New Roman"/>
                <w:b w:val="0"/>
                <w:bCs w:val="0"/>
                <w:color w:val="auto"/>
                <w:kern w:val="0"/>
                <w:sz w:val="18"/>
                <w:szCs w:val="18"/>
                <w:highlight w:val="none"/>
                <w:lang w:val="en-US" w:eastAsia="zh-CN"/>
              </w:rPr>
              <w:t>6.</w:t>
            </w:r>
            <w:r>
              <w:rPr>
                <w:rFonts w:hint="eastAsia" w:ascii="宋体" w:hAnsi="宋体" w:eastAsia="宋体" w:cs="Times New Roman"/>
                <w:b w:val="0"/>
                <w:bCs w:val="0"/>
                <w:color w:val="auto"/>
                <w:kern w:val="0"/>
                <w:sz w:val="18"/>
                <w:szCs w:val="18"/>
                <w:highlight w:val="none"/>
              </w:rPr>
              <w:t>外观：表面</w:t>
            </w:r>
            <w:r>
              <w:rPr>
                <w:rFonts w:hint="eastAsia" w:ascii="宋体" w:hAnsi="宋体" w:eastAsia="宋体" w:cs="Times New Roman"/>
                <w:b w:val="0"/>
                <w:bCs w:val="0"/>
                <w:color w:val="auto"/>
                <w:kern w:val="0"/>
                <w:sz w:val="18"/>
                <w:szCs w:val="18"/>
                <w:highlight w:val="none"/>
                <w:lang w:val="en-US" w:eastAsia="zh-CN"/>
              </w:rPr>
              <w:t>无</w:t>
            </w:r>
            <w:r>
              <w:rPr>
                <w:rFonts w:hint="eastAsia" w:ascii="宋体" w:hAnsi="宋体" w:eastAsia="宋体" w:cs="Times New Roman"/>
                <w:b w:val="0"/>
                <w:bCs w:val="0"/>
                <w:color w:val="auto"/>
                <w:kern w:val="0"/>
                <w:sz w:val="18"/>
                <w:szCs w:val="18"/>
                <w:highlight w:val="none"/>
              </w:rPr>
              <w:t>裂纹、破损、明显修补痕迹，明显色差凳缺陷；边缘平整圆滑，无分层；外表和內表以及手指可触及的隐蔽处，</w:t>
            </w:r>
            <w:r>
              <w:rPr>
                <w:rFonts w:hint="eastAsia" w:ascii="宋体" w:hAnsi="宋体" w:eastAsia="宋体" w:cs="Times New Roman"/>
                <w:b w:val="0"/>
                <w:bCs w:val="0"/>
                <w:color w:val="auto"/>
                <w:kern w:val="0"/>
                <w:sz w:val="18"/>
                <w:szCs w:val="18"/>
                <w:highlight w:val="none"/>
                <w:lang w:val="en-US" w:eastAsia="zh-CN"/>
              </w:rPr>
              <w:t>无</w:t>
            </w:r>
            <w:r>
              <w:rPr>
                <w:rFonts w:hint="eastAsia" w:ascii="宋体" w:hAnsi="宋体" w:eastAsia="宋体" w:cs="Times New Roman"/>
                <w:b w:val="0"/>
                <w:bCs w:val="0"/>
                <w:color w:val="auto"/>
                <w:kern w:val="0"/>
                <w:sz w:val="18"/>
                <w:szCs w:val="18"/>
                <w:highlight w:val="none"/>
              </w:rPr>
              <w:t>锐利的棱角、毛刺。平整度：螺丝安装应紧固，桌椅着地应平稳不得有倾斜摇摆现象。</w:t>
            </w:r>
          </w:p>
        </w:tc>
        <w:tc>
          <w:tcPr>
            <w:tcW w:w="1040" w:type="dxa"/>
            <w:tcBorders>
              <w:top w:val="single" w:color="000000" w:sz="4" w:space="0"/>
              <w:left w:val="nil"/>
              <w:bottom w:val="single" w:color="000000" w:sz="4" w:space="0"/>
              <w:right w:val="single" w:color="000000" w:sz="4" w:space="0"/>
            </w:tcBorders>
            <w:vAlign w:val="center"/>
          </w:tcPr>
          <w:p w14:paraId="54D3382D">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50</w:t>
            </w:r>
          </w:p>
        </w:tc>
        <w:tc>
          <w:tcPr>
            <w:tcW w:w="935" w:type="dxa"/>
            <w:tcBorders>
              <w:top w:val="single" w:color="000000" w:sz="4" w:space="0"/>
              <w:left w:val="nil"/>
              <w:bottom w:val="single" w:color="000000" w:sz="4" w:space="0"/>
              <w:right w:val="single" w:color="000000" w:sz="4" w:space="0"/>
            </w:tcBorders>
            <w:vAlign w:val="center"/>
          </w:tcPr>
          <w:p w14:paraId="30C6E3CA">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705483EC">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25793E22">
            <w:pPr>
              <w:jc w:val="center"/>
              <w:rPr>
                <w:rFonts w:hint="eastAsia" w:ascii="宋体" w:hAnsi="宋体"/>
                <w:color w:val="auto"/>
                <w:sz w:val="18"/>
                <w:szCs w:val="18"/>
                <w:highlight w:val="none"/>
                <w:lang w:val="en-US" w:eastAsia="zh-CN"/>
              </w:rPr>
            </w:pPr>
          </w:p>
        </w:tc>
      </w:tr>
      <w:tr w14:paraId="1A77425D">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55F9CDF9">
            <w:pPr>
              <w:widowControl/>
              <w:jc w:val="center"/>
              <w:textAlignment w:val="center"/>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74</w:t>
            </w:r>
          </w:p>
        </w:tc>
        <w:tc>
          <w:tcPr>
            <w:tcW w:w="817" w:type="dxa"/>
            <w:tcBorders>
              <w:top w:val="single" w:color="000000" w:sz="4" w:space="0"/>
              <w:left w:val="nil"/>
              <w:bottom w:val="single" w:color="000000" w:sz="4" w:space="0"/>
              <w:right w:val="single" w:color="000000" w:sz="4" w:space="0"/>
            </w:tcBorders>
            <w:vAlign w:val="center"/>
          </w:tcPr>
          <w:p w14:paraId="449E0D91">
            <w:pPr>
              <w:widowControl/>
              <w:jc w:val="center"/>
              <w:textAlignment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rPr>
              <w:t>单人学生椅</w:t>
            </w:r>
            <w:r>
              <w:rPr>
                <w:rFonts w:hint="eastAsia" w:ascii="宋体" w:hAnsi="宋体"/>
                <w:color w:val="auto"/>
                <w:kern w:val="0"/>
                <w:sz w:val="18"/>
                <w:szCs w:val="18"/>
                <w:highlight w:val="none"/>
                <w:lang w:eastAsia="zh-CN"/>
              </w:rPr>
              <w:t>子</w:t>
            </w:r>
          </w:p>
        </w:tc>
        <w:tc>
          <w:tcPr>
            <w:tcW w:w="4112" w:type="dxa"/>
            <w:tcBorders>
              <w:top w:val="single" w:color="000000" w:sz="4" w:space="0"/>
              <w:left w:val="nil"/>
              <w:bottom w:val="single" w:color="000000" w:sz="4" w:space="0"/>
              <w:right w:val="single" w:color="000000" w:sz="4" w:space="0"/>
            </w:tcBorders>
            <w:vAlign w:val="center"/>
          </w:tcPr>
          <w:p w14:paraId="65ED6501">
            <w:pPr>
              <w:widowControl w:val="0"/>
              <w:numPr>
                <w:ilvl w:val="0"/>
                <w:numId w:val="0"/>
              </w:numPr>
              <w:wordWrap w:val="0"/>
              <w:overflowPunct w:val="0"/>
              <w:spacing w:line="192" w:lineRule="auto"/>
              <w:jc w:val="left"/>
              <w:textAlignment w:val="auto"/>
              <w:rPr>
                <w:rFonts w:hint="eastAsia" w:ascii="宋体" w:hAnsi="宋体" w:cs="Times New Roman"/>
                <w:b w:val="0"/>
                <w:bCs w:val="0"/>
                <w:color w:val="auto"/>
                <w:kern w:val="0"/>
                <w:sz w:val="18"/>
                <w:szCs w:val="18"/>
                <w:highlight w:val="none"/>
                <w:lang w:val="en-US" w:eastAsia="zh-CN"/>
              </w:rPr>
            </w:pPr>
            <w:r>
              <w:rPr>
                <w:rFonts w:hint="eastAsia" w:ascii="宋体" w:hAnsi="宋体" w:eastAsia="宋体" w:cs="Times New Roman"/>
                <w:b w:val="0"/>
                <w:bCs w:val="0"/>
                <w:color w:val="auto"/>
                <w:kern w:val="0"/>
                <w:sz w:val="18"/>
                <w:szCs w:val="18"/>
                <w:highlight w:val="none"/>
                <w:lang w:val="en-US" w:eastAsia="zh-CN"/>
              </w:rPr>
              <w:t>1.靠背尺寸405*250mm,坐板尺寸380*380mm坐垫靠背均采用</w:t>
            </w:r>
            <w:r>
              <w:rPr>
                <w:rFonts w:hint="eastAsia" w:ascii="宋体" w:hAnsi="宋体" w:eastAsia="宋体" w:cs="Times New Roman"/>
                <w:b w:val="0"/>
                <w:bCs w:val="0"/>
                <w:color w:val="auto"/>
                <w:kern w:val="0"/>
                <w:sz w:val="18"/>
                <w:szCs w:val="18"/>
                <w:highlight w:val="none"/>
              </w:rPr>
              <w:t>HDPE中空吹塑原料，采用双管吹塑工艺，中空吹塑一次成型，表面有防滑设计</w:t>
            </w:r>
            <w:r>
              <w:rPr>
                <w:rFonts w:hint="eastAsia" w:ascii="宋体" w:hAnsi="宋体" w:eastAsia="宋体" w:cs="Times New Roman"/>
                <w:b w:val="0"/>
                <w:bCs w:val="0"/>
                <w:color w:val="auto"/>
                <w:kern w:val="0"/>
                <w:sz w:val="18"/>
                <w:szCs w:val="18"/>
                <w:highlight w:val="none"/>
                <w:lang w:eastAsia="zh-CN"/>
              </w:rPr>
              <w:t>。</w:t>
            </w:r>
            <w:r>
              <w:rPr>
                <w:rFonts w:hint="eastAsia" w:ascii="宋体" w:hAnsi="宋体" w:eastAsia="宋体" w:cs="Times New Roman"/>
                <w:b w:val="0"/>
                <w:bCs w:val="0"/>
                <w:color w:val="auto"/>
                <w:kern w:val="0"/>
                <w:sz w:val="18"/>
                <w:szCs w:val="18"/>
                <w:highlight w:val="none"/>
              </w:rPr>
              <w:t>靠背</w:t>
            </w:r>
            <w:r>
              <w:rPr>
                <w:rFonts w:hint="eastAsia" w:ascii="宋体" w:hAnsi="宋体" w:eastAsia="宋体" w:cs="Times New Roman"/>
                <w:b w:val="0"/>
                <w:bCs w:val="0"/>
                <w:color w:val="auto"/>
                <w:kern w:val="0"/>
                <w:sz w:val="18"/>
                <w:szCs w:val="18"/>
                <w:highlight w:val="none"/>
                <w:lang w:val="en-US" w:eastAsia="zh-CN"/>
              </w:rPr>
              <w:t>设计有提手孔，</w:t>
            </w:r>
            <w:r>
              <w:rPr>
                <w:rFonts w:hint="eastAsia" w:ascii="宋体" w:hAnsi="宋体" w:eastAsia="宋体" w:cs="Times New Roman"/>
                <w:b w:val="0"/>
                <w:bCs w:val="0"/>
                <w:color w:val="auto"/>
                <w:kern w:val="0"/>
                <w:sz w:val="18"/>
                <w:szCs w:val="18"/>
                <w:highlight w:val="none"/>
              </w:rPr>
              <w:t>易于学生拿起搬动不滑手</w:t>
            </w:r>
            <w:r>
              <w:rPr>
                <w:rFonts w:hint="eastAsia" w:ascii="宋体" w:hAnsi="宋体" w:eastAsia="宋体" w:cs="Times New Roman"/>
                <w:b w:val="0"/>
                <w:bCs w:val="0"/>
                <w:color w:val="auto"/>
                <w:kern w:val="0"/>
                <w:sz w:val="18"/>
                <w:szCs w:val="18"/>
                <w:highlight w:val="none"/>
                <w:lang w:eastAsia="zh-CN"/>
              </w:rPr>
              <w:t>。</w:t>
            </w:r>
          </w:p>
          <w:p w14:paraId="62F1C9CD">
            <w:pPr>
              <w:widowControl/>
              <w:jc w:val="left"/>
              <w:textAlignment w:val="center"/>
              <w:rPr>
                <w:rFonts w:hint="eastAsia" w:ascii="宋体" w:hAnsi="宋体" w:eastAsia="宋体" w:cs="Times New Roman"/>
                <w:b w:val="0"/>
                <w:bCs w:val="0"/>
                <w:color w:val="auto"/>
                <w:kern w:val="0"/>
                <w:sz w:val="18"/>
                <w:szCs w:val="18"/>
                <w:highlight w:val="none"/>
                <w:lang w:val="en-US" w:eastAsia="zh-CN"/>
              </w:rPr>
            </w:pPr>
            <w:r>
              <w:rPr>
                <w:rFonts w:hint="eastAsia" w:ascii="宋体" w:hAnsi="宋体" w:cs="Times New Roman"/>
                <w:b w:val="0"/>
                <w:bCs w:val="0"/>
                <w:color w:val="auto"/>
                <w:kern w:val="0"/>
                <w:sz w:val="18"/>
                <w:szCs w:val="18"/>
                <w:highlight w:val="none"/>
                <w:lang w:val="en-US" w:eastAsia="zh-CN"/>
              </w:rPr>
              <w:t>2.</w:t>
            </w:r>
            <w:r>
              <w:rPr>
                <w:rFonts w:hint="eastAsia" w:ascii="宋体" w:hAnsi="宋体" w:eastAsia="宋体" w:cs="Times New Roman"/>
                <w:b w:val="0"/>
                <w:bCs w:val="0"/>
                <w:color w:val="auto"/>
                <w:kern w:val="0"/>
                <w:sz w:val="18"/>
                <w:szCs w:val="18"/>
                <w:highlight w:val="none"/>
                <w:lang w:val="en-US" w:eastAsia="zh-CN"/>
              </w:rPr>
              <w:t>椅子连接杆采用30X50X1.2mm扁，牢固且美观大方</w:t>
            </w:r>
            <w:r>
              <w:rPr>
                <w:rFonts w:hint="eastAsia" w:ascii="宋体" w:hAnsi="宋体" w:cs="Times New Roman"/>
                <w:b w:val="0"/>
                <w:bCs w:val="0"/>
                <w:color w:val="auto"/>
                <w:kern w:val="0"/>
                <w:sz w:val="18"/>
                <w:szCs w:val="18"/>
                <w:highlight w:val="none"/>
                <w:lang w:val="en-US" w:eastAsia="zh-CN"/>
              </w:rPr>
              <w:t>，</w:t>
            </w:r>
            <w:r>
              <w:rPr>
                <w:rFonts w:hint="eastAsia" w:ascii="宋体" w:hAnsi="宋体" w:eastAsia="宋体" w:cs="Times New Roman"/>
                <w:b w:val="0"/>
                <w:bCs w:val="0"/>
                <w:color w:val="auto"/>
                <w:kern w:val="0"/>
                <w:sz w:val="18"/>
                <w:szCs w:val="18"/>
                <w:highlight w:val="none"/>
                <w:lang w:val="en-US" w:eastAsia="zh-CN"/>
              </w:rPr>
              <w:t>椅坐板固定管采用15*30*1.5mm扁</w:t>
            </w:r>
            <w:r>
              <w:rPr>
                <w:rFonts w:hint="eastAsia" w:ascii="宋体" w:hAnsi="宋体" w:cs="Times New Roman"/>
                <w:b w:val="0"/>
                <w:bCs w:val="0"/>
                <w:color w:val="auto"/>
                <w:kern w:val="0"/>
                <w:sz w:val="18"/>
                <w:szCs w:val="18"/>
                <w:highlight w:val="none"/>
                <w:lang w:val="en-US" w:eastAsia="zh-CN"/>
              </w:rPr>
              <w:t>，</w:t>
            </w:r>
            <w:r>
              <w:rPr>
                <w:rFonts w:hint="eastAsia" w:ascii="宋体" w:hAnsi="宋体" w:eastAsia="宋体" w:cs="Times New Roman"/>
                <w:b w:val="0"/>
                <w:bCs w:val="0"/>
                <w:color w:val="auto"/>
                <w:kern w:val="0"/>
                <w:sz w:val="18"/>
                <w:szCs w:val="18"/>
                <w:highlight w:val="none"/>
                <w:lang w:val="en-US" w:eastAsia="zh-CN"/>
              </w:rPr>
              <w:t>靠背管采用20*40*1.2mm扁圆管。</w:t>
            </w:r>
          </w:p>
          <w:p w14:paraId="73B19086">
            <w:pPr>
              <w:widowControl/>
              <w:jc w:val="left"/>
              <w:textAlignment w:val="center"/>
              <w:rPr>
                <w:rFonts w:hint="eastAsia" w:ascii="宋体" w:hAnsi="宋体"/>
                <w:color w:val="auto"/>
                <w:kern w:val="0"/>
                <w:sz w:val="18"/>
                <w:szCs w:val="18"/>
                <w:highlight w:val="none"/>
              </w:rPr>
            </w:pPr>
            <w:r>
              <w:rPr>
                <w:rFonts w:hint="eastAsia" w:ascii="宋体" w:hAnsi="宋体" w:cs="Times New Roman"/>
                <w:b w:val="0"/>
                <w:bCs w:val="0"/>
                <w:color w:val="auto"/>
                <w:kern w:val="0"/>
                <w:sz w:val="18"/>
                <w:szCs w:val="18"/>
                <w:highlight w:val="none"/>
                <w:lang w:val="en-US" w:eastAsia="zh-CN"/>
              </w:rPr>
              <w:t>3.</w:t>
            </w:r>
            <w:r>
              <w:rPr>
                <w:rFonts w:hint="eastAsia" w:ascii="宋体" w:hAnsi="宋体" w:eastAsia="宋体" w:cs="Times New Roman"/>
                <w:b w:val="0"/>
                <w:bCs w:val="0"/>
                <w:color w:val="auto"/>
                <w:kern w:val="0"/>
                <w:sz w:val="18"/>
                <w:szCs w:val="18"/>
                <w:highlight w:val="none"/>
              </w:rPr>
              <w:t>外观：表面</w:t>
            </w:r>
            <w:r>
              <w:rPr>
                <w:rFonts w:hint="eastAsia" w:ascii="宋体" w:hAnsi="宋体" w:eastAsia="宋体" w:cs="Times New Roman"/>
                <w:b w:val="0"/>
                <w:bCs w:val="0"/>
                <w:color w:val="auto"/>
                <w:kern w:val="0"/>
                <w:sz w:val="18"/>
                <w:szCs w:val="18"/>
                <w:highlight w:val="none"/>
                <w:lang w:val="en-US" w:eastAsia="zh-CN"/>
              </w:rPr>
              <w:t>无</w:t>
            </w:r>
            <w:r>
              <w:rPr>
                <w:rFonts w:hint="eastAsia" w:ascii="宋体" w:hAnsi="宋体" w:eastAsia="宋体" w:cs="Times New Roman"/>
                <w:b w:val="0"/>
                <w:bCs w:val="0"/>
                <w:color w:val="auto"/>
                <w:kern w:val="0"/>
                <w:sz w:val="18"/>
                <w:szCs w:val="18"/>
                <w:highlight w:val="none"/>
              </w:rPr>
              <w:t>裂纹、破损、明显修补痕迹，明显色差凳缺陷；边缘平整圆滑，无分层；外表和內表以及手指可触及的隐蔽处，</w:t>
            </w:r>
            <w:r>
              <w:rPr>
                <w:rFonts w:hint="eastAsia" w:ascii="宋体" w:hAnsi="宋体" w:eastAsia="宋体" w:cs="Times New Roman"/>
                <w:b w:val="0"/>
                <w:bCs w:val="0"/>
                <w:color w:val="auto"/>
                <w:kern w:val="0"/>
                <w:sz w:val="18"/>
                <w:szCs w:val="18"/>
                <w:highlight w:val="none"/>
                <w:lang w:val="en-US" w:eastAsia="zh-CN"/>
              </w:rPr>
              <w:t>无</w:t>
            </w:r>
            <w:r>
              <w:rPr>
                <w:rFonts w:hint="eastAsia" w:ascii="宋体" w:hAnsi="宋体" w:eastAsia="宋体" w:cs="Times New Roman"/>
                <w:b w:val="0"/>
                <w:bCs w:val="0"/>
                <w:color w:val="auto"/>
                <w:kern w:val="0"/>
                <w:sz w:val="18"/>
                <w:szCs w:val="18"/>
                <w:highlight w:val="none"/>
              </w:rPr>
              <w:t>锐利的棱角、毛刺。平整度：螺丝安装应紧固，桌椅着地应平稳不得有倾斜摇摆现象。</w:t>
            </w:r>
          </w:p>
        </w:tc>
        <w:tc>
          <w:tcPr>
            <w:tcW w:w="1040" w:type="dxa"/>
            <w:tcBorders>
              <w:top w:val="single" w:color="000000" w:sz="4" w:space="0"/>
              <w:left w:val="nil"/>
              <w:bottom w:val="single" w:color="000000" w:sz="4" w:space="0"/>
              <w:right w:val="single" w:color="000000" w:sz="4" w:space="0"/>
            </w:tcBorders>
            <w:vAlign w:val="center"/>
          </w:tcPr>
          <w:p w14:paraId="740ECCDA">
            <w:pPr>
              <w:widowControl/>
              <w:jc w:val="center"/>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50</w:t>
            </w:r>
          </w:p>
        </w:tc>
        <w:tc>
          <w:tcPr>
            <w:tcW w:w="935" w:type="dxa"/>
            <w:tcBorders>
              <w:top w:val="single" w:color="000000" w:sz="4" w:space="0"/>
              <w:left w:val="nil"/>
              <w:bottom w:val="single" w:color="000000" w:sz="4" w:space="0"/>
              <w:right w:val="single" w:color="000000" w:sz="4" w:space="0"/>
            </w:tcBorders>
            <w:vAlign w:val="center"/>
          </w:tcPr>
          <w:p w14:paraId="4A511DFA">
            <w:pPr>
              <w:widowControl/>
              <w:jc w:val="center"/>
              <w:textAlignment w:val="center"/>
              <w:rPr>
                <w:rFonts w:hint="eastAsia" w:ascii="宋体" w:hAnsi="宋体"/>
                <w:color w:val="auto"/>
                <w:kern w:val="0"/>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39821027">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0EBE51D5">
            <w:pPr>
              <w:jc w:val="center"/>
              <w:rPr>
                <w:rFonts w:hint="eastAsia" w:ascii="宋体" w:hAnsi="宋体"/>
                <w:color w:val="auto"/>
                <w:sz w:val="18"/>
                <w:szCs w:val="18"/>
                <w:highlight w:val="none"/>
                <w:lang w:val="en-US" w:eastAsia="zh-CN"/>
              </w:rPr>
            </w:pPr>
          </w:p>
        </w:tc>
      </w:tr>
      <w:tr w14:paraId="1B945CEF">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5C78BF37">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7</w:t>
            </w:r>
            <w:r>
              <w:rPr>
                <w:rFonts w:hint="eastAsia" w:ascii="宋体" w:hAnsi="宋体"/>
                <w:color w:val="auto"/>
                <w:sz w:val="18"/>
                <w:szCs w:val="18"/>
                <w:highlight w:val="none"/>
                <w:lang w:val="en-US" w:eastAsia="zh-CN"/>
              </w:rPr>
              <w:t>5</w:t>
            </w:r>
          </w:p>
        </w:tc>
        <w:tc>
          <w:tcPr>
            <w:tcW w:w="817" w:type="dxa"/>
            <w:tcBorders>
              <w:top w:val="single" w:color="000000" w:sz="4" w:space="0"/>
              <w:left w:val="nil"/>
              <w:bottom w:val="single" w:color="000000" w:sz="4" w:space="0"/>
              <w:right w:val="single" w:color="000000" w:sz="4" w:space="0"/>
            </w:tcBorders>
            <w:vAlign w:val="center"/>
          </w:tcPr>
          <w:p w14:paraId="4A0A742C">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门锁安装</w:t>
            </w:r>
          </w:p>
        </w:tc>
        <w:tc>
          <w:tcPr>
            <w:tcW w:w="4112" w:type="dxa"/>
            <w:tcBorders>
              <w:top w:val="single" w:color="000000" w:sz="4" w:space="0"/>
              <w:left w:val="nil"/>
              <w:bottom w:val="single" w:color="000000" w:sz="4" w:space="0"/>
              <w:right w:val="single" w:color="000000" w:sz="4" w:space="0"/>
            </w:tcBorders>
            <w:vAlign w:val="center"/>
          </w:tcPr>
          <w:p w14:paraId="1B1EA4BF">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开锁方式：NFC、临时密码、密码、蓝牙、钥匙</w:t>
            </w:r>
          </w:p>
        </w:tc>
        <w:tc>
          <w:tcPr>
            <w:tcW w:w="1040" w:type="dxa"/>
            <w:tcBorders>
              <w:top w:val="single" w:color="000000" w:sz="4" w:space="0"/>
              <w:left w:val="nil"/>
              <w:bottom w:val="single" w:color="000000" w:sz="4" w:space="0"/>
              <w:right w:val="single" w:color="000000" w:sz="4" w:space="0"/>
            </w:tcBorders>
            <w:vAlign w:val="center"/>
          </w:tcPr>
          <w:p w14:paraId="58B49160">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1</w:t>
            </w:r>
          </w:p>
        </w:tc>
        <w:tc>
          <w:tcPr>
            <w:tcW w:w="935" w:type="dxa"/>
            <w:tcBorders>
              <w:top w:val="single" w:color="000000" w:sz="4" w:space="0"/>
              <w:left w:val="nil"/>
              <w:bottom w:val="single" w:color="000000" w:sz="4" w:space="0"/>
              <w:right w:val="single" w:color="000000" w:sz="4" w:space="0"/>
            </w:tcBorders>
            <w:vAlign w:val="center"/>
          </w:tcPr>
          <w:p w14:paraId="200880B5">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个</w:t>
            </w:r>
          </w:p>
        </w:tc>
        <w:tc>
          <w:tcPr>
            <w:tcW w:w="1084" w:type="dxa"/>
            <w:tcBorders>
              <w:top w:val="single" w:color="000000" w:sz="4" w:space="0"/>
              <w:left w:val="nil"/>
              <w:bottom w:val="single" w:color="000000" w:sz="4" w:space="0"/>
              <w:right w:val="single" w:color="000000" w:sz="4" w:space="0"/>
            </w:tcBorders>
            <w:vAlign w:val="center"/>
          </w:tcPr>
          <w:p w14:paraId="793A907C">
            <w:pPr>
              <w:jc w:val="center"/>
              <w:rPr>
                <w:rFonts w:hint="default" w:ascii="宋体" w:hAnsi="宋体"/>
                <w:color w:val="auto"/>
                <w:sz w:val="18"/>
                <w:szCs w:val="18"/>
                <w:highlight w:val="none"/>
                <w:lang w:val="en-US"/>
              </w:rPr>
            </w:pPr>
          </w:p>
        </w:tc>
        <w:tc>
          <w:tcPr>
            <w:tcW w:w="859" w:type="dxa"/>
            <w:tcBorders>
              <w:top w:val="single" w:color="000000" w:sz="4" w:space="0"/>
              <w:left w:val="nil"/>
              <w:bottom w:val="single" w:color="000000" w:sz="4" w:space="0"/>
              <w:right w:val="single" w:color="000000" w:sz="4" w:space="0"/>
            </w:tcBorders>
            <w:vAlign w:val="center"/>
          </w:tcPr>
          <w:p w14:paraId="5167C4A7">
            <w:pPr>
              <w:jc w:val="center"/>
              <w:rPr>
                <w:rFonts w:ascii="宋体" w:hAnsi="宋体"/>
                <w:color w:val="auto"/>
                <w:sz w:val="18"/>
                <w:szCs w:val="18"/>
                <w:highlight w:val="none"/>
                <w:lang w:val="en-US" w:eastAsia="zh-CN"/>
              </w:rPr>
            </w:pPr>
          </w:p>
        </w:tc>
      </w:tr>
      <w:tr w14:paraId="27AE95DD">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0F759893">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7</w:t>
            </w:r>
            <w:r>
              <w:rPr>
                <w:rFonts w:hint="eastAsia" w:ascii="宋体" w:hAnsi="宋体"/>
                <w:color w:val="auto"/>
                <w:sz w:val="18"/>
                <w:szCs w:val="18"/>
                <w:highlight w:val="none"/>
                <w:lang w:val="en-US" w:eastAsia="zh-CN"/>
              </w:rPr>
              <w:t>6</w:t>
            </w:r>
          </w:p>
        </w:tc>
        <w:tc>
          <w:tcPr>
            <w:tcW w:w="817" w:type="dxa"/>
            <w:tcBorders>
              <w:top w:val="single" w:color="000000" w:sz="4" w:space="0"/>
              <w:left w:val="nil"/>
              <w:bottom w:val="single" w:color="000000" w:sz="4" w:space="0"/>
              <w:right w:val="single" w:color="000000" w:sz="4" w:space="0"/>
            </w:tcBorders>
            <w:vAlign w:val="center"/>
          </w:tcPr>
          <w:p w14:paraId="5D94012A">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隔音门</w:t>
            </w:r>
          </w:p>
        </w:tc>
        <w:tc>
          <w:tcPr>
            <w:tcW w:w="4112" w:type="dxa"/>
            <w:tcBorders>
              <w:top w:val="single" w:color="000000" w:sz="4" w:space="0"/>
              <w:left w:val="nil"/>
              <w:bottom w:val="single" w:color="000000" w:sz="4" w:space="0"/>
              <w:right w:val="single" w:color="000000" w:sz="4" w:space="0"/>
            </w:tcBorders>
            <w:vAlign w:val="center"/>
          </w:tcPr>
          <w:p w14:paraId="39422460">
            <w:pPr>
              <w:pStyle w:val="12"/>
              <w:widowControl/>
              <w:jc w:val="left"/>
              <w:textAlignment w:val="center"/>
              <w:rPr>
                <w:rFonts w:ascii="宋体" w:hAnsi="宋体"/>
                <w:color w:val="auto"/>
                <w:sz w:val="18"/>
                <w:szCs w:val="18"/>
                <w:highlight w:val="none"/>
              </w:rPr>
            </w:pPr>
            <w:r>
              <w:rPr>
                <w:color w:val="auto"/>
                <w:sz w:val="18"/>
                <w:szCs w:val="18"/>
              </w:rPr>
              <w:t>采用</w:t>
            </w:r>
            <w:r>
              <w:rPr>
                <w:rFonts w:hint="eastAsia"/>
                <w:color w:val="auto"/>
                <w:sz w:val="18"/>
                <w:szCs w:val="18"/>
              </w:rPr>
              <w:t>钢材</w:t>
            </w:r>
            <w:r>
              <w:rPr>
                <w:rFonts w:hint="eastAsia" w:ascii="宋体" w:hAnsi="宋体"/>
                <w:color w:val="auto"/>
                <w:sz w:val="18"/>
                <w:szCs w:val="18"/>
                <w:highlight w:val="none"/>
              </w:rPr>
              <w:t>制作</w:t>
            </w:r>
            <w:r>
              <w:rPr>
                <w:rFonts w:hint="eastAsia" w:ascii="宋体" w:hAnsi="宋体"/>
                <w:color w:val="auto"/>
                <w:sz w:val="18"/>
                <w:szCs w:val="18"/>
                <w:highlight w:val="none"/>
                <w:lang w:val="en-US" w:eastAsia="zh-CN"/>
              </w:rPr>
              <w:t xml:space="preserve"> </w:t>
            </w:r>
            <w:r>
              <w:rPr>
                <w:rFonts w:hint="eastAsia" w:ascii="宋体" w:hAnsi="宋体"/>
                <w:color w:val="auto"/>
                <w:kern w:val="0"/>
                <w:sz w:val="18"/>
                <w:szCs w:val="18"/>
                <w:highlight w:val="none"/>
              </w:rPr>
              <w:t>高</w:t>
            </w:r>
            <w:r>
              <w:rPr>
                <w:rFonts w:hint="eastAsia" w:ascii="宋体" w:hAnsi="宋体"/>
                <w:color w:val="auto"/>
                <w:kern w:val="0"/>
                <w:sz w:val="18"/>
                <w:szCs w:val="18"/>
                <w:highlight w:val="none"/>
                <w:lang w:val="en-US" w:eastAsia="zh-CN"/>
              </w:rPr>
              <w:t>1.97米，</w:t>
            </w:r>
            <w:r>
              <w:rPr>
                <w:rFonts w:hint="eastAsia" w:ascii="宋体" w:hAnsi="宋体"/>
                <w:color w:val="auto"/>
                <w:kern w:val="0"/>
                <w:sz w:val="18"/>
                <w:szCs w:val="18"/>
                <w:highlight w:val="none"/>
              </w:rPr>
              <w:t>宽</w:t>
            </w:r>
            <w:r>
              <w:rPr>
                <w:rFonts w:hint="eastAsia" w:ascii="宋体" w:hAnsi="宋体"/>
                <w:color w:val="auto"/>
                <w:kern w:val="0"/>
                <w:sz w:val="18"/>
                <w:szCs w:val="18"/>
                <w:highlight w:val="none"/>
                <w:lang w:val="en-US" w:eastAsia="zh-CN"/>
              </w:rPr>
              <w:t>0.86米。</w:t>
            </w:r>
          </w:p>
        </w:tc>
        <w:tc>
          <w:tcPr>
            <w:tcW w:w="1040" w:type="dxa"/>
            <w:tcBorders>
              <w:top w:val="single" w:color="000000" w:sz="4" w:space="0"/>
              <w:left w:val="nil"/>
              <w:bottom w:val="single" w:color="000000" w:sz="4" w:space="0"/>
              <w:right w:val="single" w:color="000000" w:sz="4" w:space="0"/>
            </w:tcBorders>
            <w:vAlign w:val="center"/>
          </w:tcPr>
          <w:p w14:paraId="31924E7C">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1</w:t>
            </w:r>
          </w:p>
        </w:tc>
        <w:tc>
          <w:tcPr>
            <w:tcW w:w="935" w:type="dxa"/>
            <w:tcBorders>
              <w:top w:val="single" w:color="000000" w:sz="4" w:space="0"/>
              <w:left w:val="nil"/>
              <w:bottom w:val="single" w:color="000000" w:sz="4" w:space="0"/>
              <w:right w:val="single" w:color="000000" w:sz="4" w:space="0"/>
            </w:tcBorders>
            <w:vAlign w:val="center"/>
          </w:tcPr>
          <w:p w14:paraId="4D456666">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扇</w:t>
            </w:r>
          </w:p>
        </w:tc>
        <w:tc>
          <w:tcPr>
            <w:tcW w:w="1084" w:type="dxa"/>
            <w:tcBorders>
              <w:top w:val="single" w:color="000000" w:sz="4" w:space="0"/>
              <w:left w:val="nil"/>
              <w:bottom w:val="single" w:color="000000" w:sz="4" w:space="0"/>
              <w:right w:val="single" w:color="000000" w:sz="4" w:space="0"/>
            </w:tcBorders>
            <w:vAlign w:val="center"/>
          </w:tcPr>
          <w:p w14:paraId="09A8A076">
            <w:pPr>
              <w:jc w:val="center"/>
              <w:rPr>
                <w:rFonts w:hint="default" w:ascii="宋体" w:hAnsi="宋体"/>
                <w:color w:val="auto"/>
                <w:sz w:val="18"/>
                <w:szCs w:val="18"/>
                <w:highlight w:val="none"/>
                <w:lang w:val="en-US"/>
              </w:rPr>
            </w:pPr>
          </w:p>
        </w:tc>
        <w:tc>
          <w:tcPr>
            <w:tcW w:w="859" w:type="dxa"/>
            <w:tcBorders>
              <w:top w:val="single" w:color="000000" w:sz="4" w:space="0"/>
              <w:left w:val="nil"/>
              <w:bottom w:val="single" w:color="000000" w:sz="4" w:space="0"/>
              <w:right w:val="single" w:color="000000" w:sz="4" w:space="0"/>
            </w:tcBorders>
            <w:vAlign w:val="center"/>
          </w:tcPr>
          <w:p w14:paraId="02ED79D1">
            <w:pPr>
              <w:jc w:val="center"/>
              <w:rPr>
                <w:rFonts w:ascii="宋体" w:hAnsi="宋体"/>
                <w:color w:val="auto"/>
                <w:sz w:val="18"/>
                <w:szCs w:val="18"/>
                <w:highlight w:val="none"/>
                <w:lang w:val="en-US" w:eastAsia="zh-CN"/>
              </w:rPr>
            </w:pPr>
          </w:p>
        </w:tc>
      </w:tr>
      <w:tr w14:paraId="26D502B8">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77553BEC">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7</w:t>
            </w:r>
            <w:r>
              <w:rPr>
                <w:rFonts w:hint="eastAsia" w:ascii="宋体" w:hAnsi="宋体"/>
                <w:color w:val="auto"/>
                <w:sz w:val="18"/>
                <w:szCs w:val="18"/>
                <w:highlight w:val="none"/>
                <w:lang w:val="en-US" w:eastAsia="zh-CN"/>
              </w:rPr>
              <w:t>7</w:t>
            </w:r>
          </w:p>
        </w:tc>
        <w:tc>
          <w:tcPr>
            <w:tcW w:w="817" w:type="dxa"/>
            <w:tcBorders>
              <w:top w:val="single" w:color="000000" w:sz="4" w:space="0"/>
              <w:left w:val="nil"/>
              <w:bottom w:val="single" w:color="000000" w:sz="4" w:space="0"/>
              <w:right w:val="single" w:color="000000" w:sz="4" w:space="0"/>
            </w:tcBorders>
            <w:vAlign w:val="center"/>
          </w:tcPr>
          <w:p w14:paraId="490F067C">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普通门</w:t>
            </w:r>
          </w:p>
        </w:tc>
        <w:tc>
          <w:tcPr>
            <w:tcW w:w="4112" w:type="dxa"/>
            <w:tcBorders>
              <w:top w:val="single" w:color="000000" w:sz="4" w:space="0"/>
              <w:left w:val="nil"/>
              <w:bottom w:val="single" w:color="000000" w:sz="4" w:space="0"/>
              <w:right w:val="single" w:color="000000" w:sz="4" w:space="0"/>
            </w:tcBorders>
            <w:vAlign w:val="center"/>
          </w:tcPr>
          <w:p w14:paraId="7679632F">
            <w:pPr>
              <w:pStyle w:val="12"/>
              <w:widowControl/>
              <w:jc w:val="left"/>
              <w:textAlignment w:val="center"/>
              <w:rPr>
                <w:rFonts w:ascii="宋体" w:hAnsi="宋体"/>
                <w:color w:val="auto"/>
                <w:sz w:val="18"/>
                <w:szCs w:val="18"/>
                <w:highlight w:val="none"/>
              </w:rPr>
            </w:pPr>
            <w:r>
              <w:rPr>
                <w:color w:val="auto"/>
                <w:sz w:val="18"/>
                <w:szCs w:val="18"/>
                <w:highlight w:val="none"/>
              </w:rPr>
              <w:t>采用</w:t>
            </w:r>
            <w:r>
              <w:rPr>
                <w:rFonts w:hint="eastAsia"/>
                <w:color w:val="auto"/>
                <w:sz w:val="18"/>
                <w:szCs w:val="18"/>
                <w:highlight w:val="none"/>
              </w:rPr>
              <w:t>钢材</w:t>
            </w:r>
            <w:r>
              <w:rPr>
                <w:rFonts w:hint="eastAsia" w:ascii="宋体" w:hAnsi="宋体"/>
                <w:color w:val="auto"/>
                <w:sz w:val="18"/>
                <w:szCs w:val="18"/>
                <w:highlight w:val="none"/>
              </w:rPr>
              <w:t>制作</w:t>
            </w:r>
            <w:r>
              <w:rPr>
                <w:rFonts w:hint="eastAsia" w:ascii="宋体" w:hAnsi="宋体"/>
                <w:color w:val="auto"/>
                <w:sz w:val="18"/>
                <w:szCs w:val="18"/>
                <w:highlight w:val="none"/>
                <w:lang w:val="en-US" w:eastAsia="zh-CN"/>
              </w:rPr>
              <w:t xml:space="preserve"> </w:t>
            </w:r>
            <w:r>
              <w:rPr>
                <w:rFonts w:hint="eastAsia" w:ascii="宋体" w:hAnsi="宋体"/>
                <w:color w:val="auto"/>
                <w:kern w:val="0"/>
                <w:sz w:val="18"/>
                <w:szCs w:val="18"/>
                <w:highlight w:val="none"/>
              </w:rPr>
              <w:t>高</w:t>
            </w:r>
            <w:r>
              <w:rPr>
                <w:rFonts w:hint="eastAsia" w:ascii="宋体" w:hAnsi="宋体"/>
                <w:color w:val="auto"/>
                <w:kern w:val="0"/>
                <w:sz w:val="18"/>
                <w:szCs w:val="18"/>
                <w:highlight w:val="none"/>
                <w:lang w:val="en-US" w:eastAsia="zh-CN"/>
              </w:rPr>
              <w:t>2.66米，</w:t>
            </w:r>
            <w:r>
              <w:rPr>
                <w:rFonts w:hint="eastAsia" w:ascii="宋体" w:hAnsi="宋体"/>
                <w:color w:val="auto"/>
                <w:kern w:val="0"/>
                <w:sz w:val="18"/>
                <w:szCs w:val="18"/>
                <w:highlight w:val="none"/>
              </w:rPr>
              <w:t>宽</w:t>
            </w:r>
            <w:r>
              <w:rPr>
                <w:rFonts w:hint="eastAsia" w:ascii="宋体" w:hAnsi="宋体"/>
                <w:color w:val="auto"/>
                <w:kern w:val="0"/>
                <w:sz w:val="18"/>
                <w:szCs w:val="18"/>
                <w:highlight w:val="none"/>
                <w:lang w:val="en-US" w:eastAsia="zh-CN"/>
              </w:rPr>
              <w:t>0.94米。</w:t>
            </w:r>
          </w:p>
        </w:tc>
        <w:tc>
          <w:tcPr>
            <w:tcW w:w="1040" w:type="dxa"/>
            <w:tcBorders>
              <w:top w:val="single" w:color="000000" w:sz="4" w:space="0"/>
              <w:left w:val="nil"/>
              <w:bottom w:val="single" w:color="000000" w:sz="4" w:space="0"/>
              <w:right w:val="single" w:color="000000" w:sz="4" w:space="0"/>
            </w:tcBorders>
            <w:vAlign w:val="center"/>
          </w:tcPr>
          <w:p w14:paraId="6D2AFC92">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2</w:t>
            </w:r>
          </w:p>
        </w:tc>
        <w:tc>
          <w:tcPr>
            <w:tcW w:w="935" w:type="dxa"/>
            <w:tcBorders>
              <w:top w:val="single" w:color="000000" w:sz="4" w:space="0"/>
              <w:left w:val="nil"/>
              <w:bottom w:val="single" w:color="000000" w:sz="4" w:space="0"/>
              <w:right w:val="single" w:color="000000" w:sz="4" w:space="0"/>
            </w:tcBorders>
            <w:vAlign w:val="center"/>
          </w:tcPr>
          <w:p w14:paraId="012EAE36">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扇</w:t>
            </w:r>
          </w:p>
        </w:tc>
        <w:tc>
          <w:tcPr>
            <w:tcW w:w="1084" w:type="dxa"/>
            <w:tcBorders>
              <w:top w:val="single" w:color="000000" w:sz="4" w:space="0"/>
              <w:left w:val="nil"/>
              <w:bottom w:val="single" w:color="000000" w:sz="4" w:space="0"/>
              <w:right w:val="single" w:color="000000" w:sz="4" w:space="0"/>
            </w:tcBorders>
            <w:vAlign w:val="center"/>
          </w:tcPr>
          <w:p w14:paraId="3E503A9C">
            <w:pPr>
              <w:jc w:val="center"/>
              <w:rPr>
                <w:rFonts w:hint="default" w:ascii="宋体" w:hAnsi="宋体"/>
                <w:color w:val="auto"/>
                <w:sz w:val="18"/>
                <w:szCs w:val="18"/>
                <w:highlight w:val="none"/>
                <w:lang w:val="en-US"/>
              </w:rPr>
            </w:pPr>
          </w:p>
        </w:tc>
        <w:tc>
          <w:tcPr>
            <w:tcW w:w="859" w:type="dxa"/>
            <w:tcBorders>
              <w:top w:val="single" w:color="000000" w:sz="4" w:space="0"/>
              <w:left w:val="nil"/>
              <w:bottom w:val="single" w:color="000000" w:sz="4" w:space="0"/>
              <w:right w:val="single" w:color="000000" w:sz="4" w:space="0"/>
            </w:tcBorders>
            <w:vAlign w:val="center"/>
          </w:tcPr>
          <w:p w14:paraId="402B59E9">
            <w:pPr>
              <w:jc w:val="center"/>
              <w:rPr>
                <w:rFonts w:ascii="宋体" w:hAnsi="宋体"/>
                <w:color w:val="auto"/>
                <w:sz w:val="18"/>
                <w:szCs w:val="18"/>
                <w:highlight w:val="none"/>
                <w:lang w:val="en-US" w:eastAsia="zh-CN"/>
              </w:rPr>
            </w:pPr>
          </w:p>
        </w:tc>
      </w:tr>
      <w:tr w14:paraId="23F5B5D5">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0E551CA9">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7</w:t>
            </w:r>
            <w:r>
              <w:rPr>
                <w:rFonts w:hint="eastAsia" w:ascii="宋体" w:hAnsi="宋体"/>
                <w:color w:val="auto"/>
                <w:sz w:val="18"/>
                <w:szCs w:val="18"/>
                <w:highlight w:val="none"/>
                <w:lang w:val="en-US" w:eastAsia="zh-CN"/>
              </w:rPr>
              <w:t>8</w:t>
            </w:r>
          </w:p>
        </w:tc>
        <w:tc>
          <w:tcPr>
            <w:tcW w:w="817" w:type="dxa"/>
            <w:tcBorders>
              <w:top w:val="single" w:color="000000" w:sz="4" w:space="0"/>
              <w:left w:val="nil"/>
              <w:bottom w:val="single" w:color="000000" w:sz="4" w:space="0"/>
              <w:right w:val="single" w:color="000000" w:sz="4" w:space="0"/>
            </w:tcBorders>
            <w:vAlign w:val="center"/>
          </w:tcPr>
          <w:p w14:paraId="0CF6CF22">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600×600铝扣板</w:t>
            </w:r>
          </w:p>
        </w:tc>
        <w:tc>
          <w:tcPr>
            <w:tcW w:w="4112" w:type="dxa"/>
            <w:tcBorders>
              <w:top w:val="single" w:color="000000" w:sz="4" w:space="0"/>
              <w:left w:val="nil"/>
              <w:bottom w:val="single" w:color="000000" w:sz="4" w:space="0"/>
              <w:right w:val="single" w:color="000000" w:sz="4" w:space="0"/>
            </w:tcBorders>
            <w:vAlign w:val="center"/>
          </w:tcPr>
          <w:p w14:paraId="1F843731">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1、宽度(mm): 600、长度(mm): 600、厚度: 0.9mm2、表面工艺: 抗油污滚涂板、材质: 铝合金、阻燃棉布有良好的防火性能，耐腐蚀，易清洁，符合绿色环保性能。</w:t>
            </w:r>
          </w:p>
        </w:tc>
        <w:tc>
          <w:tcPr>
            <w:tcW w:w="1040" w:type="dxa"/>
            <w:tcBorders>
              <w:top w:val="single" w:color="000000" w:sz="4" w:space="0"/>
              <w:left w:val="nil"/>
              <w:bottom w:val="single" w:color="000000" w:sz="4" w:space="0"/>
              <w:right w:val="single" w:color="000000" w:sz="4" w:space="0"/>
            </w:tcBorders>
            <w:vAlign w:val="center"/>
          </w:tcPr>
          <w:p w14:paraId="47CE3204">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108.00</w:t>
            </w:r>
          </w:p>
        </w:tc>
        <w:tc>
          <w:tcPr>
            <w:tcW w:w="935" w:type="dxa"/>
            <w:tcBorders>
              <w:top w:val="single" w:color="000000" w:sz="4" w:space="0"/>
              <w:left w:val="nil"/>
              <w:bottom w:val="single" w:color="000000" w:sz="4" w:space="0"/>
              <w:right w:val="single" w:color="000000" w:sz="4" w:space="0"/>
            </w:tcBorders>
            <w:vAlign w:val="center"/>
          </w:tcPr>
          <w:p w14:paraId="7E78E07C">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m2</w:t>
            </w:r>
          </w:p>
        </w:tc>
        <w:tc>
          <w:tcPr>
            <w:tcW w:w="1084" w:type="dxa"/>
            <w:tcBorders>
              <w:top w:val="single" w:color="000000" w:sz="4" w:space="0"/>
              <w:left w:val="nil"/>
              <w:bottom w:val="single" w:color="000000" w:sz="4" w:space="0"/>
              <w:right w:val="single" w:color="000000" w:sz="4" w:space="0"/>
            </w:tcBorders>
            <w:vAlign w:val="center"/>
          </w:tcPr>
          <w:p w14:paraId="48A7DA36">
            <w:pPr>
              <w:jc w:val="center"/>
              <w:rPr>
                <w:rFonts w:hint="default" w:ascii="宋体" w:hAnsi="宋体"/>
                <w:color w:val="auto"/>
                <w:sz w:val="18"/>
                <w:szCs w:val="18"/>
                <w:highlight w:val="none"/>
                <w:lang w:val="en-US"/>
              </w:rPr>
            </w:pPr>
          </w:p>
        </w:tc>
        <w:tc>
          <w:tcPr>
            <w:tcW w:w="859" w:type="dxa"/>
            <w:tcBorders>
              <w:top w:val="single" w:color="000000" w:sz="4" w:space="0"/>
              <w:left w:val="nil"/>
              <w:bottom w:val="single" w:color="000000" w:sz="4" w:space="0"/>
              <w:right w:val="single" w:color="000000" w:sz="4" w:space="0"/>
            </w:tcBorders>
            <w:vAlign w:val="center"/>
          </w:tcPr>
          <w:p w14:paraId="38CC1D53">
            <w:pPr>
              <w:jc w:val="center"/>
              <w:rPr>
                <w:rFonts w:ascii="宋体" w:hAnsi="宋体"/>
                <w:color w:val="auto"/>
                <w:sz w:val="18"/>
                <w:szCs w:val="18"/>
                <w:highlight w:val="none"/>
                <w:lang w:val="en-US" w:eastAsia="zh-CN"/>
              </w:rPr>
            </w:pPr>
          </w:p>
        </w:tc>
      </w:tr>
      <w:tr w14:paraId="103E1C1C">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03CE3DC7">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7</w:t>
            </w:r>
            <w:r>
              <w:rPr>
                <w:rFonts w:hint="eastAsia" w:ascii="宋体" w:hAnsi="宋体"/>
                <w:color w:val="auto"/>
                <w:sz w:val="18"/>
                <w:szCs w:val="18"/>
                <w:highlight w:val="none"/>
                <w:lang w:val="en-US" w:eastAsia="zh-CN"/>
              </w:rPr>
              <w:t>9</w:t>
            </w:r>
          </w:p>
        </w:tc>
        <w:tc>
          <w:tcPr>
            <w:tcW w:w="817" w:type="dxa"/>
            <w:tcBorders>
              <w:top w:val="single" w:color="000000" w:sz="4" w:space="0"/>
              <w:left w:val="nil"/>
              <w:bottom w:val="single" w:color="000000" w:sz="4" w:space="0"/>
              <w:right w:val="single" w:color="000000" w:sz="4" w:space="0"/>
            </w:tcBorders>
            <w:vAlign w:val="center"/>
          </w:tcPr>
          <w:p w14:paraId="3478CBC6">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地板胶</w:t>
            </w:r>
          </w:p>
        </w:tc>
        <w:tc>
          <w:tcPr>
            <w:tcW w:w="4112" w:type="dxa"/>
            <w:tcBorders>
              <w:top w:val="single" w:color="000000" w:sz="4" w:space="0"/>
              <w:left w:val="nil"/>
              <w:bottom w:val="single" w:color="000000" w:sz="4" w:space="0"/>
              <w:right w:val="single" w:color="000000" w:sz="4" w:space="0"/>
            </w:tcBorders>
            <w:vAlign w:val="center"/>
          </w:tcPr>
          <w:p w14:paraId="6AFDFAC6">
            <w:pPr>
              <w:widowControl/>
              <w:jc w:val="left"/>
              <w:textAlignment w:val="center"/>
              <w:rPr>
                <w:rFonts w:ascii="宋体" w:hAnsi="宋体"/>
                <w:color w:val="auto"/>
                <w:sz w:val="18"/>
                <w:szCs w:val="18"/>
                <w:highlight w:val="none"/>
              </w:rPr>
            </w:pPr>
            <w:r>
              <w:rPr>
                <w:rFonts w:hint="eastAsia"/>
                <w:sz w:val="18"/>
                <w:szCs w:val="18"/>
              </w:rPr>
              <w:t>地面平整，易清洁、耐磨、防滑和防静电的PVC 塑胶地板，厚度在 2-3mm 左右；</w:t>
            </w:r>
          </w:p>
        </w:tc>
        <w:tc>
          <w:tcPr>
            <w:tcW w:w="1040" w:type="dxa"/>
            <w:tcBorders>
              <w:top w:val="single" w:color="000000" w:sz="4" w:space="0"/>
              <w:left w:val="nil"/>
              <w:bottom w:val="single" w:color="000000" w:sz="4" w:space="0"/>
              <w:right w:val="single" w:color="000000" w:sz="4" w:space="0"/>
            </w:tcBorders>
            <w:vAlign w:val="center"/>
          </w:tcPr>
          <w:p w14:paraId="66DE386E">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108.00</w:t>
            </w:r>
          </w:p>
        </w:tc>
        <w:tc>
          <w:tcPr>
            <w:tcW w:w="935" w:type="dxa"/>
            <w:tcBorders>
              <w:top w:val="single" w:color="000000" w:sz="4" w:space="0"/>
              <w:left w:val="nil"/>
              <w:bottom w:val="single" w:color="000000" w:sz="4" w:space="0"/>
              <w:right w:val="single" w:color="000000" w:sz="4" w:space="0"/>
            </w:tcBorders>
            <w:vAlign w:val="center"/>
          </w:tcPr>
          <w:p w14:paraId="0C54928B">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m2</w:t>
            </w:r>
          </w:p>
        </w:tc>
        <w:tc>
          <w:tcPr>
            <w:tcW w:w="1084" w:type="dxa"/>
            <w:tcBorders>
              <w:top w:val="single" w:color="000000" w:sz="4" w:space="0"/>
              <w:left w:val="nil"/>
              <w:bottom w:val="single" w:color="000000" w:sz="4" w:space="0"/>
              <w:right w:val="single" w:color="000000" w:sz="4" w:space="0"/>
            </w:tcBorders>
            <w:vAlign w:val="center"/>
          </w:tcPr>
          <w:p w14:paraId="728C99F5">
            <w:pPr>
              <w:jc w:val="center"/>
              <w:rPr>
                <w:rFonts w:hint="default" w:ascii="宋体" w:hAnsi="宋体"/>
                <w:color w:val="auto"/>
                <w:sz w:val="18"/>
                <w:szCs w:val="18"/>
                <w:highlight w:val="none"/>
                <w:lang w:val="en-US"/>
              </w:rPr>
            </w:pPr>
          </w:p>
        </w:tc>
        <w:tc>
          <w:tcPr>
            <w:tcW w:w="859" w:type="dxa"/>
            <w:tcBorders>
              <w:top w:val="single" w:color="000000" w:sz="4" w:space="0"/>
              <w:left w:val="nil"/>
              <w:bottom w:val="single" w:color="000000" w:sz="4" w:space="0"/>
              <w:right w:val="single" w:color="000000" w:sz="4" w:space="0"/>
            </w:tcBorders>
            <w:vAlign w:val="center"/>
          </w:tcPr>
          <w:p w14:paraId="0E08BD9C">
            <w:pPr>
              <w:jc w:val="center"/>
              <w:rPr>
                <w:rFonts w:ascii="宋体" w:hAnsi="宋体"/>
                <w:color w:val="auto"/>
                <w:sz w:val="18"/>
                <w:szCs w:val="18"/>
                <w:highlight w:val="none"/>
                <w:lang w:val="en-US" w:eastAsia="zh-CN"/>
              </w:rPr>
            </w:pPr>
          </w:p>
        </w:tc>
      </w:tr>
      <w:tr w14:paraId="2A7FD02F">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1E787415">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80</w:t>
            </w:r>
          </w:p>
        </w:tc>
        <w:tc>
          <w:tcPr>
            <w:tcW w:w="817" w:type="dxa"/>
            <w:tcBorders>
              <w:top w:val="single" w:color="000000" w:sz="4" w:space="0"/>
              <w:left w:val="nil"/>
              <w:bottom w:val="single" w:color="000000" w:sz="4" w:space="0"/>
              <w:right w:val="single" w:color="000000" w:sz="4" w:space="0"/>
            </w:tcBorders>
            <w:vAlign w:val="center"/>
          </w:tcPr>
          <w:p w14:paraId="7FA7C04D">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墙面吸音板聚酯纤维板</w:t>
            </w:r>
          </w:p>
        </w:tc>
        <w:tc>
          <w:tcPr>
            <w:tcW w:w="4112" w:type="dxa"/>
            <w:tcBorders>
              <w:top w:val="single" w:color="000000" w:sz="4" w:space="0"/>
              <w:left w:val="nil"/>
              <w:bottom w:val="single" w:color="000000" w:sz="4" w:space="0"/>
              <w:right w:val="single" w:color="000000" w:sz="4" w:space="0"/>
            </w:tcBorders>
            <w:vAlign w:val="center"/>
          </w:tcPr>
          <w:p w14:paraId="516CE342">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四周墙壁采用聚酯纤维吸音板1.5cm厚度吸音板</w:t>
            </w:r>
            <w:r>
              <w:rPr>
                <w:rFonts w:hint="eastAsia" w:ascii="宋体" w:hAnsi="宋体"/>
                <w:color w:val="auto"/>
                <w:kern w:val="0"/>
                <w:sz w:val="18"/>
                <w:szCs w:val="18"/>
                <w:highlight w:val="none"/>
                <w:lang w:val="en-US" w:eastAsia="zh-CN"/>
              </w:rPr>
              <w:t xml:space="preserve"> </w:t>
            </w:r>
            <w:r>
              <w:rPr>
                <w:sz w:val="18"/>
                <w:szCs w:val="18"/>
              </w:rPr>
              <w:t>墙面采用聚酯纤维吸音板无气味，减少室内回音，自然材料质感，具有出色的阻燃 防火性能</w:t>
            </w:r>
          </w:p>
        </w:tc>
        <w:tc>
          <w:tcPr>
            <w:tcW w:w="1040" w:type="dxa"/>
            <w:tcBorders>
              <w:top w:val="single" w:color="000000" w:sz="4" w:space="0"/>
              <w:left w:val="nil"/>
              <w:bottom w:val="single" w:color="000000" w:sz="4" w:space="0"/>
              <w:right w:val="single" w:color="000000" w:sz="4" w:space="0"/>
            </w:tcBorders>
            <w:vAlign w:val="center"/>
          </w:tcPr>
          <w:p w14:paraId="33D40354">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147.00</w:t>
            </w:r>
          </w:p>
        </w:tc>
        <w:tc>
          <w:tcPr>
            <w:tcW w:w="935" w:type="dxa"/>
            <w:tcBorders>
              <w:top w:val="single" w:color="000000" w:sz="4" w:space="0"/>
              <w:left w:val="nil"/>
              <w:bottom w:val="single" w:color="000000" w:sz="4" w:space="0"/>
              <w:right w:val="single" w:color="000000" w:sz="4" w:space="0"/>
            </w:tcBorders>
            <w:vAlign w:val="center"/>
          </w:tcPr>
          <w:p w14:paraId="680E0FFA">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m2</w:t>
            </w:r>
          </w:p>
        </w:tc>
        <w:tc>
          <w:tcPr>
            <w:tcW w:w="1084" w:type="dxa"/>
            <w:tcBorders>
              <w:top w:val="single" w:color="000000" w:sz="4" w:space="0"/>
              <w:left w:val="nil"/>
              <w:bottom w:val="single" w:color="000000" w:sz="4" w:space="0"/>
              <w:right w:val="single" w:color="000000" w:sz="4" w:space="0"/>
            </w:tcBorders>
            <w:vAlign w:val="center"/>
          </w:tcPr>
          <w:p w14:paraId="0D334A3A">
            <w:pPr>
              <w:jc w:val="center"/>
              <w:rPr>
                <w:rFonts w:hint="default" w:ascii="宋体" w:hAnsi="宋体"/>
                <w:color w:val="auto"/>
                <w:sz w:val="18"/>
                <w:szCs w:val="18"/>
                <w:highlight w:val="none"/>
                <w:lang w:val="en-US"/>
              </w:rPr>
            </w:pPr>
          </w:p>
        </w:tc>
        <w:tc>
          <w:tcPr>
            <w:tcW w:w="859" w:type="dxa"/>
            <w:tcBorders>
              <w:top w:val="single" w:color="000000" w:sz="4" w:space="0"/>
              <w:left w:val="nil"/>
              <w:bottom w:val="single" w:color="000000" w:sz="4" w:space="0"/>
              <w:right w:val="single" w:color="000000" w:sz="4" w:space="0"/>
            </w:tcBorders>
            <w:vAlign w:val="center"/>
          </w:tcPr>
          <w:p w14:paraId="686A89D6">
            <w:pPr>
              <w:jc w:val="center"/>
              <w:rPr>
                <w:rFonts w:ascii="宋体" w:hAnsi="宋体"/>
                <w:color w:val="auto"/>
                <w:sz w:val="18"/>
                <w:szCs w:val="18"/>
                <w:highlight w:val="none"/>
                <w:lang w:val="en-US" w:eastAsia="zh-CN"/>
              </w:rPr>
            </w:pPr>
          </w:p>
        </w:tc>
      </w:tr>
      <w:tr w14:paraId="6A6B7F43">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2B05A1C1">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81</w:t>
            </w:r>
          </w:p>
        </w:tc>
        <w:tc>
          <w:tcPr>
            <w:tcW w:w="817" w:type="dxa"/>
            <w:tcBorders>
              <w:top w:val="single" w:color="000000" w:sz="4" w:space="0"/>
              <w:left w:val="nil"/>
              <w:bottom w:val="single" w:color="000000" w:sz="4" w:space="0"/>
              <w:right w:val="single" w:color="000000" w:sz="4" w:space="0"/>
            </w:tcBorders>
            <w:vAlign w:val="center"/>
          </w:tcPr>
          <w:p w14:paraId="0F63FAEF">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墙面9厘夹板基础封平</w:t>
            </w:r>
          </w:p>
        </w:tc>
        <w:tc>
          <w:tcPr>
            <w:tcW w:w="4112" w:type="dxa"/>
            <w:tcBorders>
              <w:top w:val="single" w:color="000000" w:sz="4" w:space="0"/>
              <w:left w:val="nil"/>
              <w:bottom w:val="single" w:color="000000" w:sz="4" w:space="0"/>
              <w:right w:val="single" w:color="000000" w:sz="4" w:space="0"/>
            </w:tcBorders>
            <w:vAlign w:val="center"/>
          </w:tcPr>
          <w:p w14:paraId="380183FC">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墙面基层使用轻钢龙骨制作，两根龙骨间距≤40cm，外层全铺设9厘夹板基础封平</w:t>
            </w:r>
          </w:p>
        </w:tc>
        <w:tc>
          <w:tcPr>
            <w:tcW w:w="1040" w:type="dxa"/>
            <w:tcBorders>
              <w:top w:val="single" w:color="000000" w:sz="4" w:space="0"/>
              <w:left w:val="nil"/>
              <w:bottom w:val="single" w:color="000000" w:sz="4" w:space="0"/>
              <w:right w:val="single" w:color="000000" w:sz="4" w:space="0"/>
            </w:tcBorders>
            <w:vAlign w:val="center"/>
          </w:tcPr>
          <w:p w14:paraId="4F8F540E">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147.00</w:t>
            </w:r>
          </w:p>
        </w:tc>
        <w:tc>
          <w:tcPr>
            <w:tcW w:w="935" w:type="dxa"/>
            <w:tcBorders>
              <w:top w:val="single" w:color="000000" w:sz="4" w:space="0"/>
              <w:left w:val="nil"/>
              <w:bottom w:val="single" w:color="000000" w:sz="4" w:space="0"/>
              <w:right w:val="single" w:color="000000" w:sz="4" w:space="0"/>
            </w:tcBorders>
            <w:vAlign w:val="center"/>
          </w:tcPr>
          <w:p w14:paraId="0DA8BBEE">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m2</w:t>
            </w:r>
          </w:p>
        </w:tc>
        <w:tc>
          <w:tcPr>
            <w:tcW w:w="1084" w:type="dxa"/>
            <w:tcBorders>
              <w:top w:val="single" w:color="000000" w:sz="4" w:space="0"/>
              <w:left w:val="nil"/>
              <w:bottom w:val="single" w:color="000000" w:sz="4" w:space="0"/>
              <w:right w:val="single" w:color="000000" w:sz="4" w:space="0"/>
            </w:tcBorders>
            <w:vAlign w:val="center"/>
          </w:tcPr>
          <w:p w14:paraId="29644025">
            <w:pPr>
              <w:jc w:val="center"/>
              <w:rPr>
                <w:rFonts w:hint="default" w:ascii="宋体" w:hAnsi="宋体"/>
                <w:color w:val="auto"/>
                <w:sz w:val="18"/>
                <w:szCs w:val="18"/>
                <w:highlight w:val="none"/>
                <w:lang w:val="en-US"/>
              </w:rPr>
            </w:pPr>
          </w:p>
        </w:tc>
        <w:tc>
          <w:tcPr>
            <w:tcW w:w="859" w:type="dxa"/>
            <w:tcBorders>
              <w:top w:val="single" w:color="000000" w:sz="4" w:space="0"/>
              <w:left w:val="nil"/>
              <w:bottom w:val="single" w:color="000000" w:sz="4" w:space="0"/>
              <w:right w:val="single" w:color="000000" w:sz="4" w:space="0"/>
            </w:tcBorders>
            <w:vAlign w:val="center"/>
          </w:tcPr>
          <w:p w14:paraId="472DAA27">
            <w:pPr>
              <w:jc w:val="center"/>
              <w:rPr>
                <w:rFonts w:ascii="宋体" w:hAnsi="宋体"/>
                <w:color w:val="auto"/>
                <w:sz w:val="18"/>
                <w:szCs w:val="18"/>
                <w:highlight w:val="none"/>
                <w:lang w:val="en-US" w:eastAsia="zh-CN"/>
              </w:rPr>
            </w:pPr>
          </w:p>
        </w:tc>
      </w:tr>
      <w:tr w14:paraId="29E0E943">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70A598C5">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82</w:t>
            </w:r>
          </w:p>
        </w:tc>
        <w:tc>
          <w:tcPr>
            <w:tcW w:w="817" w:type="dxa"/>
            <w:tcBorders>
              <w:top w:val="single" w:color="000000" w:sz="4" w:space="0"/>
              <w:left w:val="nil"/>
              <w:bottom w:val="single" w:color="000000" w:sz="4" w:space="0"/>
              <w:right w:val="single" w:color="000000" w:sz="4" w:space="0"/>
            </w:tcBorders>
            <w:vAlign w:val="center"/>
          </w:tcPr>
          <w:p w14:paraId="479C6F4C">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吸音棉</w:t>
            </w:r>
          </w:p>
        </w:tc>
        <w:tc>
          <w:tcPr>
            <w:tcW w:w="4112" w:type="dxa"/>
            <w:tcBorders>
              <w:top w:val="single" w:color="000000" w:sz="4" w:space="0"/>
              <w:left w:val="nil"/>
              <w:bottom w:val="single" w:color="000000" w:sz="4" w:space="0"/>
              <w:right w:val="single" w:color="000000" w:sz="4" w:space="0"/>
            </w:tcBorders>
            <w:vAlign w:val="center"/>
          </w:tcPr>
          <w:p w14:paraId="4A4DE84E">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绝燃</w:t>
            </w:r>
            <w:r>
              <w:rPr>
                <w:rFonts w:hint="eastAsia" w:ascii="宋体" w:hAnsi="宋体"/>
                <w:color w:val="auto"/>
                <w:kern w:val="0"/>
                <w:sz w:val="18"/>
                <w:szCs w:val="18"/>
                <w:highlight w:val="none"/>
                <w:lang w:eastAsia="zh-CN"/>
              </w:rPr>
              <w:t>、</w:t>
            </w:r>
            <w:r>
              <w:rPr>
                <w:rFonts w:hint="eastAsia" w:ascii="宋体" w:hAnsi="宋体"/>
                <w:color w:val="auto"/>
                <w:kern w:val="0"/>
                <w:sz w:val="18"/>
                <w:szCs w:val="18"/>
                <w:highlight w:val="none"/>
                <w:lang w:val="en-US" w:eastAsia="zh-CN"/>
              </w:rPr>
              <w:t>厚度</w:t>
            </w:r>
            <w:r>
              <w:rPr>
                <w:rFonts w:hint="eastAsia" w:ascii="宋体" w:hAnsi="宋体"/>
                <w:color w:val="auto"/>
                <w:kern w:val="0"/>
                <w:sz w:val="18"/>
                <w:szCs w:val="18"/>
                <w:highlight w:val="none"/>
              </w:rPr>
              <w:t>5cm</w:t>
            </w:r>
            <w:r>
              <w:rPr>
                <w:rFonts w:hint="eastAsia" w:ascii="宋体" w:hAnsi="宋体"/>
                <w:color w:val="auto"/>
                <w:kern w:val="0"/>
                <w:sz w:val="18"/>
                <w:szCs w:val="18"/>
                <w:highlight w:val="none"/>
                <w:lang w:eastAsia="zh-CN"/>
              </w:rPr>
              <w:t>、</w:t>
            </w:r>
            <w:r>
              <w:rPr>
                <w:rFonts w:hint="eastAsia" w:ascii="宋体" w:hAnsi="宋体"/>
                <w:color w:val="auto"/>
                <w:kern w:val="0"/>
                <w:sz w:val="18"/>
                <w:szCs w:val="18"/>
                <w:highlight w:val="none"/>
              </w:rPr>
              <w:t>双层复合+背胶</w:t>
            </w:r>
          </w:p>
        </w:tc>
        <w:tc>
          <w:tcPr>
            <w:tcW w:w="1040" w:type="dxa"/>
            <w:tcBorders>
              <w:top w:val="single" w:color="000000" w:sz="4" w:space="0"/>
              <w:left w:val="nil"/>
              <w:bottom w:val="single" w:color="000000" w:sz="4" w:space="0"/>
              <w:right w:val="single" w:color="000000" w:sz="4" w:space="0"/>
            </w:tcBorders>
            <w:vAlign w:val="center"/>
          </w:tcPr>
          <w:p w14:paraId="023CA924">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50.00</w:t>
            </w:r>
          </w:p>
        </w:tc>
        <w:tc>
          <w:tcPr>
            <w:tcW w:w="935" w:type="dxa"/>
            <w:tcBorders>
              <w:top w:val="single" w:color="000000" w:sz="4" w:space="0"/>
              <w:left w:val="nil"/>
              <w:bottom w:val="single" w:color="000000" w:sz="4" w:space="0"/>
              <w:right w:val="single" w:color="000000" w:sz="4" w:space="0"/>
            </w:tcBorders>
            <w:vAlign w:val="center"/>
          </w:tcPr>
          <w:p w14:paraId="61AB2E22">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m2</w:t>
            </w:r>
          </w:p>
        </w:tc>
        <w:tc>
          <w:tcPr>
            <w:tcW w:w="1084" w:type="dxa"/>
            <w:tcBorders>
              <w:top w:val="single" w:color="000000" w:sz="4" w:space="0"/>
              <w:left w:val="nil"/>
              <w:bottom w:val="single" w:color="000000" w:sz="4" w:space="0"/>
              <w:right w:val="single" w:color="000000" w:sz="4" w:space="0"/>
            </w:tcBorders>
            <w:vAlign w:val="center"/>
          </w:tcPr>
          <w:p w14:paraId="1C18FD04">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44688F40">
            <w:pPr>
              <w:jc w:val="center"/>
              <w:rPr>
                <w:rFonts w:hint="eastAsia" w:ascii="宋体" w:hAnsi="宋体"/>
                <w:color w:val="auto"/>
                <w:sz w:val="18"/>
                <w:szCs w:val="18"/>
                <w:highlight w:val="none"/>
                <w:lang w:val="en-US" w:eastAsia="zh-CN"/>
              </w:rPr>
            </w:pPr>
          </w:p>
        </w:tc>
      </w:tr>
      <w:tr w14:paraId="2D9CA34B">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0784153F">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83</w:t>
            </w:r>
          </w:p>
        </w:tc>
        <w:tc>
          <w:tcPr>
            <w:tcW w:w="817" w:type="dxa"/>
            <w:tcBorders>
              <w:top w:val="single" w:color="000000" w:sz="4" w:space="0"/>
              <w:left w:val="nil"/>
              <w:bottom w:val="single" w:color="000000" w:sz="4" w:space="0"/>
              <w:right w:val="single" w:color="000000" w:sz="4" w:space="0"/>
            </w:tcBorders>
            <w:vAlign w:val="center"/>
          </w:tcPr>
          <w:p w14:paraId="2D6E57EB">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封窗观摩室与教室分隔墙</w:t>
            </w:r>
          </w:p>
        </w:tc>
        <w:tc>
          <w:tcPr>
            <w:tcW w:w="4112" w:type="dxa"/>
            <w:tcBorders>
              <w:top w:val="single" w:color="000000" w:sz="4" w:space="0"/>
              <w:left w:val="nil"/>
              <w:bottom w:val="single" w:color="000000" w:sz="4" w:space="0"/>
              <w:right w:val="single" w:color="000000" w:sz="4" w:space="0"/>
            </w:tcBorders>
            <w:vAlign w:val="center"/>
          </w:tcPr>
          <w:p w14:paraId="3F41AEE3">
            <w:pPr>
              <w:widowControl/>
              <w:jc w:val="left"/>
              <w:textAlignment w:val="center"/>
              <w:rPr>
                <w:rFonts w:hint="eastAsia" w:ascii="宋体" w:hAnsi="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（1）分隔墙:删除长8米，高3.2米，</w:t>
            </w:r>
          </w:p>
          <w:p w14:paraId="61D6CA13">
            <w:pPr>
              <w:widowControl/>
              <w:jc w:val="left"/>
              <w:textAlignment w:val="center"/>
              <w:rPr>
                <w:rFonts w:hint="eastAsia" w:ascii="宋体" w:hAnsi="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去掉原因:和后面尺寸32对不上。</w:t>
            </w:r>
          </w:p>
          <w:p w14:paraId="2078ED7E">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（2）玻璃：</w:t>
            </w:r>
            <w:r>
              <w:rPr>
                <w:rFonts w:hint="eastAsia" w:ascii="宋体" w:hAnsi="宋体"/>
                <w:color w:val="auto"/>
                <w:kern w:val="0"/>
                <w:sz w:val="18"/>
                <w:szCs w:val="18"/>
                <w:highlight w:val="none"/>
              </w:rPr>
              <w:t>长</w:t>
            </w:r>
            <w:r>
              <w:rPr>
                <w:rFonts w:hint="eastAsia" w:ascii="宋体" w:hAnsi="宋体"/>
                <w:color w:val="auto"/>
                <w:kern w:val="0"/>
                <w:sz w:val="18"/>
                <w:szCs w:val="18"/>
                <w:highlight w:val="none"/>
                <w:lang w:val="en-US" w:eastAsia="zh-CN"/>
              </w:rPr>
              <w:t>3.6</w:t>
            </w:r>
            <w:r>
              <w:rPr>
                <w:rFonts w:hint="eastAsia" w:ascii="宋体" w:hAnsi="宋体"/>
                <w:color w:val="auto"/>
                <w:kern w:val="0"/>
                <w:sz w:val="18"/>
                <w:szCs w:val="18"/>
                <w:highlight w:val="none"/>
              </w:rPr>
              <w:t>米、高</w:t>
            </w:r>
            <w:r>
              <w:rPr>
                <w:rFonts w:hint="eastAsia" w:ascii="宋体" w:hAnsi="宋体"/>
                <w:color w:val="auto"/>
                <w:kern w:val="0"/>
                <w:sz w:val="18"/>
                <w:szCs w:val="18"/>
                <w:highlight w:val="none"/>
                <w:lang w:val="en-US" w:eastAsia="zh-CN"/>
              </w:rPr>
              <w:t>1.3</w:t>
            </w:r>
            <w:r>
              <w:rPr>
                <w:rFonts w:hint="eastAsia" w:ascii="宋体" w:hAnsi="宋体"/>
                <w:color w:val="auto"/>
                <w:kern w:val="0"/>
                <w:sz w:val="18"/>
                <w:szCs w:val="18"/>
                <w:highlight w:val="none"/>
              </w:rPr>
              <w:t>米</w:t>
            </w:r>
            <w:r>
              <w:rPr>
                <w:rFonts w:hint="eastAsia" w:ascii="宋体" w:hAnsi="宋体"/>
                <w:color w:val="auto"/>
                <w:kern w:val="0"/>
                <w:sz w:val="18"/>
                <w:szCs w:val="18"/>
                <w:highlight w:val="none"/>
                <w:lang w:val="en-US" w:eastAsia="zh-CN"/>
              </w:rPr>
              <w:t xml:space="preserve"> </w:t>
            </w:r>
            <w:r>
              <w:rPr>
                <w:sz w:val="18"/>
                <w:szCs w:val="18"/>
              </w:rPr>
              <w:t>厚度 1.2cm 钢化玻璃</w:t>
            </w:r>
            <w:r>
              <w:rPr>
                <w:rFonts w:hint="eastAsia"/>
                <w:sz w:val="18"/>
                <w:szCs w:val="18"/>
                <w:lang w:eastAsia="zh-CN"/>
              </w:rPr>
              <w:t>。</w:t>
            </w:r>
          </w:p>
        </w:tc>
        <w:tc>
          <w:tcPr>
            <w:tcW w:w="1040" w:type="dxa"/>
            <w:tcBorders>
              <w:top w:val="single" w:color="000000" w:sz="4" w:space="0"/>
              <w:left w:val="nil"/>
              <w:bottom w:val="single" w:color="000000" w:sz="4" w:space="0"/>
              <w:right w:val="single" w:color="000000" w:sz="4" w:space="0"/>
            </w:tcBorders>
            <w:vAlign w:val="center"/>
          </w:tcPr>
          <w:p w14:paraId="04CAEB7D">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32.00</w:t>
            </w:r>
          </w:p>
        </w:tc>
        <w:tc>
          <w:tcPr>
            <w:tcW w:w="935" w:type="dxa"/>
            <w:tcBorders>
              <w:top w:val="single" w:color="000000" w:sz="4" w:space="0"/>
              <w:left w:val="nil"/>
              <w:bottom w:val="single" w:color="000000" w:sz="4" w:space="0"/>
              <w:right w:val="single" w:color="000000" w:sz="4" w:space="0"/>
            </w:tcBorders>
            <w:vAlign w:val="center"/>
          </w:tcPr>
          <w:p w14:paraId="6BDB2B09">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m2</w:t>
            </w:r>
          </w:p>
        </w:tc>
        <w:tc>
          <w:tcPr>
            <w:tcW w:w="1084" w:type="dxa"/>
            <w:tcBorders>
              <w:top w:val="single" w:color="000000" w:sz="4" w:space="0"/>
              <w:left w:val="nil"/>
              <w:bottom w:val="single" w:color="000000" w:sz="4" w:space="0"/>
              <w:right w:val="single" w:color="000000" w:sz="4" w:space="0"/>
            </w:tcBorders>
            <w:vAlign w:val="center"/>
          </w:tcPr>
          <w:p w14:paraId="01A8B82D">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2144F64E">
            <w:pPr>
              <w:jc w:val="center"/>
              <w:rPr>
                <w:rFonts w:ascii="宋体" w:hAnsi="宋体"/>
                <w:color w:val="auto"/>
                <w:sz w:val="18"/>
                <w:szCs w:val="18"/>
                <w:highlight w:val="none"/>
                <w:lang w:val="en-US" w:eastAsia="zh-CN"/>
              </w:rPr>
            </w:pPr>
          </w:p>
        </w:tc>
      </w:tr>
      <w:tr w14:paraId="54B9FD84">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2DF9CE94">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8</w:t>
            </w:r>
            <w:r>
              <w:rPr>
                <w:rFonts w:hint="eastAsia" w:ascii="宋体" w:hAnsi="宋体"/>
                <w:color w:val="auto"/>
                <w:sz w:val="18"/>
                <w:szCs w:val="18"/>
                <w:highlight w:val="none"/>
                <w:lang w:val="en-US" w:eastAsia="zh-CN"/>
              </w:rPr>
              <w:t>4</w:t>
            </w:r>
          </w:p>
        </w:tc>
        <w:tc>
          <w:tcPr>
            <w:tcW w:w="817" w:type="dxa"/>
            <w:tcBorders>
              <w:top w:val="single" w:color="000000" w:sz="4" w:space="0"/>
              <w:left w:val="nil"/>
              <w:bottom w:val="single" w:color="000000" w:sz="4" w:space="0"/>
              <w:right w:val="single" w:color="000000" w:sz="4" w:space="0"/>
            </w:tcBorders>
            <w:vAlign w:val="center"/>
          </w:tcPr>
          <w:p w14:paraId="21240CD1">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护眼LED灯</w:t>
            </w:r>
          </w:p>
        </w:tc>
        <w:tc>
          <w:tcPr>
            <w:tcW w:w="4112" w:type="dxa"/>
            <w:tcBorders>
              <w:top w:val="single" w:color="000000" w:sz="4" w:space="0"/>
              <w:left w:val="nil"/>
              <w:bottom w:val="single" w:color="000000" w:sz="4" w:space="0"/>
              <w:right w:val="single" w:color="000000" w:sz="4" w:space="0"/>
            </w:tcBorders>
            <w:vAlign w:val="center"/>
          </w:tcPr>
          <w:p w14:paraId="734FAD86">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lang w:val="en-US" w:eastAsia="zh-CN"/>
              </w:rPr>
              <w:t>长</w:t>
            </w:r>
            <w:r>
              <w:rPr>
                <w:rFonts w:hint="eastAsia" w:ascii="宋体" w:hAnsi="宋体"/>
                <w:color w:val="auto"/>
                <w:kern w:val="0"/>
                <w:sz w:val="18"/>
                <w:szCs w:val="18"/>
                <w:highlight w:val="none"/>
              </w:rPr>
              <w:t>600</w:t>
            </w:r>
            <w:r>
              <w:rPr>
                <w:rFonts w:hint="eastAsia" w:ascii="宋体" w:hAnsi="宋体"/>
                <w:color w:val="auto"/>
                <w:kern w:val="0"/>
                <w:sz w:val="18"/>
                <w:szCs w:val="18"/>
                <w:highlight w:val="none"/>
                <w:lang w:val="en-US" w:eastAsia="zh-CN"/>
              </w:rPr>
              <w:t>mm</w:t>
            </w:r>
            <w:r>
              <w:rPr>
                <w:rFonts w:hint="eastAsia" w:ascii="宋体" w:hAnsi="宋体"/>
                <w:color w:val="auto"/>
                <w:kern w:val="0"/>
                <w:sz w:val="18"/>
                <w:szCs w:val="18"/>
                <w:highlight w:val="none"/>
              </w:rPr>
              <w:t>X</w:t>
            </w:r>
            <w:r>
              <w:rPr>
                <w:rFonts w:hint="eastAsia" w:ascii="宋体" w:hAnsi="宋体"/>
                <w:color w:val="auto"/>
                <w:kern w:val="0"/>
                <w:sz w:val="18"/>
                <w:szCs w:val="18"/>
                <w:highlight w:val="none"/>
                <w:lang w:val="en-US" w:eastAsia="zh-CN"/>
              </w:rPr>
              <w:t>宽</w:t>
            </w:r>
            <w:r>
              <w:rPr>
                <w:rFonts w:hint="eastAsia" w:ascii="宋体" w:hAnsi="宋体"/>
                <w:color w:val="auto"/>
                <w:kern w:val="0"/>
                <w:sz w:val="18"/>
                <w:szCs w:val="18"/>
                <w:highlight w:val="none"/>
              </w:rPr>
              <w:t>600mm,LED方灯；</w:t>
            </w:r>
          </w:p>
          <w:p w14:paraId="5B47178C">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电学参数</w:t>
            </w:r>
          </w:p>
          <w:p w14:paraId="40796327">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额定输入电压 Vin 220V~240VAC，50/60Hz /</w:t>
            </w:r>
          </w:p>
          <w:p w14:paraId="1F6C7DF9">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额定输入电流 Iin 1A Max /</w:t>
            </w:r>
          </w:p>
          <w:p w14:paraId="33A37DD5">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额定功率 Pin 40W /</w:t>
            </w:r>
          </w:p>
          <w:p w14:paraId="5754AF5D">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光学参数</w:t>
            </w:r>
          </w:p>
          <w:p w14:paraId="7DDE1D4D">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光通量 Flux ≥3000lm /</w:t>
            </w:r>
          </w:p>
          <w:p w14:paraId="1DFD1877">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光效 ≥75lm/W /</w:t>
            </w:r>
          </w:p>
          <w:p w14:paraId="1B8B6DB9">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色温 CCT 5000K±200K /</w:t>
            </w:r>
          </w:p>
          <w:p w14:paraId="4F842C12">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色容差 SDCM ≤5 Step@IEC F5000; /</w:t>
            </w:r>
          </w:p>
          <w:p w14:paraId="47708779">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显色指数 CRI ≥90 /</w:t>
            </w:r>
          </w:p>
          <w:p w14:paraId="2E354273">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R9 ＞60 /</w:t>
            </w:r>
          </w:p>
          <w:p w14:paraId="55770EFB">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R15 ＞90 /</w:t>
            </w:r>
          </w:p>
          <w:p w14:paraId="73D597F2">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 xml:space="preserve">发光角度 120°±10° 统一眩光值（UGR） &lt;16 </w:t>
            </w:r>
          </w:p>
          <w:p w14:paraId="2210B0B5">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外形结构</w:t>
            </w:r>
          </w:p>
          <w:p w14:paraId="3F6B0757">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长度 595±5mm /</w:t>
            </w:r>
          </w:p>
          <w:p w14:paraId="419EFB6A">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宽度 595±5mm /</w:t>
            </w:r>
          </w:p>
          <w:p w14:paraId="46CE0C8D">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高 42±5mm /</w:t>
            </w:r>
          </w:p>
          <w:p w14:paraId="07F3A9B9">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材质 优质铝型材+PC /</w:t>
            </w:r>
          </w:p>
          <w:p w14:paraId="2D9B6EBE">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表面处理 喷砂阳极氧化/电镀/喷塑 /</w:t>
            </w:r>
          </w:p>
          <w:p w14:paraId="48B69E11">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颜色 银/白 /</w:t>
            </w:r>
          </w:p>
          <w:p w14:paraId="6C33C181">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阻燃等级 94-V2 /</w:t>
            </w:r>
          </w:p>
          <w:p w14:paraId="0CBA90B8">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环境</w:t>
            </w:r>
          </w:p>
          <w:p w14:paraId="1AEB8F4D">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工作温度 -10~+45℃ /</w:t>
            </w:r>
          </w:p>
          <w:p w14:paraId="1D24EF17">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工作湿度 0~95%RH 无冷凝 /</w:t>
            </w:r>
          </w:p>
          <w:p w14:paraId="38ED894D">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存储温度 -20~+80℃ /</w:t>
            </w:r>
          </w:p>
          <w:p w14:paraId="28AF0405">
            <w:pPr>
              <w:widowControl/>
              <w:jc w:val="left"/>
              <w:textAlignment w:val="center"/>
              <w:rPr>
                <w:rFonts w:ascii="宋体" w:hAnsi="宋体"/>
                <w:color w:val="auto"/>
                <w:sz w:val="18"/>
                <w:szCs w:val="18"/>
                <w:highlight w:val="none"/>
              </w:rPr>
            </w:pPr>
            <w:r>
              <w:rPr>
                <w:rFonts w:hint="default" w:ascii="宋体" w:hAnsi="宋体"/>
                <w:color w:val="auto"/>
                <w:kern w:val="0"/>
                <w:sz w:val="18"/>
                <w:szCs w:val="18"/>
                <w:highlight w:val="none"/>
                <w:lang w:val="en-US"/>
              </w:rPr>
              <w:t>存储湿度 0~95%RH 无冷凝</w:t>
            </w:r>
          </w:p>
        </w:tc>
        <w:tc>
          <w:tcPr>
            <w:tcW w:w="1040" w:type="dxa"/>
            <w:tcBorders>
              <w:top w:val="single" w:color="000000" w:sz="4" w:space="0"/>
              <w:left w:val="nil"/>
              <w:bottom w:val="single" w:color="000000" w:sz="4" w:space="0"/>
              <w:right w:val="single" w:color="000000" w:sz="4" w:space="0"/>
            </w:tcBorders>
            <w:vAlign w:val="center"/>
          </w:tcPr>
          <w:p w14:paraId="039BEDDE">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24</w:t>
            </w:r>
          </w:p>
        </w:tc>
        <w:tc>
          <w:tcPr>
            <w:tcW w:w="935" w:type="dxa"/>
            <w:tcBorders>
              <w:top w:val="single" w:color="000000" w:sz="4" w:space="0"/>
              <w:left w:val="nil"/>
              <w:bottom w:val="single" w:color="000000" w:sz="4" w:space="0"/>
              <w:right w:val="single" w:color="000000" w:sz="4" w:space="0"/>
            </w:tcBorders>
            <w:vAlign w:val="center"/>
          </w:tcPr>
          <w:p w14:paraId="480DBA95">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盏</w:t>
            </w:r>
          </w:p>
        </w:tc>
        <w:tc>
          <w:tcPr>
            <w:tcW w:w="1084" w:type="dxa"/>
            <w:tcBorders>
              <w:top w:val="single" w:color="000000" w:sz="4" w:space="0"/>
              <w:left w:val="nil"/>
              <w:bottom w:val="single" w:color="000000" w:sz="4" w:space="0"/>
              <w:right w:val="single" w:color="000000" w:sz="4" w:space="0"/>
            </w:tcBorders>
            <w:vAlign w:val="center"/>
          </w:tcPr>
          <w:p w14:paraId="69554E66">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349E0732">
            <w:pPr>
              <w:jc w:val="center"/>
              <w:rPr>
                <w:rFonts w:ascii="宋体" w:hAnsi="宋体"/>
                <w:color w:val="auto"/>
                <w:sz w:val="18"/>
                <w:szCs w:val="18"/>
                <w:highlight w:val="none"/>
                <w:lang w:val="en-US" w:eastAsia="zh-CN"/>
              </w:rPr>
            </w:pPr>
          </w:p>
        </w:tc>
      </w:tr>
      <w:tr w14:paraId="2CB676AF">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28D0E9E2">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8</w:t>
            </w:r>
            <w:r>
              <w:rPr>
                <w:rFonts w:hint="eastAsia" w:ascii="宋体" w:hAnsi="宋体"/>
                <w:color w:val="auto"/>
                <w:sz w:val="18"/>
                <w:szCs w:val="18"/>
                <w:highlight w:val="none"/>
                <w:lang w:val="en-US" w:eastAsia="zh-CN"/>
              </w:rPr>
              <w:t>5</w:t>
            </w:r>
          </w:p>
        </w:tc>
        <w:tc>
          <w:tcPr>
            <w:tcW w:w="817" w:type="dxa"/>
            <w:tcBorders>
              <w:top w:val="single" w:color="000000" w:sz="4" w:space="0"/>
              <w:left w:val="nil"/>
              <w:bottom w:val="single" w:color="000000" w:sz="4" w:space="0"/>
              <w:right w:val="single" w:color="000000" w:sz="4" w:space="0"/>
            </w:tcBorders>
            <w:vAlign w:val="center"/>
          </w:tcPr>
          <w:p w14:paraId="6A4F6938">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装饰辅材</w:t>
            </w:r>
          </w:p>
        </w:tc>
        <w:tc>
          <w:tcPr>
            <w:tcW w:w="4112" w:type="dxa"/>
            <w:tcBorders>
              <w:top w:val="single" w:color="000000" w:sz="4" w:space="0"/>
              <w:left w:val="nil"/>
              <w:bottom w:val="single" w:color="000000" w:sz="4" w:space="0"/>
              <w:right w:val="single" w:color="000000" w:sz="4" w:space="0"/>
            </w:tcBorders>
            <w:vAlign w:val="center"/>
          </w:tcPr>
          <w:p w14:paraId="36CF1288">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配电箱</w:t>
            </w:r>
            <w:r>
              <w:rPr>
                <w:rFonts w:hint="eastAsia" w:ascii="宋体" w:hAnsi="宋体"/>
                <w:color w:val="auto"/>
                <w:kern w:val="0"/>
                <w:sz w:val="18"/>
                <w:szCs w:val="18"/>
                <w:highlight w:val="none"/>
                <w:lang w:val="en-US" w:eastAsia="zh-CN"/>
              </w:rPr>
              <w:t>30x20一个</w:t>
            </w:r>
            <w:r>
              <w:rPr>
                <w:rFonts w:hint="eastAsia" w:ascii="宋体" w:hAnsi="宋体"/>
                <w:color w:val="auto"/>
                <w:kern w:val="0"/>
                <w:sz w:val="18"/>
                <w:szCs w:val="18"/>
                <w:highlight w:val="none"/>
              </w:rPr>
              <w:t>、一位开关一个、</w:t>
            </w:r>
            <w:r>
              <w:rPr>
                <w:rFonts w:hint="eastAsia" w:ascii="宋体" w:hAnsi="宋体"/>
                <w:color w:val="auto"/>
                <w:kern w:val="0"/>
                <w:sz w:val="18"/>
                <w:szCs w:val="18"/>
                <w:highlight w:val="none"/>
                <w:lang w:val="en-US" w:eastAsia="zh-CN"/>
              </w:rPr>
              <w:t xml:space="preserve"> </w:t>
            </w:r>
            <w:r>
              <w:rPr>
                <w:rFonts w:hint="eastAsia" w:ascii="宋体" w:hAnsi="宋体"/>
                <w:color w:val="auto"/>
                <w:kern w:val="0"/>
                <w:sz w:val="18"/>
                <w:szCs w:val="18"/>
                <w:highlight w:val="none"/>
              </w:rPr>
              <w:t>三位开关一个、</w:t>
            </w:r>
            <w:r>
              <w:rPr>
                <w:rFonts w:hint="eastAsia" w:ascii="宋体" w:hAnsi="宋体"/>
                <w:color w:val="auto"/>
                <w:kern w:val="0"/>
                <w:sz w:val="18"/>
                <w:szCs w:val="18"/>
                <w:highlight w:val="none"/>
                <w:lang w:val="en-US" w:eastAsia="zh-CN"/>
              </w:rPr>
              <w:t xml:space="preserve"> </w:t>
            </w:r>
            <w:r>
              <w:rPr>
                <w:rFonts w:hint="eastAsia"/>
                <w:sz w:val="18"/>
                <w:szCs w:val="18"/>
              </w:rPr>
              <w:t>五孔</w:t>
            </w:r>
            <w:r>
              <w:rPr>
                <w:sz w:val="18"/>
                <w:szCs w:val="18"/>
              </w:rPr>
              <w:t>插座</w:t>
            </w:r>
            <w:r>
              <w:rPr>
                <w:rFonts w:hint="eastAsia"/>
                <w:sz w:val="18"/>
                <w:szCs w:val="18"/>
              </w:rPr>
              <w:t>三个</w:t>
            </w:r>
            <w:r>
              <w:rPr>
                <w:rFonts w:hint="eastAsia" w:ascii="宋体" w:hAnsi="宋体"/>
                <w:color w:val="auto"/>
                <w:kern w:val="0"/>
                <w:sz w:val="18"/>
                <w:szCs w:val="18"/>
                <w:highlight w:val="none"/>
              </w:rPr>
              <w:t>、空调</w:t>
            </w:r>
            <w:r>
              <w:rPr>
                <w:sz w:val="18"/>
                <w:szCs w:val="18"/>
              </w:rPr>
              <w:t>插座</w:t>
            </w:r>
            <w:r>
              <w:rPr>
                <w:rFonts w:hint="eastAsia"/>
                <w:sz w:val="18"/>
                <w:szCs w:val="18"/>
              </w:rPr>
              <w:t>三个</w:t>
            </w:r>
            <w:r>
              <w:rPr>
                <w:rFonts w:hint="eastAsia" w:ascii="宋体" w:hAnsi="宋体"/>
                <w:color w:val="auto"/>
                <w:kern w:val="0"/>
                <w:sz w:val="18"/>
                <w:szCs w:val="18"/>
                <w:highlight w:val="none"/>
              </w:rPr>
              <w:t>、</w:t>
            </w:r>
            <w:r>
              <w:rPr>
                <w:rFonts w:hint="eastAsia"/>
                <w:sz w:val="18"/>
                <w:szCs w:val="18"/>
                <w:lang w:val="en-US" w:eastAsia="zh-CN"/>
              </w:rPr>
              <w:t xml:space="preserve"> </w:t>
            </w:r>
            <w:r>
              <w:rPr>
                <w:rFonts w:hint="eastAsia" w:ascii="宋体" w:hAnsi="宋体"/>
                <w:color w:val="auto"/>
                <w:kern w:val="0"/>
                <w:sz w:val="18"/>
                <w:szCs w:val="18"/>
                <w:highlight w:val="none"/>
              </w:rPr>
              <w:t>电线</w:t>
            </w:r>
            <w:r>
              <w:rPr>
                <w:rFonts w:hint="eastAsia" w:ascii="宋体" w:hAnsi="宋体"/>
                <w:color w:val="auto"/>
                <w:kern w:val="0"/>
                <w:sz w:val="18"/>
                <w:szCs w:val="18"/>
                <w:highlight w:val="none"/>
                <w:lang w:val="en-US" w:eastAsia="zh-CN"/>
              </w:rPr>
              <w:t>200米</w:t>
            </w:r>
            <w:r>
              <w:rPr>
                <w:rFonts w:hint="eastAsia" w:ascii="宋体" w:hAnsi="宋体"/>
                <w:color w:val="auto"/>
                <w:kern w:val="0"/>
                <w:sz w:val="18"/>
                <w:szCs w:val="18"/>
                <w:highlight w:val="none"/>
              </w:rPr>
              <w:t>、PVC</w:t>
            </w:r>
            <w:r>
              <w:rPr>
                <w:rFonts w:hint="eastAsia" w:ascii="宋体" w:hAnsi="宋体"/>
                <w:color w:val="auto"/>
                <w:kern w:val="0"/>
                <w:sz w:val="18"/>
                <w:szCs w:val="18"/>
                <w:highlight w:val="none"/>
                <w:lang w:val="en-US" w:eastAsia="zh-CN"/>
              </w:rPr>
              <w:t>200米。</w:t>
            </w:r>
          </w:p>
        </w:tc>
        <w:tc>
          <w:tcPr>
            <w:tcW w:w="1040" w:type="dxa"/>
            <w:tcBorders>
              <w:top w:val="single" w:color="000000" w:sz="4" w:space="0"/>
              <w:left w:val="nil"/>
              <w:bottom w:val="single" w:color="000000" w:sz="4" w:space="0"/>
              <w:right w:val="single" w:color="000000" w:sz="4" w:space="0"/>
            </w:tcBorders>
            <w:vAlign w:val="center"/>
          </w:tcPr>
          <w:p w14:paraId="031F3896">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791F6D26">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项</w:t>
            </w:r>
          </w:p>
        </w:tc>
        <w:tc>
          <w:tcPr>
            <w:tcW w:w="1084" w:type="dxa"/>
            <w:tcBorders>
              <w:top w:val="single" w:color="000000" w:sz="4" w:space="0"/>
              <w:left w:val="nil"/>
              <w:bottom w:val="single" w:color="000000" w:sz="4" w:space="0"/>
              <w:right w:val="single" w:color="000000" w:sz="4" w:space="0"/>
            </w:tcBorders>
            <w:vAlign w:val="center"/>
          </w:tcPr>
          <w:p w14:paraId="17DC41F5">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4008A4E7">
            <w:pPr>
              <w:jc w:val="center"/>
              <w:rPr>
                <w:rFonts w:hint="eastAsia" w:ascii="宋体" w:hAnsi="宋体"/>
                <w:color w:val="auto"/>
                <w:sz w:val="18"/>
                <w:szCs w:val="18"/>
                <w:highlight w:val="none"/>
                <w:lang w:val="en-US" w:eastAsia="zh-CN"/>
              </w:rPr>
            </w:pPr>
          </w:p>
        </w:tc>
      </w:tr>
      <w:tr w14:paraId="791AF9B1">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70D99124">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8</w:t>
            </w:r>
            <w:r>
              <w:rPr>
                <w:rFonts w:hint="eastAsia" w:ascii="宋体" w:hAnsi="宋体"/>
                <w:color w:val="auto"/>
                <w:sz w:val="18"/>
                <w:szCs w:val="18"/>
                <w:highlight w:val="none"/>
                <w:lang w:val="en-US" w:eastAsia="zh-CN"/>
              </w:rPr>
              <w:t>6</w:t>
            </w:r>
          </w:p>
        </w:tc>
        <w:tc>
          <w:tcPr>
            <w:tcW w:w="817" w:type="dxa"/>
            <w:tcBorders>
              <w:top w:val="single" w:color="000000" w:sz="4" w:space="0"/>
              <w:left w:val="nil"/>
              <w:bottom w:val="single" w:color="000000" w:sz="4" w:space="0"/>
              <w:right w:val="single" w:color="000000" w:sz="4" w:space="0"/>
            </w:tcBorders>
            <w:vAlign w:val="center"/>
          </w:tcPr>
          <w:p w14:paraId="09365D56">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86英寸双屏电容一体机</w:t>
            </w:r>
          </w:p>
        </w:tc>
        <w:tc>
          <w:tcPr>
            <w:tcW w:w="4112" w:type="dxa"/>
            <w:tcBorders>
              <w:top w:val="single" w:color="000000" w:sz="4" w:space="0"/>
              <w:left w:val="nil"/>
              <w:bottom w:val="single" w:color="000000" w:sz="4" w:space="0"/>
              <w:right w:val="single" w:color="000000" w:sz="4" w:space="0"/>
            </w:tcBorders>
            <w:vAlign w:val="center"/>
          </w:tcPr>
          <w:p w14:paraId="7365F45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1.整机采用一体设计，外部无任何可见内部功能模块连接线。整机采用全金属外壳设计，边角采用弧形设计，表面无尖锐边缘或凸起。</w:t>
            </w:r>
          </w:p>
          <w:p w14:paraId="525C749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w:t>
            </w:r>
            <w:r>
              <w:rPr>
                <w:rFonts w:hint="eastAsia" w:ascii="宋体" w:hAnsi="宋体"/>
                <w:color w:val="auto"/>
                <w:sz w:val="18"/>
                <w:szCs w:val="18"/>
                <w:highlight w:val="none"/>
                <w:lang w:val="en-US" w:eastAsia="zh-CN"/>
              </w:rPr>
              <w:t>屏幕不小于</w:t>
            </w:r>
            <w:r>
              <w:rPr>
                <w:rFonts w:hint="eastAsia" w:ascii="宋体" w:hAnsi="宋体"/>
                <w:color w:val="auto"/>
                <w:sz w:val="18"/>
                <w:szCs w:val="18"/>
                <w:highlight w:val="none"/>
              </w:rPr>
              <w:t>86英寸，整机采用超高清LED液晶显示屏，显示比例16:9，分辨率3840×2160。 整机色域覆盖率（NTSC）≥90%</w:t>
            </w:r>
          </w:p>
          <w:p w14:paraId="7E12198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3.接口设置：</w:t>
            </w:r>
          </w:p>
          <w:p w14:paraId="6479A32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侧置输入接口具备2路HDMI、1路RS232、1路USB接口，1路3.5mm audio in 音频输入接口  ；</w:t>
            </w:r>
          </w:p>
          <w:p w14:paraId="02DBD21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侧置输出接口具备1路3.5mm audio out音频输出、1路触控USB输出；</w:t>
            </w:r>
          </w:p>
          <w:p w14:paraId="475BF74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侧置输出接口具备1路HDMI out接口，支持3840×2160p/60Hz视频输出；</w:t>
            </w:r>
          </w:p>
          <w:p w14:paraId="5BAEEE8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前置输入接口3路USB接口（包含1路Type-C、2路USB）。</w:t>
            </w:r>
          </w:p>
          <w:p w14:paraId="3459D78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4.整机系统采用高性能8核CPU。</w:t>
            </w:r>
          </w:p>
          <w:p w14:paraId="722E27B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5.嵌入式系统版本不低于Android 13，内存≥4GB，存储空间≥32GB。</w:t>
            </w:r>
          </w:p>
          <w:p w14:paraId="7EA5325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6.整机支持全通道支持4K UI界面显示，包括安卓通道、PC通道、HDMI通道、Type-C通道。</w:t>
            </w:r>
          </w:p>
          <w:p w14:paraId="14FD0E3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7.采用电容触控方式，支持Windows系统中进行50点或以上触控，支持在Android系统中进行40点或以上触控。</w:t>
            </w:r>
          </w:p>
          <w:p w14:paraId="28A6052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8.整机内置2.2声道扬声器，位于设备上边框，顶置朝前发声，前朝向10W高音扬声器2个，上朝向20W中低音扬声器2个，额定总功率60W。</w:t>
            </w:r>
          </w:p>
          <w:p w14:paraId="65D247E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9.整机扬声器在100%音量下，可做到1米处声压级≥88db，10米处声压级≥79dB10.内置摄像头、麦克风无需外接线材连接，无任何可见外接线材及模块化拼接痕迹，未占用整机设备端口。</w:t>
            </w:r>
          </w:p>
          <w:p w14:paraId="5D2EA19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10.支持标准、听力、观影和 AI 空间感知音效模式，AI 空间感知音效模式可通过内置麦克风采集教室物理环境声音，自动生成符合当前教室物理环境的频段、音量、音效。</w:t>
            </w:r>
          </w:p>
          <w:p w14:paraId="06BE6B7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11.整机内置独立音频CPU处理器，支持麦克风3A算法（自动增益控制（AGC）、自动抑制噪声（ANC）、自动回声消除（AEC）），提升麦克风拾音效果；</w:t>
            </w:r>
          </w:p>
          <w:p w14:paraId="3C5F969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12.整机内置专属的4核音频CPU处理器，最多支持8路麦克风数据处理，采样率支持192K，同时不占用整机系统的CPU能力。</w:t>
            </w:r>
          </w:p>
          <w:p w14:paraId="1D22E92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13.整机全通道支持纸质护眼模式，可实现画面纹理的实时调整。</w:t>
            </w:r>
          </w:p>
          <w:p w14:paraId="1D98E60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14.整机支持蓝牙Bluetooth 5.4标准，固件版本号HCI13.0/LMP13.0。</w:t>
            </w:r>
          </w:p>
          <w:p w14:paraId="6FBCB68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15.整机支持发出频率为 18kHz-22kHz 超声波信号，智能手机通过麦克风接收后，智能手机与整机无需在同一局域网内，可实现配对，一键投屏，用户无需手动输入投屏码或扫码获取投屏码。</w:t>
            </w:r>
          </w:p>
          <w:p w14:paraId="2FB4D7E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16.整机上边框内置非独立式摄像头，采用一体化集成设计，摄像头数量≥3个；</w:t>
            </w:r>
          </w:p>
          <w:p w14:paraId="4D7FCC0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17.上边框内置非独立式广角高清摄像头，视场角≥151度，水平视场角≥135度，支持输出4:3、16:9比例的图片和视频；在清晰度为3840x2160分辨率下，支持30帧的视频输出。</w:t>
            </w:r>
          </w:p>
          <w:p w14:paraId="7538E77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18.整机Windows通道支持文件传输应用，支持通过扫码、wifi直联、超声三种方式与手机进行握手连接，实现文件传输功能。</w:t>
            </w:r>
          </w:p>
          <w:p w14:paraId="2CB3DC9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二、内置电脑模块</w:t>
            </w:r>
          </w:p>
          <w:p w14:paraId="0C5D425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1.整机架构:为降低电脑模块维护成本，与大屏无单独接线；</w:t>
            </w:r>
          </w:p>
          <w:p w14:paraId="2AAE816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2.为保证产品安全性，采用螺丝固定，无需工具即可快速拆卸电脑模块。</w:t>
            </w:r>
          </w:p>
          <w:p w14:paraId="46C706D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3.CPU</w:t>
            </w:r>
            <w:r>
              <w:rPr>
                <w:rFonts w:hint="eastAsia" w:ascii="宋体" w:hAnsi="宋体"/>
                <w:color w:val="auto"/>
                <w:sz w:val="18"/>
                <w:szCs w:val="18"/>
                <w:highlight w:val="none"/>
                <w:lang w:val="en-US" w:eastAsia="zh-CN"/>
              </w:rPr>
              <w:t>采用核心数</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8核,主频</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1.8GHz</w:t>
            </w:r>
            <w:r>
              <w:rPr>
                <w:rFonts w:hint="eastAsia" w:ascii="宋体" w:hAnsi="宋体"/>
                <w:color w:val="auto"/>
                <w:sz w:val="18"/>
                <w:szCs w:val="18"/>
                <w:highlight w:val="none"/>
              </w:rPr>
              <w:t>；内存：≥8G DDR4；硬盘：≥256G SSD；独立显卡≥6G；</w:t>
            </w:r>
          </w:p>
          <w:p w14:paraId="51780A0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4.USB接口要求：USB3.0≥3，USB2.0≥1；</w:t>
            </w:r>
          </w:p>
          <w:p w14:paraId="3666183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5.具有标准 PC 防盗锁孔，确保电脑模块安全防盗；</w:t>
            </w:r>
          </w:p>
        </w:tc>
        <w:tc>
          <w:tcPr>
            <w:tcW w:w="1040" w:type="dxa"/>
            <w:tcBorders>
              <w:top w:val="single" w:color="000000" w:sz="4" w:space="0"/>
              <w:left w:val="nil"/>
              <w:bottom w:val="single" w:color="000000" w:sz="4" w:space="0"/>
              <w:right w:val="single" w:color="000000" w:sz="4" w:space="0"/>
            </w:tcBorders>
            <w:vAlign w:val="center"/>
          </w:tcPr>
          <w:p w14:paraId="035905A3">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1A9C74FF">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305BAA31">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339A7D06">
            <w:pPr>
              <w:jc w:val="center"/>
              <w:rPr>
                <w:rFonts w:ascii="宋体" w:hAnsi="宋体"/>
                <w:color w:val="auto"/>
                <w:sz w:val="18"/>
                <w:szCs w:val="18"/>
                <w:highlight w:val="none"/>
                <w:lang w:val="en-US" w:eastAsia="zh-CN"/>
              </w:rPr>
            </w:pPr>
          </w:p>
        </w:tc>
      </w:tr>
      <w:tr w14:paraId="3849AE12">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47DAA626">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8</w:t>
            </w:r>
            <w:r>
              <w:rPr>
                <w:rFonts w:hint="eastAsia" w:ascii="宋体" w:hAnsi="宋体"/>
                <w:color w:val="auto"/>
                <w:sz w:val="18"/>
                <w:szCs w:val="18"/>
                <w:highlight w:val="none"/>
                <w:lang w:val="en-US" w:eastAsia="zh-CN"/>
              </w:rPr>
              <w:t>7</w:t>
            </w:r>
          </w:p>
        </w:tc>
        <w:tc>
          <w:tcPr>
            <w:tcW w:w="817" w:type="dxa"/>
            <w:tcBorders>
              <w:top w:val="single" w:color="000000" w:sz="4" w:space="0"/>
              <w:left w:val="nil"/>
              <w:bottom w:val="single" w:color="000000" w:sz="4" w:space="0"/>
              <w:right w:val="single" w:color="000000" w:sz="4" w:space="0"/>
            </w:tcBorders>
            <w:vAlign w:val="center"/>
          </w:tcPr>
          <w:p w14:paraId="652CB2DC">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小组研讨屏</w:t>
            </w:r>
          </w:p>
        </w:tc>
        <w:tc>
          <w:tcPr>
            <w:tcW w:w="4112" w:type="dxa"/>
            <w:tcBorders>
              <w:top w:val="single" w:color="000000" w:sz="4" w:space="0"/>
              <w:left w:val="nil"/>
              <w:bottom w:val="single" w:color="000000" w:sz="4" w:space="0"/>
              <w:right w:val="single" w:color="000000" w:sz="4" w:space="0"/>
            </w:tcBorders>
            <w:vAlign w:val="center"/>
          </w:tcPr>
          <w:p w14:paraId="4A05888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（1）整机基础参数</w:t>
            </w:r>
          </w:p>
          <w:p w14:paraId="7DD39BD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1、整机屏幕采用≥65英寸，UHD超高清LED液晶屏，显示比例16:9，屏幕图像分辨率≥3840*2160；</w:t>
            </w:r>
          </w:p>
          <w:p w14:paraId="303F86D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2、整机采用无推拉式结构及外露连接线；</w:t>
            </w:r>
          </w:p>
          <w:p w14:paraId="7F0D0F0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3、整机提供前置输入接口，≥2路前置双通道USB接口，≥1路Type-C；</w:t>
            </w:r>
          </w:p>
          <w:p w14:paraId="3455489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4、侧置接口具备≥1路音频输出，≥1路触控USB；</w:t>
            </w:r>
          </w:p>
          <w:p w14:paraId="6E4840F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5、整机嵌入式系统版本不低于Android 13或同类嵌入式系统，内存≥2GB，存储空间≥8GB。</w:t>
            </w:r>
          </w:p>
          <w:p w14:paraId="15F365A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6、整机屏体亮度≥350cd/M2；整机色域覆盖率（NTSC）≥72%；对比度≥4000：1；整机屏体最大可视角度≥178度。</w:t>
            </w:r>
          </w:p>
          <w:p w14:paraId="61EE3D3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7、依据相关国家标准，整机视网膜蓝光危害（蓝光加权辐射亮度LB）满足IEC TR 62778:2014蓝光危害RG0级别，LB限制范围≤100，蓝光无危害。</w:t>
            </w:r>
          </w:p>
          <w:p w14:paraId="046BBFB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8、整机能感应并自动调节屏幕亮度来达到在不同光照环境下的不同亮度显示效果，此功能可自行开启或关闭。</w:t>
            </w:r>
          </w:p>
          <w:p w14:paraId="708584F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（2）音视频配置模块</w:t>
            </w:r>
          </w:p>
          <w:p w14:paraId="6EF2671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1、设备需搭载总功率不低于60W的扩声系统，不低于2.2声道，扬声器位于设备上方，声音方向朝前，保证后排清晰，前排不震耳。</w:t>
            </w:r>
          </w:p>
          <w:p w14:paraId="089895F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2、为满足远程教学及实训指导拾音需求，整机内置非独立外扩展的8阵列麦克风，可用于对教室环境音频进行采集；</w:t>
            </w:r>
          </w:p>
          <w:p w14:paraId="7FE568E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3、整机支持蓝牙Bluetooth 5.4标准，支持主动发现蓝牙外设从而连接，支持连接外部蓝牙音箱播放音频。</w:t>
            </w:r>
          </w:p>
          <w:p w14:paraId="120D9F7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4、整机上边框内置非独式广角摄像头和智能拼接摄像头， 均支持 3D 降噪算法和数字宽动态范围成像WDR 技术，支持输出 MJPG、 H.264 视频格式；</w:t>
            </w:r>
          </w:p>
          <w:p w14:paraId="0154D80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5、整机需内置非独立的高清摄像头支持输出4:3、16:9比例的图片和视频；在清晰度为2592 x 1944分辨率下，支持30帧的视频输出。</w:t>
            </w:r>
          </w:p>
          <w:p w14:paraId="3106D36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6、整机摄像头支持人脸识别、快速点人数、随机抽人，可识别镜头前的所有学生，并显示人脸标记、随机抽选。支持同时显示标记不少于60人。</w:t>
            </w:r>
          </w:p>
          <w:p w14:paraId="69B9288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7、支持标准、听力、观影和AI空间感知音效模式，AI空间感知音效模式可通过内置麦克风采集教室物理环境声音，自动生成符合当前教室物理环境的频段、音量、音效。</w:t>
            </w:r>
          </w:p>
          <w:p w14:paraId="40C9BC6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（3）便捷使用设计</w:t>
            </w:r>
          </w:p>
          <w:p w14:paraId="7D8FB1C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1、支持通过前置面板物理按键一键启动录课功能；</w:t>
            </w:r>
          </w:p>
          <w:p w14:paraId="0090C94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2、需支持纸质护眼模式，支持包括但不限于素描纸、牛皮纸、宣纸、水彩纸、水纹纸等多个模式。</w:t>
            </w:r>
          </w:p>
          <w:p w14:paraId="4C93E83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3、设备可根据需要修改及记忆信号源名称，支持自动识别及切换到新接入的信号源来显示，断开信号源连接后经确认即可返回之前信号源；</w:t>
            </w:r>
          </w:p>
          <w:p w14:paraId="0E2C082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4、支持智能板擦功能，系统可根据触控物体的形状自动识别出实物板擦，可擦除电子白板中的内容，无需依赖外部电子设备；</w:t>
            </w:r>
          </w:p>
          <w:p w14:paraId="0B7402C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5、安卓系统自检功能，可检测整机内存，存储使用情况；可检测内置电脑，触控系统，光感系统，可判断硬件是否正常工作；</w:t>
            </w:r>
          </w:p>
          <w:p w14:paraId="55328FD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6、整机Windows通道支持文件传输应用，支持通过扫码、wifi直联、超声三种方式与手机进行握手连接，实现文件传输功能。</w:t>
            </w:r>
          </w:p>
          <w:p w14:paraId="595F10A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7、整机支持发出频率为18kHz-22kHz超声波信号，智能手机通过麦克风接收后，智能手机与整机无需在同一局域网内，可实现配对，一键投屏，用户无需手动输入投屏码或扫码获取投屏码；</w:t>
            </w:r>
          </w:p>
          <w:p w14:paraId="140780D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8、支持通过Type-C接口U盘进行文件传输，兼容Type-C接口手机充电；</w:t>
            </w:r>
          </w:p>
          <w:p w14:paraId="42B7152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（5）OPS性能参数要求</w:t>
            </w:r>
          </w:p>
          <w:p w14:paraId="5CDEA73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1.整机架构:为降低电脑模块维护成本，与大屏无单独接线；</w:t>
            </w:r>
          </w:p>
          <w:p w14:paraId="54B214C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2.为保证产品安全性，采用螺丝固定，无需工具即可快速拆卸电脑模块。</w:t>
            </w:r>
          </w:p>
          <w:p w14:paraId="1A1494D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3.CPU</w:t>
            </w:r>
            <w:r>
              <w:rPr>
                <w:rFonts w:hint="eastAsia" w:ascii="宋体" w:hAnsi="宋体"/>
                <w:color w:val="auto"/>
                <w:sz w:val="18"/>
                <w:szCs w:val="18"/>
                <w:highlight w:val="none"/>
                <w:lang w:val="en-US" w:eastAsia="zh-CN"/>
              </w:rPr>
              <w:t>采用核心数</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8核,主频</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1.8GHz</w:t>
            </w:r>
            <w:r>
              <w:rPr>
                <w:rFonts w:hint="eastAsia" w:ascii="宋体" w:hAnsi="宋体"/>
                <w:color w:val="auto"/>
                <w:sz w:val="18"/>
                <w:szCs w:val="18"/>
                <w:highlight w:val="none"/>
              </w:rPr>
              <w:t>；内存：≥8G DDR4；硬盘：≥256G SSD；</w:t>
            </w:r>
          </w:p>
          <w:p w14:paraId="0999EB1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4.USB接口要求：USB3.0≥3，USB2.0≥1；</w:t>
            </w:r>
          </w:p>
          <w:p w14:paraId="4F78926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5.具有标准 PC 防盗锁孔，确保电脑模块安全防盗；</w:t>
            </w:r>
          </w:p>
        </w:tc>
        <w:tc>
          <w:tcPr>
            <w:tcW w:w="1040" w:type="dxa"/>
            <w:tcBorders>
              <w:top w:val="single" w:color="000000" w:sz="4" w:space="0"/>
              <w:left w:val="nil"/>
              <w:bottom w:val="single" w:color="000000" w:sz="4" w:space="0"/>
              <w:right w:val="single" w:color="000000" w:sz="4" w:space="0"/>
            </w:tcBorders>
            <w:vAlign w:val="center"/>
          </w:tcPr>
          <w:p w14:paraId="245C17B5">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6</w:t>
            </w:r>
          </w:p>
        </w:tc>
        <w:tc>
          <w:tcPr>
            <w:tcW w:w="935" w:type="dxa"/>
            <w:tcBorders>
              <w:top w:val="single" w:color="000000" w:sz="4" w:space="0"/>
              <w:left w:val="nil"/>
              <w:bottom w:val="single" w:color="000000" w:sz="4" w:space="0"/>
              <w:right w:val="single" w:color="000000" w:sz="4" w:space="0"/>
            </w:tcBorders>
            <w:vAlign w:val="center"/>
          </w:tcPr>
          <w:p w14:paraId="4D1847C9">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5A5E947D">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17F23F59">
            <w:pPr>
              <w:jc w:val="center"/>
              <w:rPr>
                <w:rFonts w:ascii="宋体" w:hAnsi="宋体"/>
                <w:color w:val="auto"/>
                <w:sz w:val="18"/>
                <w:szCs w:val="18"/>
                <w:highlight w:val="none"/>
                <w:lang w:val="en-US" w:eastAsia="zh-CN"/>
              </w:rPr>
            </w:pPr>
          </w:p>
        </w:tc>
      </w:tr>
      <w:tr w14:paraId="38645FAF">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7FF9BCE7">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8</w:t>
            </w:r>
            <w:r>
              <w:rPr>
                <w:rFonts w:hint="eastAsia" w:ascii="宋体" w:hAnsi="宋体"/>
                <w:color w:val="auto"/>
                <w:sz w:val="18"/>
                <w:szCs w:val="18"/>
                <w:highlight w:val="none"/>
                <w:lang w:val="en-US" w:eastAsia="zh-CN"/>
              </w:rPr>
              <w:t>8</w:t>
            </w:r>
          </w:p>
        </w:tc>
        <w:tc>
          <w:tcPr>
            <w:tcW w:w="817" w:type="dxa"/>
            <w:tcBorders>
              <w:top w:val="single" w:color="000000" w:sz="4" w:space="0"/>
              <w:left w:val="nil"/>
              <w:bottom w:val="single" w:color="000000" w:sz="4" w:space="0"/>
              <w:right w:val="single" w:color="000000" w:sz="4" w:space="0"/>
            </w:tcBorders>
            <w:vAlign w:val="center"/>
          </w:tcPr>
          <w:p w14:paraId="067AE9EC">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智能讲台</w:t>
            </w:r>
          </w:p>
        </w:tc>
        <w:tc>
          <w:tcPr>
            <w:tcW w:w="4112" w:type="dxa"/>
            <w:tcBorders>
              <w:top w:val="single" w:color="000000" w:sz="4" w:space="0"/>
              <w:left w:val="nil"/>
              <w:bottom w:val="single" w:color="000000" w:sz="4" w:space="0"/>
              <w:right w:val="single" w:color="000000" w:sz="4" w:space="0"/>
            </w:tcBorders>
            <w:vAlign w:val="center"/>
          </w:tcPr>
          <w:p w14:paraId="7D63C84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一、触控终端</w:t>
            </w:r>
          </w:p>
          <w:p w14:paraId="07EE503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1.屏体的屏幕采用≥23.8英寸电容触摸屏且采用防眩光钢化玻璃面板，厚度≥2mm；支持≥10点触控；支持屏幕手动角度调节，可实现与桌面形成20°至80°角度调节；</w:t>
            </w:r>
          </w:p>
          <w:p w14:paraId="6634C6A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2.屏体侧面具有物理实体快捷按键≥6个，按键功能包括对屏幕一键开/关屏幕、对匹配的大屏进行一键熄屏以及一键音量加、一键音量减。</w:t>
            </w:r>
          </w:p>
          <w:p w14:paraId="71992DE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3.屏体侧边具有≥2路USB数据口，可接入U盘等设备，且可被匹配的大屏识别和通讯；≥1路Type-C和HDMI IN接口，均可单路将连接外界笔记本电脑画面显示在屏幕及匹配的大屏上，其中Type-C还可连接外接移动桌面系统终端（如PAD、笔记本、手机等）即可将移动桌面系统终端画面显示在主屏幕及匹配的大屏上并可用于充电；具有≥1个220V国标五插电源接口，支持对外供电。</w:t>
            </w:r>
          </w:p>
          <w:p w14:paraId="6AD7305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4.屏体底座内置接口：HDMI IN≥2个；HDMI OUT≥1个;USB≥4个；RJ45≥1个；AUDIO OUT≥1个；RS232≥1个。</w:t>
            </w:r>
          </w:p>
          <w:p w14:paraId="655ABC0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5.屏体侧边内置NFC模块；讲台屏至少支持NFC刷卡、二维码2种方式实现设备使用前的用户身份认证。</w:t>
            </w:r>
          </w:p>
          <w:p w14:paraId="365F84B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6.讲台屏自带定制化独立操作系统，基于Android 11及以上版本，可在任意通道下唤出多功能中控菜单并实现相关操作。</w:t>
            </w:r>
          </w:p>
          <w:p w14:paraId="4497145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屏幕可调出中控菜单界面，支持一键上课及下课两种场景控制，也可以对连接的设备单独控制开关机；支持对屏幕输入源显示画面切换，包括智能平板、电脑、HDMI、Type-C；支持当接入匹配教室内的录播产品时，可显示录播导播流画面，选择开始录制、暂停录制和结束录制等功能；支持当接入匹配教室内的物联产品时，可视化显示物联设备且可进行应用场景化管理；</w:t>
            </w:r>
          </w:p>
          <w:p w14:paraId="7BB5844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二、底座</w:t>
            </w:r>
          </w:p>
          <w:p w14:paraId="2D3A625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1.钢木结合设计，采用冷轧钢板桌体，桌体金属板厚度≥1.2mm，老师接触位置为木质桌面，桌面采用E0级环保高密度板。</w:t>
            </w:r>
          </w:p>
          <w:p w14:paraId="06FCBB1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2.讲台尺寸设计为长×宽×高：≥ 1280mm×596mm×1052mm</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允差</w:t>
            </w:r>
            <w:r>
              <w:rPr>
                <w:rFonts w:hint="eastAsia" w:ascii="宋体" w:hAnsi="宋体"/>
                <w:color w:val="auto"/>
                <w:sz w:val="18"/>
                <w:szCs w:val="18"/>
                <w:highlight w:val="none"/>
              </w:rPr>
              <w:t>±5mm</w:t>
            </w:r>
            <w:r>
              <w:rPr>
                <w:rFonts w:hint="eastAsia" w:ascii="宋体" w:hAnsi="宋体"/>
                <w:color w:val="auto"/>
                <w:sz w:val="18"/>
                <w:szCs w:val="18"/>
                <w:highlight w:val="none"/>
                <w:lang w:eastAsia="zh-CN"/>
              </w:rPr>
              <w:t>）</w:t>
            </w:r>
            <w:r>
              <w:rPr>
                <w:rFonts w:hint="eastAsia" w:ascii="宋体" w:hAnsi="宋体"/>
                <w:color w:val="auto"/>
                <w:sz w:val="18"/>
                <w:szCs w:val="18"/>
                <w:highlight w:val="none"/>
              </w:rPr>
              <w:t>，环抱老师式设计，根据人体力学设计，讲台桌面高度合适老师放置教学用品。</w:t>
            </w:r>
          </w:p>
          <w:p w14:paraId="78119CA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3.讲台桌面平整，全封闭设计，整体外观流线型设计，无菱角处理，正面中部受到170N的冲击力时不会倾倒，保护师生安全。</w:t>
            </w:r>
          </w:p>
          <w:p w14:paraId="60979F1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4.讲台支持标准机柜收纳，支持≥12U的设备收纳放置，收纳空间（含机柜部分）≥</w:t>
            </w:r>
            <w:r>
              <w:rPr>
                <w:rFonts w:hint="eastAsia" w:ascii="宋体" w:hAnsi="宋体"/>
                <w:color w:val="auto"/>
                <w:sz w:val="18"/>
                <w:szCs w:val="18"/>
                <w:highlight w:val="none"/>
                <w:lang w:val="en-US" w:eastAsia="zh-CN"/>
              </w:rPr>
              <w:t>高</w:t>
            </w:r>
            <w:r>
              <w:rPr>
                <w:rFonts w:hint="eastAsia" w:ascii="宋体" w:hAnsi="宋体"/>
                <w:color w:val="auto"/>
                <w:sz w:val="18"/>
                <w:szCs w:val="18"/>
                <w:highlight w:val="none"/>
              </w:rPr>
              <w:t>977mm×</w:t>
            </w:r>
            <w:r>
              <w:rPr>
                <w:rFonts w:hint="eastAsia" w:ascii="宋体" w:hAnsi="宋体"/>
                <w:color w:val="auto"/>
                <w:sz w:val="18"/>
                <w:szCs w:val="18"/>
                <w:highlight w:val="none"/>
                <w:lang w:val="en-US" w:eastAsia="zh-CN"/>
              </w:rPr>
              <w:t>宽</w:t>
            </w:r>
            <w:r>
              <w:rPr>
                <w:rFonts w:hint="eastAsia" w:ascii="宋体" w:hAnsi="宋体"/>
                <w:color w:val="auto"/>
                <w:sz w:val="18"/>
                <w:szCs w:val="18"/>
                <w:highlight w:val="none"/>
              </w:rPr>
              <w:t>504mm×</w:t>
            </w:r>
            <w:r>
              <w:rPr>
                <w:rFonts w:hint="eastAsia" w:ascii="宋体" w:hAnsi="宋体"/>
                <w:color w:val="auto"/>
                <w:sz w:val="18"/>
                <w:szCs w:val="18"/>
                <w:highlight w:val="none"/>
                <w:lang w:val="en-US" w:eastAsia="zh-CN"/>
              </w:rPr>
              <w:t>长</w:t>
            </w:r>
            <w:r>
              <w:rPr>
                <w:rFonts w:hint="eastAsia" w:ascii="宋体" w:hAnsi="宋体"/>
                <w:color w:val="auto"/>
                <w:sz w:val="18"/>
                <w:szCs w:val="18"/>
                <w:highlight w:val="none"/>
              </w:rPr>
              <w:t>654mm</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允差</w:t>
            </w:r>
            <w:r>
              <w:rPr>
                <w:rFonts w:hint="eastAsia" w:ascii="宋体" w:hAnsi="宋体"/>
                <w:color w:val="auto"/>
                <w:sz w:val="18"/>
                <w:szCs w:val="18"/>
                <w:highlight w:val="none"/>
              </w:rPr>
              <w:t>±5mm</w:t>
            </w:r>
            <w:r>
              <w:rPr>
                <w:rFonts w:hint="eastAsia" w:ascii="宋体" w:hAnsi="宋体"/>
                <w:color w:val="auto"/>
                <w:sz w:val="18"/>
                <w:szCs w:val="18"/>
                <w:highlight w:val="none"/>
                <w:lang w:eastAsia="zh-CN"/>
              </w:rPr>
              <w:t>）</w:t>
            </w:r>
            <w:r>
              <w:rPr>
                <w:rFonts w:hint="eastAsia" w:ascii="宋体" w:hAnsi="宋体"/>
                <w:color w:val="auto"/>
                <w:sz w:val="18"/>
                <w:szCs w:val="18"/>
                <w:highlight w:val="none"/>
              </w:rPr>
              <w:t>，前后门都可以打开，方便设备安装及维护，前门采用隐藏式按压弹簧开关设计，美观且易于操作，后门采用双开门式设计，只需要一把锁管理；</w:t>
            </w:r>
          </w:p>
          <w:p w14:paraId="02C92C1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5.讲台机柜门采用大面积散热孔设计，易于柜内设备的通风散热，避免设备损坏。</w:t>
            </w:r>
          </w:p>
          <w:p w14:paraId="74FA622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6.讲台左侧边配置内嵌式铝合金材质可回弹衣帽钩，表面光滑，做工精细，不突兀，使用时拉开挂勾即可，承重可支持10kg。讲台右侧边配置金属材质水杯支架，方便使用。</w:t>
            </w:r>
          </w:p>
          <w:p w14:paraId="64625B7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7.讲台底部预留脚部空间，内侧采用活动式挡板设计，避免线材外漏，防止老鼠啃咬。</w:t>
            </w:r>
          </w:p>
        </w:tc>
        <w:tc>
          <w:tcPr>
            <w:tcW w:w="1040" w:type="dxa"/>
            <w:tcBorders>
              <w:top w:val="single" w:color="000000" w:sz="4" w:space="0"/>
              <w:left w:val="nil"/>
              <w:bottom w:val="single" w:color="000000" w:sz="4" w:space="0"/>
              <w:right w:val="single" w:color="000000" w:sz="4" w:space="0"/>
            </w:tcBorders>
            <w:vAlign w:val="center"/>
          </w:tcPr>
          <w:p w14:paraId="6D4F0EE0">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1EA88F4D">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7CAF79B0">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21ED8E10">
            <w:pPr>
              <w:jc w:val="center"/>
              <w:rPr>
                <w:rFonts w:ascii="宋体" w:hAnsi="宋体"/>
                <w:color w:val="auto"/>
                <w:sz w:val="18"/>
                <w:szCs w:val="18"/>
                <w:highlight w:val="none"/>
                <w:lang w:val="en-US" w:eastAsia="zh-CN"/>
              </w:rPr>
            </w:pPr>
          </w:p>
        </w:tc>
      </w:tr>
      <w:tr w14:paraId="39B23A7F">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365060F2">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8</w:t>
            </w:r>
            <w:r>
              <w:rPr>
                <w:rFonts w:hint="eastAsia" w:ascii="宋体" w:hAnsi="宋体"/>
                <w:color w:val="auto"/>
                <w:sz w:val="18"/>
                <w:szCs w:val="18"/>
                <w:highlight w:val="none"/>
                <w:lang w:val="en-US" w:eastAsia="zh-CN"/>
              </w:rPr>
              <w:t>9</w:t>
            </w:r>
          </w:p>
        </w:tc>
        <w:tc>
          <w:tcPr>
            <w:tcW w:w="817" w:type="dxa"/>
            <w:tcBorders>
              <w:top w:val="single" w:color="000000" w:sz="4" w:space="0"/>
              <w:left w:val="nil"/>
              <w:bottom w:val="single" w:color="000000" w:sz="4" w:space="0"/>
              <w:right w:val="single" w:color="000000" w:sz="4" w:space="0"/>
            </w:tcBorders>
            <w:vAlign w:val="center"/>
          </w:tcPr>
          <w:p w14:paraId="4B3776AB">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指向性拾音麦克风</w:t>
            </w:r>
          </w:p>
        </w:tc>
        <w:tc>
          <w:tcPr>
            <w:tcW w:w="4112" w:type="dxa"/>
            <w:tcBorders>
              <w:top w:val="single" w:color="000000" w:sz="4" w:space="0"/>
              <w:left w:val="nil"/>
              <w:bottom w:val="single" w:color="000000" w:sz="4" w:space="0"/>
              <w:right w:val="single" w:color="000000" w:sz="4" w:space="0"/>
            </w:tcBorders>
            <w:vAlign w:val="center"/>
          </w:tcPr>
          <w:p w14:paraId="2918D91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麦克风采用线阵列设计，内置≥6个传感器单元。</w:t>
            </w:r>
          </w:p>
          <w:p w14:paraId="38A37D5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麦克风无需额外适配器供电，能够通过网线实现麦克风供电、音频信号传输。</w:t>
            </w:r>
          </w:p>
          <w:p w14:paraId="2CE0DE2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麦克风采用≥2个网口进行模拟音频信号传输，配以强驱动输出电路，实现强抗干扰能力。</w:t>
            </w:r>
          </w:p>
          <w:p w14:paraId="0B59D3E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麦克风采用12V直流供电。</w:t>
            </w:r>
          </w:p>
          <w:p w14:paraId="758ADBC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麦克风拾音距离≥6米。</w:t>
            </w:r>
          </w:p>
          <w:p w14:paraId="23B11BC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麦克风频率响应范围为100Hz~20KHz。</w:t>
            </w:r>
          </w:p>
          <w:p w14:paraId="6BA6118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麦克风灵敏度为-37dB±3dB。</w:t>
            </w:r>
          </w:p>
          <w:p w14:paraId="11D2166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麦克风信噪比≥70dB。</w:t>
            </w:r>
          </w:p>
          <w:p w14:paraId="22E091E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麦克风输出阻抗为100Ω±20%。</w:t>
            </w:r>
          </w:p>
          <w:p w14:paraId="26B33B4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麦克风最大声压级≥110dBSPL。</w:t>
            </w:r>
          </w:p>
          <w:p w14:paraId="3430369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 麦克风采用标准1/4吋螺口，适配各种类型标准吊杆。</w:t>
            </w:r>
          </w:p>
        </w:tc>
        <w:tc>
          <w:tcPr>
            <w:tcW w:w="1040" w:type="dxa"/>
            <w:tcBorders>
              <w:top w:val="single" w:color="000000" w:sz="4" w:space="0"/>
              <w:left w:val="nil"/>
              <w:bottom w:val="single" w:color="000000" w:sz="4" w:space="0"/>
              <w:right w:val="single" w:color="000000" w:sz="4" w:space="0"/>
            </w:tcBorders>
            <w:vAlign w:val="center"/>
          </w:tcPr>
          <w:p w14:paraId="41CEF4F2">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2BEA8461">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784BD980">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462EA6FC">
            <w:pPr>
              <w:jc w:val="center"/>
              <w:rPr>
                <w:rFonts w:ascii="宋体" w:hAnsi="宋体"/>
                <w:color w:val="auto"/>
                <w:sz w:val="18"/>
                <w:szCs w:val="18"/>
                <w:highlight w:val="green"/>
                <w:lang w:val="en-US" w:eastAsia="zh-CN"/>
              </w:rPr>
            </w:pPr>
          </w:p>
        </w:tc>
      </w:tr>
      <w:tr w14:paraId="7735018B">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61DA0C67">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90</w:t>
            </w:r>
          </w:p>
        </w:tc>
        <w:tc>
          <w:tcPr>
            <w:tcW w:w="817" w:type="dxa"/>
            <w:tcBorders>
              <w:top w:val="single" w:color="000000" w:sz="4" w:space="0"/>
              <w:left w:val="nil"/>
              <w:bottom w:val="single" w:color="000000" w:sz="4" w:space="0"/>
              <w:right w:val="single" w:color="000000" w:sz="4" w:space="0"/>
            </w:tcBorders>
            <w:vAlign w:val="center"/>
          </w:tcPr>
          <w:p w14:paraId="0ADE744C">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音频处理器</w:t>
            </w:r>
          </w:p>
        </w:tc>
        <w:tc>
          <w:tcPr>
            <w:tcW w:w="4112" w:type="dxa"/>
            <w:tcBorders>
              <w:top w:val="single" w:color="000000" w:sz="4" w:space="0"/>
              <w:left w:val="nil"/>
              <w:bottom w:val="single" w:color="000000" w:sz="4" w:space="0"/>
              <w:right w:val="single" w:color="000000" w:sz="4" w:space="0"/>
            </w:tcBorders>
            <w:vAlign w:val="center"/>
          </w:tcPr>
          <w:p w14:paraId="2FF2E99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1.主机需采用处理器CPU核心数量≥4个，CPU主频≥1.5GHz。</w:t>
            </w:r>
          </w:p>
          <w:p w14:paraId="21205BE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2.主机采用高度集成一体化设计，集成音频信号处理模块、数字功放模块、交流转直流开关电源模块。</w:t>
            </w:r>
          </w:p>
          <w:p w14:paraId="4A0EC45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3.主机外壳采用全金属设计，机身高度≤1U。</w:t>
            </w:r>
          </w:p>
          <w:p w14:paraId="7B1C8C8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4.支持≥2路RJ45网口音频输入；支持≥6路凤凰端子差分输入，其中≥4路支持 48V幻象电源供电。</w:t>
            </w:r>
          </w:p>
          <w:p w14:paraId="148F15E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5.主机采用≥1个船型开关控制电源供电。</w:t>
            </w:r>
          </w:p>
          <w:p w14:paraId="6DEC20B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6.主机具备≥2个状态指示灯，可显示主机工作状态，红色电源指示灯常亮表示正常上电状态，绿色运行指示灯常亮表示正常工作状态。</w:t>
            </w:r>
          </w:p>
          <w:p w14:paraId="5791D49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7.主机具备≥9个音量调节旋钮，支持调节各输入输出通道的音量大小，音量调节旋钮均带箭头指示标识。</w:t>
            </w:r>
          </w:p>
          <w:p w14:paraId="7727ED5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8.音量调节旋钮采用内陷式防误触设计，防止用户误触调节音量大小。</w:t>
            </w:r>
          </w:p>
          <w:p w14:paraId="11B3B0A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9.支持拾扩一体功能，可通过一只吊装麦克风实现本地扩声和远程互动，本地扩音和远程互动能同时进行，并且相互不影响效果；本地扩音要求声音清晰响亮、无啸叫；远程互动要求声音清晰、无噪声和回声。</w:t>
            </w:r>
          </w:p>
          <w:p w14:paraId="61FEDB6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10.支持鹅颈麦、无线麦与吊麦自动切换。当鹅颈麦、无线麦开启并有输入后，吊麦不扩声或降低音量，保证鹅颈麦、无线麦声音清晰；鹅颈麦、无线麦关闭或静音后，自动切换到吊麦扩声，保证扩声功能正常。</w:t>
            </w:r>
          </w:p>
          <w:p w14:paraId="71AFC25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11.功率放大器的输出功率≥2*150W。</w:t>
            </w:r>
          </w:p>
          <w:p w14:paraId="200C514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12.采样率≥48KHz。</w:t>
            </w:r>
          </w:p>
          <w:p w14:paraId="1828210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13.频率响应范围为100Hz~20KHz。</w:t>
            </w:r>
          </w:p>
          <w:p w14:paraId="75CA035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14.支持虚拟音幕功能，在麦克风前方180°的讲台区域可以正常扩声，在麦克风后方180°的学生区域无法扩声，从而实现对学生区域嘈杂声的精准过滤。</w:t>
            </w:r>
          </w:p>
          <w:p w14:paraId="1D1C84B1">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15. 支持通过音频线与录播主机进行握手通信，可实现录播主机音频矩阵的自动化配置。</w:t>
            </w:r>
          </w:p>
          <w:p w14:paraId="783673E6">
            <w:pPr>
              <w:widowControl/>
              <w:jc w:val="left"/>
              <w:textAlignment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控制面板：</w:t>
            </w:r>
          </w:p>
          <w:p w14:paraId="4B42CBAF">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采用≥2核的32位处理器。</w:t>
            </w:r>
          </w:p>
          <w:p w14:paraId="4A11A1CB">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采用≥4英寸电容液晶触控屏。</w:t>
            </w:r>
          </w:p>
          <w:p w14:paraId="27277A09">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支持分辨率≥480x480。</w:t>
            </w:r>
          </w:p>
          <w:p w14:paraId="78BCD8E1">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支持≥16位色彩显示。</w:t>
            </w:r>
          </w:p>
          <w:p w14:paraId="6B61B18D">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支持通过SD存储卡进行升级。</w:t>
            </w:r>
          </w:p>
          <w:p w14:paraId="21380F34">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支持通过RS485通讯方式进行吊麦静音控制、吊麦扩音音量大小控制。</w:t>
            </w:r>
          </w:p>
          <w:p w14:paraId="124790E0">
            <w:pPr>
              <w:widowControl/>
              <w:jc w:val="left"/>
              <w:textAlignment w:val="center"/>
              <w:rPr>
                <w:rFonts w:hint="eastAsia" w:ascii="宋体" w:hAnsi="宋体"/>
                <w:color w:val="auto"/>
                <w:sz w:val="18"/>
                <w:szCs w:val="18"/>
                <w:highlight w:val="none"/>
                <w:lang w:val="en-US" w:eastAsia="zh-CN"/>
              </w:rPr>
            </w:pPr>
            <w:r>
              <w:rPr>
                <w:rFonts w:hint="eastAsia" w:ascii="宋体" w:hAnsi="宋体"/>
                <w:color w:val="auto"/>
                <w:kern w:val="0"/>
                <w:sz w:val="18"/>
                <w:szCs w:val="18"/>
                <w:highlight w:val="none"/>
              </w:rPr>
              <w:t>7. 支持自动息屏功能。</w:t>
            </w:r>
          </w:p>
        </w:tc>
        <w:tc>
          <w:tcPr>
            <w:tcW w:w="1040" w:type="dxa"/>
            <w:tcBorders>
              <w:top w:val="single" w:color="000000" w:sz="4" w:space="0"/>
              <w:left w:val="nil"/>
              <w:bottom w:val="single" w:color="000000" w:sz="4" w:space="0"/>
              <w:right w:val="single" w:color="000000" w:sz="4" w:space="0"/>
            </w:tcBorders>
            <w:vAlign w:val="center"/>
          </w:tcPr>
          <w:p w14:paraId="1E1173E2">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52F5D2D1">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46C3CA57">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71693C47">
            <w:pPr>
              <w:jc w:val="center"/>
              <w:rPr>
                <w:rFonts w:ascii="宋体" w:hAnsi="宋体"/>
                <w:color w:val="auto"/>
                <w:sz w:val="18"/>
                <w:szCs w:val="18"/>
                <w:highlight w:val="none"/>
                <w:lang w:val="en-US" w:eastAsia="zh-CN"/>
              </w:rPr>
            </w:pPr>
          </w:p>
        </w:tc>
      </w:tr>
      <w:tr w14:paraId="05602850">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36464299">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91</w:t>
            </w:r>
          </w:p>
        </w:tc>
        <w:tc>
          <w:tcPr>
            <w:tcW w:w="817" w:type="dxa"/>
            <w:tcBorders>
              <w:top w:val="single" w:color="000000" w:sz="4" w:space="0"/>
              <w:left w:val="nil"/>
              <w:bottom w:val="single" w:color="000000" w:sz="4" w:space="0"/>
              <w:right w:val="single" w:color="000000" w:sz="4" w:space="0"/>
            </w:tcBorders>
            <w:vAlign w:val="center"/>
          </w:tcPr>
          <w:p w14:paraId="4A32C84A">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一体化音箱</w:t>
            </w:r>
          </w:p>
        </w:tc>
        <w:tc>
          <w:tcPr>
            <w:tcW w:w="4112" w:type="dxa"/>
            <w:tcBorders>
              <w:top w:val="single" w:color="000000" w:sz="4" w:space="0"/>
              <w:left w:val="nil"/>
              <w:bottom w:val="single" w:color="000000" w:sz="4" w:space="0"/>
              <w:right w:val="single" w:color="000000" w:sz="4" w:space="0"/>
            </w:tcBorders>
            <w:vAlign w:val="center"/>
          </w:tcPr>
          <w:p w14:paraId="2C66693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音箱采用≥2个喇叭单元，其中1个≥6"中低音喇叭单元，1个≥1"高音喇叭单元。</w:t>
            </w:r>
          </w:p>
          <w:p w14:paraId="782326E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音箱外壳采用高强度的HIPS材料。</w:t>
            </w:r>
          </w:p>
          <w:p w14:paraId="658BC97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标配原厂壁挂支架，支持水平方向±90°、垂直方向±90°范围调节。</w:t>
            </w:r>
          </w:p>
          <w:p w14:paraId="3E15CC3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额定功率≥30W。</w:t>
            </w:r>
          </w:p>
          <w:p w14:paraId="5CCABAC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最大功率≥60W。</w:t>
            </w:r>
          </w:p>
          <w:p w14:paraId="5428361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阻抗为8Ω。</w:t>
            </w:r>
          </w:p>
          <w:p w14:paraId="729A267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最大声压级≥105dBSPL。</w:t>
            </w:r>
          </w:p>
          <w:p w14:paraId="36CD85B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灵敏度为86dB（±3dB）。</w:t>
            </w:r>
          </w:p>
          <w:p w14:paraId="02A429C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频率响应范围为70Hz~20KHz。</w:t>
            </w:r>
          </w:p>
        </w:tc>
        <w:tc>
          <w:tcPr>
            <w:tcW w:w="1040" w:type="dxa"/>
            <w:tcBorders>
              <w:top w:val="single" w:color="000000" w:sz="4" w:space="0"/>
              <w:left w:val="nil"/>
              <w:bottom w:val="single" w:color="000000" w:sz="4" w:space="0"/>
              <w:right w:val="single" w:color="000000" w:sz="4" w:space="0"/>
            </w:tcBorders>
            <w:vAlign w:val="center"/>
          </w:tcPr>
          <w:p w14:paraId="0FE3B07D">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4A9E9C95">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2033FBB7">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46EC60AF">
            <w:pPr>
              <w:jc w:val="center"/>
              <w:rPr>
                <w:rFonts w:ascii="宋体" w:hAnsi="宋体"/>
                <w:color w:val="auto"/>
                <w:sz w:val="18"/>
                <w:szCs w:val="18"/>
                <w:highlight w:val="none"/>
                <w:lang w:val="en-US" w:eastAsia="zh-CN"/>
              </w:rPr>
            </w:pPr>
          </w:p>
        </w:tc>
      </w:tr>
      <w:tr w14:paraId="1B25F4B7">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7B7FFE6D">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92</w:t>
            </w:r>
          </w:p>
        </w:tc>
        <w:tc>
          <w:tcPr>
            <w:tcW w:w="817" w:type="dxa"/>
            <w:tcBorders>
              <w:top w:val="single" w:color="000000" w:sz="4" w:space="0"/>
              <w:left w:val="nil"/>
              <w:bottom w:val="single" w:color="000000" w:sz="4" w:space="0"/>
              <w:right w:val="single" w:color="000000" w:sz="4" w:space="0"/>
            </w:tcBorders>
            <w:vAlign w:val="center"/>
          </w:tcPr>
          <w:p w14:paraId="321101D0">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实物展台</w:t>
            </w:r>
          </w:p>
        </w:tc>
        <w:tc>
          <w:tcPr>
            <w:tcW w:w="4112" w:type="dxa"/>
            <w:tcBorders>
              <w:top w:val="single" w:color="000000" w:sz="4" w:space="0"/>
              <w:left w:val="nil"/>
              <w:bottom w:val="single" w:color="000000" w:sz="4" w:space="0"/>
              <w:right w:val="single" w:color="000000" w:sz="4" w:space="0"/>
            </w:tcBorders>
            <w:vAlign w:val="center"/>
          </w:tcPr>
          <w:p w14:paraId="42B06B6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1.整机采用壁挂安装，防止丢失及损坏。</w:t>
            </w:r>
          </w:p>
          <w:p w14:paraId="5760634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2.采用≥800万像素摄像头；采用 USB五伏电源直接供电，无需额外配置电源适配器，环保无辐射；箱内USB连线采用隐藏式设计，箱内无可见连线且USB口下出，有效防止积尘，且方便布线和返修。</w:t>
            </w:r>
          </w:p>
          <w:p w14:paraId="63D4CDE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3.箱内USB连线采用隐藏式设计，箱内无可见连线且USB口下出，有效防止积尘，且方便布线和返修。</w:t>
            </w:r>
          </w:p>
          <w:p w14:paraId="0766875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4.整机采用圆弧式设计，无锐角；同时托板采用磁吸吸附式机构，防止托板打落，方便打开及固定，避免机械式锁具故障率高的问题。。</w:t>
            </w:r>
          </w:p>
          <w:p w14:paraId="1343FE2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5.具有故障自动检测功能：在调用展台却无法出现镜头采集画面信号时，可自动出现检测链接，并给出导致性原因（如硬件连接、摄像头占用、配套软件版本等问题）。</w:t>
            </w:r>
          </w:p>
        </w:tc>
        <w:tc>
          <w:tcPr>
            <w:tcW w:w="1040" w:type="dxa"/>
            <w:tcBorders>
              <w:top w:val="single" w:color="000000" w:sz="4" w:space="0"/>
              <w:left w:val="nil"/>
              <w:bottom w:val="single" w:color="000000" w:sz="4" w:space="0"/>
              <w:right w:val="single" w:color="000000" w:sz="4" w:space="0"/>
            </w:tcBorders>
            <w:vAlign w:val="center"/>
          </w:tcPr>
          <w:p w14:paraId="11FE265A">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6708D59F">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557ADC74">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183EABC2">
            <w:pPr>
              <w:jc w:val="center"/>
              <w:rPr>
                <w:rFonts w:ascii="宋体" w:hAnsi="宋体"/>
                <w:color w:val="auto"/>
                <w:sz w:val="18"/>
                <w:szCs w:val="18"/>
                <w:highlight w:val="none"/>
                <w:lang w:val="en-US" w:eastAsia="zh-CN"/>
              </w:rPr>
            </w:pPr>
          </w:p>
        </w:tc>
      </w:tr>
      <w:tr w14:paraId="7DE16818">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5D25B8C3">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9</w:t>
            </w:r>
            <w:r>
              <w:rPr>
                <w:rFonts w:hint="eastAsia" w:ascii="宋体" w:hAnsi="宋体"/>
                <w:color w:val="auto"/>
                <w:sz w:val="18"/>
                <w:szCs w:val="18"/>
                <w:highlight w:val="none"/>
                <w:lang w:val="en-US" w:eastAsia="zh-CN"/>
              </w:rPr>
              <w:t>3</w:t>
            </w:r>
          </w:p>
        </w:tc>
        <w:tc>
          <w:tcPr>
            <w:tcW w:w="817" w:type="dxa"/>
            <w:tcBorders>
              <w:top w:val="single" w:color="000000" w:sz="4" w:space="0"/>
              <w:left w:val="nil"/>
              <w:bottom w:val="single" w:color="000000" w:sz="4" w:space="0"/>
              <w:right w:val="single" w:color="000000" w:sz="4" w:space="0"/>
            </w:tcBorders>
            <w:vAlign w:val="center"/>
          </w:tcPr>
          <w:p w14:paraId="7078DE4B">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智能笔</w:t>
            </w:r>
          </w:p>
        </w:tc>
        <w:tc>
          <w:tcPr>
            <w:tcW w:w="4112" w:type="dxa"/>
            <w:tcBorders>
              <w:top w:val="single" w:color="000000" w:sz="4" w:space="0"/>
              <w:left w:val="nil"/>
              <w:bottom w:val="single" w:color="000000" w:sz="4" w:space="0"/>
              <w:right w:val="single" w:color="000000" w:sz="4" w:space="0"/>
            </w:tcBorders>
            <w:vAlign w:val="center"/>
          </w:tcPr>
          <w:p w14:paraId="703EC09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1.外观：笔身造型采用圆润一体化笔型设计，表面采用手感漆工艺便于握持；笔身长度≤17cm,笔身直径≤13mm，笔身重量≤18g；</w:t>
            </w:r>
          </w:p>
          <w:p w14:paraId="2AD64B3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2.笔身配置不少于五个按键，具备上下翻页，智能语音，远程聚光灯/放大，书写颜色切换，兼顾触摸书写以及远程操控的握持姿态；</w:t>
            </w:r>
          </w:p>
          <w:p w14:paraId="061E397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3.笔头：采用锥型笔尖设计，直径≤3mm；同时支持电容，红外触控设备书写，书写最小精度2mm；</w:t>
            </w:r>
          </w:p>
          <w:p w14:paraId="6E42A0C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4.笔头：连续书写距离不小于7km；</w:t>
            </w:r>
          </w:p>
          <w:p w14:paraId="6C1E7DA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5.翻页按键：短按上下翻页按键，可实现白板软件/ppt/pdf等文档上下翻页；长按上下翻页按键3s，可实现ppt播放/退出；</w:t>
            </w:r>
          </w:p>
          <w:p w14:paraId="75A70E6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多功能按键：a.短按多功能按键，可实现播放/暂停音视频或flash；b.双击此按键，可实现空鼠/放大镜/聚光灯等功能切换，切换顺序空鼠&gt;放大镜&gt;聚光灯；c.长按此按键即可实现对应功能(空鼠/放大镜/聚光灯)；</w:t>
            </w:r>
          </w:p>
          <w:p w14:paraId="63788B8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7.语音：内置麦克风，支持按键唤醒语音识别功能，避免杂音造成误唤醒；</w:t>
            </w:r>
          </w:p>
          <w:p w14:paraId="394EA19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语音：支持唤醒语音识别时，可直接通过语音打开已安装的应用，可直接通过语音调用网络搜索引擎搜索查询相应资料，可进行语音转写输入，支持语音控制屏幕黑屏、亮屏，音量大小调整，返回桌面，截屏，关机等操作</w:t>
            </w:r>
          </w:p>
          <w:p w14:paraId="1E63D27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9.语音：支持白板软件内，通过语音控制：切换书写、擦除、选择模式，最小化返回桌面，打开板中板，清空书写批注等操作；</w:t>
            </w:r>
          </w:p>
          <w:p w14:paraId="3999A16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10.批注：支持按键调起批注功能，可通过按键实现批注颜色切换，长按按键可实现橡皮擦功能</w:t>
            </w:r>
          </w:p>
          <w:p w14:paraId="406550A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11.无线：为保障用户在不同场景使用智能笔，支持无线dongle及蓝牙两种连接方式，支持蓝牙5.1协议；</w:t>
            </w:r>
          </w:p>
          <w:p w14:paraId="27AE271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12.无线：无线dongle&amp;蓝牙连接距离≥12m，上下翻页/语音控制/远程批注实现距离≥12m，覆盖标准教室；</w:t>
            </w:r>
          </w:p>
          <w:p w14:paraId="2D810E1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13.充电：内置锂电池，支持type-c充电，待机时间≥60h,连续书写时间≥8h，从无电到满电的充电时长≤1小时；</w:t>
            </w:r>
          </w:p>
          <w:p w14:paraId="4EF3182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自动休眠：支持智能休眠节电，当设备&gt;5min无人操作时，设备自动进入休眠节电模式；</w:t>
            </w:r>
          </w:p>
        </w:tc>
        <w:tc>
          <w:tcPr>
            <w:tcW w:w="1040" w:type="dxa"/>
            <w:tcBorders>
              <w:top w:val="single" w:color="000000" w:sz="4" w:space="0"/>
              <w:left w:val="nil"/>
              <w:bottom w:val="single" w:color="000000" w:sz="4" w:space="0"/>
              <w:right w:val="single" w:color="000000" w:sz="4" w:space="0"/>
            </w:tcBorders>
            <w:vAlign w:val="center"/>
          </w:tcPr>
          <w:p w14:paraId="170FA7D2">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2DCC3089">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74047753">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263D8584">
            <w:pPr>
              <w:jc w:val="center"/>
              <w:rPr>
                <w:rFonts w:ascii="宋体" w:hAnsi="宋体"/>
                <w:color w:val="auto"/>
                <w:sz w:val="18"/>
                <w:szCs w:val="18"/>
                <w:highlight w:val="none"/>
                <w:lang w:val="en-US" w:eastAsia="zh-CN"/>
              </w:rPr>
            </w:pPr>
          </w:p>
        </w:tc>
      </w:tr>
      <w:tr w14:paraId="5DF2A951">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03820D4C">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9</w:t>
            </w:r>
            <w:r>
              <w:rPr>
                <w:rFonts w:hint="eastAsia" w:ascii="宋体" w:hAnsi="宋体"/>
                <w:color w:val="auto"/>
                <w:kern w:val="0"/>
                <w:sz w:val="18"/>
                <w:szCs w:val="18"/>
                <w:highlight w:val="none"/>
                <w:lang w:val="en-US" w:eastAsia="zh-CN"/>
              </w:rPr>
              <w:t>4</w:t>
            </w:r>
          </w:p>
        </w:tc>
        <w:tc>
          <w:tcPr>
            <w:tcW w:w="817" w:type="dxa"/>
            <w:tcBorders>
              <w:top w:val="single" w:color="000000" w:sz="4" w:space="0"/>
              <w:left w:val="nil"/>
              <w:bottom w:val="single" w:color="000000" w:sz="4" w:space="0"/>
              <w:right w:val="single" w:color="000000" w:sz="4" w:space="0"/>
            </w:tcBorders>
            <w:vAlign w:val="center"/>
          </w:tcPr>
          <w:p w14:paraId="7E382EE3">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互动录播电脑主机</w:t>
            </w:r>
          </w:p>
        </w:tc>
        <w:tc>
          <w:tcPr>
            <w:tcW w:w="4112" w:type="dxa"/>
            <w:tcBorders>
              <w:top w:val="single" w:color="000000" w:sz="4" w:space="0"/>
              <w:left w:val="nil"/>
              <w:bottom w:val="single" w:color="000000" w:sz="4" w:space="0"/>
              <w:right w:val="single" w:color="000000" w:sz="4" w:space="0"/>
            </w:tcBorders>
            <w:vAlign w:val="center"/>
          </w:tcPr>
          <w:p w14:paraId="206064E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主机需采用≥3颗处理器，主处理器采用8核架构</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rPr>
              <w:t>2颗协处理器采用4核架构</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rPr>
              <w:t>。</w:t>
            </w:r>
          </w:p>
          <w:p w14:paraId="6E595EB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主机系统内存≥8GB，主机存储容量不低于1TB。</w:t>
            </w:r>
          </w:p>
          <w:p w14:paraId="3766DA3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主机噪声小于20dB（A）。</w:t>
            </w:r>
          </w:p>
          <w:p w14:paraId="6940235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主机采用≥15.6英寸触控电容屏，屏幕色域≥72% NTSC，表面硬度≥7H，屏幕分辨率≥1920*1080。</w:t>
            </w:r>
          </w:p>
          <w:p w14:paraId="58CDEEE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内置蓝牙无线物联模块，主机无需线缆就可以实现对同品牌音箱的音量控制，也可通过同品牌讲台实现对主机开关机控制。</w:t>
            </w:r>
          </w:p>
          <w:p w14:paraId="4AAEB35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支持标准USB音视频信号输出，通过主机TypeC接口可以实现图像和声音同步输出，最大支持4K图像输出，输出音频可通过主机控制软件实现混音，兼容主流视频会议软件。</w:t>
            </w:r>
          </w:p>
          <w:p w14:paraId="57AF883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支持录制清晰度设定，支持可选择4K、1080p、720p、VGA、QVGA；支持录制帧率设定，可选择 25fps/30fps/60fps；支持录制画质选择，可选择≥5种等级；录制编码码率≥16Mbps。</w:t>
            </w:r>
          </w:p>
          <w:p w14:paraId="7618704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主机采用高度集成化设计，能够独立完成视频采集、音频采集、音频编码、视频编码、音频处理、视频处理、直播、录制、互动、专业导播、远程运维参数设置功能。</w:t>
            </w:r>
          </w:p>
          <w:p w14:paraId="7792AC4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内置音频接收模块。无需外接无线音频接收模块，即可完成无线音频采集，支持同时≥2个无线麦克风接入，且同时支持≥2种对频模式。麦克风链接成功后，主机会显示无线麦克风连接成功图标，可通过麦表动态查看声音采集状态。</w:t>
            </w:r>
          </w:p>
          <w:p w14:paraId="3F57929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支持断电扩声，在主机完全断电的情况下，从主机线性音频通道上输入的音频可以从主机输出通道输出，且≥2个音频输入通道可以支持该功能。</w:t>
            </w:r>
          </w:p>
          <w:p w14:paraId="1FCCD44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 支持≥2个HDMI高清采集接口，支持分辨率包含：3840×2160p@30Hz、1920×1080p@60Hz、1920×1080p@30Hz、1680×1050p@30Hz、1600×900p@30Hz、1400×1050p@30fps、1280×1024p@30Hz、1280×1024p@60Hz、1280×960p@30Hz、1280×800p@30Hz、1280×720p@60Hz、1280×720p@30Hz、720×480p@60Hz、640×480p@30Hz 。</w:t>
            </w:r>
          </w:p>
          <w:p w14:paraId="4E3FEE8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 支持≥1路HDMI输入通道具备音频同步采集能力，可通过系统设置音频采集打开或者关闭。</w:t>
            </w:r>
          </w:p>
          <w:p w14:paraId="5105566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 支持≥4路高清视频输出，4路视频输出可同一时间输出不同视频源，且输出最大分辨率均可达到4K，其中HDMI信号输出≥3路且UVC信号输出≥1路。</w:t>
            </w:r>
          </w:p>
          <w:p w14:paraId="449674E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 支持≥5个RJ45接口，其中≥3个支持POE。</w:t>
            </w:r>
          </w:p>
          <w:p w14:paraId="6B3D580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 支持≥2个线路信号立体声输入，可满足不同类型的音频信号接入。</w:t>
            </w:r>
          </w:p>
          <w:p w14:paraId="2F7C62A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 支持≥1个阵列麦克风输入接口，可在不接入音频处理器的情况下，通过网线就可以完成≥8个阵列麦克风接入主机，通过网线可以实现≥8麦克风的供电、音频信号传输、音频参数设置，支持数字音频传输。</w:t>
            </w:r>
          </w:p>
          <w:p w14:paraId="344B330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17.主机供电采用安全电压，整机供电电压≤24V。</w:t>
            </w:r>
          </w:p>
          <w:p w14:paraId="2B79442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18. 支持≥5个USB类型接口，其中USB-A接口≥3个，Type-C接口≥2个。</w:t>
            </w:r>
          </w:p>
          <w:p w14:paraId="1696616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19. 主机采用多功能电源按键，通过一个按键可以实现开机、关机、节能待机。</w:t>
            </w:r>
          </w:p>
          <w:p w14:paraId="13CB9E4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20. 支持录制倒计时，自定义设置≥4种倒计时时间。</w:t>
            </w:r>
          </w:p>
          <w:p w14:paraId="7C1A017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21. 屏幕需满足无蓝光危害，符合IEC 62471:2006要求， LB限制范围≤0.3。</w:t>
            </w:r>
          </w:p>
          <w:p w14:paraId="4607C45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22. 支持硬件复位功能，可通过Reset复位键实现整机复位。</w:t>
            </w:r>
          </w:p>
          <w:p w14:paraId="6011C23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23. 支持接入标准USB声卡，实现USB双向音频通信。</w:t>
            </w:r>
          </w:p>
          <w:p w14:paraId="536D5C4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24. 支持双网卡设计，摄像机可在独立网段单独工作，不影响原有网络。</w:t>
            </w:r>
          </w:p>
          <w:p w14:paraId="58B6060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25. 支持检测摄像机接入状态，可根据摄像机在线离线状态自动实现状态更新。</w:t>
            </w:r>
          </w:p>
          <w:p w14:paraId="5E69878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26. 支持开机后自动实现与无线音频设备链接，支持自动对频，可通过主机屏幕查看对频是否成功。</w:t>
            </w:r>
          </w:p>
          <w:p w14:paraId="094DCE4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27. 支持HDMI通道通道检测，可通过主机屏幕显示HDMI信号接入状态。</w:t>
            </w:r>
          </w:p>
          <w:p w14:paraId="7BC5FF9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28. 支持≥1路自定义机位绑定设置，可将HDMI in绑定至任意景位。</w:t>
            </w:r>
          </w:p>
          <w:p w14:paraId="20422BB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29. 支持≥2种录制视频自动分段模式：支持按照文件大小分段，可选择500MB，1GB，2GB进行分段录制；支持按照录制时长分段，可选择30分钟、60分钟。</w:t>
            </w:r>
          </w:p>
          <w:p w14:paraId="57FE758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30. 支持网络监测功能，无需安装第三方软件，在触控屏幕上显示教室网络状态，包括：服务联通性、网络稳定性、上下行速度、网络追踪性、网卡信息。</w:t>
            </w:r>
          </w:p>
          <w:p w14:paraId="471395B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31. 支持 H.264(BP/MP/HP)视频编码与解码，可扩展支持H.265 编码/解码。</w:t>
            </w:r>
          </w:p>
          <w:p w14:paraId="0E8E0FD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32. 支持≥32 路 1080p@30fps 编/解码。</w:t>
            </w:r>
          </w:p>
          <w:p w14:paraId="485D4D5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33. 支持分辨率、码率、帧率设定。</w:t>
            </w:r>
          </w:p>
          <w:p w14:paraId="6B83A51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34. 主机内置扬声器，支持音频检测，通过主机内置扬声器可以播放测试音频，通过主机一体化屏幕进行视频预览时能够同步播放音频，且可控制播放音频音量大小。</w:t>
            </w:r>
          </w:p>
          <w:p w14:paraId="40D96E0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35. 支持多通道同时录制，支持生成标准 MP4 格式视频文件，支持≥ 8 路 MP4 文件同时录制。</w:t>
            </w:r>
          </w:p>
          <w:p w14:paraId="230B1CB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36. 支持通过主机一体化触控屏实现开始、暂停、停止录制、发布直播。</w:t>
            </w:r>
          </w:p>
          <w:p w14:paraId="79C9E0F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37. 音画不同步时间差≤167ms。</w:t>
            </w:r>
          </w:p>
          <w:p w14:paraId="001BB5D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38. 支持通过互联网，查看当前的主机总数、日活个数、月活个数、当前在线数量，支持通过平台查看设备在线和离线状态，支持通过平台查看设备 ID 地址、IP 地址、激活时间信息。</w:t>
            </w:r>
          </w:p>
          <w:p w14:paraId="374C5E1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39. 支持通过互联网，实现对设备的远程配置，支持关机、重启、参数配置操作。</w:t>
            </w:r>
          </w:p>
          <w:p w14:paraId="6671079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40. 为保证设备稳定运行，要求设备平均无故障运行时间（MTBF）≥250000小时。</w:t>
            </w:r>
          </w:p>
        </w:tc>
        <w:tc>
          <w:tcPr>
            <w:tcW w:w="1040" w:type="dxa"/>
            <w:tcBorders>
              <w:top w:val="single" w:color="000000" w:sz="4" w:space="0"/>
              <w:left w:val="nil"/>
              <w:bottom w:val="single" w:color="000000" w:sz="4" w:space="0"/>
              <w:right w:val="single" w:color="000000" w:sz="4" w:space="0"/>
            </w:tcBorders>
            <w:vAlign w:val="center"/>
          </w:tcPr>
          <w:p w14:paraId="30AA17F1">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27904B34">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1F48ACB4">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19225F45">
            <w:pPr>
              <w:jc w:val="center"/>
              <w:rPr>
                <w:rFonts w:ascii="宋体" w:hAnsi="宋体"/>
                <w:color w:val="auto"/>
                <w:sz w:val="18"/>
                <w:szCs w:val="18"/>
                <w:highlight w:val="none"/>
                <w:lang w:val="en-US" w:eastAsia="zh-CN"/>
              </w:rPr>
            </w:pPr>
          </w:p>
        </w:tc>
      </w:tr>
      <w:tr w14:paraId="0C25CD92">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6D4291D2">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9</w:t>
            </w:r>
            <w:r>
              <w:rPr>
                <w:rFonts w:hint="eastAsia" w:ascii="宋体" w:hAnsi="宋体"/>
                <w:color w:val="auto"/>
                <w:kern w:val="0"/>
                <w:sz w:val="18"/>
                <w:szCs w:val="18"/>
                <w:highlight w:val="none"/>
                <w:lang w:val="en-US" w:eastAsia="zh-CN"/>
              </w:rPr>
              <w:t>5</w:t>
            </w:r>
          </w:p>
        </w:tc>
        <w:tc>
          <w:tcPr>
            <w:tcW w:w="817" w:type="dxa"/>
            <w:tcBorders>
              <w:top w:val="single" w:color="000000" w:sz="4" w:space="0"/>
              <w:left w:val="nil"/>
              <w:bottom w:val="single" w:color="000000" w:sz="4" w:space="0"/>
              <w:right w:val="single" w:color="000000" w:sz="4" w:space="0"/>
            </w:tcBorders>
            <w:vAlign w:val="center"/>
          </w:tcPr>
          <w:p w14:paraId="215ACAC2">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主机导播系统</w:t>
            </w:r>
          </w:p>
        </w:tc>
        <w:tc>
          <w:tcPr>
            <w:tcW w:w="4112" w:type="dxa"/>
            <w:tcBorders>
              <w:top w:val="single" w:color="000000" w:sz="4" w:space="0"/>
              <w:left w:val="nil"/>
              <w:bottom w:val="single" w:color="000000" w:sz="4" w:space="0"/>
              <w:right w:val="single" w:color="000000" w:sz="4" w:space="0"/>
            </w:tcBorders>
            <w:vAlign w:val="center"/>
          </w:tcPr>
          <w:p w14:paraId="2158669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自动导播默认画面支持自定义设定，支持选择自动导播画面，可根据需要选择自动导播的画面，可设置自动导播画面的保护时间和保持时间。</w:t>
            </w:r>
          </w:p>
          <w:p w14:paraId="69DC9CE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支持多种画面模式，支持单画面、画中画、左右等分、三画面、四画面多种画面合成模式，支持自动导播、手动导播，可通过互动录播电脑主机一体化触控屏实现模式选择。</w:t>
            </w:r>
          </w:p>
          <w:p w14:paraId="68D75DB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导播优先级可自定义设定，支持定时切换设置，可自由选择切换时间和切换画面，支持根据学生、老师行为状态实现画面智能切换。</w:t>
            </w:r>
          </w:p>
          <w:p w14:paraId="50990A2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支持本地导播、远程导播，本地导播可通过互动录播电脑主机一体化触控屏实现本地导播控制；也可通过触控回传实现画面导播，无需外接键鼠设备，通过交互智能平板实现对互动录播电脑主机的导播控制，远程导播可通过网络实现远程导播控制。</w:t>
            </w:r>
          </w:p>
          <w:p w14:paraId="4AE10FE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支持课件画面自动检测，可设置检测灵敏度；支持课件画面检测区域设定，可屏蔽电脑弹窗区域。</w:t>
            </w:r>
          </w:p>
          <w:p w14:paraId="27472F9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支持导入与导出互动录播主机配置文件，进行升级和调试。</w:t>
            </w:r>
          </w:p>
          <w:p w14:paraId="111F208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支持云台摄像机控制，支持 PTZ（云台全方位移动及镜头变倍、变焦），多个预置位设置和调用；同时支持通过鼠标点击画面，实现云台摄像机跟踪，可通过鼠标滑轮实现镜头画面放大缩小。</w:t>
            </w:r>
          </w:p>
          <w:p w14:paraId="1F25875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在导播界面的预览窗口可实时观看教师全景/特写、学生全景/特写、多媒体电脑共五路画面，点击可进行画面切换。预监画面可实时推流给资源平台，实现平台直播。</w:t>
            </w:r>
          </w:p>
          <w:p w14:paraId="2C2B60E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支持电影模式和资源模式同步录制，可根据用户的不同需求选择录制模式。</w:t>
            </w:r>
          </w:p>
          <w:p w14:paraId="3C06BE6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支持外接导播台，可通过导播台实现对录播主机的录制控制、画面切换、云台跟踪、预置位设定与调取、音量调节。</w:t>
            </w:r>
          </w:p>
          <w:p w14:paraId="246D8B5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 录播画面比例支持16：9，触控回传响应延时≤70ms。</w:t>
            </w:r>
          </w:p>
          <w:p w14:paraId="561DA65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 支持通过U盘导入视频、图片作为片头片尾素材，不少于3种格式；支持单个视频文件≥200MB，单个图片文件≥20MB，可保存≥10个素材；支持设定片头片尾保持时间，保持时间在1s~5s之间可选，片头片尾素材可直接在主机一体化屏幕上进行删除。</w:t>
            </w:r>
          </w:p>
          <w:p w14:paraId="39C7FE7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 支持多种格式的字幕，可输入中文、英文、数字、特殊符号，数量≥200个字符；支持调节文字大小、文字透明度；支持≥5种文字颜色设置，文字边缘自带描边；支持滚动字幕。</w:t>
            </w:r>
          </w:p>
          <w:p w14:paraId="7DBD375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 支持设定图片台标，支持jpeg、png两种格式，支持≥20MB台标文件，台标大小比例可通过主机一体化屏幕实现设置，台标位置可以通过主机一体化屏幕设定在PGM任意位置，支持快速台标位置设定功能，支持5个快速位置。</w:t>
            </w:r>
          </w:p>
          <w:p w14:paraId="6BA7381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 支持通过主机一体化屏幕实现云台摄像机控制，无需按照方位，可任意转动云台方向，实现步进控制、连续控制。</w:t>
            </w:r>
          </w:p>
          <w:p w14:paraId="3F3FB2A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 支持通过主机一体化屏幕实现预置位设置与调用，预置位≥9个。</w:t>
            </w:r>
          </w:p>
          <w:p w14:paraId="13C8004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 支持通过主机一体化屏幕的虚拟摇杆拖动幅度实现云台的变速控制；支持≥3种云台转动灵敏度设置。</w:t>
            </w:r>
          </w:p>
          <w:p w14:paraId="2256FD8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18. 支持通过主机一体化屏幕实现云台摄像机的放大缩小变焦调节。）</w:t>
            </w:r>
          </w:p>
        </w:tc>
        <w:tc>
          <w:tcPr>
            <w:tcW w:w="1040" w:type="dxa"/>
            <w:tcBorders>
              <w:top w:val="single" w:color="000000" w:sz="4" w:space="0"/>
              <w:left w:val="nil"/>
              <w:bottom w:val="single" w:color="000000" w:sz="4" w:space="0"/>
              <w:right w:val="single" w:color="000000" w:sz="4" w:space="0"/>
            </w:tcBorders>
            <w:vAlign w:val="center"/>
          </w:tcPr>
          <w:p w14:paraId="7F62C5C0">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32C333A4">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7E7400D6">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256E4669">
            <w:pPr>
              <w:jc w:val="center"/>
              <w:rPr>
                <w:rFonts w:ascii="宋体" w:hAnsi="宋体"/>
                <w:color w:val="auto"/>
                <w:sz w:val="18"/>
                <w:szCs w:val="18"/>
                <w:highlight w:val="none"/>
                <w:lang w:val="en-US" w:eastAsia="zh-CN"/>
              </w:rPr>
            </w:pPr>
          </w:p>
        </w:tc>
      </w:tr>
      <w:tr w14:paraId="6B9E735E">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24181D3F">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9</w:t>
            </w:r>
            <w:r>
              <w:rPr>
                <w:rFonts w:hint="eastAsia" w:ascii="宋体" w:hAnsi="宋体"/>
                <w:color w:val="auto"/>
                <w:kern w:val="0"/>
                <w:sz w:val="18"/>
                <w:szCs w:val="18"/>
                <w:highlight w:val="none"/>
                <w:lang w:val="en-US" w:eastAsia="zh-CN"/>
              </w:rPr>
              <w:t>6</w:t>
            </w:r>
          </w:p>
        </w:tc>
        <w:tc>
          <w:tcPr>
            <w:tcW w:w="817" w:type="dxa"/>
            <w:tcBorders>
              <w:top w:val="single" w:color="000000" w:sz="4" w:space="0"/>
              <w:left w:val="nil"/>
              <w:bottom w:val="single" w:color="000000" w:sz="4" w:space="0"/>
              <w:right w:val="single" w:color="000000" w:sz="4" w:space="0"/>
            </w:tcBorders>
            <w:vAlign w:val="center"/>
          </w:tcPr>
          <w:p w14:paraId="551A4D77">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主机互动系统</w:t>
            </w:r>
          </w:p>
        </w:tc>
        <w:tc>
          <w:tcPr>
            <w:tcW w:w="4112" w:type="dxa"/>
            <w:tcBorders>
              <w:top w:val="single" w:color="000000" w:sz="4" w:space="0"/>
              <w:left w:val="nil"/>
              <w:bottom w:val="single" w:color="000000" w:sz="4" w:space="0"/>
              <w:right w:val="single" w:color="000000" w:sz="4" w:space="0"/>
            </w:tcBorders>
            <w:vAlign w:val="center"/>
          </w:tcPr>
          <w:p w14:paraId="38A1F76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同时支持自动连线和手动连线，自动连线模式下听课端会自动接通来自主讲端的互动请求，可选择设置关闭，手动连线模式下，当主讲端发出呼叫请求后，在互动录播电脑主机一体化触控屏上会出现呼叫提醒，用户可选择接听或者挂断。</w:t>
            </w:r>
          </w:p>
          <w:p w14:paraId="6697F05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支持标准SIP音视频互动协议，支持1080P60fps全高清视频互动。</w:t>
            </w:r>
          </w:p>
          <w:p w14:paraId="6B676AA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支持互动清晰度设置：支持 1080p@60fps，分辨率可选择 1080p、720p、VGA、QVGA，帧率可选择 60fps、30fps、25fps。互动画质可选择极佳、好、一般、流畅四个等级。</w:t>
            </w:r>
          </w:p>
          <w:p w14:paraId="4C37393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支持双流自动发送，设置自动发送后，建立呼叫，主讲教室自动发送双流。</w:t>
            </w:r>
          </w:p>
          <w:p w14:paraId="2333CF2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支持课程预约功能，互动录播电脑主机能接收平台下发的互动课表，并显示于互动电脑主机一体化触控屏上，用户点击课表即可立即加入课堂，进行实时互动。</w:t>
            </w:r>
          </w:p>
          <w:p w14:paraId="4F2D609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支持微信扫码登录，无需单独输入账号，使用微信扫描互动录播电脑主机一体化触控屏上显示的二维码即可登录互动系统，登陆后显示用户头像和用户名。</w:t>
            </w:r>
          </w:p>
          <w:p w14:paraId="01A504F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支持手动切换发给远端的画面。支持通过互动录播电脑主机一体化触控屏实现音量大小调整、静音。支持互动过程中一键全屏，全屏放大主画面，隐藏所有图标。支持开启和关闭桌面共享功能。</w:t>
            </w:r>
          </w:p>
          <w:p w14:paraId="46BD995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互动过程中可随时邀请新的听课端加入，支持拨号呼叫，用户可通过互动录播电脑主机一体化触控屏上的拨号键盘实现拨号呼叫；支持互动通讯录功能，通讯录可显示最近呼叫的账号信息，可通过通讯录实现一键呼叫。</w:t>
            </w:r>
          </w:p>
          <w:p w14:paraId="601921F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支持一键结束互动，用户通过互动录播电脑主机一体化触控屏一键结束互动。</w:t>
            </w:r>
          </w:p>
          <w:p w14:paraId="7643EBC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支持通过互动录播电脑主机一体化触控屏实现导播控制，过程中可选择自动导播/手动导播；支持通过 PC 客户端软件进行远程导播控制。</w:t>
            </w:r>
          </w:p>
          <w:p w14:paraId="0C7B65B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 PC 客户端软件支持进行互动听课端列表查看、发言管理功能。</w:t>
            </w:r>
          </w:p>
          <w:p w14:paraId="23C5D8A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 无需通过任何第三方软件即可进行网络监测，并在互动录播电脑主机一体化触控屏上显示教室网络状态；实现对网络联通性、网络稳定性、上行速度、下行速度、网络追踪性、网卡信息实时检测；在一段时间内，支持以折线图方式实时呈现网络稳定性、上行速度和下行速度。</w:t>
            </w:r>
          </w:p>
          <w:p w14:paraId="7FE2E90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 支持开始互动同步开始录制，用户可选择进入互动后是否自动开启录制。互动过程中可通过互动录播电脑主机一体化触控屏实现录制和直播控制，互动过程中可以控制开始录制、结束录制、开始直播、结束直播。</w:t>
            </w:r>
          </w:p>
          <w:p w14:paraId="1C0DD55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 听课教室可申请发言，申请后主讲教室可收到申请，并选择是否接受申请。</w:t>
            </w:r>
          </w:p>
          <w:p w14:paraId="56E0DF5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 听课过程中用户可在互动录播电脑主机一体化触控屏上同时显示授课教室画面和本地教室画面，且互动录播电脑主机支持一键全屏主画面。</w:t>
            </w:r>
          </w:p>
          <w:p w14:paraId="1A54CF7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 教师在开始授课前可根据互动录播电脑主机一体化触控屏检查设备是否正常，包括：在预监画面查看各个视频画面是否正常；在预监画面进行音量调节和查看声音是否正常；支持自动导播和手动导播模式切换；自动导播模式下支持设置参与自动导播的导播画面；选择是否开启直播和桌面共享。</w:t>
            </w:r>
          </w:p>
          <w:p w14:paraId="60FA96F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 支持课堂互动功能，授课过程中老师可通过在互动录播电脑主机一体化触控屏上单击听课教室画面切换听课教室为主画面，并与该教室实时连麦对讲，实现异地互动。</w:t>
            </w:r>
          </w:p>
          <w:p w14:paraId="7431254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18. 互动过程中，可以在互动录播电脑主机一体化触控屏调出当前视频参数，包括加密方式、音频格式、视频格式、视频分辨率、实时上行/下行速率、丢包率和服务厂商信息。</w:t>
            </w:r>
          </w:p>
        </w:tc>
        <w:tc>
          <w:tcPr>
            <w:tcW w:w="1040" w:type="dxa"/>
            <w:tcBorders>
              <w:top w:val="single" w:color="000000" w:sz="4" w:space="0"/>
              <w:left w:val="nil"/>
              <w:bottom w:val="single" w:color="000000" w:sz="4" w:space="0"/>
              <w:right w:val="single" w:color="000000" w:sz="4" w:space="0"/>
            </w:tcBorders>
            <w:vAlign w:val="center"/>
          </w:tcPr>
          <w:p w14:paraId="2BFA7756">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5704A7E4">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4897B9DA">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4ACD065F">
            <w:pPr>
              <w:jc w:val="center"/>
              <w:rPr>
                <w:rFonts w:ascii="宋体" w:hAnsi="宋体"/>
                <w:color w:val="auto"/>
                <w:sz w:val="18"/>
                <w:szCs w:val="18"/>
                <w:highlight w:val="none"/>
                <w:lang w:val="en-US" w:eastAsia="zh-CN"/>
              </w:rPr>
            </w:pPr>
          </w:p>
        </w:tc>
      </w:tr>
      <w:tr w14:paraId="769E95EE">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6AB40C0E">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9</w:t>
            </w:r>
            <w:r>
              <w:rPr>
                <w:rFonts w:hint="eastAsia" w:ascii="宋体" w:hAnsi="宋体"/>
                <w:color w:val="auto"/>
                <w:kern w:val="0"/>
                <w:sz w:val="18"/>
                <w:szCs w:val="18"/>
                <w:highlight w:val="none"/>
                <w:lang w:val="en-US" w:eastAsia="zh-CN"/>
              </w:rPr>
              <w:t>7</w:t>
            </w:r>
          </w:p>
        </w:tc>
        <w:tc>
          <w:tcPr>
            <w:tcW w:w="817" w:type="dxa"/>
            <w:tcBorders>
              <w:top w:val="single" w:color="000000" w:sz="4" w:space="0"/>
              <w:left w:val="nil"/>
              <w:bottom w:val="single" w:color="000000" w:sz="4" w:space="0"/>
              <w:right w:val="single" w:color="000000" w:sz="4" w:space="0"/>
            </w:tcBorders>
            <w:vAlign w:val="center"/>
          </w:tcPr>
          <w:p w14:paraId="6B682558">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主机视频处理系统</w:t>
            </w:r>
          </w:p>
        </w:tc>
        <w:tc>
          <w:tcPr>
            <w:tcW w:w="4112" w:type="dxa"/>
            <w:tcBorders>
              <w:top w:val="single" w:color="000000" w:sz="4" w:space="0"/>
              <w:left w:val="nil"/>
              <w:bottom w:val="single" w:color="000000" w:sz="4" w:space="0"/>
              <w:right w:val="single" w:color="000000" w:sz="4" w:space="0"/>
            </w:tcBorders>
            <w:vAlign w:val="center"/>
          </w:tcPr>
          <w:p w14:paraId="353E7968">
            <w:pPr>
              <w:widowControl/>
              <w:jc w:val="left"/>
              <w:textAlignment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rPr>
              <w:t>1.名称:主机视频处理系统</w:t>
            </w:r>
          </w:p>
          <w:p w14:paraId="04C37555">
            <w:pPr>
              <w:widowControl/>
              <w:jc w:val="left"/>
              <w:textAlignment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rPr>
              <w:t>2.参数:1)支持合成1920*1080的PGM画面，包含导播画面、教师全景画面、教师特写画面、学生全景画面、学生特写画面。</w:t>
            </w:r>
          </w:p>
          <w:p w14:paraId="66512EB8">
            <w:pPr>
              <w:widowControl/>
              <w:jc w:val="left"/>
              <w:textAlignment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rPr>
              <w:t>2)主机支持多种类型视频信号接入，支持标准网络视频信号接入、高速数字信号接入。</w:t>
            </w:r>
          </w:p>
          <w:p w14:paraId="1B8CF622">
            <w:pPr>
              <w:widowControl/>
              <w:jc w:val="left"/>
              <w:textAlignment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rPr>
              <w:t>3)主机可通过rtsp协议接入第三方摄像机视频流。</w:t>
            </w:r>
          </w:p>
          <w:p w14:paraId="5D11A780">
            <w:pPr>
              <w:widowControl/>
              <w:jc w:val="left"/>
              <w:textAlignment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rPr>
              <w:t>4)支持不少于3种编码复杂度，支持Baseline Profile、Main profile、High profile</w:t>
            </w:r>
          </w:p>
          <w:p w14:paraId="70414525">
            <w:pPr>
              <w:widowControl/>
              <w:jc w:val="left"/>
              <w:textAlignment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rPr>
              <w:t>5)支持不少于两种码率控制方式，支持CBR（Constant Bit Rate）、VBR（Variable Bit Rate）。</w:t>
            </w:r>
          </w:p>
          <w:p w14:paraId="7C707D62">
            <w:pPr>
              <w:widowControl/>
              <w:jc w:val="left"/>
              <w:textAlignment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rPr>
              <w:t>6)主机可通过网络实现对接入摄像机的设备信息检索。</w:t>
            </w:r>
          </w:p>
          <w:p w14:paraId="357A1AFB">
            <w:pPr>
              <w:widowControl/>
              <w:jc w:val="left"/>
              <w:textAlignment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rPr>
              <w:t>7)POE视频接入单元支持802.3af标准协议，可实现POE摄像机接入。</w:t>
            </w:r>
          </w:p>
          <w:p w14:paraId="6334FA2F">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8）HDMI采集通道支持画面缩放，可完成4K图像采集。</w:t>
            </w:r>
          </w:p>
        </w:tc>
        <w:tc>
          <w:tcPr>
            <w:tcW w:w="1040" w:type="dxa"/>
            <w:tcBorders>
              <w:top w:val="single" w:color="000000" w:sz="4" w:space="0"/>
              <w:left w:val="nil"/>
              <w:bottom w:val="single" w:color="000000" w:sz="4" w:space="0"/>
              <w:right w:val="single" w:color="000000" w:sz="4" w:space="0"/>
            </w:tcBorders>
            <w:vAlign w:val="center"/>
          </w:tcPr>
          <w:p w14:paraId="66D0BB08">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79D7BE60">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7AEEDA36">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77E8EA03">
            <w:pPr>
              <w:jc w:val="center"/>
              <w:rPr>
                <w:rFonts w:ascii="宋体" w:hAnsi="宋体"/>
                <w:color w:val="auto"/>
                <w:sz w:val="18"/>
                <w:szCs w:val="18"/>
                <w:highlight w:val="green"/>
                <w:lang w:val="en-US" w:eastAsia="zh-CN"/>
              </w:rPr>
            </w:pPr>
          </w:p>
        </w:tc>
      </w:tr>
      <w:tr w14:paraId="48F9B7B0">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2D463994">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9</w:t>
            </w:r>
            <w:r>
              <w:rPr>
                <w:rFonts w:hint="eastAsia" w:ascii="宋体" w:hAnsi="宋体"/>
                <w:color w:val="auto"/>
                <w:kern w:val="0"/>
                <w:sz w:val="18"/>
                <w:szCs w:val="18"/>
                <w:highlight w:val="none"/>
                <w:lang w:val="en-US" w:eastAsia="zh-CN"/>
              </w:rPr>
              <w:t>8</w:t>
            </w:r>
          </w:p>
        </w:tc>
        <w:tc>
          <w:tcPr>
            <w:tcW w:w="817" w:type="dxa"/>
            <w:tcBorders>
              <w:top w:val="single" w:color="000000" w:sz="4" w:space="0"/>
              <w:left w:val="nil"/>
              <w:bottom w:val="single" w:color="000000" w:sz="4" w:space="0"/>
              <w:right w:val="single" w:color="000000" w:sz="4" w:space="0"/>
            </w:tcBorders>
            <w:vAlign w:val="center"/>
          </w:tcPr>
          <w:p w14:paraId="168B1FFB">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远程互动助手软件</w:t>
            </w:r>
          </w:p>
        </w:tc>
        <w:tc>
          <w:tcPr>
            <w:tcW w:w="4112" w:type="dxa"/>
            <w:tcBorders>
              <w:top w:val="single" w:color="000000" w:sz="4" w:space="0"/>
              <w:left w:val="nil"/>
              <w:bottom w:val="single" w:color="000000" w:sz="4" w:space="0"/>
              <w:right w:val="single" w:color="000000" w:sz="4" w:space="0"/>
            </w:tcBorders>
            <w:vAlign w:val="center"/>
          </w:tcPr>
          <w:p w14:paraId="30AEAB6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1.基础应用</w:t>
            </w:r>
          </w:p>
          <w:p w14:paraId="70B5DEE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(1)软件应支持微信扫码登录，无需输入帐号密码即可实现登录，用户可便捷、快速进入课堂。</w:t>
            </w:r>
          </w:p>
          <w:p w14:paraId="1395352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(2)支持按天显示预约的活动信息，包括直播活动、互动课堂、网络教研的活动类型、活动名称、活动时间、活动状态。</w:t>
            </w:r>
          </w:p>
          <w:p w14:paraId="06C4091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(3)支持搭配录播主机，进入录制视频、直播活动、互动课堂、网络教研等活动，满足教师多场景需求；支持在课前设置录播机的录制画面、导播模式，在课中更改导播模式，方便老师一体化操作，减轻授课负担。</w:t>
            </w:r>
          </w:p>
          <w:p w14:paraId="51E1F91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 xml:space="preserve">(4)支持搭配录播机，进入录制前自动倒计时不小于2秒，避免录入教师操作的多余镜头；录制过程显示已录制时间，支持暂停和结束录制，并在结束时自动提示本次录制总时长。 </w:t>
            </w:r>
          </w:p>
          <w:p w14:paraId="796B122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(5)支持搭配录播机，授课过程中，授课老师可远程控制听课端的导播画面，可选择听课端的教师画面、学生画面、电脑画面作为视频画面。</w:t>
            </w:r>
          </w:p>
          <w:p w14:paraId="59C9029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(6)支持用户无需通过平台，直接创建公网直播，即时生成直播二维码，支持不少于180点同时观看高清直播功能。</w:t>
            </w:r>
          </w:p>
          <w:p w14:paraId="6D8179C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(7)支持用户通过公网点开直播链接，观看已结束的直播活动视频，视频至少在云端保存七天，并支持下载MP4格式到本地。</w:t>
            </w:r>
          </w:p>
          <w:p w14:paraId="2E855DA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(8)支持用户无需通过平台，直接创建网络教研，即时生成教研二维码，扫码可进行查看教研简介、发送点评等。</w:t>
            </w:r>
          </w:p>
          <w:p w14:paraId="248EA6F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(9)互动课堂连接支持按键拨号形式，可直接拨号呼叫，账号为11位手机号码，充分考虑用户的日常使用习惯，无需额外学习即可快速掌握使用方法。</w:t>
            </w:r>
          </w:p>
          <w:p w14:paraId="1E0BC4F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(10)授课过程中，可实时显示授课端及参与互动的听课端画面，用户可实时查看授课端的拍摄效果，及听课端的实时状态。</w:t>
            </w:r>
          </w:p>
          <w:p w14:paraId="78F6B97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(11)授课过程中提供工具窗口，支持用户切换画面，调出互动工具；工具窗口可切换为迷你模式，以悬浮工具条形式显示，可置于授课课件上方。</w:t>
            </w:r>
          </w:p>
          <w:p w14:paraId="4BAB83D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(12)授课过程中，老师可选择任一班级，一键开麦即可与该教室实时连麦对讲，实现异地互动。</w:t>
            </w:r>
          </w:p>
          <w:p w14:paraId="67F56F5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(13)支持授课过程中老师任意放大某一端的画面，方便授课过程中，任一班级进行全屏显示。</w:t>
            </w:r>
          </w:p>
          <w:p w14:paraId="44105CF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(14)申请发言：支持听课端一键主动申请发言，申请后在授课端进行提示，授课端可选择接受或拒绝，不影响正常授课。</w:t>
            </w:r>
          </w:p>
          <w:p w14:paraId="0C1E554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(15)支持授课端移除听课端，方便授课老师对课堂进行管控。</w:t>
            </w:r>
          </w:p>
          <w:p w14:paraId="701AE67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(16)支持授课端互动时，选择授课端的教师画面、学生画面、电脑画面、板书画面、本地摄像头作为视频画面，推送至听课端并进行直播。</w:t>
            </w:r>
          </w:p>
          <w:p w14:paraId="38ABCD4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(17)可查看参与互动的教室的网络连接情况，了解彼此的设备网络环境。</w:t>
            </w:r>
          </w:p>
          <w:p w14:paraId="075A789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(18)系统具备前向纠错、丢包重传等功能，支持冗余数据（FEC）和重传策略（ARQ）的动态平衡，既保障宽带的充分利用，又可避免抢带宽造成的链路自身拥塞。</w:t>
            </w:r>
          </w:p>
          <w:p w14:paraId="41F8274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(19)根据应用场景实现码率和帧率的智能调节，保障画质和流畅性的平衡效果。</w:t>
            </w:r>
          </w:p>
          <w:p w14:paraId="1155726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(20)网络自适应：提供端到端的全链条优化算法，能根据当前网络情况预测网速并自动进行流控，支持弱网自适应推流和拉流。在网络转差的情况下，使用大丢包调高延迟策略，保障延迟和流畅的动态平衡效果，优先保障可用性和声音流畅。在网络转好的情况下，提升画质和降低延迟。</w:t>
            </w:r>
          </w:p>
          <w:p w14:paraId="653261D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(21)支持多系统兼容性。除适配Windows操作系统外，至少能与主流国产操作系统（鸿蒙、UOS、麒麟、深度）其中一个适配并正常安装运行，满足国内不同教学系统环境要求。</w:t>
            </w:r>
          </w:p>
          <w:p w14:paraId="5E3A521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(22)绑定摄像机实现美颜功能，美化课堂人物效果。支持对教师特写、教师全景、学生特写、学生全景、本地摄像头画面进行美颜处理，并显示对应的实时画面，方便教师查看美颜效果；支持对比控制，显示无美颜和美颜后的画面效果；支持一键美颜，通过滚动条快速调节美颜深度；至少支持自定义6个美颜项目，包括美白、磨皮、瘦脸等，满足各类美颜需求。</w:t>
            </w:r>
          </w:p>
          <w:p w14:paraId="25DF13F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(23)绑定摄像机实现无绿幕虚拟抠像，方便教师更换画面背景，突出人物；支持对教师特写、教师全景、学生特写、学生全景、本地摄像头画面进行虚拟背景处理，并显示对应的实时画面，方便教师查看虚拟背景效果；支持对比控制，显示无虚拟背景和虚拟背景后的画面效果；支持背景虚化和更换背景；提供不少于3个默认背景图，方便教师快速选用；支持添加本地图片设置为背景图，方便教师满足更多主题需求。</w:t>
            </w:r>
          </w:p>
          <w:p w14:paraId="71EEBBD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2.自定义设置</w:t>
            </w:r>
          </w:p>
          <w:p w14:paraId="783B81D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(1)支持≥6个视频信号自定义设置，可调用网络摄像头、本地摄像头等信号。</w:t>
            </w:r>
          </w:p>
          <w:p w14:paraId="0D5C6B0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(2)支持授课端设置自动接受听课申请。听课端拨号后无需进行确认，即可直接加入互动课堂。</w:t>
            </w:r>
          </w:p>
          <w:p w14:paraId="2E5F367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(3)支持授课端开启桌面共享，将电脑画面、摄像头画面分别传输到听课端，实现双流互动模式；听课端可同时观看2路画面的内容。</w:t>
            </w:r>
          </w:p>
          <w:p w14:paraId="0229A77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(4)支持自定义分屏布局，至少包括均衡模式、经典模式；选择分屏布局后，教师进入互动课堂或网络教研时，录播主机与扩展屏幕均按分屏布局生效。</w:t>
            </w:r>
          </w:p>
          <w:p w14:paraId="037DBFF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(5)课件悬浮工具条支持多种布局选择，至少支持2种布局方式，可自由选择课件翻页方式。</w:t>
            </w:r>
          </w:p>
          <w:p w14:paraId="74AE391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(6)支持调整互动直播布局功能，至少支持2种布局方式，并支持听课端发言时自动放大画面功能。</w:t>
            </w:r>
          </w:p>
          <w:p w14:paraId="23AC94C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3.互动工具</w:t>
            </w:r>
          </w:p>
          <w:p w14:paraId="7E28376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(1)板书同步：授课过程中支持用户调起白板工具，在大屏上进行板书，板书内容将在听课端实时同步；且支持听课端在大屏上板书，反向实时同步至授课端及其他听课端。</w:t>
            </w:r>
          </w:p>
          <w:p w14:paraId="50F5CA6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(2)书写笔迹支持至少3种不同粗细选择，10种不同颜色选择。</w:t>
            </w:r>
          </w:p>
          <w:p w14:paraId="4542AC1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(3)默认颜色：系统智能分配授课端及不同听课端的默认笔迹颜色，学生可区分不同教室板书内容。</w:t>
            </w:r>
          </w:p>
          <w:p w14:paraId="3D26415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(4)云课件：支持用户在线打开云课件列表，无需下载至本地，即可在线打开云课件进行展示及讲授。</w:t>
            </w:r>
          </w:p>
          <w:p w14:paraId="0CEC896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课堂活动：支持用户在云课件中进行远程同步课堂游戏，异地教室的学生可同时在大屏上进行知识竞赛，以左右分屏形式实现两个教室的学生同台竞争。支持至少5种类型、40个模板的课堂活动，丰富课堂趣味性。支持班级竞赛模式，老师可看到所有参与班级的游戏进度，活动结束后有分数排名。</w:t>
            </w:r>
          </w:p>
          <w:p w14:paraId="0A7C860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拍照上传：支持在授课端及听课端生成拍照上传二维码，使用手机微信扫码后，可实时上传学生作业、试卷内容至大屏，授课端及听课端同步显示照片内容，且分别支持授课端与听课端的师生对照片进行拖动、放大、批注操作，实现远程讲评。</w:t>
            </w:r>
          </w:p>
          <w:p w14:paraId="4B65490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画板同步：授课过程中支持用户调起画板工具，提供不少于4种书写工具和12种基础颜色；提供调色板功能，可选择任意基础颜色进行混合产生新的颜色；画板工具中所有功能均可在授课端及听课端同步操作，且可同时独立调色，互不干扰。</w:t>
            </w:r>
          </w:p>
          <w:p w14:paraId="6AF75D9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(8)乐器同步：授课过程中支持用户调起乐器工具，提供虚拟键盘，不少于36个 琴键，授课端弹奏的内容可同步到所有听课端；听课端也可弹奏并反向同步到所有授课端和听课端。</w:t>
            </w:r>
          </w:p>
          <w:p w14:paraId="614915B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(9)支持互动课堂中可对本地班级、听课班级中表现好的班级发送点评奖励，每堂课可统计各班点评总分，并在课上一键展示最高得分的班级进行表扬。</w:t>
            </w:r>
          </w:p>
          <w:p w14:paraId="3D91FA1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(10)提供不少于4个通用工具，8个学科工具，支持语文、数学、英语、美术、地理等学科使用，并支持授课端与听课端多方交互触控。</w:t>
            </w:r>
          </w:p>
        </w:tc>
        <w:tc>
          <w:tcPr>
            <w:tcW w:w="1040" w:type="dxa"/>
            <w:tcBorders>
              <w:top w:val="single" w:color="000000" w:sz="4" w:space="0"/>
              <w:left w:val="nil"/>
              <w:bottom w:val="single" w:color="000000" w:sz="4" w:space="0"/>
              <w:right w:val="single" w:color="000000" w:sz="4" w:space="0"/>
            </w:tcBorders>
            <w:vAlign w:val="center"/>
          </w:tcPr>
          <w:p w14:paraId="0F28A53A">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092C220F">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429EE01F">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3DC5D346">
            <w:pPr>
              <w:jc w:val="center"/>
              <w:rPr>
                <w:rFonts w:ascii="宋体" w:hAnsi="宋体"/>
                <w:color w:val="auto"/>
                <w:sz w:val="18"/>
                <w:szCs w:val="18"/>
                <w:highlight w:val="none"/>
                <w:lang w:val="en-US" w:eastAsia="zh-CN"/>
              </w:rPr>
            </w:pPr>
          </w:p>
        </w:tc>
      </w:tr>
      <w:tr w14:paraId="1022E3D2">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4796F807">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9</w:t>
            </w:r>
            <w:r>
              <w:rPr>
                <w:rFonts w:hint="eastAsia" w:ascii="宋体" w:hAnsi="宋体"/>
                <w:color w:val="auto"/>
                <w:kern w:val="0"/>
                <w:sz w:val="18"/>
                <w:szCs w:val="18"/>
                <w:highlight w:val="none"/>
                <w:lang w:val="en-US" w:eastAsia="zh-CN"/>
              </w:rPr>
              <w:t>9</w:t>
            </w:r>
          </w:p>
        </w:tc>
        <w:tc>
          <w:tcPr>
            <w:tcW w:w="817" w:type="dxa"/>
            <w:tcBorders>
              <w:top w:val="single" w:color="000000" w:sz="4" w:space="0"/>
              <w:left w:val="nil"/>
              <w:bottom w:val="single" w:color="000000" w:sz="4" w:space="0"/>
              <w:right w:val="single" w:color="000000" w:sz="4" w:space="0"/>
            </w:tcBorders>
            <w:vAlign w:val="center"/>
          </w:tcPr>
          <w:p w14:paraId="6C1C02D6">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机械云台摄像机</w:t>
            </w:r>
          </w:p>
        </w:tc>
        <w:tc>
          <w:tcPr>
            <w:tcW w:w="4112" w:type="dxa"/>
            <w:tcBorders>
              <w:top w:val="single" w:color="000000" w:sz="4" w:space="0"/>
              <w:left w:val="nil"/>
              <w:bottom w:val="single" w:color="000000" w:sz="4" w:space="0"/>
              <w:right w:val="single" w:color="000000" w:sz="4" w:space="0"/>
            </w:tcBorders>
            <w:vAlign w:val="center"/>
          </w:tcPr>
          <w:p w14:paraId="47AFB3E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1)传感器尺寸：≥CMOS 1/1.8英寸</w:t>
            </w:r>
          </w:p>
          <w:p w14:paraId="06FCC5F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2)传感器有效像素≥800万</w:t>
            </w:r>
          </w:p>
          <w:p w14:paraId="16A297A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3)支持不少于40倍变焦</w:t>
            </w:r>
          </w:p>
          <w:p w14:paraId="500D753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4)扫描方式：逐行</w:t>
            </w:r>
          </w:p>
          <w:p w14:paraId="5591910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5)支持畸变矫正功能，畸变＜1.5%，校正后可实现视觉无畸变</w:t>
            </w:r>
          </w:p>
          <w:p w14:paraId="357A320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6)最低照度： 0.5Lux @ (F1.8, AGC ON)</w:t>
            </w:r>
          </w:p>
          <w:p w14:paraId="4C8BB39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7)镜头： F1.58 ~ F3.95</w:t>
            </w:r>
          </w:p>
          <w:p w14:paraId="243A79D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8)快门： 1/30s ~ 1/10000s</w:t>
            </w:r>
          </w:p>
          <w:p w14:paraId="394A2A3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9)支持自动白平衡功能</w:t>
            </w:r>
          </w:p>
          <w:p w14:paraId="2716420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10)支持背光补偿功能</w:t>
            </w:r>
          </w:p>
          <w:p w14:paraId="25EF73B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11)支持图像冻结功能</w:t>
            </w:r>
          </w:p>
          <w:p w14:paraId="7415AF5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12)支持POE供电</w:t>
            </w:r>
          </w:p>
          <w:p w14:paraId="14705DE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13)支持2D&amp;3D数字降噪，信噪比≥55dB</w:t>
            </w:r>
          </w:p>
          <w:p w14:paraId="103EDB0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14)支持预置位个数≥255个，预置位精度≤0.1°</w:t>
            </w:r>
          </w:p>
          <w:p w14:paraId="24B8A71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15)支持水平翻转、垂直翻转，水平转动范围：±170°，垂直转动范围：-30°~+90°</w:t>
            </w:r>
          </w:p>
          <w:p w14:paraId="2A85461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16)支持最大水平视场角≥60°，最大垂直视场角≥35°</w:t>
            </w:r>
          </w:p>
          <w:p w14:paraId="472A408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17)支持最大水平转动速度≥100°/s，最大垂直转动速度≥69°/s</w:t>
            </w:r>
          </w:p>
        </w:tc>
        <w:tc>
          <w:tcPr>
            <w:tcW w:w="1040" w:type="dxa"/>
            <w:tcBorders>
              <w:top w:val="single" w:color="000000" w:sz="4" w:space="0"/>
              <w:left w:val="nil"/>
              <w:bottom w:val="single" w:color="000000" w:sz="4" w:space="0"/>
              <w:right w:val="single" w:color="000000" w:sz="4" w:space="0"/>
            </w:tcBorders>
            <w:vAlign w:val="center"/>
          </w:tcPr>
          <w:p w14:paraId="14C90C14">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2</w:t>
            </w:r>
          </w:p>
        </w:tc>
        <w:tc>
          <w:tcPr>
            <w:tcW w:w="935" w:type="dxa"/>
            <w:tcBorders>
              <w:top w:val="single" w:color="000000" w:sz="4" w:space="0"/>
              <w:left w:val="nil"/>
              <w:bottom w:val="single" w:color="000000" w:sz="4" w:space="0"/>
              <w:right w:val="single" w:color="000000" w:sz="4" w:space="0"/>
            </w:tcBorders>
            <w:vAlign w:val="center"/>
          </w:tcPr>
          <w:p w14:paraId="518D89B9">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1089ECFA">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6E636E87">
            <w:pPr>
              <w:jc w:val="center"/>
              <w:rPr>
                <w:rFonts w:ascii="宋体" w:hAnsi="宋体"/>
                <w:color w:val="auto"/>
                <w:sz w:val="18"/>
                <w:szCs w:val="18"/>
                <w:highlight w:val="none"/>
                <w:lang w:val="en-US" w:eastAsia="zh-CN"/>
              </w:rPr>
            </w:pPr>
          </w:p>
        </w:tc>
      </w:tr>
      <w:tr w14:paraId="064B2151">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0CD3F869">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100</w:t>
            </w:r>
          </w:p>
        </w:tc>
        <w:tc>
          <w:tcPr>
            <w:tcW w:w="817" w:type="dxa"/>
            <w:tcBorders>
              <w:top w:val="single" w:color="000000" w:sz="4" w:space="0"/>
              <w:left w:val="nil"/>
              <w:bottom w:val="single" w:color="000000" w:sz="4" w:space="0"/>
              <w:right w:val="single" w:color="000000" w:sz="4" w:space="0"/>
            </w:tcBorders>
            <w:vAlign w:val="center"/>
          </w:tcPr>
          <w:p w14:paraId="25A456C9">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云台摄像机图像处理系统</w:t>
            </w:r>
          </w:p>
        </w:tc>
        <w:tc>
          <w:tcPr>
            <w:tcW w:w="4112" w:type="dxa"/>
            <w:tcBorders>
              <w:top w:val="single" w:color="000000" w:sz="4" w:space="0"/>
              <w:left w:val="nil"/>
              <w:bottom w:val="single" w:color="000000" w:sz="4" w:space="0"/>
              <w:right w:val="single" w:color="000000" w:sz="4" w:space="0"/>
            </w:tcBorders>
            <w:vAlign w:val="center"/>
          </w:tcPr>
          <w:p w14:paraId="3A973C1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1)设备采用ARM硬件架构，linux操作系统</w:t>
            </w:r>
          </w:p>
          <w:p w14:paraId="7A3047C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2)支持自动白平衡</w:t>
            </w:r>
          </w:p>
          <w:p w14:paraId="7EC8C6A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3)支持背光补偿功能</w:t>
            </w:r>
          </w:p>
          <w:p w14:paraId="0BDED32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4)支持2D、3D数字降噪</w:t>
            </w:r>
          </w:p>
          <w:p w14:paraId="43EEBE5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5)支持不少于4种编码等级，包含baseline、mainprofile、highprofile、svc-t</w:t>
            </w:r>
          </w:p>
          <w:p w14:paraId="63F9DCE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6)支持AAC、G711A两种音频编码格式</w:t>
            </w:r>
          </w:p>
          <w:p w14:paraId="55B0E6F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7)支持TCP/IP, HTTP, RTSP, RTMP, Onvif, DHCP, 组播等网络协议</w:t>
            </w:r>
          </w:p>
          <w:p w14:paraId="1687593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8)支持设置摄像机分辨率、帧率、码率</w:t>
            </w:r>
          </w:p>
          <w:p w14:paraId="7340F34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9)支持设置摄像机亮度、饱和度、对比度、锐度、色度、快门速度</w:t>
            </w:r>
          </w:p>
          <w:p w14:paraId="2DE4633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10)图像支持左右镜像、上下翻转，默认不开启</w:t>
            </w:r>
          </w:p>
          <w:p w14:paraId="41AC955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11)支持对摄像机网络进行管理，包括设置IP地址/网关/DNS等，支持组播协议搜索IP地址，并修改摄像机IP</w:t>
            </w:r>
          </w:p>
          <w:p w14:paraId="1A005DE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12)支持RTMP推流，RTSP拉流，地址可设置</w:t>
            </w:r>
          </w:p>
          <w:p w14:paraId="25D6FF0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13)支持ONVIF协议，可预览ONVIF画面</w:t>
            </w:r>
          </w:p>
          <w:p w14:paraId="1E194D5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14)支持GB28181协议，可使用GB28181协议推流</w:t>
            </w:r>
          </w:p>
        </w:tc>
        <w:tc>
          <w:tcPr>
            <w:tcW w:w="1040" w:type="dxa"/>
            <w:tcBorders>
              <w:top w:val="single" w:color="000000" w:sz="4" w:space="0"/>
              <w:left w:val="nil"/>
              <w:bottom w:val="single" w:color="000000" w:sz="4" w:space="0"/>
              <w:right w:val="single" w:color="000000" w:sz="4" w:space="0"/>
            </w:tcBorders>
            <w:vAlign w:val="center"/>
          </w:tcPr>
          <w:p w14:paraId="03FE5849">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2</w:t>
            </w:r>
          </w:p>
        </w:tc>
        <w:tc>
          <w:tcPr>
            <w:tcW w:w="935" w:type="dxa"/>
            <w:tcBorders>
              <w:top w:val="single" w:color="000000" w:sz="4" w:space="0"/>
              <w:left w:val="nil"/>
              <w:bottom w:val="single" w:color="000000" w:sz="4" w:space="0"/>
              <w:right w:val="single" w:color="000000" w:sz="4" w:space="0"/>
            </w:tcBorders>
            <w:vAlign w:val="center"/>
          </w:tcPr>
          <w:p w14:paraId="49AF6BEA">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438F17E6">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1D97B005">
            <w:pPr>
              <w:jc w:val="center"/>
              <w:rPr>
                <w:rFonts w:ascii="宋体" w:hAnsi="宋体"/>
                <w:color w:val="auto"/>
                <w:sz w:val="18"/>
                <w:szCs w:val="18"/>
                <w:highlight w:val="none"/>
                <w:lang w:val="en-US" w:eastAsia="zh-CN"/>
              </w:rPr>
            </w:pPr>
          </w:p>
        </w:tc>
      </w:tr>
      <w:tr w14:paraId="1BBF2B91">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3EC47B5A">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101</w:t>
            </w:r>
          </w:p>
        </w:tc>
        <w:tc>
          <w:tcPr>
            <w:tcW w:w="817" w:type="dxa"/>
            <w:tcBorders>
              <w:top w:val="single" w:color="000000" w:sz="4" w:space="0"/>
              <w:left w:val="nil"/>
              <w:bottom w:val="single" w:color="000000" w:sz="4" w:space="0"/>
              <w:right w:val="single" w:color="000000" w:sz="4" w:space="0"/>
            </w:tcBorders>
            <w:vAlign w:val="center"/>
          </w:tcPr>
          <w:p w14:paraId="05481791">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4k</w:t>
            </w:r>
            <w:r>
              <w:rPr>
                <w:rFonts w:hint="eastAsia" w:ascii="宋体" w:hAnsi="宋体"/>
                <w:color w:val="auto"/>
                <w:kern w:val="0"/>
                <w:sz w:val="18"/>
                <w:szCs w:val="18"/>
                <w:highlight w:val="none"/>
              </w:rPr>
              <w:t>教师摄像机</w:t>
            </w:r>
          </w:p>
        </w:tc>
        <w:tc>
          <w:tcPr>
            <w:tcW w:w="4112" w:type="dxa"/>
            <w:tcBorders>
              <w:top w:val="single" w:color="000000" w:sz="4" w:space="0"/>
              <w:left w:val="nil"/>
              <w:bottom w:val="single" w:color="000000" w:sz="4" w:space="0"/>
              <w:right w:val="single" w:color="000000" w:sz="4" w:space="0"/>
            </w:tcBorders>
            <w:vAlign w:val="center"/>
          </w:tcPr>
          <w:p w14:paraId="6946600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1)镜头水平视场角≥40°</w:t>
            </w:r>
          </w:p>
          <w:p w14:paraId="4B62F79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2)一体化集成设计，支持4K超高清，最大可提供4K图像编码输出，同时向下兼容1080p，720p等分辨率。</w:t>
            </w:r>
          </w:p>
          <w:p w14:paraId="2A1DEC4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3)内置图像识别跟踪算法，无需物理转动，即可实现平滑自然的跟踪效果，避免干扰课堂教学。</w:t>
            </w:r>
          </w:p>
          <w:p w14:paraId="7031DAD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4)全景画面支持畸变矫正功能。</w:t>
            </w:r>
          </w:p>
          <w:p w14:paraId="526E740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5)全景画面与特写画面必须采用相同图像传感器和图像处理器，确保两者图像输出亮度、颜色、风格等保持一致。</w:t>
            </w:r>
          </w:p>
          <w:p w14:paraId="4F623C7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6)整机接口≥1路RJ45。</w:t>
            </w:r>
          </w:p>
          <w:p w14:paraId="0B4B53E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7)支持POE有线网络供电，只需要1路网线，即可实现供电及信号传输，支持同时输出特写和全景等多路画面。</w:t>
            </w:r>
          </w:p>
          <w:p w14:paraId="4F6C139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8)传感器尺寸≥CMOS 1/2.8英寸。</w:t>
            </w:r>
          </w:p>
          <w:p w14:paraId="3F9D2B2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9)传感器有效像素≥800万。</w:t>
            </w:r>
          </w:p>
          <w:p w14:paraId="1A2F427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10)扫描方式：逐行 。</w:t>
            </w:r>
          </w:p>
          <w:p w14:paraId="4F4C4E5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11)最低照度：0.5 Lux @（F1.8, AGC ON）。</w:t>
            </w:r>
          </w:p>
          <w:p w14:paraId="31F3BB3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12)电子快门：1/30s ~ 1/10000s。</w:t>
            </w:r>
          </w:p>
          <w:p w14:paraId="1CCE7B0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13)支持自动白平衡。</w:t>
            </w:r>
          </w:p>
          <w:p w14:paraId="61F7F31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14)支持2D&amp;3D数字降噪，信噪比≥55dB。</w:t>
            </w:r>
          </w:p>
          <w:p w14:paraId="7EABA25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15)支持H.264、H.265视频编码格式。</w:t>
            </w:r>
          </w:p>
          <w:p w14:paraId="589757F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16)主码流分辨率：3840x2160, 1920x1080, 1920x1080, 1280x720, 1024x576, 720x576(50Hz), 720x480(60Hz), 720x408, 640x360, 480x270, 320x240, 320x180</w:t>
            </w:r>
          </w:p>
          <w:p w14:paraId="275183F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17)辅码流分辨率：1920x1080, 1280x720, 1024x576, 960x540, 640x480, 640x360, 320x240, 320x180</w:t>
            </w:r>
          </w:p>
          <w:p w14:paraId="59872B0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 xml:space="preserve">18)视频码率：32Kbps ~ 16384Kbps。 </w:t>
            </w:r>
          </w:p>
          <w:p w14:paraId="3EFE3F8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 xml:space="preserve">19)帧率：1~25fps。 </w:t>
            </w:r>
          </w:p>
          <w:p w14:paraId="1422647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20)网络流传输协议：TCP, HTTP, UDP，RTSP, RTMP, ONVIF。</w:t>
            </w:r>
          </w:p>
          <w:p w14:paraId="3686318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21)输入电压：DC12V/PoE（IEEE802.3af）。</w:t>
            </w:r>
          </w:p>
          <w:p w14:paraId="339168B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22)功耗≤9W。</w:t>
            </w:r>
          </w:p>
          <w:p w14:paraId="7B7DD4C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23)净重≤0.3kg。</w:t>
            </w:r>
          </w:p>
          <w:p w14:paraId="2466B58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24)为确保运行稳定，使用平均无故障运行时间(MTBF)应≥250000小时。</w:t>
            </w:r>
          </w:p>
        </w:tc>
        <w:tc>
          <w:tcPr>
            <w:tcW w:w="1040" w:type="dxa"/>
            <w:tcBorders>
              <w:top w:val="single" w:color="000000" w:sz="4" w:space="0"/>
              <w:left w:val="nil"/>
              <w:bottom w:val="single" w:color="000000" w:sz="4" w:space="0"/>
              <w:right w:val="single" w:color="000000" w:sz="4" w:space="0"/>
            </w:tcBorders>
            <w:vAlign w:val="center"/>
          </w:tcPr>
          <w:p w14:paraId="318CBE80">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6A759CA9">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13C1191F">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69F10702">
            <w:pPr>
              <w:jc w:val="center"/>
              <w:rPr>
                <w:rFonts w:ascii="宋体" w:hAnsi="宋体"/>
                <w:color w:val="auto"/>
                <w:sz w:val="18"/>
                <w:szCs w:val="18"/>
                <w:highlight w:val="none"/>
                <w:lang w:val="en-US" w:eastAsia="zh-CN"/>
              </w:rPr>
            </w:pPr>
          </w:p>
        </w:tc>
      </w:tr>
      <w:tr w14:paraId="7ACC7B18">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0FBD095A">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102</w:t>
            </w:r>
          </w:p>
        </w:tc>
        <w:tc>
          <w:tcPr>
            <w:tcW w:w="817" w:type="dxa"/>
            <w:tcBorders>
              <w:top w:val="single" w:color="000000" w:sz="4" w:space="0"/>
              <w:left w:val="nil"/>
              <w:bottom w:val="single" w:color="000000" w:sz="4" w:space="0"/>
              <w:right w:val="single" w:color="000000" w:sz="4" w:space="0"/>
            </w:tcBorders>
            <w:vAlign w:val="center"/>
          </w:tcPr>
          <w:p w14:paraId="1D8FA487">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教师摄像机图像处理系统</w:t>
            </w:r>
          </w:p>
        </w:tc>
        <w:tc>
          <w:tcPr>
            <w:tcW w:w="4112" w:type="dxa"/>
            <w:tcBorders>
              <w:top w:val="single" w:color="000000" w:sz="4" w:space="0"/>
              <w:left w:val="nil"/>
              <w:bottom w:val="single" w:color="000000" w:sz="4" w:space="0"/>
              <w:right w:val="single" w:color="000000" w:sz="4" w:space="0"/>
            </w:tcBorders>
            <w:vAlign w:val="center"/>
          </w:tcPr>
          <w:p w14:paraId="0C72057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1)4K教师摄像机内嵌智能跟踪算法，无需单独安装定位跟踪主机及其他任何辅助拍摄设备，即可实现跟踪定位控制功能。</w:t>
            </w:r>
          </w:p>
          <w:p w14:paraId="16DEBD7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2)系统应采用智能图像识别算法，高清摄像机同时输出2路场景画面并分析计算，实现1台摄像机的2景位拍摄，通过导播跟踪系统，实现所有画面的自动导播切换：</w:t>
            </w:r>
          </w:p>
          <w:p w14:paraId="77A4909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a)当教师在讲台区域站立授课时，自动切换为教师特写，当教师在讲台区域进行走动时，自动切换到教师全景；</w:t>
            </w:r>
          </w:p>
          <w:p w14:paraId="7D9099C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b)当教师切换多媒体授课时，自动切换为多媒体特写画面；</w:t>
            </w:r>
          </w:p>
          <w:p w14:paraId="16E5728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3)支持设置摄像机分辨率、帧率、码率</w:t>
            </w:r>
          </w:p>
          <w:p w14:paraId="6DF4DB1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4)支持设置摄像机亮度、饱和度、对比度、锐度、色度、快门速度</w:t>
            </w:r>
          </w:p>
          <w:p w14:paraId="0A22DFF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5)图像支持左右镜像、上下翻转，默认不开启</w:t>
            </w:r>
          </w:p>
          <w:p w14:paraId="62E8C86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6)支持对摄像机网络进行管理，包括设置IP地址/网关/DNS等，支持组播协议搜索IP地址，并修改摄像机IP</w:t>
            </w:r>
          </w:p>
          <w:p w14:paraId="73AA25E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7)支持RTMP推流，RTSP拉流，地址可设置。</w:t>
            </w:r>
          </w:p>
          <w:p w14:paraId="5D62B9D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8)支持ONVIF协议，可预览ONVIF画面</w:t>
            </w:r>
          </w:p>
          <w:p w14:paraId="4FC07D4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9)支持GB28181协议，可使用GB28181协议推流</w:t>
            </w:r>
          </w:p>
          <w:p w14:paraId="0F41D60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10)支持摄像机内部导播，支持外部服务器导播</w:t>
            </w:r>
          </w:p>
          <w:p w14:paraId="369538D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11)支持至少1个矩形导播跟踪区划定</w:t>
            </w:r>
          </w:p>
          <w:p w14:paraId="0B1D6BA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12)支持至少2个导播屏蔽区划定</w:t>
            </w:r>
          </w:p>
          <w:p w14:paraId="24C3CCC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13)支持跟随模式、混合模式、双镜模式等多种导播模式</w:t>
            </w:r>
          </w:p>
          <w:p w14:paraId="00DD61D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14)支持跟踪灵敏度设置，可适配不同的灵敏度要求场景</w:t>
            </w:r>
          </w:p>
          <w:p w14:paraId="3711988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15)支持开启/关闭跟踪功能</w:t>
            </w:r>
          </w:p>
        </w:tc>
        <w:tc>
          <w:tcPr>
            <w:tcW w:w="1040" w:type="dxa"/>
            <w:tcBorders>
              <w:top w:val="single" w:color="000000" w:sz="4" w:space="0"/>
              <w:left w:val="nil"/>
              <w:bottom w:val="single" w:color="000000" w:sz="4" w:space="0"/>
              <w:right w:val="single" w:color="000000" w:sz="4" w:space="0"/>
            </w:tcBorders>
            <w:vAlign w:val="center"/>
          </w:tcPr>
          <w:p w14:paraId="55B13767">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0365DC5E">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587F3EA9">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66ABCF79">
            <w:pPr>
              <w:jc w:val="center"/>
              <w:rPr>
                <w:rFonts w:ascii="宋体" w:hAnsi="宋体"/>
                <w:color w:val="auto"/>
                <w:sz w:val="18"/>
                <w:szCs w:val="18"/>
                <w:highlight w:val="none"/>
                <w:lang w:val="en-US" w:eastAsia="zh-CN"/>
              </w:rPr>
            </w:pPr>
          </w:p>
        </w:tc>
      </w:tr>
      <w:tr w14:paraId="22251B98">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21913982">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10</w:t>
            </w:r>
            <w:r>
              <w:rPr>
                <w:rFonts w:hint="eastAsia" w:ascii="宋体" w:hAnsi="宋体"/>
                <w:color w:val="auto"/>
                <w:kern w:val="0"/>
                <w:sz w:val="18"/>
                <w:szCs w:val="18"/>
                <w:highlight w:val="none"/>
                <w:lang w:val="en-US" w:eastAsia="zh-CN"/>
              </w:rPr>
              <w:t>3</w:t>
            </w:r>
          </w:p>
        </w:tc>
        <w:tc>
          <w:tcPr>
            <w:tcW w:w="817" w:type="dxa"/>
            <w:tcBorders>
              <w:top w:val="single" w:color="000000" w:sz="4" w:space="0"/>
              <w:left w:val="nil"/>
              <w:bottom w:val="single" w:color="000000" w:sz="4" w:space="0"/>
              <w:right w:val="single" w:color="000000" w:sz="4" w:space="0"/>
            </w:tcBorders>
            <w:vAlign w:val="center"/>
          </w:tcPr>
          <w:p w14:paraId="04EE395F">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4K</w:t>
            </w:r>
            <w:r>
              <w:rPr>
                <w:rFonts w:hint="eastAsia" w:ascii="宋体" w:hAnsi="宋体"/>
                <w:color w:val="auto"/>
                <w:kern w:val="0"/>
                <w:sz w:val="18"/>
                <w:szCs w:val="18"/>
                <w:highlight w:val="none"/>
              </w:rPr>
              <w:t>学生摄像机</w:t>
            </w:r>
          </w:p>
        </w:tc>
        <w:tc>
          <w:tcPr>
            <w:tcW w:w="4112" w:type="dxa"/>
            <w:tcBorders>
              <w:top w:val="single" w:color="000000" w:sz="4" w:space="0"/>
              <w:left w:val="nil"/>
              <w:bottom w:val="single" w:color="000000" w:sz="4" w:space="0"/>
              <w:right w:val="single" w:color="000000" w:sz="4" w:space="0"/>
            </w:tcBorders>
            <w:vAlign w:val="center"/>
          </w:tcPr>
          <w:p w14:paraId="316DA03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1)镜头水平视场角≥90°</w:t>
            </w:r>
          </w:p>
          <w:p w14:paraId="67489D6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2)一体化集成设计，支持4K超高清，最大可提供4K图像编码输出，同时向下兼容1080p，720p等分辨率。</w:t>
            </w:r>
          </w:p>
          <w:p w14:paraId="427765A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3)内置图像识别跟踪算法，无需物理转动，即可实现平滑自然的跟踪效果，避免干扰课堂教学。</w:t>
            </w:r>
          </w:p>
          <w:p w14:paraId="3A875D7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4)全景画面支持畸变矫正功能。</w:t>
            </w:r>
          </w:p>
          <w:p w14:paraId="2D1DAEF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5)全景画面与特写画面必须采用相同图像传感器和图像处理器，确保两者图像输出亮度、颜色、风格等保持一致。</w:t>
            </w:r>
          </w:p>
          <w:p w14:paraId="4BDAB7A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6)整机接口:≥1路RJ45。</w:t>
            </w:r>
          </w:p>
          <w:p w14:paraId="0F5F0FE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7)支持POE有线网络供电，只需要1路网线，即可实现供电及信号传输，支持同时输出特写和全景等多路画面。</w:t>
            </w:r>
          </w:p>
          <w:p w14:paraId="3B52862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8)传感器尺寸：≥CMOS 1/2.8英寸。</w:t>
            </w:r>
          </w:p>
          <w:p w14:paraId="457BE6F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9)传感器有效像素≥800万。</w:t>
            </w:r>
          </w:p>
          <w:p w14:paraId="63EE321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10)扫描方式：逐行 。</w:t>
            </w:r>
          </w:p>
          <w:p w14:paraId="62C1A00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11)最低照度：0.5 Lux @（F1.8, AGC ON）。</w:t>
            </w:r>
          </w:p>
          <w:p w14:paraId="5A176F8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12)电子快门：1/30s ~ 1/10000s。</w:t>
            </w:r>
          </w:p>
          <w:p w14:paraId="44AA86B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13)支持自动白平衡。</w:t>
            </w:r>
          </w:p>
          <w:p w14:paraId="1ED49EC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14)支持2D&amp;3D数字降噪，信噪比≥55dB。</w:t>
            </w:r>
          </w:p>
          <w:p w14:paraId="7686E11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15)支持H.264、H.265视频编码格式。</w:t>
            </w:r>
          </w:p>
          <w:p w14:paraId="74F3089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16)主码流分辨率：3840x2160, 1920x1080, 1920x1080, 1280x720, 1024x576, 720x576(50Hz), 720x480(60Hz), 720x408, 640x360, 480x270, 320x240, 320x180</w:t>
            </w:r>
          </w:p>
          <w:p w14:paraId="23EEE6E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17)辅码流分辨率：1920x1080, 1280x720, 1024x576, 960x540, 640x480, 640x360, 320x240, 320x180</w:t>
            </w:r>
          </w:p>
          <w:p w14:paraId="1B20E4D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 xml:space="preserve">18)视频码率：32Kbps ~ 16384Kbps。 </w:t>
            </w:r>
          </w:p>
          <w:p w14:paraId="7DEF407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 xml:space="preserve">19)帧率：1~25fps。 </w:t>
            </w:r>
          </w:p>
          <w:p w14:paraId="3714FFC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20)网络流传输协议：TCP, HTTP, UDP，RTSP, RTMP, ONVIF。</w:t>
            </w:r>
          </w:p>
          <w:p w14:paraId="2FE7523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21)输入电压：DC12V/PoE（IEEE802.3af）。</w:t>
            </w:r>
          </w:p>
          <w:p w14:paraId="4C5BEF2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22)功耗≤9W。</w:t>
            </w:r>
          </w:p>
          <w:p w14:paraId="7806E63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23)净重：≤0.3kg。</w:t>
            </w:r>
          </w:p>
        </w:tc>
        <w:tc>
          <w:tcPr>
            <w:tcW w:w="1040" w:type="dxa"/>
            <w:tcBorders>
              <w:top w:val="single" w:color="000000" w:sz="4" w:space="0"/>
              <w:left w:val="nil"/>
              <w:bottom w:val="single" w:color="000000" w:sz="4" w:space="0"/>
              <w:right w:val="single" w:color="000000" w:sz="4" w:space="0"/>
            </w:tcBorders>
            <w:vAlign w:val="center"/>
          </w:tcPr>
          <w:p w14:paraId="0C40617A">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0BBB6531">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4CB97D52">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78B18539">
            <w:pPr>
              <w:jc w:val="center"/>
              <w:rPr>
                <w:rFonts w:ascii="宋体" w:hAnsi="宋体"/>
                <w:color w:val="auto"/>
                <w:sz w:val="18"/>
                <w:szCs w:val="18"/>
                <w:highlight w:val="none"/>
                <w:lang w:val="en-US" w:eastAsia="zh-CN"/>
              </w:rPr>
            </w:pPr>
          </w:p>
        </w:tc>
      </w:tr>
      <w:tr w14:paraId="04F057C1">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2D823041">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10</w:t>
            </w:r>
            <w:r>
              <w:rPr>
                <w:rFonts w:hint="eastAsia" w:ascii="宋体" w:hAnsi="宋体"/>
                <w:color w:val="auto"/>
                <w:kern w:val="0"/>
                <w:sz w:val="18"/>
                <w:szCs w:val="18"/>
                <w:highlight w:val="none"/>
                <w:lang w:val="en-US" w:eastAsia="zh-CN"/>
              </w:rPr>
              <w:t>4</w:t>
            </w:r>
          </w:p>
        </w:tc>
        <w:tc>
          <w:tcPr>
            <w:tcW w:w="817" w:type="dxa"/>
            <w:tcBorders>
              <w:top w:val="single" w:color="000000" w:sz="4" w:space="0"/>
              <w:left w:val="nil"/>
              <w:bottom w:val="single" w:color="000000" w:sz="4" w:space="0"/>
              <w:right w:val="single" w:color="000000" w:sz="4" w:space="0"/>
            </w:tcBorders>
            <w:vAlign w:val="center"/>
          </w:tcPr>
          <w:p w14:paraId="0C89913C">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学生摄像机图像处理系统</w:t>
            </w:r>
          </w:p>
        </w:tc>
        <w:tc>
          <w:tcPr>
            <w:tcW w:w="4112" w:type="dxa"/>
            <w:tcBorders>
              <w:top w:val="single" w:color="000000" w:sz="4" w:space="0"/>
              <w:left w:val="nil"/>
              <w:bottom w:val="single" w:color="000000" w:sz="4" w:space="0"/>
              <w:right w:val="single" w:color="000000" w:sz="4" w:space="0"/>
            </w:tcBorders>
            <w:vAlign w:val="center"/>
          </w:tcPr>
          <w:p w14:paraId="249BD15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1)4K学生摄像机内嵌智能跟踪算法，无需单独安装定位跟踪主机及其他任何辅助拍摄设备，即可实现跟踪定位控制功能。</w:t>
            </w:r>
          </w:p>
          <w:p w14:paraId="410A363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2)系统应采用智能图像识别算法，高清摄像机同时输出2路场景画面并分析计算，实现1台摄像机的2景位拍摄，通过导播跟踪系统，实现所有画面的自动导播切换：</w:t>
            </w:r>
          </w:p>
          <w:p w14:paraId="6FCDDB4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a)学生起立发言时，首先切换为学生全景，再过渡为发言学生的特写画面，当多名学生站立时，自动切换到学生全景；</w:t>
            </w:r>
          </w:p>
          <w:p w14:paraId="5123374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b)学生跟踪具备人脸检测辅助识别功能。</w:t>
            </w:r>
          </w:p>
          <w:p w14:paraId="09B1905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3)支持设置摄像机分辨率、帧率、码率</w:t>
            </w:r>
          </w:p>
          <w:p w14:paraId="3375D80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4)支持设置摄像机亮度、饱和度、对比度、锐度、色度、快门速度</w:t>
            </w:r>
          </w:p>
          <w:p w14:paraId="2E4AA91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5)图像支持左右镜像、上下翻转，默认不开启</w:t>
            </w:r>
          </w:p>
          <w:p w14:paraId="09796E8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6)支持对摄像机网络进行管理，包括设置IP地址/网关/DNS等，支持组播协议搜索IP地址，并修改摄像机IP</w:t>
            </w:r>
          </w:p>
          <w:p w14:paraId="4180BAB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7)支持RTMP推流，RTSP拉流，地址可设置</w:t>
            </w:r>
          </w:p>
          <w:p w14:paraId="24702A3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8)支持ONVIF协议，可预览ONVIF画面</w:t>
            </w:r>
          </w:p>
          <w:p w14:paraId="31B376D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9)支持GB28181协议，可使用GB28181协议推流</w:t>
            </w:r>
          </w:p>
          <w:p w14:paraId="288A8E2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10)支持摄像机内部导播，支持外部服务器导播</w:t>
            </w:r>
          </w:p>
          <w:p w14:paraId="4AF0043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11)支持至少1个六边形导播跟踪区划定</w:t>
            </w:r>
          </w:p>
          <w:p w14:paraId="66E8E2C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12)跟踪区域划定方式为任意两个边缘点连线，确保可以构建合适的跟踪区域</w:t>
            </w:r>
          </w:p>
          <w:p w14:paraId="2D8F1A4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13)支持跟踪灵敏度设置，可适配不同的灵敏度要求场景</w:t>
            </w:r>
          </w:p>
          <w:p w14:paraId="5A3A063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14)支持开启/关闭跟踪功能</w:t>
            </w:r>
          </w:p>
        </w:tc>
        <w:tc>
          <w:tcPr>
            <w:tcW w:w="1040" w:type="dxa"/>
            <w:tcBorders>
              <w:top w:val="single" w:color="000000" w:sz="4" w:space="0"/>
              <w:left w:val="nil"/>
              <w:bottom w:val="single" w:color="000000" w:sz="4" w:space="0"/>
              <w:right w:val="single" w:color="000000" w:sz="4" w:space="0"/>
            </w:tcBorders>
            <w:vAlign w:val="center"/>
          </w:tcPr>
          <w:p w14:paraId="44835C31">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78A0F386">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291F8AE7">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5CE61C2C">
            <w:pPr>
              <w:jc w:val="center"/>
              <w:rPr>
                <w:rFonts w:ascii="宋体" w:hAnsi="宋体"/>
                <w:color w:val="auto"/>
                <w:sz w:val="18"/>
                <w:szCs w:val="18"/>
                <w:highlight w:val="none"/>
                <w:lang w:val="en-US" w:eastAsia="zh-CN"/>
              </w:rPr>
            </w:pPr>
          </w:p>
        </w:tc>
      </w:tr>
      <w:tr w14:paraId="0A728D5C">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75A84479">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10</w:t>
            </w:r>
            <w:r>
              <w:rPr>
                <w:rFonts w:hint="eastAsia" w:ascii="宋体" w:hAnsi="宋体"/>
                <w:color w:val="auto"/>
                <w:kern w:val="0"/>
                <w:sz w:val="18"/>
                <w:szCs w:val="18"/>
                <w:highlight w:val="none"/>
                <w:lang w:val="en-US" w:eastAsia="zh-CN"/>
              </w:rPr>
              <w:t>5</w:t>
            </w:r>
          </w:p>
        </w:tc>
        <w:tc>
          <w:tcPr>
            <w:tcW w:w="817" w:type="dxa"/>
            <w:tcBorders>
              <w:top w:val="single" w:color="000000" w:sz="4" w:space="0"/>
              <w:left w:val="nil"/>
              <w:bottom w:val="single" w:color="000000" w:sz="4" w:space="0"/>
              <w:right w:val="single" w:color="000000" w:sz="4" w:space="0"/>
            </w:tcBorders>
            <w:vAlign w:val="center"/>
          </w:tcPr>
          <w:p w14:paraId="2104CE29">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指向性拾音麦克风</w:t>
            </w:r>
          </w:p>
        </w:tc>
        <w:tc>
          <w:tcPr>
            <w:tcW w:w="4112" w:type="dxa"/>
            <w:tcBorders>
              <w:top w:val="single" w:color="000000" w:sz="4" w:space="0"/>
              <w:left w:val="nil"/>
              <w:bottom w:val="single" w:color="000000" w:sz="4" w:space="0"/>
              <w:right w:val="single" w:color="000000" w:sz="4" w:space="0"/>
            </w:tcBorders>
            <w:vAlign w:val="center"/>
          </w:tcPr>
          <w:p w14:paraId="68BD54B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麦克风采用≥4核的国产音频芯片。</w:t>
            </w:r>
          </w:p>
          <w:p w14:paraId="70A058A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麦克风频率响应范围不低于50Hz~16KHz。</w:t>
            </w:r>
          </w:p>
          <w:p w14:paraId="45D7ACD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麦克风拾音半径≥8m。</w:t>
            </w:r>
          </w:p>
          <w:p w14:paraId="672F973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麦克风信噪比≥68dB。</w:t>
            </w:r>
          </w:p>
          <w:p w14:paraId="70B9F19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麦克风声压级≥130dBSPL，10%THD@1 KHz。</w:t>
            </w:r>
          </w:p>
          <w:p w14:paraId="15E6068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麦克风无需额外适配器供电，能够通过网线实现麦克风供电、音频信号传输、参数调整。</w:t>
            </w:r>
          </w:p>
          <w:p w14:paraId="2C6C334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麦克风具备≥1个状态指示灯，可显示麦克风工作状态。</w:t>
            </w:r>
          </w:p>
          <w:p w14:paraId="6412841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麦克风采用标准1/4吋螺口，适配各种类型标准吊杆。</w:t>
            </w:r>
          </w:p>
          <w:p w14:paraId="40989A1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麦克风支持≥2个数字音频接口，每个接口都具备输入接口和输出接口能力，支持盲插。</w:t>
            </w:r>
          </w:p>
          <w:p w14:paraId="78E7241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麦克风支持≥1个Type-C接口。</w:t>
            </w:r>
          </w:p>
          <w:p w14:paraId="2499954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 麦克风内置≥8个硅麦传感器单元。</w:t>
            </w:r>
          </w:p>
          <w:p w14:paraId="0538058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 麦克风支持在线OTA，可在线对麦克风进行升级，无需人员现场维护。</w:t>
            </w:r>
          </w:p>
          <w:p w14:paraId="759AFCC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 麦克风支持降噪、回声抵消、混响抑制、自动增益控制、多麦融合多种音频算法。</w:t>
            </w:r>
          </w:p>
          <w:p w14:paraId="035004F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 麦克风支持数字音频传输。</w:t>
            </w:r>
          </w:p>
          <w:p w14:paraId="27CF1A2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 麦克风套件标配2支麦克风和2套安装支架。</w:t>
            </w:r>
          </w:p>
        </w:tc>
        <w:tc>
          <w:tcPr>
            <w:tcW w:w="1040" w:type="dxa"/>
            <w:tcBorders>
              <w:top w:val="single" w:color="000000" w:sz="4" w:space="0"/>
              <w:left w:val="nil"/>
              <w:bottom w:val="single" w:color="000000" w:sz="4" w:space="0"/>
              <w:right w:val="single" w:color="000000" w:sz="4" w:space="0"/>
            </w:tcBorders>
            <w:vAlign w:val="center"/>
          </w:tcPr>
          <w:p w14:paraId="76E543DE">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283A1916">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7A7E2305">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5FABB1BE">
            <w:pPr>
              <w:jc w:val="center"/>
              <w:rPr>
                <w:rFonts w:hint="eastAsia" w:ascii="宋体" w:hAnsi="宋体"/>
                <w:color w:val="auto"/>
                <w:kern w:val="0"/>
                <w:sz w:val="18"/>
                <w:szCs w:val="18"/>
                <w:highlight w:val="green"/>
              </w:rPr>
            </w:pPr>
          </w:p>
        </w:tc>
      </w:tr>
      <w:tr w14:paraId="58B9CBD0">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08734441">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10</w:t>
            </w:r>
            <w:r>
              <w:rPr>
                <w:rFonts w:hint="eastAsia" w:ascii="宋体" w:hAnsi="宋体"/>
                <w:color w:val="auto"/>
                <w:kern w:val="0"/>
                <w:sz w:val="18"/>
                <w:szCs w:val="18"/>
                <w:highlight w:val="none"/>
                <w:lang w:val="en-US" w:eastAsia="zh-CN"/>
              </w:rPr>
              <w:t>6</w:t>
            </w:r>
          </w:p>
        </w:tc>
        <w:tc>
          <w:tcPr>
            <w:tcW w:w="817" w:type="dxa"/>
            <w:tcBorders>
              <w:top w:val="single" w:color="000000" w:sz="4" w:space="0"/>
              <w:left w:val="nil"/>
              <w:bottom w:val="single" w:color="000000" w:sz="4" w:space="0"/>
              <w:right w:val="single" w:color="000000" w:sz="4" w:space="0"/>
            </w:tcBorders>
            <w:vAlign w:val="center"/>
          </w:tcPr>
          <w:p w14:paraId="6879C628">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麦克风音频处理系统</w:t>
            </w:r>
          </w:p>
        </w:tc>
        <w:tc>
          <w:tcPr>
            <w:tcW w:w="4112" w:type="dxa"/>
            <w:tcBorders>
              <w:top w:val="single" w:color="000000" w:sz="4" w:space="0"/>
              <w:left w:val="nil"/>
              <w:bottom w:val="single" w:color="000000" w:sz="4" w:space="0"/>
              <w:right w:val="single" w:color="000000" w:sz="4" w:space="0"/>
            </w:tcBorders>
            <w:vAlign w:val="center"/>
          </w:tcPr>
          <w:p w14:paraId="043F163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支持全频带全双工自适应回声消除算法。</w:t>
            </w:r>
          </w:p>
          <w:p w14:paraId="27DF769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支持全频自适应AI降噪技术，降噪电平≥24dB。</w:t>
            </w:r>
          </w:p>
          <w:p w14:paraId="5565C15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支持自动增益控制。</w:t>
            </w:r>
          </w:p>
          <w:p w14:paraId="6604D57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支持啸叫抑制。</w:t>
            </w:r>
          </w:p>
          <w:p w14:paraId="01A45B5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支持智能混音，可智能选择最佳麦克风采集音频。</w:t>
            </w:r>
          </w:p>
          <w:p w14:paraId="3DDC548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支持多通道音频矩阵，可根据场景需求进行相应设置。</w:t>
            </w:r>
          </w:p>
          <w:p w14:paraId="2457CC0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支持音频参数调节。</w:t>
            </w:r>
          </w:p>
          <w:p w14:paraId="65F753D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支持波束成形。</w:t>
            </w:r>
          </w:p>
          <w:p w14:paraId="4EBF52E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支持远程OTA升级。</w:t>
            </w:r>
          </w:p>
          <w:p w14:paraId="15DADB2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支持连接录播主机作为录播音频输入设备使用，也可连接Windows系统，并为其提供音频输入。</w:t>
            </w:r>
          </w:p>
        </w:tc>
        <w:tc>
          <w:tcPr>
            <w:tcW w:w="1040" w:type="dxa"/>
            <w:tcBorders>
              <w:top w:val="single" w:color="000000" w:sz="4" w:space="0"/>
              <w:left w:val="nil"/>
              <w:bottom w:val="single" w:color="000000" w:sz="4" w:space="0"/>
              <w:right w:val="single" w:color="000000" w:sz="4" w:space="0"/>
            </w:tcBorders>
            <w:vAlign w:val="center"/>
          </w:tcPr>
          <w:p w14:paraId="094DED11">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573AFEC4">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6D28240F">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0BF33578">
            <w:pPr>
              <w:jc w:val="center"/>
              <w:rPr>
                <w:rFonts w:hint="eastAsia" w:ascii="宋体" w:hAnsi="宋体"/>
                <w:color w:val="auto"/>
                <w:kern w:val="0"/>
                <w:sz w:val="18"/>
                <w:szCs w:val="18"/>
                <w:highlight w:val="green"/>
              </w:rPr>
            </w:pPr>
          </w:p>
        </w:tc>
      </w:tr>
      <w:tr w14:paraId="5CD0108C">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359AE3E7">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10</w:t>
            </w:r>
            <w:r>
              <w:rPr>
                <w:rFonts w:hint="eastAsia" w:ascii="宋体" w:hAnsi="宋体"/>
                <w:color w:val="auto"/>
                <w:kern w:val="0"/>
                <w:sz w:val="18"/>
                <w:szCs w:val="18"/>
                <w:highlight w:val="none"/>
                <w:lang w:val="en-US" w:eastAsia="zh-CN"/>
              </w:rPr>
              <w:t>7</w:t>
            </w:r>
          </w:p>
        </w:tc>
        <w:tc>
          <w:tcPr>
            <w:tcW w:w="817" w:type="dxa"/>
            <w:tcBorders>
              <w:top w:val="single" w:color="000000" w:sz="4" w:space="0"/>
              <w:left w:val="nil"/>
              <w:bottom w:val="single" w:color="000000" w:sz="4" w:space="0"/>
              <w:right w:val="single" w:color="000000" w:sz="4" w:space="0"/>
            </w:tcBorders>
            <w:vAlign w:val="center"/>
          </w:tcPr>
          <w:p w14:paraId="6EBFDD4D">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双通道</w:t>
            </w:r>
            <w:r>
              <w:rPr>
                <w:rFonts w:hint="eastAsia" w:ascii="宋体" w:hAnsi="宋体"/>
                <w:color w:val="auto"/>
                <w:kern w:val="0"/>
                <w:sz w:val="18"/>
                <w:szCs w:val="18"/>
                <w:highlight w:val="none"/>
              </w:rPr>
              <w:t>无线麦克风</w:t>
            </w:r>
          </w:p>
        </w:tc>
        <w:tc>
          <w:tcPr>
            <w:tcW w:w="4112" w:type="dxa"/>
            <w:tcBorders>
              <w:top w:val="single" w:color="000000" w:sz="4" w:space="0"/>
              <w:left w:val="nil"/>
              <w:bottom w:val="single" w:color="000000" w:sz="4" w:space="0"/>
              <w:right w:val="single" w:color="000000" w:sz="4" w:space="0"/>
            </w:tcBorders>
            <w:vAlign w:val="center"/>
          </w:tcPr>
          <w:p w14:paraId="43234A5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麦克风支持≥1个3.5mm音频接口，可输入头戴麦音频信号，输出幅值≥2V（RMS）。整机3.5mm音频接口≥2个。</w:t>
            </w:r>
          </w:p>
          <w:p w14:paraId="4481ECC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麦克风支持≥1个Pogo pin接口，支持通过Pogo pin接口进行充电。整机Pogo pin接口≥2个。</w:t>
            </w:r>
          </w:p>
          <w:p w14:paraId="47079F2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麦克风支持≥1个三合一按键，可控制麦克风的开关机、静音和配对。</w:t>
            </w:r>
          </w:p>
          <w:p w14:paraId="368DB33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麦克风支持≥2个音量控制按钮，可通过音量“+”“—”按钮控制麦克风输出音量。</w:t>
            </w:r>
          </w:p>
          <w:p w14:paraId="5135229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麦克风标配充电仓，方便快速充电及收纳。</w:t>
            </w:r>
          </w:p>
          <w:p w14:paraId="14346C6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麦克风支持≥4种佩戴方式。</w:t>
            </w:r>
          </w:p>
          <w:p w14:paraId="7A5950D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麦克风领夹角度支持自由调节，调节角度≥±90°，以适配不同的使用者衣物；调节至0°位置时会有“卡扣感”,方便回归标准位置。</w:t>
            </w:r>
          </w:p>
          <w:p w14:paraId="77F0603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整机标配两个无线麦克风，且两个麦克风支持同时工作。</w:t>
            </w:r>
          </w:p>
          <w:p w14:paraId="3EF2602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麦克风支持≥2种配对方式，可通过麦克风从充电仓拿出自动开始配对、短按按键开始配对，配对完成时间≤5s。</w:t>
            </w:r>
          </w:p>
          <w:p w14:paraId="64BF777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麦克风支持通过音量调节按钮调节输出音量；音量调节过程中通过麦克风一体化屏幕动态提示当前音量等级。</w:t>
            </w:r>
          </w:p>
          <w:p w14:paraId="3BE2FAA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 支持任意两个麦克风放入同一个充电仓完成配对，配对后两个麦克风可同时连接一个接收端。</w:t>
            </w:r>
          </w:p>
          <w:p w14:paraId="0A769EF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 麦克风信噪比≥95dB。</w:t>
            </w:r>
          </w:p>
          <w:p w14:paraId="455BBA5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 麦克风音频采样率≥48000Hz。</w:t>
            </w:r>
          </w:p>
          <w:p w14:paraId="73797ED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 支持红外和无线2.4G同时配对，实现远距离配对的同时，防止误配对。</w:t>
            </w:r>
          </w:p>
          <w:p w14:paraId="555EC79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 麦克风自带全彩显示屏，支持显示显示麦克风电池电量、麦克风配对状态、麦克风所连接的设备、显示当前麦克风接收声音强度、无线连接信号强度。</w:t>
            </w:r>
          </w:p>
        </w:tc>
        <w:tc>
          <w:tcPr>
            <w:tcW w:w="1040" w:type="dxa"/>
            <w:tcBorders>
              <w:top w:val="single" w:color="000000" w:sz="4" w:space="0"/>
              <w:left w:val="nil"/>
              <w:bottom w:val="single" w:color="000000" w:sz="4" w:space="0"/>
              <w:right w:val="single" w:color="000000" w:sz="4" w:space="0"/>
            </w:tcBorders>
            <w:vAlign w:val="center"/>
          </w:tcPr>
          <w:p w14:paraId="00811F71">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2654D131">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35C78C5A">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750B4F13">
            <w:pPr>
              <w:jc w:val="center"/>
              <w:rPr>
                <w:rFonts w:ascii="宋体" w:hAnsi="宋体"/>
                <w:color w:val="auto"/>
                <w:sz w:val="18"/>
                <w:szCs w:val="18"/>
                <w:highlight w:val="none"/>
                <w:lang w:val="en-US" w:eastAsia="zh-CN"/>
              </w:rPr>
            </w:pPr>
          </w:p>
        </w:tc>
      </w:tr>
      <w:tr w14:paraId="0F6B0E57">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4B1CBCFC">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10</w:t>
            </w:r>
            <w:r>
              <w:rPr>
                <w:rFonts w:hint="eastAsia" w:ascii="宋体" w:hAnsi="宋体"/>
                <w:color w:val="auto"/>
                <w:kern w:val="0"/>
                <w:sz w:val="18"/>
                <w:szCs w:val="18"/>
                <w:highlight w:val="none"/>
                <w:lang w:val="en-US" w:eastAsia="zh-CN"/>
              </w:rPr>
              <w:t>8</w:t>
            </w:r>
          </w:p>
        </w:tc>
        <w:tc>
          <w:tcPr>
            <w:tcW w:w="817" w:type="dxa"/>
            <w:tcBorders>
              <w:top w:val="single" w:color="000000" w:sz="4" w:space="0"/>
              <w:left w:val="nil"/>
              <w:bottom w:val="single" w:color="000000" w:sz="4" w:space="0"/>
              <w:right w:val="single" w:color="000000" w:sz="4" w:space="0"/>
            </w:tcBorders>
            <w:vAlign w:val="center"/>
          </w:tcPr>
          <w:p w14:paraId="4C7C3A27">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麦克风音频处理系统</w:t>
            </w:r>
          </w:p>
        </w:tc>
        <w:tc>
          <w:tcPr>
            <w:tcW w:w="4112" w:type="dxa"/>
            <w:tcBorders>
              <w:top w:val="single" w:color="000000" w:sz="4" w:space="0"/>
              <w:left w:val="nil"/>
              <w:bottom w:val="single" w:color="000000" w:sz="4" w:space="0"/>
              <w:right w:val="single" w:color="000000" w:sz="4" w:space="0"/>
            </w:tcBorders>
            <w:vAlign w:val="center"/>
          </w:tcPr>
          <w:p w14:paraId="151086D8">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 麦克风音频编码方式采用LC3 plus。</w:t>
            </w:r>
          </w:p>
          <w:p w14:paraId="71BD4846">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 支持啸叫抑制算法，本地扩声时不产生啸叫现象。</w:t>
            </w:r>
          </w:p>
          <w:p w14:paraId="0CEF4608">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3. 支持降噪功能设置。</w:t>
            </w:r>
          </w:p>
          <w:p w14:paraId="2092D296">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4. 支持多通道输入混音。</w:t>
            </w:r>
          </w:p>
        </w:tc>
        <w:tc>
          <w:tcPr>
            <w:tcW w:w="1040" w:type="dxa"/>
            <w:tcBorders>
              <w:top w:val="single" w:color="000000" w:sz="4" w:space="0"/>
              <w:left w:val="nil"/>
              <w:bottom w:val="single" w:color="000000" w:sz="4" w:space="0"/>
              <w:right w:val="single" w:color="000000" w:sz="4" w:space="0"/>
            </w:tcBorders>
            <w:vAlign w:val="center"/>
          </w:tcPr>
          <w:p w14:paraId="68DBC36E">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0A5245B9">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47CC7670">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50C956B3">
            <w:pPr>
              <w:jc w:val="center"/>
              <w:rPr>
                <w:rFonts w:hint="eastAsia" w:ascii="宋体" w:hAnsi="宋体"/>
                <w:color w:val="auto"/>
                <w:sz w:val="18"/>
                <w:szCs w:val="18"/>
                <w:highlight w:val="green"/>
                <w:lang w:val="en-US" w:eastAsia="zh-CN"/>
              </w:rPr>
            </w:pPr>
          </w:p>
        </w:tc>
      </w:tr>
      <w:tr w14:paraId="2BDB20DC">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0B4E7357">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10</w:t>
            </w:r>
            <w:r>
              <w:rPr>
                <w:rFonts w:hint="eastAsia" w:ascii="宋体" w:hAnsi="宋体"/>
                <w:color w:val="auto"/>
                <w:kern w:val="0"/>
                <w:sz w:val="18"/>
                <w:szCs w:val="18"/>
                <w:highlight w:val="none"/>
                <w:lang w:val="en-US" w:eastAsia="zh-CN"/>
              </w:rPr>
              <w:t>9</w:t>
            </w:r>
          </w:p>
        </w:tc>
        <w:tc>
          <w:tcPr>
            <w:tcW w:w="817" w:type="dxa"/>
            <w:tcBorders>
              <w:top w:val="single" w:color="000000" w:sz="4" w:space="0"/>
              <w:left w:val="nil"/>
              <w:bottom w:val="single" w:color="000000" w:sz="4" w:space="0"/>
              <w:right w:val="single" w:color="000000" w:sz="4" w:space="0"/>
            </w:tcBorders>
            <w:vAlign w:val="center"/>
          </w:tcPr>
          <w:p w14:paraId="5DF846FA">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互动电视</w:t>
            </w:r>
          </w:p>
        </w:tc>
        <w:tc>
          <w:tcPr>
            <w:tcW w:w="4112" w:type="dxa"/>
            <w:tcBorders>
              <w:top w:val="single" w:color="000000" w:sz="4" w:space="0"/>
              <w:left w:val="nil"/>
              <w:bottom w:val="single" w:color="000000" w:sz="4" w:space="0"/>
              <w:right w:val="single" w:color="000000" w:sz="4" w:space="0"/>
            </w:tcBorders>
            <w:vAlign w:val="center"/>
          </w:tcPr>
          <w:p w14:paraId="07286855">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1.屏幕物理尺寸≥55吋</w:t>
            </w:r>
          </w:p>
          <w:p w14:paraId="1413407D">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2.屏幕分辨率≥3840*2160</w:t>
            </w:r>
          </w:p>
          <w:p w14:paraId="508AD0B8">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3.屏幕刷新率≥60Hz</w:t>
            </w:r>
          </w:p>
          <w:p w14:paraId="23719F7B">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4.支持HDMI接入检测开机，HDMI有输入信号后，可自动开机，至少有3个HDMI接口支持该功能</w:t>
            </w:r>
          </w:p>
          <w:p w14:paraId="5696CBE5">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5.整机功耗≤120W</w:t>
            </w:r>
          </w:p>
          <w:p w14:paraId="2A9317CF">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6.待机功耗≤0.5W</w:t>
            </w:r>
          </w:p>
          <w:p w14:paraId="69440176">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7.USB接口数量≥2；HDMI输入通道数量≥3</w:t>
            </w:r>
          </w:p>
          <w:p w14:paraId="2ADDAF1B">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8.标配遥控器和配套电池</w:t>
            </w:r>
          </w:p>
        </w:tc>
        <w:tc>
          <w:tcPr>
            <w:tcW w:w="1040" w:type="dxa"/>
            <w:tcBorders>
              <w:top w:val="single" w:color="000000" w:sz="4" w:space="0"/>
              <w:left w:val="nil"/>
              <w:bottom w:val="single" w:color="000000" w:sz="4" w:space="0"/>
              <w:right w:val="single" w:color="000000" w:sz="4" w:space="0"/>
            </w:tcBorders>
            <w:vAlign w:val="center"/>
          </w:tcPr>
          <w:p w14:paraId="05A92309">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156D728D">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57DBD5BD">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43234DDC">
            <w:pPr>
              <w:jc w:val="center"/>
              <w:rPr>
                <w:rFonts w:ascii="宋体" w:hAnsi="宋体"/>
                <w:color w:val="auto"/>
                <w:sz w:val="18"/>
                <w:szCs w:val="18"/>
                <w:highlight w:val="none"/>
                <w:lang w:val="en-US" w:eastAsia="zh-CN"/>
              </w:rPr>
            </w:pPr>
          </w:p>
        </w:tc>
      </w:tr>
      <w:tr w14:paraId="4ECF6F6F">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6DD029CA">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10</w:t>
            </w:r>
          </w:p>
        </w:tc>
        <w:tc>
          <w:tcPr>
            <w:tcW w:w="817" w:type="dxa"/>
            <w:tcBorders>
              <w:top w:val="single" w:color="000000" w:sz="4" w:space="0"/>
              <w:left w:val="nil"/>
              <w:bottom w:val="single" w:color="000000" w:sz="4" w:space="0"/>
              <w:right w:val="single" w:color="000000" w:sz="4" w:space="0"/>
            </w:tcBorders>
            <w:vAlign w:val="center"/>
          </w:tcPr>
          <w:p w14:paraId="4F8AFB0E">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kern w:val="0"/>
                <w:sz w:val="18"/>
                <w:szCs w:val="18"/>
                <w:highlight w:val="none"/>
              </w:rPr>
              <w:t>POE交换机</w:t>
            </w:r>
            <w:r>
              <w:rPr>
                <w:rFonts w:hint="eastAsia" w:ascii="宋体" w:hAnsi="宋体"/>
                <w:color w:val="auto"/>
                <w:kern w:val="0"/>
                <w:sz w:val="18"/>
                <w:szCs w:val="18"/>
                <w:highlight w:val="none"/>
                <w:lang w:eastAsia="zh-CN"/>
              </w:rPr>
              <w:t>（</w:t>
            </w:r>
            <w:r>
              <w:rPr>
                <w:rFonts w:hint="eastAsia" w:ascii="宋体" w:hAnsi="宋体"/>
                <w:color w:val="auto"/>
                <w:kern w:val="0"/>
                <w:sz w:val="18"/>
                <w:szCs w:val="18"/>
                <w:highlight w:val="none"/>
                <w:lang w:val="en-US" w:eastAsia="zh-CN"/>
              </w:rPr>
              <w:t>24 口）</w:t>
            </w:r>
          </w:p>
        </w:tc>
        <w:tc>
          <w:tcPr>
            <w:tcW w:w="4112" w:type="dxa"/>
            <w:tcBorders>
              <w:top w:val="single" w:color="000000" w:sz="4" w:space="0"/>
              <w:left w:val="nil"/>
              <w:bottom w:val="single" w:color="000000" w:sz="4" w:space="0"/>
              <w:right w:val="single" w:color="000000" w:sz="4" w:space="0"/>
            </w:tcBorders>
            <w:vAlign w:val="center"/>
          </w:tcPr>
          <w:p w14:paraId="65B7695B">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 xml:space="preserve">1.传输速率:10/100/1000Mbps </w:t>
            </w:r>
          </w:p>
          <w:p w14:paraId="2D2EC17F">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 xml:space="preserve">2.交换方式:存储-转发 </w:t>
            </w:r>
          </w:p>
          <w:p w14:paraId="1FE85313">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 xml:space="preserve">3.包转发率:41.66Mpps </w:t>
            </w:r>
          </w:p>
          <w:p w14:paraId="77AA945C">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 xml:space="preserve">4.端口数量:24个 </w:t>
            </w:r>
          </w:p>
          <w:p w14:paraId="61867D51">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 xml:space="preserve">5.端口描述:24个10/100/1000Base-T以太网端口，4个千兆SFP  </w:t>
            </w:r>
          </w:p>
          <w:p w14:paraId="67594064">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6.支持4K个VLAN</w:t>
            </w:r>
          </w:p>
          <w:p w14:paraId="64D285A0">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7.支持Access/Trunk/Hybrid/QinQ接入方式</w:t>
            </w:r>
          </w:p>
          <w:p w14:paraId="2B814757">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8.支持基于端口划分VLAN</w:t>
            </w:r>
          </w:p>
          <w:p w14:paraId="033C2A8B">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9.支持MAC地址自动学习</w:t>
            </w:r>
          </w:p>
          <w:p w14:paraId="5F61C914">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10.支持MAC地址自动老化</w:t>
            </w:r>
          </w:p>
          <w:p w14:paraId="688FA191">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11.支持静态MAC表项</w:t>
            </w:r>
          </w:p>
        </w:tc>
        <w:tc>
          <w:tcPr>
            <w:tcW w:w="1040" w:type="dxa"/>
            <w:tcBorders>
              <w:top w:val="single" w:color="000000" w:sz="4" w:space="0"/>
              <w:left w:val="nil"/>
              <w:bottom w:val="single" w:color="000000" w:sz="4" w:space="0"/>
              <w:right w:val="single" w:color="000000" w:sz="4" w:space="0"/>
            </w:tcBorders>
            <w:vAlign w:val="center"/>
          </w:tcPr>
          <w:p w14:paraId="6B1251DA">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61D0CC3D">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25A0FBF2">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5A352B66">
            <w:pPr>
              <w:jc w:val="center"/>
              <w:rPr>
                <w:rFonts w:ascii="宋体" w:hAnsi="宋体"/>
                <w:color w:val="auto"/>
                <w:sz w:val="18"/>
                <w:szCs w:val="18"/>
                <w:highlight w:val="none"/>
                <w:lang w:val="en-US" w:eastAsia="zh-CN"/>
              </w:rPr>
            </w:pPr>
          </w:p>
        </w:tc>
      </w:tr>
      <w:tr w14:paraId="75BCFAFC">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79F9D37D">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11</w:t>
            </w:r>
          </w:p>
        </w:tc>
        <w:tc>
          <w:tcPr>
            <w:tcW w:w="817" w:type="dxa"/>
            <w:tcBorders>
              <w:top w:val="single" w:color="000000" w:sz="4" w:space="0"/>
              <w:left w:val="nil"/>
              <w:bottom w:val="single" w:color="000000" w:sz="4" w:space="0"/>
              <w:right w:val="single" w:color="000000" w:sz="4" w:space="0"/>
            </w:tcBorders>
            <w:vAlign w:val="center"/>
          </w:tcPr>
          <w:p w14:paraId="4F006B9D">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附件及线材</w:t>
            </w:r>
          </w:p>
        </w:tc>
        <w:tc>
          <w:tcPr>
            <w:tcW w:w="4112" w:type="dxa"/>
            <w:tcBorders>
              <w:top w:val="single" w:color="000000" w:sz="4" w:space="0"/>
              <w:left w:val="nil"/>
              <w:bottom w:val="single" w:color="000000" w:sz="4" w:space="0"/>
              <w:right w:val="single" w:color="000000" w:sz="4" w:space="0"/>
            </w:tcBorders>
            <w:vAlign w:val="center"/>
          </w:tcPr>
          <w:p w14:paraId="4822D625">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HDMI高清音视频信号线100m、超五类网络传输线300m、RVVP线缆 10m、电视机挂架/吊架</w:t>
            </w:r>
            <w:r>
              <w:rPr>
                <w:rFonts w:hint="eastAsia" w:ascii="宋体" w:hAnsi="宋体"/>
                <w:color w:val="auto"/>
                <w:sz w:val="18"/>
                <w:szCs w:val="18"/>
                <w:highlight w:val="none"/>
                <w:lang w:val="en-US" w:eastAsia="zh-CN"/>
              </w:rPr>
              <w:t>1套</w:t>
            </w:r>
            <w:r>
              <w:rPr>
                <w:rFonts w:hint="eastAsia" w:ascii="宋体" w:hAnsi="宋体" w:eastAsia="宋体"/>
                <w:color w:val="auto"/>
                <w:sz w:val="18"/>
                <w:szCs w:val="18"/>
                <w:highlight w:val="none"/>
              </w:rPr>
              <w:t>。</w:t>
            </w:r>
          </w:p>
        </w:tc>
        <w:tc>
          <w:tcPr>
            <w:tcW w:w="1040" w:type="dxa"/>
            <w:tcBorders>
              <w:top w:val="single" w:color="000000" w:sz="4" w:space="0"/>
              <w:left w:val="nil"/>
              <w:bottom w:val="single" w:color="000000" w:sz="4" w:space="0"/>
              <w:right w:val="single" w:color="000000" w:sz="4" w:space="0"/>
            </w:tcBorders>
            <w:vAlign w:val="center"/>
          </w:tcPr>
          <w:p w14:paraId="53A23EBE">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699656AB">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lang w:val="en-US" w:eastAsia="zh-CN"/>
              </w:rPr>
              <w:t>项</w:t>
            </w:r>
          </w:p>
        </w:tc>
        <w:tc>
          <w:tcPr>
            <w:tcW w:w="1084" w:type="dxa"/>
            <w:tcBorders>
              <w:top w:val="single" w:color="000000" w:sz="4" w:space="0"/>
              <w:left w:val="nil"/>
              <w:bottom w:val="single" w:color="000000" w:sz="4" w:space="0"/>
              <w:right w:val="single" w:color="000000" w:sz="4" w:space="0"/>
            </w:tcBorders>
            <w:vAlign w:val="center"/>
          </w:tcPr>
          <w:p w14:paraId="47ED83A2">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4BF380DA">
            <w:pPr>
              <w:jc w:val="center"/>
              <w:rPr>
                <w:rFonts w:hint="eastAsia" w:ascii="宋体" w:hAnsi="宋体"/>
                <w:color w:val="auto"/>
                <w:sz w:val="18"/>
                <w:szCs w:val="18"/>
                <w:highlight w:val="green"/>
                <w:lang w:val="en-US" w:eastAsia="zh-CN"/>
              </w:rPr>
            </w:pPr>
          </w:p>
        </w:tc>
      </w:tr>
      <w:tr w14:paraId="00B87742">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7CF5577E">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112</w:t>
            </w:r>
          </w:p>
        </w:tc>
        <w:tc>
          <w:tcPr>
            <w:tcW w:w="817" w:type="dxa"/>
            <w:tcBorders>
              <w:top w:val="single" w:color="000000" w:sz="4" w:space="0"/>
              <w:left w:val="nil"/>
              <w:bottom w:val="single" w:color="000000" w:sz="4" w:space="0"/>
              <w:right w:val="single" w:color="000000" w:sz="4" w:space="0"/>
            </w:tcBorders>
            <w:vAlign w:val="center"/>
          </w:tcPr>
          <w:p w14:paraId="1C8ABC3C">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互动录播电脑主机</w:t>
            </w:r>
          </w:p>
        </w:tc>
        <w:tc>
          <w:tcPr>
            <w:tcW w:w="4112" w:type="dxa"/>
            <w:tcBorders>
              <w:top w:val="single" w:color="000000" w:sz="4" w:space="0"/>
              <w:left w:val="nil"/>
              <w:bottom w:val="single" w:color="000000" w:sz="4" w:space="0"/>
              <w:right w:val="single" w:color="000000" w:sz="4" w:space="0"/>
            </w:tcBorders>
            <w:vAlign w:val="center"/>
          </w:tcPr>
          <w:p w14:paraId="2E33F1BE">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 设备采用嵌入式硬件架构，Linux操作系统，ARM四核处理器；内置存储≥64GB，支持外接U盘扩容≥500GB；系统内存≥2GB。（需提供具有CNAS或CMA标识的国家权威检测机构出具的检测报告复印件并加盖公章）</w:t>
            </w:r>
          </w:p>
          <w:p w14:paraId="04F2CA0C">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 设备采用集成双目超高清摄像机、阵列麦克风。支持音视频采集、编码、处理，直播、录制、互动等功能。（需提供具有CNAS或CMA标识的国家权威检测机构出具的检测报告复印件并加盖公章）</w:t>
            </w:r>
          </w:p>
          <w:p w14:paraId="3225BF2B">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3. 设备自带状态指示灯，可实时反映设备工作状态。</w:t>
            </w:r>
          </w:p>
          <w:p w14:paraId="65D6054D">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4. 支持4种控制方式：（1）外接触控屏，通过触控回传对主机进行控制，触控回传响应延时≤70ms；（2）外接键鼠设备对主机进行控制；（3）支持PC控制软件对主机进行控制；（4）支持外接控制面板对主机进行控制。</w:t>
            </w:r>
          </w:p>
          <w:p w14:paraId="2FFA357F">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5. 支持≥2路RJ45接口，其中POE接口≥1个。</w:t>
            </w:r>
          </w:p>
          <w:p w14:paraId="1C6B06EA">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6. 支持1路HDMI输入接口，可音视频混合流输入；支持≥1路HDMI输出接口，支持4K@30Hz输出，可向下兼容。</w:t>
            </w:r>
          </w:p>
          <w:p w14:paraId="259C5CEB">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7. 支持≥1路Mic in；支持≥1路Line in，支持≥1路Line out。</w:t>
            </w:r>
          </w:p>
          <w:p w14:paraId="118D48CB">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8. 支持≥3个USB接口，其中USB 3.0接口≥1个。</w:t>
            </w:r>
          </w:p>
          <w:p w14:paraId="20348303">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9. 支持一键复位。</w:t>
            </w:r>
          </w:p>
          <w:p w14:paraId="2A2ED1C7">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10. 支持上电自动开机。</w:t>
            </w:r>
          </w:p>
          <w:p w14:paraId="5C008BD1">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11. 支持IPV4、IPV6。支持双网卡，摄像机接入网络与外网隔离，独立工作。</w:t>
            </w:r>
          </w:p>
          <w:p w14:paraId="6E37B7E4">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12. 主机内置广角和长焦双摄像头，广角摄像机≥1300万像素，视场角≥120°；长焦摄像机≥1300万像素。</w:t>
            </w:r>
          </w:p>
          <w:p w14:paraId="23F9A228">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▲13. 两个内置摄像头输出分辨率≥3840×2160，电子变倍≥7倍。（需提供具有CNAS或CMA标识的国家权威检测机构出具的检测报告复印件并加盖公章）</w:t>
            </w:r>
          </w:p>
          <w:p w14:paraId="4FC862D0">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14. 支持摄像头亮度、对比度、色调、饱和度、锐度等参数调节。</w:t>
            </w:r>
          </w:p>
          <w:p w14:paraId="4636027D">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15. 支持H.264(BP/MP/HP)，可扩展支持H.265视频编解码能力。</w:t>
            </w:r>
          </w:p>
          <w:p w14:paraId="0F41E3C9">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▲16. 支持标准USB音视频信号输出，可以同时支持UVC和UAC协议，通过USB接口可以实现图像和声音同步输出，最大支持4K@30fps输出。（需提供具有CNAS或CMA标识的国家权威检测机构出具的检测报告复印件并加盖公章）</w:t>
            </w:r>
          </w:p>
          <w:p w14:paraId="3803D29E">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17. 支持用户查看已录制视频总容量，并采用百分比的形式显示剩余容量。</w:t>
            </w:r>
          </w:p>
          <w:p w14:paraId="2C1F5418">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18. 设备无需配置单独公网IP，即可实现互动。</w:t>
            </w:r>
          </w:p>
          <w:p w14:paraId="296D71DD">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▲19. 支持内置阵列麦克风，咪头数量≥7个。（需提供具有CNAS或CMA标识的国家权威检测机构出具的检测报告复印件并加盖公章）</w:t>
            </w:r>
          </w:p>
          <w:p w14:paraId="7820E2D7">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20. 支持回声抵消、自动降噪、啸叫抑制、自动增益控制、去混响等音频处理能力。</w:t>
            </w:r>
          </w:p>
          <w:p w14:paraId="13C9BBDC">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21. 支持音频采样率≥48KHz，音频码率≥320Kbps，频率响应为20Hz~20KHz。</w:t>
            </w:r>
          </w:p>
          <w:p w14:paraId="16C5489F">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22. 支持AAC、G.711A音频编解码协议。</w:t>
            </w:r>
          </w:p>
          <w:p w14:paraId="4372E9C4">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23. 支持视频清晰度设定，录制、直播清晰度≥1080p@30fps，向下兼容720p、VGA、QVGA；录制、直播帧率≥30帧；编码码率≥8Mbps。</w:t>
            </w:r>
          </w:p>
          <w:p w14:paraId="38AE736F">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24. 支持用户自定义录制倒计时，倒计时结束后开始录制；录制完成后生成MP4文件。</w:t>
            </w:r>
          </w:p>
          <w:p w14:paraId="70EC7993">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25. 支持设置≥5种录制时长，到达后可自动停止录制；支持视频自动分段，可选分段大小≥3种。</w:t>
            </w:r>
          </w:p>
          <w:p w14:paraId="7959057D">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26. 支持rtmp直播推流，可选推流画面≥6路，并可选择直播流是否带有声音。</w:t>
            </w:r>
          </w:p>
          <w:p w14:paraId="45858D7C">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27. 支持查看视频总容量、文件自动按照日期进行归档、文件重命名、文件单个或批量删除、FTP上传、U盘拷贝等功能。</w:t>
            </w:r>
          </w:p>
          <w:p w14:paraId="568C0452">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28. 支持网络监测功能。无需通过任何第三方软件即可进行网络监测，设备可直接查看教室网络状态，包括1）网络联通性：用户可一键启动网络联通性检测服务，查看网络内网服务、公网服务、DNS服务、登陆服务、互动服务、直播服务的网络耗时，评估网络的联通情况；2）网络稳定性：用户可一键检测内网、公网及核心服务的实时丢包率，用于判断网络丢包情况；3）上下行速度：支持一键检测当前网络的上行速度/下行速度，支持检测多个连续的上行速度/下行速度，计算平均上行/下行速度，并将具体数据以实时动态折线图的方式呈现，用户可根据上下行速度检测，了解当前的网络上下行情况；4）网络追踪性：支持追踪当前网络数据流向，查看网络链路中每一跳的IP地址与网络延时，可快速定位网络问题节点；5）网卡信息：支持一键检测当前网络设备的网卡信息，包括数据链路封装情况、网络地址、掩码、网络数据包/数据位的发送与接收情况、网络冲突情况。</w:t>
            </w:r>
          </w:p>
          <w:p w14:paraId="2CCBD31D">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29. 支持微信扫码登录，登录后显示用户名和用户头像。</w:t>
            </w:r>
          </w:p>
          <w:p w14:paraId="5989CB52">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30. 支持≥2种升级方式。可通过U盘进行本地升级；同时支持OTA远程在线升级。</w:t>
            </w:r>
          </w:p>
          <w:p w14:paraId="6882FCF4">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31. 支持注册IOT物联平台，可通过IOT物联平台实现对设备的远程管控，支持通过IOT平台查看当前的主机总数、日活个数、月活个数、当前在线数量，支持通过平台查看设备在线和离线状态，支持通过平台查看设备ID地址、IP地址、激活时间等信息。支持通过IOT物联平台，以web网页和公网环境实现对设备的远程配置，支持唤醒、关机、重启、参数配置等操作。支持IOT物联平台查看设备日志，可按照设备ID、功能模块、日志类型、时间范围等进行检索。</w:t>
            </w:r>
          </w:p>
          <w:p w14:paraId="31D729EA">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32. 支持网络自适应功能，并在3Mbps的网络带宽环境下可实现1080p@30fps视频双向互动；支持设备双向互动总丢包率50%的网络环境下，视频清晰，语音连贯。</w:t>
            </w:r>
          </w:p>
          <w:p w14:paraId="4816AC44">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33. 供电电压≤12V，满足人体安全电压等级。</w:t>
            </w:r>
          </w:p>
          <w:p w14:paraId="089DC8CF">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34. 整机功耗≤48W，待机功耗≤0.5W。</w:t>
            </w:r>
          </w:p>
        </w:tc>
        <w:tc>
          <w:tcPr>
            <w:tcW w:w="1040" w:type="dxa"/>
            <w:tcBorders>
              <w:top w:val="single" w:color="000000" w:sz="4" w:space="0"/>
              <w:left w:val="nil"/>
              <w:bottom w:val="single" w:color="000000" w:sz="4" w:space="0"/>
              <w:right w:val="single" w:color="000000" w:sz="4" w:space="0"/>
            </w:tcBorders>
            <w:vAlign w:val="center"/>
          </w:tcPr>
          <w:p w14:paraId="3D01ED79">
            <w:pPr>
              <w:widowControl/>
              <w:jc w:val="center"/>
              <w:textAlignment w:val="center"/>
              <w:rPr>
                <w:rFonts w:ascii="宋体" w:hAnsi="宋体" w:eastAsia="宋体" w:cs="Times New Roman"/>
                <w:color w:val="auto"/>
                <w:kern w:val="2"/>
                <w:sz w:val="18"/>
                <w:szCs w:val="18"/>
                <w:highlight w:val="none"/>
                <w:lang w:val="en-US" w:eastAsia="zh-CN" w:bidi="ar-SA"/>
              </w:rPr>
            </w:pPr>
            <w:r>
              <w:rPr>
                <w:rFonts w:hint="eastAsia" w:ascii="宋体" w:hAnsi="宋体"/>
                <w:color w:val="auto"/>
                <w:kern w:val="0"/>
                <w:sz w:val="18"/>
                <w:szCs w:val="18"/>
                <w:highlight w:val="none"/>
                <w:lang w:val="en-US" w:eastAsia="zh-CN"/>
              </w:rPr>
              <w:t>6</w:t>
            </w:r>
          </w:p>
        </w:tc>
        <w:tc>
          <w:tcPr>
            <w:tcW w:w="935" w:type="dxa"/>
            <w:tcBorders>
              <w:top w:val="single" w:color="000000" w:sz="4" w:space="0"/>
              <w:left w:val="nil"/>
              <w:bottom w:val="single" w:color="000000" w:sz="4" w:space="0"/>
              <w:right w:val="single" w:color="000000" w:sz="4" w:space="0"/>
            </w:tcBorders>
            <w:vAlign w:val="center"/>
          </w:tcPr>
          <w:p w14:paraId="1D2AE834">
            <w:pPr>
              <w:widowControl/>
              <w:jc w:val="center"/>
              <w:textAlignment w:val="center"/>
              <w:rPr>
                <w:rFonts w:ascii="宋体" w:hAnsi="宋体" w:eastAsia="宋体" w:cs="Times New Roman"/>
                <w:color w:val="auto"/>
                <w:kern w:val="2"/>
                <w:sz w:val="20"/>
                <w:szCs w:val="20"/>
                <w:highlight w:val="none"/>
                <w:lang w:val="en-US" w:eastAsia="zh-CN" w:bidi="ar-SA"/>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2A2B5E56">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13F68F38">
            <w:pPr>
              <w:jc w:val="center"/>
              <w:rPr>
                <w:rFonts w:ascii="宋体" w:hAnsi="宋体"/>
                <w:color w:val="auto"/>
                <w:sz w:val="18"/>
                <w:szCs w:val="18"/>
                <w:highlight w:val="none"/>
                <w:lang w:val="en-US" w:eastAsia="zh-CN"/>
              </w:rPr>
            </w:pPr>
          </w:p>
        </w:tc>
      </w:tr>
      <w:tr w14:paraId="21BA9A5F">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45B6AEB9">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113</w:t>
            </w:r>
          </w:p>
        </w:tc>
        <w:tc>
          <w:tcPr>
            <w:tcW w:w="817" w:type="dxa"/>
            <w:tcBorders>
              <w:top w:val="single" w:color="000000" w:sz="4" w:space="0"/>
              <w:left w:val="nil"/>
              <w:bottom w:val="single" w:color="000000" w:sz="4" w:space="0"/>
              <w:right w:val="single" w:color="000000" w:sz="4" w:space="0"/>
            </w:tcBorders>
            <w:vAlign w:val="center"/>
          </w:tcPr>
          <w:p w14:paraId="6DCD66E7">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主机导播系统</w:t>
            </w:r>
          </w:p>
        </w:tc>
        <w:tc>
          <w:tcPr>
            <w:tcW w:w="4112" w:type="dxa"/>
            <w:tcBorders>
              <w:top w:val="single" w:color="000000" w:sz="4" w:space="0"/>
              <w:left w:val="nil"/>
              <w:bottom w:val="single" w:color="000000" w:sz="4" w:space="0"/>
              <w:right w:val="single" w:color="000000" w:sz="4" w:space="0"/>
            </w:tcBorders>
            <w:vAlign w:val="center"/>
          </w:tcPr>
          <w:p w14:paraId="087DB185">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 支持自动接听，设置自动接听后，听课端会自动接通来自主讲段的互动请求，可选择设置关闭，同时支持手动接听，当主讲端发出呼叫请求后，在触控面板或外接显示器上会出现呼叫提醒，用户可选择接听或者挂断。</w:t>
            </w:r>
          </w:p>
          <w:p w14:paraId="493C1CDE">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 支持互动清晰度设置：最高支持1080P@30fps，分辨率可选择1080P，720P，VGA,QVGA.帧率可选择30fps，25fps。互动画质可选择好、一般、流畅三个等级。</w:t>
            </w:r>
          </w:p>
          <w:p w14:paraId="5CC129EB">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3. 支持课程预约功能，设备能接收平台下发的互动课表，用户点击课表即可立即加入课堂，进行实时互动。</w:t>
            </w:r>
          </w:p>
          <w:p w14:paraId="7CA43C86">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4. 支持开始互动同步开始录制，用户可选择进入互动后是否自动开启录制。互动过程中可通过至少四种方式，包括触控回传、外接键鼠、控制面板、PC软件实现录制和直播控制，互动过程中可以控制开始录制、结束录制、开始直播、结束直播。</w:t>
            </w:r>
          </w:p>
          <w:p w14:paraId="30AC001D">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6. 支持手动切换发给远端的画面；并调整本地音量大小调整、静音；支持互动过程中一键全屏，全屏放大主画面。</w:t>
            </w:r>
          </w:p>
          <w:p w14:paraId="5CE069D5">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7. 互动过程中可随时邀请新的听课端加入，支持拨号呼叫、用户可通过拨号键盘实现拨手机号呼叫；支持互动通讯录功能，通讯录可显示最近呼叫的账号信息，可通过通讯录实现一键呼叫。</w:t>
            </w:r>
          </w:p>
          <w:p w14:paraId="343FB924">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8. 听课教室可申请发言，申请后主讲教室可收到申请，并选择是否接受申请。</w:t>
            </w:r>
          </w:p>
          <w:p w14:paraId="76ABE811">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9. 教师在开始授课前可根据预监画面检查设备是否正常，包括：在预监画面查看各个视频画面是否正常；在预监画面查看声音是否正常；支持自动导播和手动导播模式切换；自动导播模式下支持设置参与自动导播的导播画面；选择是否开启直播。</w:t>
            </w:r>
          </w:p>
          <w:p w14:paraId="3C488332">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10. 支持授课预监功能，授课过程中可在系统界面实时显示授课教室和参与互动的听课教室画面，用户可实时查看授课教室拍摄效果和互动教室的听课场景画面。</w:t>
            </w:r>
          </w:p>
          <w:p w14:paraId="76668C92">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11. 互动过程中，可以在系统界面调出当前视频参数，包括加密方式、音频格式、视频格式、视频分辨率、实时上行/下行速率、丢包率和服务厂商信息。</w:t>
            </w:r>
          </w:p>
          <w:p w14:paraId="0F48258F">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12. 支持课堂互动功能，授课过程中老师可通过在系统界面上单击听课教室画面切换听课教室为主画面，并与该教室实时连麦对讲，实现异地互动。</w:t>
            </w:r>
          </w:p>
          <w:p w14:paraId="281DB390">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13. 听课过程中用户可在系统界面上同时显示授课教室画面和本地教室画面，且支持一键全屏主画面。</w:t>
            </w:r>
          </w:p>
        </w:tc>
        <w:tc>
          <w:tcPr>
            <w:tcW w:w="1040" w:type="dxa"/>
            <w:tcBorders>
              <w:top w:val="single" w:color="000000" w:sz="4" w:space="0"/>
              <w:left w:val="nil"/>
              <w:bottom w:val="single" w:color="000000" w:sz="4" w:space="0"/>
              <w:right w:val="single" w:color="000000" w:sz="4" w:space="0"/>
            </w:tcBorders>
            <w:vAlign w:val="center"/>
          </w:tcPr>
          <w:p w14:paraId="7215D233">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6</w:t>
            </w:r>
          </w:p>
        </w:tc>
        <w:tc>
          <w:tcPr>
            <w:tcW w:w="935" w:type="dxa"/>
            <w:tcBorders>
              <w:top w:val="single" w:color="000000" w:sz="4" w:space="0"/>
              <w:left w:val="nil"/>
              <w:bottom w:val="single" w:color="000000" w:sz="4" w:space="0"/>
              <w:right w:val="single" w:color="000000" w:sz="4" w:space="0"/>
            </w:tcBorders>
            <w:vAlign w:val="center"/>
          </w:tcPr>
          <w:p w14:paraId="4531DA75">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3F3F43C0">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55B19357">
            <w:pPr>
              <w:jc w:val="center"/>
              <w:rPr>
                <w:rFonts w:ascii="宋体" w:hAnsi="宋体"/>
                <w:color w:val="auto"/>
                <w:sz w:val="18"/>
                <w:szCs w:val="18"/>
                <w:highlight w:val="none"/>
                <w:lang w:val="en-US" w:eastAsia="zh-CN"/>
              </w:rPr>
            </w:pPr>
          </w:p>
        </w:tc>
      </w:tr>
      <w:tr w14:paraId="33552169">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0B687AAE">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114</w:t>
            </w:r>
          </w:p>
        </w:tc>
        <w:tc>
          <w:tcPr>
            <w:tcW w:w="817" w:type="dxa"/>
            <w:tcBorders>
              <w:top w:val="single" w:color="000000" w:sz="4" w:space="0"/>
              <w:left w:val="nil"/>
              <w:bottom w:val="single" w:color="000000" w:sz="4" w:space="0"/>
              <w:right w:val="single" w:color="000000" w:sz="4" w:space="0"/>
            </w:tcBorders>
            <w:vAlign w:val="center"/>
          </w:tcPr>
          <w:p w14:paraId="215651F6">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主机互动系统</w:t>
            </w:r>
          </w:p>
        </w:tc>
        <w:tc>
          <w:tcPr>
            <w:tcW w:w="4112" w:type="dxa"/>
            <w:tcBorders>
              <w:top w:val="single" w:color="000000" w:sz="4" w:space="0"/>
              <w:left w:val="nil"/>
              <w:bottom w:val="single" w:color="000000" w:sz="4" w:space="0"/>
              <w:right w:val="single" w:color="000000" w:sz="4" w:space="0"/>
            </w:tcBorders>
            <w:vAlign w:val="center"/>
          </w:tcPr>
          <w:p w14:paraId="35E3A2C9">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 在导播界面的预览窗口可实时观看教师全景/特写（选配）、学生全景/特写、多媒体电脑共5路画面，通过控制面板可进行画面切换。预监画面可实时推流给资源平台，实现平台直播。</w:t>
            </w:r>
          </w:p>
          <w:p w14:paraId="3B6BCF40">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 支持设置自动导播画面的保护时间和保持时间，支持自定义选择参与自动导播的画面。支持设置视频录制清晰度，可自定义码率、帧率、分辨率。</w:t>
            </w:r>
          </w:p>
          <w:p w14:paraId="3F0876D9">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3. 可设定导播优先级，支持根据学生、老师行为状态实现画面智能切换。</w:t>
            </w:r>
          </w:p>
          <w:p w14:paraId="38CF035F">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4. 支持录播设备导播控制。进行单画面、画中画、左右等分、三画面、四画面等画面布局设置。支持自动导播、手动导播设置，可通过四种控制方式，包括触控回传、外接键鼠、控制面板、PC 软件实现模式选择。</w:t>
            </w:r>
          </w:p>
          <w:p w14:paraId="3CA0333F">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5. 支持导入与导出互动录播主机配置文件，进行升级和调试。</w:t>
            </w:r>
          </w:p>
          <w:p w14:paraId="1F992B21">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6. 支持电影模式和资源模式录制，可根据需求选择录制模式。</w:t>
            </w:r>
          </w:p>
          <w:p w14:paraId="332E8E0C">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7. 支持FTP远程自动上传录像，录制停止后自动上传视频文件到FTP服务器，支持断点续传。</w:t>
            </w:r>
          </w:p>
          <w:p w14:paraId="20FB599B">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8. 支持一键还原出厂设置，并提供清空本地视频选项。</w:t>
            </w:r>
          </w:p>
          <w:p w14:paraId="20615CBC">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9. 支持云台摄像机控制，支持 PTZ（云台全方位移动及镜头变倍、变焦），多个预置位设置和调用；同时支持通过鼠标点击画面，实现云台摄像机跟踪，可通过鼠标滑轮实现镜头画面放大缩小。</w:t>
            </w:r>
          </w:p>
        </w:tc>
        <w:tc>
          <w:tcPr>
            <w:tcW w:w="1040" w:type="dxa"/>
            <w:tcBorders>
              <w:top w:val="single" w:color="000000" w:sz="4" w:space="0"/>
              <w:left w:val="nil"/>
              <w:bottom w:val="single" w:color="000000" w:sz="4" w:space="0"/>
              <w:right w:val="single" w:color="000000" w:sz="4" w:space="0"/>
            </w:tcBorders>
            <w:vAlign w:val="center"/>
          </w:tcPr>
          <w:p w14:paraId="75022943">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6</w:t>
            </w:r>
          </w:p>
        </w:tc>
        <w:tc>
          <w:tcPr>
            <w:tcW w:w="935" w:type="dxa"/>
            <w:tcBorders>
              <w:top w:val="single" w:color="000000" w:sz="4" w:space="0"/>
              <w:left w:val="nil"/>
              <w:bottom w:val="single" w:color="000000" w:sz="4" w:space="0"/>
              <w:right w:val="single" w:color="000000" w:sz="4" w:space="0"/>
            </w:tcBorders>
            <w:vAlign w:val="center"/>
          </w:tcPr>
          <w:p w14:paraId="0BC284F2">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46032780">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7E055428">
            <w:pPr>
              <w:jc w:val="center"/>
              <w:rPr>
                <w:rFonts w:ascii="宋体" w:hAnsi="宋体"/>
                <w:color w:val="auto"/>
                <w:sz w:val="18"/>
                <w:szCs w:val="18"/>
                <w:highlight w:val="none"/>
                <w:lang w:val="en-US" w:eastAsia="zh-CN"/>
              </w:rPr>
            </w:pPr>
          </w:p>
        </w:tc>
      </w:tr>
      <w:tr w14:paraId="50938F9C">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3232553A">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115</w:t>
            </w:r>
          </w:p>
        </w:tc>
        <w:tc>
          <w:tcPr>
            <w:tcW w:w="817" w:type="dxa"/>
            <w:tcBorders>
              <w:top w:val="single" w:color="000000" w:sz="4" w:space="0"/>
              <w:left w:val="nil"/>
              <w:bottom w:val="single" w:color="000000" w:sz="4" w:space="0"/>
              <w:right w:val="single" w:color="000000" w:sz="4" w:space="0"/>
            </w:tcBorders>
            <w:vAlign w:val="center"/>
          </w:tcPr>
          <w:p w14:paraId="6EB6B7B7">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主机视频处理系统</w:t>
            </w:r>
          </w:p>
        </w:tc>
        <w:tc>
          <w:tcPr>
            <w:tcW w:w="4112" w:type="dxa"/>
            <w:tcBorders>
              <w:top w:val="single" w:color="000000" w:sz="4" w:space="0"/>
              <w:left w:val="nil"/>
              <w:bottom w:val="single" w:color="000000" w:sz="4" w:space="0"/>
              <w:right w:val="single" w:color="000000" w:sz="4" w:space="0"/>
            </w:tcBorders>
            <w:vAlign w:val="center"/>
          </w:tcPr>
          <w:p w14:paraId="5AAE29C6">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 支持单个学生起立检测，检测到状态后可发码，主机接收到信号后可实现画面导播切换。</w:t>
            </w:r>
          </w:p>
          <w:p w14:paraId="1065A08F">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2. 支持多个学生起立检测，检测到多个学生起立可发码，主机接收到信号后可实现画面导播切换。</w:t>
            </w:r>
          </w:p>
          <w:p w14:paraId="054D912C">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3. 支持学生坐下检测，学生坐下后可发码，主机接收到信号后可实现画面导播切换。</w:t>
            </w:r>
          </w:p>
          <w:p w14:paraId="25925E2F">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4. 支持设定跟踪区域和屏蔽区域，可屏蔽环境干扰。</w:t>
            </w:r>
          </w:p>
          <w:p w14:paraId="7E452526">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5. 基于图像识别分析技术，无需辅助定位装置，摄像机同时完成画面拍摄和跟踪检测功能，实现学生行为的全自动跟踪功能。</w:t>
            </w:r>
          </w:p>
          <w:p w14:paraId="2BABAAEF">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6. 当检测到学生起立状态后，摄像机能通过电子变倍展示学生区域特写，支持单学生区域特写。</w:t>
            </w:r>
          </w:p>
          <w:p w14:paraId="7CE838D8">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7. 支持设定人数统计区域，前排就坐区，可设定区域≥3个，对区域内的学生数量、前排就坐率、学生抬头率做自动统计。</w:t>
            </w:r>
          </w:p>
          <w:p w14:paraId="69A9D015">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8. 支持合成1920*1080的PGM画面，包含导播画面、教师全景画面、教师特写画面、学生全景画面、学生特写画面、课件画面。</w:t>
            </w:r>
          </w:p>
          <w:p w14:paraId="2CD7BADE">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9. 主机支持多种类型视频信号接入，支持标准网络视频信号(RTSP)接入、高速数字信号(HDMI)接入。</w:t>
            </w:r>
          </w:p>
          <w:p w14:paraId="321BD9BB">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10. 主机可通过RTSP协议接入第三方摄像机视频流。</w:t>
            </w:r>
          </w:p>
          <w:p w14:paraId="1E4FEE0E">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11. 支持不少于两种码率控制方式，支持CBR（Constant Bit Rate）、VBR（Variable Bit Rate）。</w:t>
            </w:r>
          </w:p>
          <w:p w14:paraId="6AC0537D">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12. 主机可通过网络实现对接入摄像机的设备信息检索。</w:t>
            </w:r>
          </w:p>
          <w:p w14:paraId="47F11533">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13. POE视频接入单元支持802.3af标准协议，可实现POE摄像机接入。</w:t>
            </w:r>
          </w:p>
          <w:p w14:paraId="45CD4C2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 HDMI采集通道支持画面缩放，可完成4K图像采集。</w:t>
            </w:r>
          </w:p>
        </w:tc>
        <w:tc>
          <w:tcPr>
            <w:tcW w:w="1040" w:type="dxa"/>
            <w:tcBorders>
              <w:top w:val="single" w:color="000000" w:sz="4" w:space="0"/>
              <w:left w:val="nil"/>
              <w:bottom w:val="single" w:color="000000" w:sz="4" w:space="0"/>
              <w:right w:val="single" w:color="000000" w:sz="4" w:space="0"/>
            </w:tcBorders>
            <w:vAlign w:val="center"/>
          </w:tcPr>
          <w:p w14:paraId="508E4BD4">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6</w:t>
            </w:r>
          </w:p>
        </w:tc>
        <w:tc>
          <w:tcPr>
            <w:tcW w:w="935" w:type="dxa"/>
            <w:tcBorders>
              <w:top w:val="single" w:color="000000" w:sz="4" w:space="0"/>
              <w:left w:val="nil"/>
              <w:bottom w:val="single" w:color="000000" w:sz="4" w:space="0"/>
              <w:right w:val="single" w:color="000000" w:sz="4" w:space="0"/>
            </w:tcBorders>
            <w:vAlign w:val="center"/>
          </w:tcPr>
          <w:p w14:paraId="70153E38">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7792500F">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3ADFB574">
            <w:pPr>
              <w:jc w:val="center"/>
              <w:rPr>
                <w:rFonts w:ascii="宋体" w:hAnsi="宋体"/>
                <w:color w:val="auto"/>
                <w:sz w:val="18"/>
                <w:szCs w:val="18"/>
                <w:highlight w:val="none"/>
                <w:lang w:val="en-US" w:eastAsia="zh-CN"/>
              </w:rPr>
            </w:pPr>
          </w:p>
        </w:tc>
      </w:tr>
      <w:tr w14:paraId="2AE36C24">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5A0F6C5E">
            <w:pPr>
              <w:widowControl/>
              <w:jc w:val="center"/>
              <w:textAlignment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116</w:t>
            </w:r>
          </w:p>
        </w:tc>
        <w:tc>
          <w:tcPr>
            <w:tcW w:w="817" w:type="dxa"/>
            <w:tcBorders>
              <w:top w:val="single" w:color="000000" w:sz="4" w:space="0"/>
              <w:left w:val="nil"/>
              <w:bottom w:val="single" w:color="000000" w:sz="4" w:space="0"/>
              <w:right w:val="single" w:color="000000" w:sz="4" w:space="0"/>
            </w:tcBorders>
            <w:vAlign w:val="center"/>
          </w:tcPr>
          <w:p w14:paraId="70E9BFF5">
            <w:pPr>
              <w:widowControl/>
              <w:jc w:val="center"/>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主机音频处理系统</w:t>
            </w:r>
          </w:p>
        </w:tc>
        <w:tc>
          <w:tcPr>
            <w:tcW w:w="4112" w:type="dxa"/>
            <w:tcBorders>
              <w:top w:val="single" w:color="000000" w:sz="4" w:space="0"/>
              <w:left w:val="nil"/>
              <w:bottom w:val="single" w:color="000000" w:sz="4" w:space="0"/>
              <w:right w:val="single" w:color="000000" w:sz="4" w:space="0"/>
            </w:tcBorders>
            <w:vAlign w:val="center"/>
          </w:tcPr>
          <w:p w14:paraId="1A848D6E">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 为保证声音录制效果，支持智能 AEC（回波抵消）、AGC（自动增益控制）、ANC（主动降噪）功能。路音频输入混音。</w:t>
            </w:r>
          </w:p>
          <w:p w14:paraId="05013AF6">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 支持通过音频矩阵进行音频输入输出调节，支持控制音频输入输出接口的开关、音量值和是否静音。</w:t>
            </w:r>
          </w:p>
          <w:p w14:paraId="7E8CC884">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 支持通过支持外接触控屏、外接键鼠设备、PC控制软件进行音量调节控制。</w:t>
            </w:r>
          </w:p>
          <w:p w14:paraId="01198C02">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 支持对本地音频输出音量、麦克风和耳麦采集音量进行设置与实时音量显示。</w:t>
            </w:r>
          </w:p>
          <w:p w14:paraId="08ED7AC0">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5. 导播画面支持进行实时音量监测，以音频进度条的形式呈现。</w:t>
            </w:r>
          </w:p>
          <w:p w14:paraId="026AF271">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6. 支持多通道音频矩阵，可根据场景需求进行相应设置。</w:t>
            </w:r>
          </w:p>
          <w:p w14:paraId="32EAFDBD">
            <w:pPr>
              <w:widowControl/>
              <w:jc w:val="left"/>
              <w:textAlignment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rPr>
              <w:t>7. 支持远程OTA升级</w:t>
            </w:r>
            <w:r>
              <w:rPr>
                <w:rFonts w:hint="eastAsia" w:ascii="宋体" w:hAnsi="宋体"/>
                <w:color w:val="auto"/>
                <w:kern w:val="0"/>
                <w:sz w:val="18"/>
                <w:szCs w:val="18"/>
                <w:highlight w:val="none"/>
                <w:lang w:eastAsia="zh-CN"/>
              </w:rPr>
              <w:t>。</w:t>
            </w:r>
          </w:p>
        </w:tc>
        <w:tc>
          <w:tcPr>
            <w:tcW w:w="1040" w:type="dxa"/>
            <w:tcBorders>
              <w:top w:val="single" w:color="000000" w:sz="4" w:space="0"/>
              <w:left w:val="nil"/>
              <w:bottom w:val="single" w:color="000000" w:sz="4" w:space="0"/>
              <w:right w:val="single" w:color="000000" w:sz="4" w:space="0"/>
            </w:tcBorders>
            <w:vAlign w:val="center"/>
          </w:tcPr>
          <w:p w14:paraId="71E389BA">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6</w:t>
            </w:r>
          </w:p>
        </w:tc>
        <w:tc>
          <w:tcPr>
            <w:tcW w:w="935" w:type="dxa"/>
            <w:tcBorders>
              <w:top w:val="single" w:color="000000" w:sz="4" w:space="0"/>
              <w:left w:val="nil"/>
              <w:bottom w:val="single" w:color="000000" w:sz="4" w:space="0"/>
              <w:right w:val="single" w:color="000000" w:sz="4" w:space="0"/>
            </w:tcBorders>
            <w:vAlign w:val="center"/>
          </w:tcPr>
          <w:p w14:paraId="48FDAFBE">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5041F738">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34ED495D">
            <w:pPr>
              <w:jc w:val="center"/>
              <w:rPr>
                <w:rFonts w:ascii="宋体" w:hAnsi="宋体"/>
                <w:color w:val="auto"/>
                <w:sz w:val="18"/>
                <w:szCs w:val="18"/>
                <w:highlight w:val="none"/>
                <w:lang w:val="en-US" w:eastAsia="zh-CN"/>
              </w:rPr>
            </w:pPr>
          </w:p>
        </w:tc>
      </w:tr>
      <w:tr w14:paraId="0C772AF7">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785D79B5">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117</w:t>
            </w:r>
          </w:p>
        </w:tc>
        <w:tc>
          <w:tcPr>
            <w:tcW w:w="817" w:type="dxa"/>
            <w:tcBorders>
              <w:top w:val="single" w:color="000000" w:sz="4" w:space="0"/>
              <w:left w:val="nil"/>
              <w:bottom w:val="single" w:color="000000" w:sz="4" w:space="0"/>
              <w:right w:val="single" w:color="000000" w:sz="4" w:space="0"/>
            </w:tcBorders>
            <w:vAlign w:val="center"/>
          </w:tcPr>
          <w:p w14:paraId="29E7DC8A">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双通道无线麦克风</w:t>
            </w:r>
          </w:p>
        </w:tc>
        <w:tc>
          <w:tcPr>
            <w:tcW w:w="4112" w:type="dxa"/>
            <w:tcBorders>
              <w:top w:val="single" w:color="000000" w:sz="4" w:space="0"/>
              <w:left w:val="nil"/>
              <w:bottom w:val="single" w:color="000000" w:sz="4" w:space="0"/>
              <w:right w:val="single" w:color="000000" w:sz="4" w:space="0"/>
            </w:tcBorders>
            <w:vAlign w:val="center"/>
          </w:tcPr>
          <w:p w14:paraId="6C66E836">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 麦克风支持≥1个3.5mm音频接口</w:t>
            </w:r>
          </w:p>
          <w:p w14:paraId="47DD5670">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2. 麦克风≥1个USB Type-C接口</w:t>
            </w:r>
          </w:p>
          <w:p w14:paraId="23B28B9F">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3. 麦克风支持≥1个三合一按键，可控制麦克风的开关机、静音和配对。</w:t>
            </w:r>
          </w:p>
          <w:p w14:paraId="15A7D493">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4. 麦克风支持≥2个音量控制按钮，可通过音量“+”“-”按钮控制麦克风输出音量。</w:t>
            </w:r>
          </w:p>
          <w:p w14:paraId="3BA434CC">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5. 麦克风单体重量≤30g。</w:t>
            </w:r>
          </w:p>
          <w:p w14:paraId="30F2468E">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6. 麦克风支持≥4种佩戴方式。</w:t>
            </w:r>
          </w:p>
          <w:p w14:paraId="21691FCF">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7. 麦克风领夹角度支持调节，调节角度≥±90°；麦克风与领夹夹角相对0°位置具备限位功能。</w:t>
            </w:r>
          </w:p>
          <w:p w14:paraId="266720A1">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8. 麦克风支持短按按键开始配对，配对完成时间≤5s。</w:t>
            </w:r>
          </w:p>
          <w:p w14:paraId="5A5C5DA0">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9. 麦克风支持一键开启静音模式。</w:t>
            </w:r>
          </w:p>
          <w:p w14:paraId="3219F0E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麦克风支持通过音量调节按钮调节输出音量；音量调节过程中通过麦克风一体化屏幕动态提示当前音量等级。</w:t>
            </w:r>
          </w:p>
        </w:tc>
        <w:tc>
          <w:tcPr>
            <w:tcW w:w="1040" w:type="dxa"/>
            <w:tcBorders>
              <w:top w:val="single" w:color="000000" w:sz="4" w:space="0"/>
              <w:left w:val="nil"/>
              <w:bottom w:val="single" w:color="000000" w:sz="4" w:space="0"/>
              <w:right w:val="single" w:color="000000" w:sz="4" w:space="0"/>
            </w:tcBorders>
            <w:vAlign w:val="center"/>
          </w:tcPr>
          <w:p w14:paraId="20E4C653">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6</w:t>
            </w:r>
          </w:p>
        </w:tc>
        <w:tc>
          <w:tcPr>
            <w:tcW w:w="935" w:type="dxa"/>
            <w:tcBorders>
              <w:top w:val="single" w:color="000000" w:sz="4" w:space="0"/>
              <w:left w:val="nil"/>
              <w:bottom w:val="single" w:color="000000" w:sz="4" w:space="0"/>
              <w:right w:val="single" w:color="000000" w:sz="4" w:space="0"/>
            </w:tcBorders>
            <w:vAlign w:val="center"/>
          </w:tcPr>
          <w:p w14:paraId="377628DC">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697EB0F7">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5AB9DF4F">
            <w:pPr>
              <w:jc w:val="center"/>
              <w:rPr>
                <w:rFonts w:ascii="宋体" w:hAnsi="宋体"/>
                <w:color w:val="auto"/>
                <w:sz w:val="18"/>
                <w:szCs w:val="18"/>
                <w:highlight w:val="none"/>
                <w:lang w:val="en-US" w:eastAsia="zh-CN"/>
              </w:rPr>
            </w:pPr>
          </w:p>
        </w:tc>
      </w:tr>
      <w:tr w14:paraId="2C3C2628">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1040AC15">
            <w:pPr>
              <w:widowControl/>
              <w:jc w:val="center"/>
              <w:textAlignment w:val="center"/>
              <w:rPr>
                <w:rFonts w:hint="default" w:ascii="宋体" w:hAnsi="宋体" w:eastAsia="宋体"/>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lang w:val="en-US" w:eastAsia="zh-CN"/>
                <w14:textFill>
                  <w14:solidFill>
                    <w14:schemeClr w14:val="tx1"/>
                  </w14:solidFill>
                </w14:textFill>
              </w:rPr>
              <w:t>118</w:t>
            </w:r>
          </w:p>
        </w:tc>
        <w:tc>
          <w:tcPr>
            <w:tcW w:w="817" w:type="dxa"/>
            <w:tcBorders>
              <w:top w:val="single" w:color="000000" w:sz="4" w:space="0"/>
              <w:left w:val="nil"/>
              <w:bottom w:val="single" w:color="000000" w:sz="4" w:space="0"/>
              <w:right w:val="single" w:color="000000" w:sz="4" w:space="0"/>
            </w:tcBorders>
            <w:vAlign w:val="center"/>
          </w:tcPr>
          <w:p w14:paraId="2F7B9888">
            <w:pPr>
              <w:widowControl/>
              <w:jc w:val="center"/>
              <w:textAlignment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麦克风音频处理系统</w:t>
            </w:r>
          </w:p>
        </w:tc>
        <w:tc>
          <w:tcPr>
            <w:tcW w:w="4112" w:type="dxa"/>
            <w:tcBorders>
              <w:top w:val="single" w:color="000000" w:sz="4" w:space="0"/>
              <w:left w:val="nil"/>
              <w:bottom w:val="single" w:color="000000" w:sz="4" w:space="0"/>
              <w:right w:val="single" w:color="000000" w:sz="4" w:space="0"/>
            </w:tcBorders>
            <w:vAlign w:val="center"/>
          </w:tcPr>
          <w:p w14:paraId="04252CC1">
            <w:pPr>
              <w:widowControl/>
              <w:jc w:val="left"/>
              <w:textAlignment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1)载波频率：600MHz~980MHz；</w:t>
            </w:r>
          </w:p>
          <w:p w14:paraId="3DD3DDCA">
            <w:pPr>
              <w:widowControl/>
              <w:jc w:val="left"/>
              <w:textAlignment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2)频率响应：50Hz~18KHz；</w:t>
            </w:r>
          </w:p>
          <w:p w14:paraId="66F42EA3">
            <w:pPr>
              <w:widowControl/>
              <w:jc w:val="left"/>
              <w:textAlignment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3)信噪比＞95±5dB；</w:t>
            </w:r>
          </w:p>
          <w:p w14:paraId="109F196E">
            <w:pPr>
              <w:widowControl/>
              <w:jc w:val="left"/>
              <w:textAlignment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4)系统采用数字音码锁定技术，有效阻隔使用环境中信号干扰；</w:t>
            </w:r>
          </w:p>
          <w:p w14:paraId="18958E24">
            <w:pPr>
              <w:widowControl/>
              <w:jc w:val="left"/>
              <w:textAlignment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5)支持全频带全双工自适应回声消除算法</w:t>
            </w:r>
          </w:p>
          <w:p w14:paraId="0E34578D">
            <w:pPr>
              <w:widowControl/>
              <w:jc w:val="left"/>
              <w:textAlignment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6)支持全频自适应AI降噪技术</w:t>
            </w:r>
          </w:p>
          <w:p w14:paraId="1AC1019E">
            <w:pPr>
              <w:widowControl/>
              <w:jc w:val="left"/>
              <w:textAlignment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7)支持自动增益控制</w:t>
            </w:r>
          </w:p>
          <w:p w14:paraId="1A5127F7">
            <w:pPr>
              <w:widowControl/>
              <w:jc w:val="left"/>
              <w:textAlignment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8)支持啸叫抑制</w:t>
            </w:r>
          </w:p>
          <w:p w14:paraId="7CB1D7DB">
            <w:pPr>
              <w:widowControl/>
              <w:jc w:val="left"/>
              <w:textAlignment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9)支持智能混音，支持多通道输入混音</w:t>
            </w:r>
          </w:p>
          <w:p w14:paraId="5FA06848">
            <w:pPr>
              <w:widowControl/>
              <w:jc w:val="left"/>
              <w:textAlignment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10)支持音频参数调节</w:t>
            </w:r>
          </w:p>
        </w:tc>
        <w:tc>
          <w:tcPr>
            <w:tcW w:w="1040" w:type="dxa"/>
            <w:tcBorders>
              <w:top w:val="single" w:color="000000" w:sz="4" w:space="0"/>
              <w:left w:val="nil"/>
              <w:bottom w:val="single" w:color="000000" w:sz="4" w:space="0"/>
              <w:right w:val="single" w:color="000000" w:sz="4" w:space="0"/>
            </w:tcBorders>
            <w:vAlign w:val="center"/>
          </w:tcPr>
          <w:p w14:paraId="3E50EDBE">
            <w:pPr>
              <w:widowControl/>
              <w:jc w:val="center"/>
              <w:textAlignment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kern w:val="0"/>
                <w:sz w:val="18"/>
                <w:szCs w:val="18"/>
                <w:highlight w:val="none"/>
                <w:lang w:val="en-US" w:eastAsia="zh-CN"/>
                <w14:textFill>
                  <w14:solidFill>
                    <w14:schemeClr w14:val="tx1"/>
                  </w14:solidFill>
                </w14:textFill>
              </w:rPr>
              <w:t>6</w:t>
            </w:r>
          </w:p>
        </w:tc>
        <w:tc>
          <w:tcPr>
            <w:tcW w:w="935" w:type="dxa"/>
            <w:tcBorders>
              <w:top w:val="single" w:color="000000" w:sz="4" w:space="0"/>
              <w:left w:val="nil"/>
              <w:bottom w:val="single" w:color="000000" w:sz="4" w:space="0"/>
              <w:right w:val="single" w:color="000000" w:sz="4" w:space="0"/>
            </w:tcBorders>
            <w:vAlign w:val="center"/>
          </w:tcPr>
          <w:p w14:paraId="2CAA663E">
            <w:pPr>
              <w:widowControl/>
              <w:jc w:val="center"/>
              <w:textAlignment w:val="center"/>
              <w:rPr>
                <w:rFonts w:ascii="宋体" w:hAnsi="宋体"/>
                <w:color w:val="000000" w:themeColor="text1"/>
                <w:sz w:val="20"/>
                <w:szCs w:val="20"/>
                <w:highlight w:val="none"/>
                <w14:textFill>
                  <w14:solidFill>
                    <w14:schemeClr w14:val="tx1"/>
                  </w14:solidFill>
                </w14:textFill>
              </w:rPr>
            </w:pPr>
            <w:r>
              <w:rPr>
                <w:rFonts w:hint="eastAsia" w:ascii="宋体" w:hAnsi="宋体"/>
                <w:color w:val="000000" w:themeColor="text1"/>
                <w:kern w:val="0"/>
                <w:sz w:val="20"/>
                <w:szCs w:val="20"/>
                <w:highlight w:val="none"/>
                <w14:textFill>
                  <w14:solidFill>
                    <w14:schemeClr w14:val="tx1"/>
                  </w14:solidFill>
                </w14:textFill>
              </w:rPr>
              <w:t>套</w:t>
            </w:r>
          </w:p>
        </w:tc>
        <w:tc>
          <w:tcPr>
            <w:tcW w:w="1084" w:type="dxa"/>
            <w:tcBorders>
              <w:top w:val="single" w:color="000000" w:sz="4" w:space="0"/>
              <w:left w:val="nil"/>
              <w:bottom w:val="single" w:color="000000" w:sz="4" w:space="0"/>
              <w:right w:val="single" w:color="000000" w:sz="4" w:space="0"/>
            </w:tcBorders>
            <w:vAlign w:val="center"/>
          </w:tcPr>
          <w:p w14:paraId="39DFD611">
            <w:pPr>
              <w:jc w:val="center"/>
              <w:rPr>
                <w:rFonts w:hint="default" w:ascii="宋体" w:hAnsi="宋体"/>
                <w:color w:val="000000" w:themeColor="text1"/>
                <w:sz w:val="18"/>
                <w:szCs w:val="18"/>
                <w:highlight w:val="none"/>
                <w:lang w:val="en-US"/>
                <w14:textFill>
                  <w14:solidFill>
                    <w14:schemeClr w14:val="tx1"/>
                  </w14:solidFill>
                </w14:textFill>
              </w:rPr>
            </w:pPr>
          </w:p>
        </w:tc>
        <w:tc>
          <w:tcPr>
            <w:tcW w:w="859" w:type="dxa"/>
            <w:tcBorders>
              <w:top w:val="single" w:color="000000" w:sz="4" w:space="0"/>
              <w:left w:val="nil"/>
              <w:bottom w:val="single" w:color="000000" w:sz="4" w:space="0"/>
              <w:right w:val="single" w:color="000000" w:sz="4" w:space="0"/>
            </w:tcBorders>
            <w:vAlign w:val="center"/>
          </w:tcPr>
          <w:p w14:paraId="776D17C8">
            <w:pPr>
              <w:jc w:val="center"/>
              <w:rPr>
                <w:rFonts w:ascii="宋体" w:hAnsi="宋体"/>
                <w:color w:val="000000" w:themeColor="text1"/>
                <w:sz w:val="18"/>
                <w:szCs w:val="18"/>
                <w:highlight w:val="green"/>
                <w:lang w:val="en-US" w:eastAsia="zh-CN"/>
                <w14:textFill>
                  <w14:solidFill>
                    <w14:schemeClr w14:val="tx1"/>
                  </w14:solidFill>
                </w14:textFill>
              </w:rPr>
            </w:pPr>
          </w:p>
        </w:tc>
      </w:tr>
      <w:tr w14:paraId="304AE4EC">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502E1211">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11</w:t>
            </w:r>
            <w:r>
              <w:rPr>
                <w:rFonts w:hint="eastAsia" w:ascii="宋体" w:hAnsi="宋体"/>
                <w:color w:val="auto"/>
                <w:kern w:val="0"/>
                <w:sz w:val="18"/>
                <w:szCs w:val="18"/>
                <w:highlight w:val="none"/>
                <w:lang w:val="en-US" w:eastAsia="zh-CN"/>
              </w:rPr>
              <w:t>9</w:t>
            </w:r>
          </w:p>
        </w:tc>
        <w:tc>
          <w:tcPr>
            <w:tcW w:w="817" w:type="dxa"/>
            <w:tcBorders>
              <w:top w:val="single" w:color="000000" w:sz="4" w:space="0"/>
              <w:left w:val="nil"/>
              <w:bottom w:val="single" w:color="000000" w:sz="4" w:space="0"/>
              <w:right w:val="single" w:color="000000" w:sz="4" w:space="0"/>
            </w:tcBorders>
            <w:vAlign w:val="center"/>
          </w:tcPr>
          <w:p w14:paraId="568E31F7">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智能多屏互动终端</w:t>
            </w:r>
          </w:p>
        </w:tc>
        <w:tc>
          <w:tcPr>
            <w:tcW w:w="4112" w:type="dxa"/>
            <w:tcBorders>
              <w:top w:val="single" w:color="000000" w:sz="4" w:space="0"/>
              <w:left w:val="nil"/>
              <w:bottom w:val="single" w:color="000000" w:sz="4" w:space="0"/>
              <w:right w:val="single" w:color="000000" w:sz="4" w:space="0"/>
            </w:tcBorders>
            <w:vAlign w:val="center"/>
          </w:tcPr>
          <w:p w14:paraId="5FC41CF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一、中控主机</w:t>
            </w:r>
          </w:p>
          <w:p w14:paraId="676A9EF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1.机身不超过1U高度，方便在讲桌及机柜内安装部署。机身具有把手设计，可以快速在机柜拔出，方便后期维护。</w:t>
            </w:r>
          </w:p>
          <w:p w14:paraId="475E2E6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2.机身前面板采用铝合金拉丝工艺，美观大方；整身采用全金属外壳设计，坚固耐用，有效屏蔽电磁辐射干扰。</w:t>
            </w:r>
          </w:p>
          <w:p w14:paraId="2E6AA8A1">
            <w:pPr>
              <w:widowControl/>
              <w:jc w:val="left"/>
              <w:textAlignment w:val="center"/>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3.具备HDMI2.0视频输入接口≥4个，输出接口≥2个，要求HDMI输入输出分辨率均不低于4K@60Hz</w:t>
            </w:r>
            <w:r>
              <w:rPr>
                <w:rFonts w:hint="eastAsia" w:ascii="宋体" w:hAnsi="宋体"/>
                <w:color w:val="auto"/>
                <w:sz w:val="18"/>
                <w:szCs w:val="18"/>
                <w:highlight w:val="none"/>
                <w:lang w:eastAsia="zh-CN"/>
              </w:rPr>
              <w:t>。</w:t>
            </w:r>
          </w:p>
          <w:p w14:paraId="16AB8BC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4.支持HDMI视频矩阵功能，HDMI输入输出端口由控制协议进行自定义配置；HDMI可同时输出，支持输出相同或不同的视频输入源；每个HDMI输出完全独立，均支持自适应模式。</w:t>
            </w:r>
          </w:p>
          <w:p w14:paraId="2A3FC75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HDMI支持音视频分离能力，支持HDMI信号内的音频，自动分离到音频模块，方便连接外置功放音箱设备。</w:t>
            </w:r>
          </w:p>
          <w:p w14:paraId="571FFEF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6.具备立体声3.5mm音频输入口≥2个，立体声3.5mm音频输出接口≥2个。</w:t>
            </w:r>
          </w:p>
          <w:p w14:paraId="547CEDE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7.支持立体声音频输入和HDMI音频混音后从音频输出口送出，支持在本地及远程对输出总音量进行调节。</w:t>
            </w:r>
          </w:p>
          <w:p w14:paraId="26DD8D5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8.具备USB2.0 TYPE-A类型输入接口≥3个，USB2.0 TYPE-B类型输出接口≥2个。</w:t>
            </w:r>
          </w:p>
          <w:p w14:paraId="59A9CCA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9.主机内置PDU模块，配备独立保险丝，具备220V受控输出电源≥2路，220V输入电源≥1路；主机内置物理开关，可对中控主机进行一键物理断电。</w:t>
            </w:r>
          </w:p>
          <w:p w14:paraId="6B0BE8F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10.受控电源支持时序供电、延时断电功能，可分别设置受控电源接口的供电、断电顺序及延迟时间，实现投影机、计算机等设备系统正常关机后才切断设备电源，避免强制断电对设备造成损害；</w:t>
            </w:r>
          </w:p>
          <w:p w14:paraId="372F9F4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11.具备RS232接口≥5个,具备RS485接口≥4个，其中，≥1个RS232接口为DB9类型，便于快速连接设备。</w:t>
            </w:r>
          </w:p>
          <w:p w14:paraId="3BF5277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12.每个接口均独立逻辑可编程，支持延时发码、组合串口控制指令下发，支持波特率、校验位自定义，支持调取市面常见品牌、设备的设置。</w:t>
            </w:r>
          </w:p>
          <w:p w14:paraId="58F7294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13.具备I/O口≥2个，支持连接幕布，门禁等干接点设备。</w:t>
            </w:r>
          </w:p>
          <w:p w14:paraId="5B899B7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14.具备时钟接口≥1个、话筒接口≥1个，支持教室时钟、无线话筒的供电及状态检测。</w:t>
            </w:r>
          </w:p>
          <w:p w14:paraId="5E774A9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15.为方便现场安装及防止错误接线，控制面板通讯端口、物联通讯端口、环境监测端口要求采用RJ12接口，RJ12通讯接口≥3个。</w:t>
            </w:r>
          </w:p>
          <w:p w14:paraId="3D0373E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 支持级联扩展物联网控制主机、环境监测模块等硬件外设，实现物联功能。</w:t>
            </w:r>
          </w:p>
          <w:p w14:paraId="483FD03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17.支持仅连接1根网线，即可实现与中控面板的通讯与供电，方便现场施工部署。</w:t>
            </w:r>
          </w:p>
          <w:p w14:paraId="13D5FE9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18.需采用 32 位工业级处理器和嵌入式操作系统；主机正面面板需带有电源指示灯，用于指示中控主机的工作状态。</w:t>
            </w:r>
          </w:p>
          <w:p w14:paraId="132C203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19. 提供端口配置软件，支持用户在 PC端通过局域网络在线配置中控各控制接口上的控制码发码指令。"</w:t>
            </w:r>
          </w:p>
          <w:p w14:paraId="7937A65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二、中控面板</w:t>
            </w:r>
          </w:p>
          <w:p w14:paraId="62DB282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1.整机一体化斜角设计，表面无任何物理按键，支持全触控操作；</w:t>
            </w:r>
          </w:p>
          <w:p w14:paraId="3C2B3E9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2.内置IC卡刷卡器，ISO/IEC 14443 A and B, FeliCa™，支持通过IC卡刷卡方式实现设备管控权限。</w:t>
            </w:r>
          </w:p>
          <w:p w14:paraId="3926B96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3.内置高灵敏度全向麦克风，拾音半径不小于1米，用于报修语音通话功能。</w:t>
            </w:r>
          </w:p>
          <w:p w14:paraId="4E5CA34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4.内置双喇叭设计，支持语音播报及报修语音通话。</w:t>
            </w:r>
          </w:p>
          <w:p w14:paraId="5F91B75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5.可拍摄不低于1600*1200分辨率的照片，支持人脸识别方式实现设备管控权限。</w:t>
            </w:r>
          </w:p>
          <w:p w14:paraId="05C5AF7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6.采用≥10.1英寸电容显示屏，支持10点触控，屏幕分辨率≥1920*1200</w:t>
            </w:r>
            <w:r>
              <w:rPr>
                <w:rFonts w:hint="eastAsia" w:ascii="宋体" w:hAnsi="宋体"/>
                <w:color w:val="auto"/>
                <w:sz w:val="18"/>
                <w:szCs w:val="18"/>
                <w:highlight w:val="none"/>
                <w:lang w:eastAsia="zh-CN"/>
              </w:rPr>
              <w:t>。</w:t>
            </w:r>
          </w:p>
          <w:p w14:paraId="59DE842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7.整机表面覆盖钢化玻璃，硬度≥9H，具备防眩光效果。</w:t>
            </w:r>
          </w:p>
          <w:p w14:paraId="76B656C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8.玻璃与屏体采用全贴合工艺，显示效果更佳。</w:t>
            </w:r>
          </w:p>
          <w:p w14:paraId="736BE1EB">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9.整机CPU≥4核，最高主频≥2.0G。</w:t>
            </w:r>
          </w:p>
          <w:p w14:paraId="2D0030A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10.系统运行内存≥4GB，存储容量≥16GB，操作系统版本不低于Android 11.0。</w:t>
            </w:r>
          </w:p>
          <w:p w14:paraId="49D0412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11.整机接口：RS232≥2，RJ12≥1，DC2.0≥1，Type-C≥1，RJ45≥1，3.5mm音频≥1</w:t>
            </w:r>
            <w:r>
              <w:rPr>
                <w:rFonts w:hint="eastAsia" w:ascii="宋体" w:hAnsi="宋体"/>
                <w:color w:val="auto"/>
                <w:sz w:val="18"/>
                <w:szCs w:val="18"/>
                <w:highlight w:val="none"/>
                <w:lang w:eastAsia="zh-CN"/>
              </w:rPr>
              <w:t>。</w:t>
            </w:r>
          </w:p>
          <w:p w14:paraId="0427187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 支持≥2种供电方式，包括但不限于适配器供电、中控主机供电。</w:t>
            </w:r>
          </w:p>
        </w:tc>
        <w:tc>
          <w:tcPr>
            <w:tcW w:w="1040" w:type="dxa"/>
            <w:tcBorders>
              <w:top w:val="single" w:color="000000" w:sz="4" w:space="0"/>
              <w:left w:val="nil"/>
              <w:bottom w:val="single" w:color="000000" w:sz="4" w:space="0"/>
              <w:right w:val="single" w:color="000000" w:sz="4" w:space="0"/>
            </w:tcBorders>
            <w:vAlign w:val="center"/>
          </w:tcPr>
          <w:p w14:paraId="2BFCF1BC">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793F775D">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台</w:t>
            </w:r>
          </w:p>
        </w:tc>
        <w:tc>
          <w:tcPr>
            <w:tcW w:w="1084" w:type="dxa"/>
            <w:tcBorders>
              <w:top w:val="single" w:color="000000" w:sz="4" w:space="0"/>
              <w:left w:val="nil"/>
              <w:bottom w:val="single" w:color="000000" w:sz="4" w:space="0"/>
              <w:right w:val="single" w:color="000000" w:sz="4" w:space="0"/>
            </w:tcBorders>
            <w:vAlign w:val="center"/>
          </w:tcPr>
          <w:p w14:paraId="516CB009">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064DAEF3">
            <w:pPr>
              <w:jc w:val="center"/>
              <w:rPr>
                <w:rFonts w:ascii="宋体" w:hAnsi="宋体"/>
                <w:color w:val="auto"/>
                <w:sz w:val="18"/>
                <w:szCs w:val="18"/>
                <w:highlight w:val="none"/>
                <w:lang w:val="en-US" w:eastAsia="zh-CN"/>
              </w:rPr>
            </w:pPr>
          </w:p>
        </w:tc>
      </w:tr>
      <w:tr w14:paraId="1BC043ED">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5D1C557F">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20</w:t>
            </w:r>
          </w:p>
        </w:tc>
        <w:tc>
          <w:tcPr>
            <w:tcW w:w="817" w:type="dxa"/>
            <w:tcBorders>
              <w:top w:val="single" w:color="000000" w:sz="4" w:space="0"/>
              <w:left w:val="nil"/>
              <w:bottom w:val="single" w:color="000000" w:sz="4" w:space="0"/>
              <w:right w:val="single" w:color="000000" w:sz="4" w:space="0"/>
            </w:tcBorders>
            <w:vAlign w:val="center"/>
          </w:tcPr>
          <w:p w14:paraId="53973248">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智慧课堂互动系统--教师端</w:t>
            </w:r>
          </w:p>
        </w:tc>
        <w:tc>
          <w:tcPr>
            <w:tcW w:w="4112" w:type="dxa"/>
            <w:tcBorders>
              <w:top w:val="single" w:color="000000" w:sz="4" w:space="0"/>
              <w:left w:val="nil"/>
              <w:bottom w:val="single" w:color="000000" w:sz="4" w:space="0"/>
              <w:right w:val="single" w:color="000000" w:sz="4" w:space="0"/>
            </w:tcBorders>
            <w:vAlign w:val="center"/>
          </w:tcPr>
          <w:p w14:paraId="5E665B4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1.自动连接小组：支持自动连接小组端，小组端初次与教师端连接配置后，教师端自动检测小组端运行状态，小组端处于开启状态时自动建立连接。</w:t>
            </w:r>
          </w:p>
          <w:p w14:paraId="4242313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2.小组管理：具备终端中控看板功能，实时显示当前教室分组信息及各终端连接状态，便于教师根据教学需要进行调整。</w:t>
            </w:r>
          </w:p>
          <w:p w14:paraId="1BF22B6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3.拖拽分组：教师端支持针对小组成员手动拖拽分组，把小组成员按照实际情况做灵活调整，实现课堂分组的快速调整。</w:t>
            </w:r>
          </w:p>
          <w:p w14:paraId="336656D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4.随机分组：教师端支持随机分组，在小组管理的界面，点击随机分组，所有小组成员会自动重新分配。</w:t>
            </w:r>
          </w:p>
          <w:p w14:paraId="62D9E1D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5.小组投屏：支持预览所有小组屏画面，并选择进行投屏，支持自定义抓取至少6个任意小组屏幕并投屏至教师端，便捷展示学生研讨成果，并对小组内容进行批注讲解。</w:t>
            </w:r>
          </w:p>
          <w:p w14:paraId="0240A32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6.小组屏幕分享：支持自定义选择一个小组屏幕投屏至教师端，并广播至其他小组端屏幕，实现各小组间信息同步。</w:t>
            </w:r>
          </w:p>
          <w:p w14:paraId="3225E98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7.教师端广播：最高支持教师端屏幕广播至小组端和学生端，提高信息共享效率。</w:t>
            </w:r>
          </w:p>
          <w:p w14:paraId="35A26AA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8.触控回传：教师端具备一键调起小组端电脑虚拟键盘功能，当小组端投屏后，可在教师端调起电脑的虚拟键盘，并通过触摸回传功能直接在教师端进行文字输入。</w:t>
            </w:r>
          </w:p>
          <w:p w14:paraId="7EE618F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小组端应用：</w:t>
            </w:r>
          </w:p>
          <w:p w14:paraId="6C733E7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9.多端投屏：可支持至少6个学生端投屏画面同时在大屏上显示，同时显示来自Android、iOS、Windows、MacOS 等不同系统的投屏画面，并且根据连接数量自动排布。支持将六分屏画面内其中一个画面一键全屏显示，以及一键将全屏画面切换回六分屏，方便灵活讲解。</w:t>
            </w:r>
          </w:p>
          <w:p w14:paraId="3DAEBEC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10.9分屏投图：可支持至少9张图片同时在小组端上显示，同步显示来自Android、iOS学生端上传的图片，并且根据图片数量自动排布。支持将9分屏图片内其中一张图片一键全屏显示，以及在全屏画面下一键切换回9分屏画面，方便灵活讲解。</w:t>
            </w:r>
          </w:p>
          <w:p w14:paraId="6A35DFD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头脑风暴：支持在小组端开启头脑风暴，最少支持10个组员可通过学生端将想法上传，每输入完成一个文本或图片时，小组屏可以立即展示此内容，支持多名学生同时上传想法。如存在内容发送有误，可通过学生端即时撤回。在小组屏可针对学生上传的内容进行拖动、修改边框、修改颜色、删除等操作，以对内容进行归类。支持将头脑风暴结果一键发送至学生端，实现课堂内容即时保存和随时查看。</w:t>
            </w:r>
          </w:p>
          <w:p w14:paraId="5AA495E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12.黑板书写：支持小组端默认打开黑板书写功能，可自由调整笔迹颜色及笔触粗细，可新增页码、清空笔迹。支持将学生端上传的图片和投屏时的截图一键插入协作白板。</w:t>
            </w:r>
          </w:p>
          <w:p w14:paraId="6013C98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协同书写：支持组员通过学生端加入协作书写，小组内不同学生通过任意终端，可在同一白板操作界面上实时输入笔迹、文本、图片等内容，并可支持学生之间的内容相互协作编辑：修改内容、擦除、拖动等。支持对文档内容进行复制粘贴。支持将协作书写一键发送至学生端，实现协作内容即时保存和随时查看。</w:t>
            </w:r>
          </w:p>
          <w:p w14:paraId="59C4DB4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14.录制功能：支持本地录屏功能，可将屏幕的画面和内容录制成微课并保存在本地；支持调用设备本地摄像头进行拍摄录制，并保存到本地。</w:t>
            </w:r>
          </w:p>
          <w:p w14:paraId="64E327C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15.PPT小工具：支持小组端进入PPT放映模式后提供批注、黑板、橡皮、撤销、批注分享等工具，满足学生小组研讨的使用。</w:t>
            </w:r>
          </w:p>
        </w:tc>
        <w:tc>
          <w:tcPr>
            <w:tcW w:w="1040" w:type="dxa"/>
            <w:tcBorders>
              <w:top w:val="single" w:color="000000" w:sz="4" w:space="0"/>
              <w:left w:val="nil"/>
              <w:bottom w:val="single" w:color="000000" w:sz="4" w:space="0"/>
              <w:right w:val="single" w:color="000000" w:sz="4" w:space="0"/>
            </w:tcBorders>
            <w:vAlign w:val="center"/>
          </w:tcPr>
          <w:p w14:paraId="3A6478E9">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6696C35D">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台</w:t>
            </w:r>
          </w:p>
        </w:tc>
        <w:tc>
          <w:tcPr>
            <w:tcW w:w="1084" w:type="dxa"/>
            <w:tcBorders>
              <w:top w:val="single" w:color="000000" w:sz="4" w:space="0"/>
              <w:left w:val="nil"/>
              <w:bottom w:val="single" w:color="000000" w:sz="4" w:space="0"/>
              <w:right w:val="single" w:color="000000" w:sz="4" w:space="0"/>
            </w:tcBorders>
            <w:vAlign w:val="center"/>
          </w:tcPr>
          <w:p w14:paraId="3B5647E7">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750BAB52">
            <w:pPr>
              <w:jc w:val="center"/>
              <w:rPr>
                <w:rFonts w:ascii="宋体" w:hAnsi="宋体"/>
                <w:color w:val="auto"/>
                <w:sz w:val="18"/>
                <w:szCs w:val="18"/>
                <w:highlight w:val="none"/>
                <w:lang w:val="en-US" w:eastAsia="zh-CN"/>
              </w:rPr>
            </w:pPr>
          </w:p>
        </w:tc>
      </w:tr>
      <w:tr w14:paraId="325EF215">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509D1477">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12</w:t>
            </w:r>
            <w:r>
              <w:rPr>
                <w:rFonts w:hint="eastAsia" w:ascii="宋体" w:hAnsi="宋体"/>
                <w:color w:val="auto"/>
                <w:kern w:val="0"/>
                <w:sz w:val="18"/>
                <w:szCs w:val="18"/>
                <w:highlight w:val="none"/>
                <w:lang w:val="en-US" w:eastAsia="zh-CN"/>
              </w:rPr>
              <w:t>1</w:t>
            </w:r>
          </w:p>
        </w:tc>
        <w:tc>
          <w:tcPr>
            <w:tcW w:w="817" w:type="dxa"/>
            <w:tcBorders>
              <w:top w:val="single" w:color="000000" w:sz="4" w:space="0"/>
              <w:left w:val="nil"/>
              <w:bottom w:val="single" w:color="000000" w:sz="4" w:space="0"/>
              <w:right w:val="single" w:color="000000" w:sz="4" w:space="0"/>
            </w:tcBorders>
            <w:vAlign w:val="center"/>
          </w:tcPr>
          <w:p w14:paraId="14FB7113">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智慧课堂互动系统--小组端</w:t>
            </w:r>
          </w:p>
        </w:tc>
        <w:tc>
          <w:tcPr>
            <w:tcW w:w="4112" w:type="dxa"/>
            <w:tcBorders>
              <w:top w:val="single" w:color="000000" w:sz="4" w:space="0"/>
              <w:left w:val="nil"/>
              <w:bottom w:val="single" w:color="000000" w:sz="4" w:space="0"/>
              <w:right w:val="single" w:color="000000" w:sz="4" w:space="0"/>
            </w:tcBorders>
            <w:vAlign w:val="center"/>
          </w:tcPr>
          <w:p w14:paraId="75A8334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 xml:space="preserve">小组端 </w:t>
            </w:r>
          </w:p>
          <w:p w14:paraId="78D308DF">
            <w:pPr>
              <w:widowControl/>
              <w:jc w:val="left"/>
              <w:textAlignment w:val="center"/>
              <w:rPr>
                <w:rFonts w:ascii="宋体" w:hAnsi="宋体"/>
                <w:color w:val="auto"/>
                <w:sz w:val="18"/>
                <w:szCs w:val="18"/>
                <w:highlight w:val="yellow"/>
              </w:rPr>
            </w:pPr>
            <w:r>
              <w:rPr>
                <w:rFonts w:hint="eastAsia" w:ascii="宋体" w:hAnsi="宋体"/>
                <w:color w:val="auto"/>
                <w:sz w:val="18"/>
                <w:szCs w:val="18"/>
                <w:highlight w:val="yellow"/>
              </w:rPr>
              <w:t>1、多端投屏：可支持至少6个学生端投屏画面同时在大屏上显示，同时显示来自Android、iOS、Windows、MacOS 等不同系统的投屏画面，并且根据连接数量自动排布。支持将六分屏画面内其中一个画面一键全屏显示，以及一键将全屏画面切换回六分屏，方便灵活讲解(为保证软件功能真实可用，投标时须提供第三方检查报告证书加盖公章)。</w:t>
            </w:r>
          </w:p>
          <w:p w14:paraId="3ABF448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9分屏投图：可支持至少9张图片同时在小组端上显示，同步显示来自Android、iOS学生端上传的图片，并且根据图片数量自动排布。支持将9分屏图片内其中一张图片一键全屏显示，以及在全屏画面下一键切换回9分屏画面，方便灵活讲解。</w:t>
            </w:r>
          </w:p>
          <w:p w14:paraId="16F5A0B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头脑风暴：支持在小组端开启头脑风暴，最少支持10个组员可通过学生端将想法上传，每输入完成一个文本或图片时，小组屏可以立即展示此内容，支持多名学生同时上传想法。如存在内容发送有误，可通过学生端即时撤回。在小组屏可针对学生上传的内容进行拖动、修改边框、修改颜色、删除等操作，以对内容进行归类。支持将头脑风暴结果一键发送至学生端，实现课堂内容即时保存和随时查看。</w:t>
            </w:r>
          </w:p>
          <w:p w14:paraId="31B4FFB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4、黑板书写：支持小组端默认打开黑板书写功能，可自由调整笔迹颜色及笔触粗细，可新增页码、清空笔迹。支持将学生端上传的图片和投屏时的截图一键插入协作白板。</w:t>
            </w:r>
          </w:p>
          <w:p w14:paraId="590C7DBB">
            <w:pPr>
              <w:widowControl/>
              <w:jc w:val="left"/>
              <w:textAlignment w:val="center"/>
              <w:rPr>
                <w:rFonts w:ascii="宋体" w:hAnsi="宋体"/>
                <w:color w:val="auto"/>
                <w:sz w:val="18"/>
                <w:szCs w:val="18"/>
                <w:highlight w:val="yellow"/>
              </w:rPr>
            </w:pPr>
            <w:r>
              <w:rPr>
                <w:rFonts w:hint="eastAsia" w:ascii="宋体" w:hAnsi="宋体"/>
                <w:color w:val="auto"/>
                <w:sz w:val="18"/>
                <w:szCs w:val="18"/>
                <w:highlight w:val="yellow"/>
              </w:rPr>
              <w:t>5、协同书写：支持组员通过学生端加入协作书写，小组内不同学生通过任意终端，可在同一白板操作界面上实时输入笔迹、文本、图片等内容，并可支持学生之间的内容相互协作编辑：修改内容、擦除、拖动等。支持对文档内容进行复制粘贴。支持将协作书写一键发送至学生端，实现协作内容即时保存和随时查看(为保证软件功能真实可用，投标时须提供第三方检查报告证书加盖公章)。</w:t>
            </w:r>
          </w:p>
          <w:p w14:paraId="581586E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6、录制功能：支持本地录屏功能，可将屏幕的画面和内容录制成微课并保存在本地；支持调用设备本地摄像头进行拍摄录制，并保存到本地。</w:t>
            </w:r>
          </w:p>
          <w:p w14:paraId="0B4336F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7、PPT小工具：支持小组端进入PPT放映模式后提供批注、黑板、橡皮、撤销、批注分享等工具，满足学生小组研讨的使用。</w:t>
            </w:r>
          </w:p>
          <w:p w14:paraId="05DDB63B">
            <w:pPr>
              <w:widowControl/>
              <w:jc w:val="left"/>
              <w:textAlignment w:val="center"/>
              <w:rPr>
                <w:rFonts w:ascii="宋体" w:hAnsi="宋体"/>
                <w:color w:val="auto"/>
                <w:sz w:val="18"/>
                <w:szCs w:val="18"/>
                <w:highlight w:val="none"/>
              </w:rPr>
            </w:pPr>
          </w:p>
          <w:p w14:paraId="33D053C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学生端app</w:t>
            </w:r>
          </w:p>
          <w:p w14:paraId="299E85D0">
            <w:pPr>
              <w:widowControl/>
              <w:jc w:val="left"/>
              <w:textAlignment w:val="center"/>
              <w:rPr>
                <w:rFonts w:ascii="宋体" w:hAnsi="宋体"/>
                <w:color w:val="auto"/>
                <w:sz w:val="18"/>
                <w:szCs w:val="18"/>
                <w:highlight w:val="yellow"/>
              </w:rPr>
            </w:pPr>
            <w:r>
              <w:rPr>
                <w:rFonts w:hint="eastAsia" w:ascii="宋体" w:hAnsi="宋体"/>
                <w:color w:val="auto"/>
                <w:sz w:val="18"/>
                <w:szCs w:val="18"/>
                <w:highlight w:val="yellow"/>
              </w:rPr>
              <w:t>1、APP投屏：支持学生将学生端画面自由投放至小组端进行显示，便于快速分享观点及创意(为保证软件功能真实可用，投标时须提供第三方检查报告证书加盖公章)。</w:t>
            </w:r>
          </w:p>
          <w:p w14:paraId="0DF0492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2、投图片/文档：学生端手机连接成功后，主界面可快速打开照片传屏、文档传屏、摄像头直播等快捷功能。</w:t>
            </w:r>
          </w:p>
          <w:p w14:paraId="68A7A51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3、直播摄像：学生端通过连接至局域网之后，支持打开摄像头把摄像头拍摄到的画面同步到小组屏。</w:t>
            </w:r>
          </w:p>
          <w:p w14:paraId="3DD34900">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4、广播画质切换：学生端电脑连接成功教师端开启广播后，学生可根据网络情况，自行选择高清、流畅两种画质；学生端上传图片后，支持在学生端上进行图片管理，可停止照片投屏或者任选照片删除。</w:t>
            </w:r>
          </w:p>
          <w:p w14:paraId="5902FF9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5、资料回顾：支持接收教师端下发的资料，并且可根据日历查找不同时间接收的资料。支持通过学生端在任意时间查看文件。</w:t>
            </w:r>
          </w:p>
          <w:p w14:paraId="5F636D1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6、资料收藏管理：支持学生端对文件内的资料进行收藏管理。</w:t>
            </w:r>
          </w:p>
          <w:p w14:paraId="4BD3017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7、课堂提问：学生端在连接状态下，支持任意时刻发起提问功能，输入提问内容即可实时将问题反馈到教师端。</w:t>
            </w:r>
          </w:p>
          <w:p w14:paraId="2776CE3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8、多端互动：采用跨平台开放式设计，满足BYOD场景，支持Android 5.0、iOS 8.0及以上版本系统，便于学生使用多平台终端参与教学互动。</w:t>
            </w:r>
          </w:p>
          <w:p w14:paraId="7090CE1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9、课堂动态：支持在课堂中记录课堂动态，包括老师下发的文件，老师课堂中的板书，课堂互动结果记录，课堂提问多种类型的记录。</w:t>
            </w:r>
          </w:p>
          <w:p w14:paraId="59CDE06D">
            <w:pPr>
              <w:widowControl/>
              <w:jc w:val="left"/>
              <w:textAlignment w:val="center"/>
              <w:rPr>
                <w:rFonts w:ascii="宋体" w:hAnsi="宋体"/>
                <w:color w:val="auto"/>
                <w:sz w:val="18"/>
                <w:szCs w:val="18"/>
                <w:highlight w:val="yellow"/>
              </w:rPr>
            </w:pPr>
            <w:r>
              <w:rPr>
                <w:rFonts w:hint="eastAsia" w:ascii="宋体" w:hAnsi="宋体"/>
                <w:color w:val="auto"/>
                <w:sz w:val="18"/>
                <w:szCs w:val="18"/>
                <w:highlight w:val="yellow"/>
              </w:rPr>
              <w:t>10、同步课件：当教师在全屏播放课件的时候，学生端也会同时播放课件，老师翻页学生端也会一起翻页，保证课堂课件同步展示(为保证软件功能真实可用，投标时须提供第三方检查报告证书加盖公章)。</w:t>
            </w:r>
          </w:p>
          <w:p w14:paraId="74048C0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11、学习空间：学生端互动教学软件app上线学习空间，支持学生在学习空间查看老师上传在课程平台的课件，通知记录，笔记记录，作业记录等，学生可以对课件每一页的内容进行提问，收藏，做笔。</w:t>
            </w:r>
          </w:p>
          <w:p w14:paraId="462FA4F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12、消息通知：学生端上线消息通知，互动教学软件APP可以接受老师在教师课程平台发布的课程通知，并查看课程通知。</w:t>
            </w:r>
          </w:p>
        </w:tc>
        <w:tc>
          <w:tcPr>
            <w:tcW w:w="1040" w:type="dxa"/>
            <w:tcBorders>
              <w:top w:val="single" w:color="000000" w:sz="4" w:space="0"/>
              <w:left w:val="nil"/>
              <w:bottom w:val="single" w:color="000000" w:sz="4" w:space="0"/>
              <w:right w:val="single" w:color="000000" w:sz="4" w:space="0"/>
            </w:tcBorders>
            <w:vAlign w:val="center"/>
          </w:tcPr>
          <w:p w14:paraId="1AB9A6AA">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1DE2BD21">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台</w:t>
            </w:r>
          </w:p>
        </w:tc>
        <w:tc>
          <w:tcPr>
            <w:tcW w:w="1084" w:type="dxa"/>
            <w:tcBorders>
              <w:top w:val="single" w:color="000000" w:sz="4" w:space="0"/>
              <w:left w:val="nil"/>
              <w:bottom w:val="single" w:color="000000" w:sz="4" w:space="0"/>
              <w:right w:val="single" w:color="000000" w:sz="4" w:space="0"/>
            </w:tcBorders>
            <w:vAlign w:val="center"/>
          </w:tcPr>
          <w:p w14:paraId="40203FB4">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336537D2">
            <w:pPr>
              <w:jc w:val="center"/>
              <w:rPr>
                <w:rFonts w:ascii="宋体" w:hAnsi="宋体"/>
                <w:color w:val="auto"/>
                <w:sz w:val="18"/>
                <w:szCs w:val="18"/>
                <w:highlight w:val="none"/>
                <w:lang w:val="en-US" w:eastAsia="zh-CN"/>
              </w:rPr>
            </w:pPr>
          </w:p>
        </w:tc>
      </w:tr>
      <w:tr w14:paraId="686DB9B6">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03EAAE61">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12</w:t>
            </w:r>
            <w:r>
              <w:rPr>
                <w:rFonts w:hint="eastAsia" w:ascii="宋体" w:hAnsi="宋体"/>
                <w:color w:val="auto"/>
                <w:kern w:val="0"/>
                <w:sz w:val="18"/>
                <w:szCs w:val="18"/>
                <w:highlight w:val="none"/>
                <w:lang w:val="en-US" w:eastAsia="zh-CN"/>
              </w:rPr>
              <w:t>2</w:t>
            </w:r>
          </w:p>
        </w:tc>
        <w:tc>
          <w:tcPr>
            <w:tcW w:w="817" w:type="dxa"/>
            <w:tcBorders>
              <w:top w:val="single" w:color="000000" w:sz="4" w:space="0"/>
              <w:left w:val="nil"/>
              <w:bottom w:val="single" w:color="000000" w:sz="4" w:space="0"/>
              <w:right w:val="single" w:color="000000" w:sz="4" w:space="0"/>
            </w:tcBorders>
            <w:vAlign w:val="center"/>
          </w:tcPr>
          <w:p w14:paraId="2885B56B">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智慧课堂互动软件--学生端</w:t>
            </w:r>
          </w:p>
        </w:tc>
        <w:tc>
          <w:tcPr>
            <w:tcW w:w="4112" w:type="dxa"/>
            <w:tcBorders>
              <w:top w:val="single" w:color="000000" w:sz="4" w:space="0"/>
              <w:left w:val="nil"/>
              <w:bottom w:val="single" w:color="000000" w:sz="4" w:space="0"/>
              <w:right w:val="single" w:color="000000" w:sz="4" w:space="0"/>
            </w:tcBorders>
            <w:vAlign w:val="center"/>
          </w:tcPr>
          <w:p w14:paraId="602280D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学生端小程序</w:t>
            </w:r>
          </w:p>
          <w:p w14:paraId="7FFE539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1、加入课堂：互动教学软件学生端支持扫码加入课堂，方便快捷开启课堂互动。</w:t>
            </w:r>
          </w:p>
          <w:p w14:paraId="21904280">
            <w:pPr>
              <w:widowControl/>
              <w:jc w:val="left"/>
              <w:textAlignment w:val="center"/>
              <w:rPr>
                <w:rFonts w:ascii="宋体" w:hAnsi="宋体"/>
                <w:color w:val="auto"/>
                <w:sz w:val="18"/>
                <w:szCs w:val="18"/>
                <w:highlight w:val="yellow"/>
              </w:rPr>
            </w:pPr>
            <w:r>
              <w:rPr>
                <w:rFonts w:hint="eastAsia" w:ascii="宋体" w:hAnsi="宋体"/>
                <w:color w:val="auto"/>
                <w:sz w:val="18"/>
                <w:szCs w:val="18"/>
                <w:highlight w:val="yellow"/>
              </w:rPr>
              <w:t>2、课堂互动：支持在小程序接收课堂答题互动，支持单选，多选，判断，抢答，观点多种类型的答题互动(为保证软件功能真实可用，投标时须提供第三方检查报告证书加盖公章)。</w:t>
            </w:r>
          </w:p>
          <w:p w14:paraId="64BB026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3、课堂动态：支持在课堂中记录课堂动态，包括老师下发的文件，老师课堂中的板书，课堂互动结果记录，课堂提问多种类型的记录，方便学生了解课堂动态；</w:t>
            </w:r>
          </w:p>
          <w:p w14:paraId="3FA2A5B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4、课堂提问：支持在小程序发起课堂提问，教师端会有提问记录，方便老师对学生疑问进行解答；</w:t>
            </w:r>
          </w:p>
          <w:p w14:paraId="23B9879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5、头脑风暴：支持在小程序输入学生的想法进行头脑风暴，头脑风暴的结果数据支持留存保存成图片，方便课后进行复习。</w:t>
            </w:r>
          </w:p>
          <w:p w14:paraId="6618D22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6、同步课件：当教师在全屏播放课件的时候，学生端也会同时播放课件，老师翻页学生端也会一起翻页，保证课堂课件同步展示</w:t>
            </w:r>
          </w:p>
        </w:tc>
        <w:tc>
          <w:tcPr>
            <w:tcW w:w="1040" w:type="dxa"/>
            <w:tcBorders>
              <w:top w:val="single" w:color="000000" w:sz="4" w:space="0"/>
              <w:left w:val="nil"/>
              <w:bottom w:val="single" w:color="000000" w:sz="4" w:space="0"/>
              <w:right w:val="single" w:color="000000" w:sz="4" w:space="0"/>
            </w:tcBorders>
            <w:vAlign w:val="center"/>
          </w:tcPr>
          <w:p w14:paraId="5DB550A7">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5CF750E1">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台</w:t>
            </w:r>
          </w:p>
        </w:tc>
        <w:tc>
          <w:tcPr>
            <w:tcW w:w="1084" w:type="dxa"/>
            <w:tcBorders>
              <w:top w:val="single" w:color="000000" w:sz="4" w:space="0"/>
              <w:left w:val="nil"/>
              <w:bottom w:val="single" w:color="000000" w:sz="4" w:space="0"/>
              <w:right w:val="single" w:color="000000" w:sz="4" w:space="0"/>
            </w:tcBorders>
            <w:vAlign w:val="center"/>
          </w:tcPr>
          <w:p w14:paraId="3ACAC143">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130A55EE">
            <w:pPr>
              <w:jc w:val="center"/>
              <w:rPr>
                <w:rFonts w:ascii="宋体" w:hAnsi="宋体"/>
                <w:color w:val="auto"/>
                <w:sz w:val="18"/>
                <w:szCs w:val="18"/>
                <w:highlight w:val="none"/>
                <w:lang w:val="en-US" w:eastAsia="zh-CN"/>
              </w:rPr>
            </w:pPr>
          </w:p>
        </w:tc>
      </w:tr>
      <w:tr w14:paraId="4DD974B8">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69BB86FA">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12</w:t>
            </w:r>
            <w:r>
              <w:rPr>
                <w:rFonts w:hint="eastAsia" w:ascii="宋体" w:hAnsi="宋体"/>
                <w:color w:val="auto"/>
                <w:kern w:val="0"/>
                <w:sz w:val="18"/>
                <w:szCs w:val="18"/>
                <w:highlight w:val="none"/>
                <w:lang w:val="en-US" w:eastAsia="zh-CN"/>
              </w:rPr>
              <w:t>3</w:t>
            </w:r>
          </w:p>
        </w:tc>
        <w:tc>
          <w:tcPr>
            <w:tcW w:w="817" w:type="dxa"/>
            <w:tcBorders>
              <w:top w:val="single" w:color="000000" w:sz="4" w:space="0"/>
              <w:left w:val="nil"/>
              <w:bottom w:val="single" w:color="000000" w:sz="4" w:space="0"/>
              <w:right w:val="single" w:color="000000" w:sz="4" w:space="0"/>
            </w:tcBorders>
            <w:vAlign w:val="center"/>
          </w:tcPr>
          <w:p w14:paraId="13C07EBB">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智慧班牌硬件</w:t>
            </w:r>
          </w:p>
        </w:tc>
        <w:tc>
          <w:tcPr>
            <w:tcW w:w="4112" w:type="dxa"/>
            <w:tcBorders>
              <w:top w:val="single" w:color="000000" w:sz="4" w:space="0"/>
              <w:left w:val="nil"/>
              <w:bottom w:val="single" w:color="000000" w:sz="4" w:space="0"/>
              <w:right w:val="single" w:color="000000" w:sz="4" w:space="0"/>
            </w:tcBorders>
            <w:vAlign w:val="center"/>
          </w:tcPr>
          <w:p w14:paraId="447878E9">
            <w:pPr>
              <w:widowControl/>
              <w:numPr>
                <w:ilvl w:val="0"/>
                <w:numId w:val="4"/>
              </w:numPr>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采用≥21.5英寸横屏式电容显示屏，支持10点触控，屏幕分辨率≥1920*1080，显示比例16:9；屏幕亮度≥500cd/㎡。</w:t>
            </w:r>
          </w:p>
          <w:p w14:paraId="38D087F5">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2、屏体采用宽温液晶屏，屏体工作温度区间跨度不小于零下20°C-80°C。</w:t>
            </w:r>
          </w:p>
          <w:p w14:paraId="32BC3E62">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3、整机采用防水防尘结构设计，适用于学校教室半户外环境，防护等级不低于IP65。</w:t>
            </w:r>
          </w:p>
          <w:p w14:paraId="346BB5A8">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4、整机背部与墙面微距全贴合，背面与平整墙面间隙最大处≤2.5mm，保障教学环境的安全性。</w:t>
            </w:r>
          </w:p>
          <w:p w14:paraId="269F5D9E">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5、整机最大厚度不大于30mm。</w:t>
            </w:r>
          </w:p>
          <w:p w14:paraId="087F1278">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6、整机正面覆盖钢化玻璃</w:t>
            </w:r>
          </w:p>
          <w:p w14:paraId="6F56FCBA">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7、整机正面不采用贴膜方式具备防眩光功能</w:t>
            </w:r>
          </w:p>
          <w:p w14:paraId="5DFDA07F">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8、可拍摄不低于200W像素的照片，支持不少于10人同时进行人脸识别。可支持学生无卡考勤签到、查看个人课程表、家长留言等个人信息。</w:t>
            </w:r>
          </w:p>
          <w:p w14:paraId="65229EB1">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9、整机在逆光（人像处于背景照度≥80000Lux）环境下距离≤0.5m可正常进行人脸识别</w:t>
            </w:r>
          </w:p>
          <w:p w14:paraId="74394E1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10、整机内置红外补光灯和双目摄像头，能同时打开彩色和黑白照片，具备活体检测功能</w:t>
            </w:r>
          </w:p>
          <w:p w14:paraId="293D708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11、内置高灵敏度的全向麦克风，拾音半径不小于0.5m，支持学生语音留言，留言内容同步发送至家长微信。</w:t>
            </w:r>
          </w:p>
          <w:p w14:paraId="5401B3B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12、内置2.0立体声道功放，支持视频及家长留言的音频播放。</w:t>
            </w:r>
          </w:p>
          <w:p w14:paraId="2B5CBAE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13、刷卡器：具有内置IC卡刷卡器，支持14443协议。学生可佩带相应的终端设备完成刷卡签到、查看个人信息等操作。</w:t>
            </w:r>
          </w:p>
          <w:p w14:paraId="24F2AB5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14、整机具备至少一路RJ45网络接口；具备不少于2路USB 2.0接口。</w:t>
            </w:r>
          </w:p>
          <w:p w14:paraId="563D812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15、整机采用内置天线设计，无任何天线外露。</w:t>
            </w:r>
          </w:p>
          <w:p w14:paraId="45FF095B">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16、整机支持外接门禁控制。</w:t>
            </w:r>
          </w:p>
          <w:p w14:paraId="3D287E3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17、系统运行内存不低于2GB，存储容量不低于16GB；操作系统版本不低于Android 9.0。</w:t>
            </w:r>
          </w:p>
          <w:p w14:paraId="6E93EB27">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18、整机CPU≥4核，最高主频≥1.9G，操作系统版本不低于Android 9.0。</w:t>
            </w:r>
          </w:p>
          <w:p w14:paraId="664A44F7">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19、整机电源采用插墙式电源适配器，适配器无需悬挂，线材上出。</w:t>
            </w:r>
          </w:p>
          <w:p w14:paraId="6A3DEC8C">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20、支持远程开关机功能，远程唤醒待机功耗≤2W。</w:t>
            </w:r>
          </w:p>
          <w:p w14:paraId="22F494A2">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21、整机支持自动感光调节屏幕亮度</w:t>
            </w:r>
          </w:p>
        </w:tc>
        <w:tc>
          <w:tcPr>
            <w:tcW w:w="1040" w:type="dxa"/>
            <w:tcBorders>
              <w:top w:val="single" w:color="000000" w:sz="4" w:space="0"/>
              <w:left w:val="nil"/>
              <w:bottom w:val="single" w:color="000000" w:sz="4" w:space="0"/>
              <w:right w:val="single" w:color="000000" w:sz="4" w:space="0"/>
            </w:tcBorders>
            <w:vAlign w:val="center"/>
          </w:tcPr>
          <w:p w14:paraId="10CB2884">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3F8FEFC3">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7ACD77CB">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402E8211">
            <w:pPr>
              <w:jc w:val="center"/>
              <w:rPr>
                <w:rFonts w:ascii="宋体" w:hAnsi="宋体"/>
                <w:color w:val="auto"/>
                <w:sz w:val="18"/>
                <w:szCs w:val="18"/>
                <w:highlight w:val="none"/>
                <w:lang w:val="en-US" w:eastAsia="zh-CN"/>
              </w:rPr>
            </w:pPr>
          </w:p>
        </w:tc>
      </w:tr>
      <w:tr w14:paraId="781B4970">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0E02B6DE">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12</w:t>
            </w:r>
            <w:r>
              <w:rPr>
                <w:rFonts w:hint="eastAsia" w:ascii="宋体" w:hAnsi="宋体"/>
                <w:color w:val="auto"/>
                <w:kern w:val="0"/>
                <w:sz w:val="18"/>
                <w:szCs w:val="18"/>
                <w:highlight w:val="none"/>
                <w:lang w:val="en-US" w:eastAsia="zh-CN"/>
              </w:rPr>
              <w:t>4</w:t>
            </w:r>
          </w:p>
        </w:tc>
        <w:tc>
          <w:tcPr>
            <w:tcW w:w="817" w:type="dxa"/>
            <w:tcBorders>
              <w:top w:val="single" w:color="000000" w:sz="4" w:space="0"/>
              <w:left w:val="nil"/>
              <w:bottom w:val="single" w:color="000000" w:sz="4" w:space="0"/>
              <w:right w:val="single" w:color="000000" w:sz="4" w:space="0"/>
            </w:tcBorders>
            <w:vAlign w:val="center"/>
          </w:tcPr>
          <w:p w14:paraId="50F4F504">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智慧校园班牌软件</w:t>
            </w:r>
          </w:p>
        </w:tc>
        <w:tc>
          <w:tcPr>
            <w:tcW w:w="4112" w:type="dxa"/>
            <w:tcBorders>
              <w:top w:val="single" w:color="000000" w:sz="4" w:space="0"/>
              <w:left w:val="nil"/>
              <w:bottom w:val="single" w:color="000000" w:sz="4" w:space="0"/>
              <w:right w:val="single" w:color="000000" w:sz="4" w:space="0"/>
            </w:tcBorders>
            <w:vAlign w:val="center"/>
          </w:tcPr>
          <w:p w14:paraId="17FF30D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1、自助查询：</w:t>
            </w:r>
          </w:p>
          <w:p w14:paraId="3E47958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1.系统提供学生个人空间，学生可在个人空间中查询与自己个人相关的信息，也可与家长进行留言互动。</w:t>
            </w:r>
          </w:p>
          <w:p w14:paraId="0F7DCD0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2.支持学生在全校任意班牌通过刷卡或者人脸识别登录学生个人空间。</w:t>
            </w:r>
          </w:p>
          <w:p w14:paraId="3F1A75B1">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3.支持学生在个人空间查看每日课程表，包含上课时间、场地、任课老师等信息。</w:t>
            </w:r>
          </w:p>
          <w:p w14:paraId="195610CB">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4.支持学生在个人空间查看个人每日考勤记录。5.学生在班牌刷卡登录个人中心后，可以主动向家长发起语音留言，留言后家长微信可收到提醒。</w:t>
            </w:r>
          </w:p>
          <w:p w14:paraId="7F6B13E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5.支持在学生个人空间内嵌入第三方应用，以满足学校多样化的业务查询需求。</w:t>
            </w:r>
          </w:p>
          <w:p w14:paraId="6556BAB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2.家校互通：</w:t>
            </w:r>
          </w:p>
          <w:p w14:paraId="1C1A352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1.家长发送留言后，学生所在班级的班牌会显示该学生有新信息提醒，学生刷卡或人脸识别验证后方可查看信息，保护学生隐私。</w:t>
            </w:r>
          </w:p>
          <w:p w14:paraId="23F384B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2.一个学生最多可以绑定4个家长，学生的考勤信息、在校动态、亲情留言均支持和多位家长对应。</w:t>
            </w:r>
          </w:p>
          <w:p w14:paraId="11E0F0A4">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3.学生可点选家长预设的回复选项或投票选项，答复结果实时推送到家长手机端。</w:t>
            </w:r>
          </w:p>
          <w:p w14:paraId="2149EC86">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4.家长可在手机端查看孩子每日的课程表、考勤报告。</w:t>
            </w:r>
          </w:p>
          <w:p w14:paraId="074D117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5.支持向家长发送语音留言，留言信息实时推送至家长微信小程序手机端，并且家长可对留言进行文字回复；支持学生通过个人空间査看家长回复的文字留言。</w:t>
            </w:r>
          </w:p>
          <w:p w14:paraId="2EA8CF15">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家长可在手机端发起学生请假请求，可添加照片作为请假凭证。班主任手机端即时收到提醒，班牌同步该学生的请假状态，取消该学生的考勤要求。同时，学生可以在个人空间查看个人请假记录。支持导出电子表格的学生请假列表。</w:t>
            </w:r>
          </w:p>
          <w:p w14:paraId="54DFF3BE">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7.教师可在手机端发起学生请假请求，可添加照片作为请假凭证，家长手机端即时收到提醒。同时，学生可以在个人空间查看个人请假记录。</w:t>
            </w:r>
          </w:p>
          <w:p w14:paraId="46394269">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8.手机端APP支持管理员、教师、家长多重身份切换，应用内可直接切换账户角色，无需退出账号重新登录。</w:t>
            </w:r>
          </w:p>
          <w:p w14:paraId="794A7843">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9.支持管理系统与学生行为评价软件账号的单点登录、数据互通，教师对学生进行评价后，相应的评价分数会实时同步至班牌。</w:t>
            </w:r>
          </w:p>
          <w:p w14:paraId="1ADEB5EB">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10.可授权家长在微信端上传学生照片，用于人脸识别</w:t>
            </w:r>
          </w:p>
          <w:p w14:paraId="105DF1AD">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11.可授权家长在微信端查看班牌展示的班级相册、新闻、公告等内容。</w:t>
            </w:r>
          </w:p>
        </w:tc>
        <w:tc>
          <w:tcPr>
            <w:tcW w:w="1040" w:type="dxa"/>
            <w:tcBorders>
              <w:top w:val="single" w:color="000000" w:sz="4" w:space="0"/>
              <w:left w:val="nil"/>
              <w:bottom w:val="single" w:color="000000" w:sz="4" w:space="0"/>
              <w:right w:val="single" w:color="000000" w:sz="4" w:space="0"/>
            </w:tcBorders>
            <w:vAlign w:val="center"/>
          </w:tcPr>
          <w:p w14:paraId="39D980A2">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47814DD6">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2F14746E">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429CA44B">
            <w:pPr>
              <w:jc w:val="center"/>
              <w:rPr>
                <w:rFonts w:ascii="宋体" w:hAnsi="宋体"/>
                <w:color w:val="auto"/>
                <w:sz w:val="18"/>
                <w:szCs w:val="18"/>
                <w:highlight w:val="none"/>
                <w:lang w:val="en-US" w:eastAsia="zh-CN"/>
              </w:rPr>
            </w:pPr>
          </w:p>
        </w:tc>
      </w:tr>
      <w:tr w14:paraId="37CE4E06">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54B6A2A9">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12</w:t>
            </w:r>
            <w:r>
              <w:rPr>
                <w:rFonts w:hint="eastAsia" w:ascii="宋体" w:hAnsi="宋体"/>
                <w:color w:val="auto"/>
                <w:sz w:val="18"/>
                <w:szCs w:val="18"/>
                <w:highlight w:val="none"/>
                <w:lang w:val="en-US" w:eastAsia="zh-CN"/>
              </w:rPr>
              <w:t>5</w:t>
            </w:r>
          </w:p>
        </w:tc>
        <w:tc>
          <w:tcPr>
            <w:tcW w:w="817" w:type="dxa"/>
            <w:tcBorders>
              <w:top w:val="single" w:color="000000" w:sz="4" w:space="0"/>
              <w:left w:val="nil"/>
              <w:bottom w:val="single" w:color="000000" w:sz="4" w:space="0"/>
              <w:right w:val="single" w:color="000000" w:sz="4" w:space="0"/>
            </w:tcBorders>
            <w:vAlign w:val="center"/>
          </w:tcPr>
          <w:p w14:paraId="503CC93C">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物联校园软件</w:t>
            </w:r>
          </w:p>
        </w:tc>
        <w:tc>
          <w:tcPr>
            <w:tcW w:w="4112" w:type="dxa"/>
            <w:tcBorders>
              <w:top w:val="single" w:color="000000" w:sz="4" w:space="0"/>
              <w:left w:val="nil"/>
              <w:bottom w:val="single" w:color="000000" w:sz="4" w:space="0"/>
              <w:right w:val="single" w:color="000000" w:sz="4" w:space="0"/>
            </w:tcBorders>
            <w:vAlign w:val="center"/>
          </w:tcPr>
          <w:p w14:paraId="42A5E8F0">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1.支持硬件私有平台部署方式</w:t>
            </w:r>
          </w:p>
          <w:p w14:paraId="7DEECAA8">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2.千兆以太网口数≥4个；RJ-45 Console管理口≥1个；USB接口≥2，用于外接硬件设备</w:t>
            </w:r>
          </w:p>
          <w:p w14:paraId="75C4F085">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3.接入传感器数量≥250</w:t>
            </w:r>
          </w:p>
          <w:p w14:paraId="296C1F3F">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4.支持接入物联网网关、智能开关、智能空开等传感器设备</w:t>
            </w:r>
          </w:p>
          <w:p w14:paraId="2F6381D0">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5.通过丰富的传感器库，便于整体场景的传感器扩容，该传感器库可兼容多类不同的传感器，如水表、电表、ups、精密空调、一体机、蓄电池监测传感器、噪音传感器</w:t>
            </w:r>
          </w:p>
          <w:p w14:paraId="6E1EEB5D">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6.支持电量趋势分析，可设定范围时间，可视化看到教室历史能耗分析</w:t>
            </w:r>
          </w:p>
          <w:p w14:paraId="5B046F3D">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7.支持设备统一管理，可以通过平台对所有传感器和物联网关进行统一管理</w:t>
            </w:r>
          </w:p>
          <w:p w14:paraId="1ED86306">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8.支持个性化设置，包括对顶部LOGO、浏览器标题、背景图片、底部信息能个性化设置修改，同时开第三方API接口，便于二次开发</w:t>
            </w:r>
          </w:p>
          <w:p w14:paraId="53C823AB">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9.支持移动APP运维，通过手机APP即可进行空间查看、场景情景策略一键执行、设备远程管理与控制、数据分析查看、巡检任务、空间异常告警提醒与确认处理，简化运维工作量</w:t>
            </w:r>
          </w:p>
          <w:p w14:paraId="6A2E1FD8">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10.支持易部署上线，可以通过导入传感器设备的序列号和校验码，传感器联网后无需任何配置即可发现物联平台</w:t>
            </w:r>
          </w:p>
          <w:p w14:paraId="66B5C662">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11.支持管理员分权分级，不同的管理员拥有不同的管辖权限，方便平台的维护管理</w:t>
            </w:r>
          </w:p>
        </w:tc>
        <w:tc>
          <w:tcPr>
            <w:tcW w:w="1040" w:type="dxa"/>
            <w:tcBorders>
              <w:top w:val="single" w:color="000000" w:sz="4" w:space="0"/>
              <w:left w:val="nil"/>
              <w:bottom w:val="single" w:color="000000" w:sz="4" w:space="0"/>
              <w:right w:val="single" w:color="000000" w:sz="4" w:space="0"/>
            </w:tcBorders>
            <w:vAlign w:val="center"/>
          </w:tcPr>
          <w:p w14:paraId="61E61427">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6B11FD4D">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750C5B00">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0C585904">
            <w:pPr>
              <w:jc w:val="center"/>
              <w:rPr>
                <w:rFonts w:hint="eastAsia" w:ascii="宋体" w:hAnsi="宋体"/>
                <w:color w:val="auto"/>
                <w:kern w:val="0"/>
                <w:sz w:val="18"/>
                <w:szCs w:val="18"/>
                <w:highlight w:val="green"/>
              </w:rPr>
            </w:pPr>
          </w:p>
        </w:tc>
      </w:tr>
      <w:tr w14:paraId="5FEA0366">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7F456B96">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12</w:t>
            </w:r>
            <w:r>
              <w:rPr>
                <w:rFonts w:hint="eastAsia" w:ascii="宋体" w:hAnsi="宋体"/>
                <w:color w:val="auto"/>
                <w:sz w:val="18"/>
                <w:szCs w:val="18"/>
                <w:highlight w:val="none"/>
                <w:lang w:val="en-US" w:eastAsia="zh-CN"/>
              </w:rPr>
              <w:t>6</w:t>
            </w:r>
          </w:p>
        </w:tc>
        <w:tc>
          <w:tcPr>
            <w:tcW w:w="817" w:type="dxa"/>
            <w:tcBorders>
              <w:top w:val="single" w:color="000000" w:sz="4" w:space="0"/>
              <w:left w:val="nil"/>
              <w:bottom w:val="single" w:color="000000" w:sz="4" w:space="0"/>
              <w:right w:val="single" w:color="000000" w:sz="4" w:space="0"/>
            </w:tcBorders>
            <w:vAlign w:val="center"/>
          </w:tcPr>
          <w:p w14:paraId="2E0E0CBA">
            <w:pPr>
              <w:widowControl/>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分体空调</w:t>
            </w:r>
          </w:p>
          <w:p w14:paraId="103F5691">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执行器</w:t>
            </w:r>
          </w:p>
        </w:tc>
        <w:tc>
          <w:tcPr>
            <w:tcW w:w="4112" w:type="dxa"/>
            <w:tcBorders>
              <w:top w:val="single" w:color="000000" w:sz="4" w:space="0"/>
              <w:left w:val="nil"/>
              <w:bottom w:val="single" w:color="000000" w:sz="4" w:space="0"/>
              <w:right w:val="single" w:color="000000" w:sz="4" w:space="0"/>
            </w:tcBorders>
            <w:vAlign w:val="center"/>
          </w:tcPr>
          <w:p w14:paraId="1DFDDC75">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1、支持远程遥控立柜空调、壁挂空调、电视机、电视机顶盒、投影仪、幕布、音响、空气净化器、DVD、风扇、智能灯等常见的红外电器设备</w:t>
            </w:r>
          </w:p>
          <w:p w14:paraId="29123EBC">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2、支持Zigbee通信协议，支持学习和控制红外终端</w:t>
            </w:r>
          </w:p>
          <w:p w14:paraId="276E4C2A">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3、红外直线距离5~10米，支持市面95%以上的红外终端，支持超过8000+以上的云端红外码库，支持90°发射</w:t>
            </w:r>
          </w:p>
          <w:p w14:paraId="0A591B91">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4、考虑现场环境的复杂性，标配红外延长线来提高遥控稳定性，并实现1对2控制</w:t>
            </w:r>
          </w:p>
          <w:p w14:paraId="397FF308">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5、自带电流互感器，支持对电器工作状态进行检测</w:t>
            </w:r>
          </w:p>
          <w:p w14:paraId="73A3ABF4">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6、为保障更好的物联联动性，支持与物联网平台、传感器实现联动效果</w:t>
            </w:r>
          </w:p>
          <w:p w14:paraId="09A5BA98">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7、为保障设备的软件成熟度，要求设备开发成熟度模型能力达到CMMI五级（ Level 5）</w:t>
            </w:r>
          </w:p>
        </w:tc>
        <w:tc>
          <w:tcPr>
            <w:tcW w:w="1040" w:type="dxa"/>
            <w:tcBorders>
              <w:top w:val="single" w:color="000000" w:sz="4" w:space="0"/>
              <w:left w:val="nil"/>
              <w:bottom w:val="single" w:color="000000" w:sz="4" w:space="0"/>
              <w:right w:val="single" w:color="000000" w:sz="4" w:space="0"/>
            </w:tcBorders>
            <w:vAlign w:val="center"/>
          </w:tcPr>
          <w:p w14:paraId="5D167FA9">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6F2EC799">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0C0DDEA7">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492653C1">
            <w:pPr>
              <w:jc w:val="center"/>
              <w:rPr>
                <w:rFonts w:hint="eastAsia" w:ascii="宋体" w:hAnsi="宋体"/>
                <w:color w:val="auto"/>
                <w:sz w:val="18"/>
                <w:szCs w:val="18"/>
                <w:highlight w:val="green"/>
                <w:lang w:val="en-US" w:eastAsia="zh-CN"/>
              </w:rPr>
            </w:pPr>
          </w:p>
        </w:tc>
      </w:tr>
      <w:tr w14:paraId="6A11A91A">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389E6067">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12</w:t>
            </w:r>
            <w:r>
              <w:rPr>
                <w:rFonts w:hint="eastAsia" w:ascii="宋体" w:hAnsi="宋体"/>
                <w:color w:val="auto"/>
                <w:sz w:val="18"/>
                <w:szCs w:val="18"/>
                <w:highlight w:val="none"/>
                <w:lang w:val="en-US" w:eastAsia="zh-CN"/>
              </w:rPr>
              <w:t>7</w:t>
            </w:r>
          </w:p>
        </w:tc>
        <w:tc>
          <w:tcPr>
            <w:tcW w:w="817" w:type="dxa"/>
            <w:tcBorders>
              <w:top w:val="single" w:color="000000" w:sz="4" w:space="0"/>
              <w:left w:val="nil"/>
              <w:bottom w:val="single" w:color="000000" w:sz="4" w:space="0"/>
              <w:right w:val="single" w:color="000000" w:sz="4" w:space="0"/>
            </w:tcBorders>
            <w:vAlign w:val="center"/>
          </w:tcPr>
          <w:p w14:paraId="5EEFF5FA">
            <w:pPr>
              <w:widowControl/>
              <w:jc w:val="center"/>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智能开关</w:t>
            </w:r>
          </w:p>
          <w:p w14:paraId="684A398A">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面板-3键</w:t>
            </w:r>
          </w:p>
        </w:tc>
        <w:tc>
          <w:tcPr>
            <w:tcW w:w="4112" w:type="dxa"/>
            <w:tcBorders>
              <w:top w:val="single" w:color="000000" w:sz="4" w:space="0"/>
              <w:left w:val="nil"/>
              <w:bottom w:val="single" w:color="000000" w:sz="4" w:space="0"/>
              <w:right w:val="single" w:color="000000" w:sz="4" w:space="0"/>
            </w:tcBorders>
            <w:vAlign w:val="center"/>
          </w:tcPr>
          <w:p w14:paraId="76C8709F">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1、支持ZigBee自组网通信协议</w:t>
            </w:r>
          </w:p>
          <w:p w14:paraId="180E170D">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2、3键</w:t>
            </w:r>
          </w:p>
          <w:p w14:paraId="489A6F4F">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3、单火线供电</w:t>
            </w:r>
          </w:p>
          <w:p w14:paraId="0FE48819">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4、&gt;10W，适用于传统的灯具，如：LED灯、节能灯、电子镇流器日光灯</w:t>
            </w:r>
          </w:p>
          <w:p w14:paraId="73CDF768">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5、0℃~+45℃，10~95%RH无凝结</w:t>
            </w:r>
          </w:p>
          <w:p w14:paraId="31AA6F7B">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6、支持触摸面板上的按键本地控制开关状态</w:t>
            </w:r>
          </w:p>
          <w:p w14:paraId="394C9357">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7、支持Web端、APP端远程控制开关状态</w:t>
            </w:r>
          </w:p>
          <w:p w14:paraId="48447551">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8、支持定时自动控制开关、设备联动控制开关</w:t>
            </w:r>
          </w:p>
          <w:p w14:paraId="179920E8">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9、支持在物联网平台设置定时策略，如晚上9点自动关闭大楼灯光设备,无需人工手动关闭</w:t>
            </w:r>
          </w:p>
          <w:p w14:paraId="16E25C23">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10、支持在物联网平台设置巡检策略，如管理员需要9点巡检全部灯光设备是否关闭,此时系统可自动进行巡检并生成巡检报告,便于管理人员优化运维管理</w:t>
            </w:r>
          </w:p>
          <w:p w14:paraId="0A2D8003">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11、支持统一管理，在物联网平台可统一管理全部智能开关设备</w:t>
            </w:r>
          </w:p>
          <w:p w14:paraId="3D2B8C55">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12、支持多层维度划分,让管理员任意切换管理范围,划分重点管理区域</w:t>
            </w:r>
          </w:p>
          <w:p w14:paraId="7704B87E">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13、为保障设备的软件成熟度，要求设备开发成熟度模型能力达到CMMI五级（ Level 5）</w:t>
            </w:r>
          </w:p>
        </w:tc>
        <w:tc>
          <w:tcPr>
            <w:tcW w:w="1040" w:type="dxa"/>
            <w:tcBorders>
              <w:top w:val="single" w:color="000000" w:sz="4" w:space="0"/>
              <w:left w:val="nil"/>
              <w:bottom w:val="single" w:color="000000" w:sz="4" w:space="0"/>
              <w:right w:val="single" w:color="000000" w:sz="4" w:space="0"/>
            </w:tcBorders>
            <w:vAlign w:val="center"/>
          </w:tcPr>
          <w:p w14:paraId="3B2C29B8">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47B2881E">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2A2C06B6">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0D51610F">
            <w:pPr>
              <w:jc w:val="center"/>
              <w:rPr>
                <w:rFonts w:hint="eastAsia" w:ascii="宋体" w:hAnsi="宋体"/>
                <w:color w:val="auto"/>
                <w:sz w:val="18"/>
                <w:szCs w:val="18"/>
                <w:highlight w:val="green"/>
                <w:lang w:val="en-US" w:eastAsia="zh-CN"/>
              </w:rPr>
            </w:pPr>
          </w:p>
        </w:tc>
      </w:tr>
      <w:tr w14:paraId="0BC42E4F">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23F6C84D">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12</w:t>
            </w:r>
            <w:r>
              <w:rPr>
                <w:rFonts w:hint="eastAsia" w:ascii="宋体" w:hAnsi="宋体"/>
                <w:color w:val="auto"/>
                <w:kern w:val="0"/>
                <w:sz w:val="18"/>
                <w:szCs w:val="18"/>
                <w:highlight w:val="none"/>
                <w:lang w:val="en-US" w:eastAsia="zh-CN"/>
              </w:rPr>
              <w:t>8</w:t>
            </w:r>
          </w:p>
        </w:tc>
        <w:tc>
          <w:tcPr>
            <w:tcW w:w="817" w:type="dxa"/>
            <w:tcBorders>
              <w:top w:val="single" w:color="000000" w:sz="4" w:space="0"/>
              <w:left w:val="nil"/>
              <w:bottom w:val="single" w:color="000000" w:sz="4" w:space="0"/>
              <w:right w:val="single" w:color="000000" w:sz="4" w:space="0"/>
            </w:tcBorders>
            <w:vAlign w:val="center"/>
          </w:tcPr>
          <w:p w14:paraId="6C741BC1">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4.5米窗帘电机</w:t>
            </w:r>
            <w:r>
              <w:rPr>
                <w:rFonts w:hint="eastAsia" w:ascii="宋体" w:hAnsi="宋体"/>
                <w:color w:val="auto"/>
                <w:kern w:val="0"/>
                <w:sz w:val="18"/>
                <w:szCs w:val="18"/>
                <w:highlight w:val="none"/>
                <w:lang w:val="en-US" w:eastAsia="zh-CN"/>
              </w:rPr>
              <w:t>套装</w:t>
            </w:r>
          </w:p>
        </w:tc>
        <w:tc>
          <w:tcPr>
            <w:tcW w:w="4112" w:type="dxa"/>
            <w:tcBorders>
              <w:top w:val="single" w:color="000000" w:sz="4" w:space="0"/>
              <w:left w:val="nil"/>
              <w:bottom w:val="single" w:color="000000" w:sz="4" w:space="0"/>
              <w:right w:val="single" w:color="000000" w:sz="4" w:space="0"/>
            </w:tcBorders>
            <w:vAlign w:val="center"/>
          </w:tcPr>
          <w:p w14:paraId="11F7909A">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1.保护等级不低于IP20</w:t>
            </w:r>
          </w:p>
          <w:p w14:paraId="5C7E9492">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2.ZigBee（2.4G）</w:t>
            </w:r>
          </w:p>
          <w:p w14:paraId="1B462217">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3.适用于4.2~5.2米窗户，实现窗帘智能化控制</w:t>
            </w:r>
          </w:p>
          <w:p w14:paraId="3BD77097">
            <w:pPr>
              <w:widowControl/>
              <w:jc w:val="left"/>
              <w:textAlignment w:val="center"/>
              <w:rPr>
                <w:rFonts w:ascii="宋体" w:hAnsi="宋体"/>
                <w:color w:val="auto"/>
                <w:kern w:val="0"/>
                <w:sz w:val="18"/>
                <w:szCs w:val="18"/>
                <w:highlight w:val="none"/>
              </w:rPr>
            </w:pPr>
            <w:r>
              <w:rPr>
                <w:rFonts w:ascii="宋体" w:hAnsi="宋体"/>
                <w:color w:val="auto"/>
                <w:kern w:val="0"/>
                <w:sz w:val="18"/>
                <w:szCs w:val="18"/>
                <w:highlight w:val="none"/>
              </w:rPr>
              <w:t>4.AC100V-240V 50/60HZ</w:t>
            </w:r>
          </w:p>
          <w:p w14:paraId="035A92A3">
            <w:pPr>
              <w:widowControl/>
              <w:jc w:val="left"/>
              <w:textAlignment w:val="center"/>
              <w:rPr>
                <w:rFonts w:ascii="宋体" w:hAnsi="宋体"/>
                <w:color w:val="auto"/>
                <w:kern w:val="0"/>
                <w:sz w:val="18"/>
                <w:szCs w:val="18"/>
                <w:highlight w:val="none"/>
              </w:rPr>
            </w:pPr>
            <w:r>
              <w:rPr>
                <w:rFonts w:ascii="宋体" w:hAnsi="宋体"/>
                <w:color w:val="auto"/>
                <w:kern w:val="0"/>
                <w:sz w:val="18"/>
                <w:szCs w:val="18"/>
                <w:highlight w:val="none"/>
              </w:rPr>
              <w:t>5.0°C~45°C</w:t>
            </w:r>
          </w:p>
          <w:p w14:paraId="7C752387">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6.10~95%RH无凝结</w:t>
            </w:r>
          </w:p>
          <w:p w14:paraId="14348815">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7.支持统一管理，在物联网平台可统一管理智能窗帘设备，获取窗帘状态数据、远程窗帘控制</w:t>
            </w:r>
          </w:p>
          <w:p w14:paraId="03A6B54F">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8.支持远程移动APP进行窗帘控制，可按需进行窗帘开启、暂停、关闭等操作</w:t>
            </w:r>
          </w:p>
          <w:p w14:paraId="509AF322">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9.支持在物联网平台设置一键情景管理策略，如一键开启区域内灯光、窗帘</w:t>
            </w:r>
          </w:p>
        </w:tc>
        <w:tc>
          <w:tcPr>
            <w:tcW w:w="1040" w:type="dxa"/>
            <w:tcBorders>
              <w:top w:val="single" w:color="000000" w:sz="4" w:space="0"/>
              <w:left w:val="nil"/>
              <w:bottom w:val="single" w:color="000000" w:sz="4" w:space="0"/>
              <w:right w:val="single" w:color="000000" w:sz="4" w:space="0"/>
            </w:tcBorders>
            <w:vAlign w:val="center"/>
          </w:tcPr>
          <w:p w14:paraId="24FE9535">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4</w:t>
            </w:r>
          </w:p>
        </w:tc>
        <w:tc>
          <w:tcPr>
            <w:tcW w:w="935" w:type="dxa"/>
            <w:tcBorders>
              <w:top w:val="single" w:color="000000" w:sz="4" w:space="0"/>
              <w:left w:val="nil"/>
              <w:bottom w:val="single" w:color="000000" w:sz="4" w:space="0"/>
              <w:right w:val="single" w:color="000000" w:sz="4" w:space="0"/>
            </w:tcBorders>
            <w:vAlign w:val="center"/>
          </w:tcPr>
          <w:p w14:paraId="443B8F47">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01F0385F">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15F990CE">
            <w:pPr>
              <w:jc w:val="center"/>
              <w:rPr>
                <w:rFonts w:ascii="宋体" w:hAnsi="宋体"/>
                <w:color w:val="auto"/>
                <w:sz w:val="18"/>
                <w:szCs w:val="18"/>
                <w:highlight w:val="green"/>
                <w:lang w:val="en-US" w:eastAsia="zh-CN"/>
              </w:rPr>
            </w:pPr>
          </w:p>
        </w:tc>
      </w:tr>
      <w:tr w14:paraId="698A44ED">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6C9883EB">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29</w:t>
            </w:r>
          </w:p>
        </w:tc>
        <w:tc>
          <w:tcPr>
            <w:tcW w:w="817" w:type="dxa"/>
            <w:tcBorders>
              <w:top w:val="single" w:color="000000" w:sz="4" w:space="0"/>
              <w:left w:val="nil"/>
              <w:bottom w:val="single" w:color="000000" w:sz="4" w:space="0"/>
              <w:right w:val="single" w:color="000000" w:sz="4" w:space="0"/>
            </w:tcBorders>
            <w:vAlign w:val="center"/>
          </w:tcPr>
          <w:p w14:paraId="20CEA6BC">
            <w:pPr>
              <w:widowControl/>
              <w:jc w:val="center"/>
              <w:textAlignment w:val="center"/>
              <w:rPr>
                <w:rFonts w:hint="eastAsia" w:ascii="宋体" w:hAnsi="宋体"/>
                <w:color w:val="auto"/>
                <w:kern w:val="0"/>
                <w:sz w:val="18"/>
                <w:szCs w:val="18"/>
                <w:highlight w:val="none"/>
                <w:lang w:eastAsia="zh-CN"/>
              </w:rPr>
            </w:pPr>
            <w:r>
              <w:rPr>
                <w:rFonts w:hint="eastAsia" w:ascii="宋体" w:hAnsi="宋体"/>
                <w:color w:val="auto"/>
                <w:kern w:val="0"/>
                <w:sz w:val="18"/>
                <w:szCs w:val="18"/>
                <w:highlight w:val="none"/>
              </w:rPr>
              <w:t>安全用电系列</w:t>
            </w:r>
            <w:r>
              <w:rPr>
                <w:rFonts w:hint="eastAsia" w:ascii="宋体" w:hAnsi="宋体"/>
                <w:color w:val="auto"/>
                <w:kern w:val="0"/>
                <w:sz w:val="18"/>
                <w:szCs w:val="18"/>
                <w:highlight w:val="none"/>
                <w:lang w:eastAsia="zh-CN"/>
              </w:rPr>
              <w:t>（协议转换</w:t>
            </w:r>
          </w:p>
          <w:p w14:paraId="7218A3C7">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eastAsia="zh-CN"/>
              </w:rPr>
              <w:t>器）</w:t>
            </w:r>
          </w:p>
        </w:tc>
        <w:tc>
          <w:tcPr>
            <w:tcW w:w="4112" w:type="dxa"/>
            <w:tcBorders>
              <w:top w:val="single" w:color="000000" w:sz="4" w:space="0"/>
              <w:left w:val="nil"/>
              <w:bottom w:val="single" w:color="000000" w:sz="4" w:space="0"/>
              <w:right w:val="single" w:color="000000" w:sz="4" w:space="0"/>
            </w:tcBorders>
            <w:vAlign w:val="center"/>
          </w:tcPr>
          <w:p w14:paraId="4A891F2C">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1、节能系统配件，作为电源模组，配合物联网空气开关、物联网通讯模组实现与物联网平台的互相联动，包括控制电机转发，向物联网终端提供低压直流电源 </w:t>
            </w:r>
          </w:p>
          <w:p w14:paraId="58730CD2">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2、额定电流：2.5A（DC12V） </w:t>
            </w:r>
          </w:p>
          <w:p w14:paraId="592806CB">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3、输入电压：AC100V-265V </w:t>
            </w:r>
          </w:p>
          <w:p w14:paraId="0CAA9431">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4、额定输出电压：DC12V </w:t>
            </w:r>
          </w:p>
          <w:p w14:paraId="38751787">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5、额定输出电流MAX DC2.5A </w:t>
            </w:r>
          </w:p>
          <w:p w14:paraId="5F9DD7DE">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6、防雷击浪涌保护最大泄放电流：15KA </w:t>
            </w:r>
          </w:p>
          <w:p w14:paraId="06E43317">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7、工作环境：-5℃~45℃ </w:t>
            </w:r>
          </w:p>
          <w:p w14:paraId="0632AB69">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8、安装地点海拔：≤2000m </w:t>
            </w:r>
          </w:p>
          <w:p w14:paraId="72FFF564">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9、安装方式：导轨卡口</w:t>
            </w:r>
          </w:p>
        </w:tc>
        <w:tc>
          <w:tcPr>
            <w:tcW w:w="1040" w:type="dxa"/>
            <w:tcBorders>
              <w:top w:val="single" w:color="000000" w:sz="4" w:space="0"/>
              <w:left w:val="nil"/>
              <w:bottom w:val="single" w:color="000000" w:sz="4" w:space="0"/>
              <w:right w:val="single" w:color="000000" w:sz="4" w:space="0"/>
            </w:tcBorders>
            <w:vAlign w:val="center"/>
          </w:tcPr>
          <w:p w14:paraId="43B47AE4">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8</w:t>
            </w:r>
          </w:p>
        </w:tc>
        <w:tc>
          <w:tcPr>
            <w:tcW w:w="935" w:type="dxa"/>
            <w:tcBorders>
              <w:top w:val="single" w:color="000000" w:sz="4" w:space="0"/>
              <w:left w:val="nil"/>
              <w:bottom w:val="single" w:color="000000" w:sz="4" w:space="0"/>
              <w:right w:val="single" w:color="000000" w:sz="4" w:space="0"/>
            </w:tcBorders>
            <w:vAlign w:val="center"/>
          </w:tcPr>
          <w:p w14:paraId="29F9D156">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4E5D8E50">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64C1D613">
            <w:pPr>
              <w:jc w:val="center"/>
              <w:rPr>
                <w:rFonts w:hint="eastAsia" w:ascii="宋体" w:hAnsi="宋体"/>
                <w:color w:val="auto"/>
                <w:sz w:val="18"/>
                <w:szCs w:val="18"/>
                <w:highlight w:val="green"/>
                <w:lang w:val="en-US" w:eastAsia="zh-CN"/>
              </w:rPr>
            </w:pPr>
          </w:p>
        </w:tc>
      </w:tr>
      <w:tr w14:paraId="2D5494D0">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7C631927">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30</w:t>
            </w:r>
          </w:p>
        </w:tc>
        <w:tc>
          <w:tcPr>
            <w:tcW w:w="817" w:type="dxa"/>
            <w:tcBorders>
              <w:top w:val="single" w:color="000000" w:sz="4" w:space="0"/>
              <w:left w:val="nil"/>
              <w:bottom w:val="single" w:color="000000" w:sz="4" w:space="0"/>
              <w:right w:val="single" w:color="000000" w:sz="4" w:space="0"/>
            </w:tcBorders>
            <w:vAlign w:val="center"/>
          </w:tcPr>
          <w:p w14:paraId="101020AA">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安全用电系列</w:t>
            </w:r>
            <w:r>
              <w:rPr>
                <w:rFonts w:hint="eastAsia" w:ascii="宋体" w:hAnsi="宋体"/>
                <w:color w:val="auto"/>
                <w:kern w:val="0"/>
                <w:sz w:val="18"/>
                <w:szCs w:val="18"/>
                <w:highlight w:val="none"/>
                <w:lang w:eastAsia="zh-CN"/>
              </w:rPr>
              <w:t>（窗帘控制）</w:t>
            </w:r>
          </w:p>
        </w:tc>
        <w:tc>
          <w:tcPr>
            <w:tcW w:w="4112" w:type="dxa"/>
            <w:tcBorders>
              <w:top w:val="single" w:color="000000" w:sz="4" w:space="0"/>
              <w:left w:val="nil"/>
              <w:bottom w:val="single" w:color="000000" w:sz="4" w:space="0"/>
              <w:right w:val="single" w:color="000000" w:sz="4" w:space="0"/>
            </w:tcBorders>
            <w:vAlign w:val="center"/>
          </w:tcPr>
          <w:p w14:paraId="2EA96463">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1、配合物联网通讯模块、网关可实现与物联网平台的互相联动，包括数据回传及策略控制</w:t>
            </w:r>
          </w:p>
          <w:p w14:paraId="05EC5759">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2、断路器环境规格：2P额定63A</w:t>
            </w:r>
          </w:p>
          <w:p w14:paraId="0FF8AC95">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3、短路保护：支持采用动静触电均选择银触点、高等级灭弧材质，优良灭弧结构</w:t>
            </w:r>
          </w:p>
          <w:p w14:paraId="54EE1310">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4、支持过载过流保护、过压保护、打火断电保护、欠压保护等功能</w:t>
            </w:r>
          </w:p>
          <w:p w14:paraId="66540A67">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5、用电量统计，用电大数据对比分析</w:t>
            </w:r>
          </w:p>
          <w:p w14:paraId="693FE07A">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6、功率限定：超过指定功率时自动断电</w:t>
            </w:r>
          </w:p>
          <w:p w14:paraId="3510BF69">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7、用电故障或者检测记录</w:t>
            </w:r>
          </w:p>
          <w:p w14:paraId="0D7C58F4">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8、支持本地电动控制、本地手动推杆</w:t>
            </w:r>
          </w:p>
        </w:tc>
        <w:tc>
          <w:tcPr>
            <w:tcW w:w="1040" w:type="dxa"/>
            <w:tcBorders>
              <w:top w:val="single" w:color="000000" w:sz="4" w:space="0"/>
              <w:left w:val="nil"/>
              <w:bottom w:val="single" w:color="000000" w:sz="4" w:space="0"/>
              <w:right w:val="single" w:color="000000" w:sz="4" w:space="0"/>
            </w:tcBorders>
            <w:vAlign w:val="center"/>
          </w:tcPr>
          <w:p w14:paraId="25089302">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4</w:t>
            </w:r>
          </w:p>
        </w:tc>
        <w:tc>
          <w:tcPr>
            <w:tcW w:w="935" w:type="dxa"/>
            <w:tcBorders>
              <w:top w:val="single" w:color="000000" w:sz="4" w:space="0"/>
              <w:left w:val="nil"/>
              <w:bottom w:val="single" w:color="000000" w:sz="4" w:space="0"/>
              <w:right w:val="single" w:color="000000" w:sz="4" w:space="0"/>
            </w:tcBorders>
            <w:vAlign w:val="center"/>
          </w:tcPr>
          <w:p w14:paraId="00A0AA22">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69288523">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087E52D0">
            <w:pPr>
              <w:jc w:val="center"/>
              <w:rPr>
                <w:rFonts w:hint="eastAsia" w:ascii="宋体" w:hAnsi="宋体"/>
                <w:color w:val="auto"/>
                <w:sz w:val="18"/>
                <w:szCs w:val="18"/>
                <w:highlight w:val="green"/>
                <w:lang w:val="en-US" w:eastAsia="zh-CN"/>
              </w:rPr>
            </w:pPr>
          </w:p>
        </w:tc>
      </w:tr>
      <w:tr w14:paraId="7CAC16F7">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2F421284">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13</w:t>
            </w:r>
            <w:r>
              <w:rPr>
                <w:rFonts w:hint="eastAsia" w:ascii="宋体" w:hAnsi="宋体"/>
                <w:color w:val="auto"/>
                <w:kern w:val="0"/>
                <w:sz w:val="18"/>
                <w:szCs w:val="18"/>
                <w:highlight w:val="none"/>
                <w:lang w:val="en-US" w:eastAsia="zh-CN"/>
              </w:rPr>
              <w:t>1</w:t>
            </w:r>
          </w:p>
        </w:tc>
        <w:tc>
          <w:tcPr>
            <w:tcW w:w="817" w:type="dxa"/>
            <w:tcBorders>
              <w:top w:val="single" w:color="000000" w:sz="4" w:space="0"/>
              <w:left w:val="nil"/>
              <w:bottom w:val="single" w:color="000000" w:sz="4" w:space="0"/>
              <w:right w:val="single" w:color="000000" w:sz="4" w:space="0"/>
            </w:tcBorders>
            <w:vAlign w:val="center"/>
          </w:tcPr>
          <w:p w14:paraId="68F5B42E">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安全用电系列</w:t>
            </w:r>
            <w:r>
              <w:rPr>
                <w:rFonts w:hint="eastAsia" w:ascii="宋体" w:hAnsi="宋体"/>
                <w:color w:val="auto"/>
                <w:kern w:val="0"/>
                <w:sz w:val="18"/>
                <w:szCs w:val="18"/>
                <w:highlight w:val="none"/>
                <w:lang w:eastAsia="zh-CN"/>
              </w:rPr>
              <w:t>（</w:t>
            </w:r>
            <w:r>
              <w:rPr>
                <w:rFonts w:hint="eastAsia" w:ascii="宋体" w:hAnsi="宋体"/>
                <w:color w:val="auto"/>
                <w:kern w:val="0"/>
                <w:sz w:val="18"/>
                <w:szCs w:val="18"/>
                <w:highlight w:val="none"/>
                <w:lang w:val="en-US" w:eastAsia="zh-CN"/>
              </w:rPr>
              <w:t>电测执行）</w:t>
            </w:r>
          </w:p>
        </w:tc>
        <w:tc>
          <w:tcPr>
            <w:tcW w:w="4112" w:type="dxa"/>
            <w:tcBorders>
              <w:top w:val="single" w:color="000000" w:sz="4" w:space="0"/>
              <w:left w:val="nil"/>
              <w:bottom w:val="single" w:color="000000" w:sz="4" w:space="0"/>
              <w:right w:val="single" w:color="000000" w:sz="4" w:space="0"/>
            </w:tcBorders>
            <w:vAlign w:val="center"/>
          </w:tcPr>
          <w:p w14:paraId="2DE09689">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1、节能系统配件，作为通讯模组，配合物联网空气开关实现与物联网平台的互相联动，包括数据回传及策略控制 </w:t>
            </w:r>
          </w:p>
          <w:p w14:paraId="003223D5">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2、工作电压：DC12V </w:t>
            </w:r>
          </w:p>
          <w:p w14:paraId="11C73039">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3、支持双向互联网通讯 </w:t>
            </w:r>
          </w:p>
          <w:p w14:paraId="3B5E2767">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4、工作电压：AC100V~265V </w:t>
            </w:r>
          </w:p>
          <w:p w14:paraId="3A67F946">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5、工作环境：-5℃~45℃ </w:t>
            </w:r>
          </w:p>
          <w:p w14:paraId="75FC4C25">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6、安装地点海拔：不高于2000m </w:t>
            </w:r>
          </w:p>
          <w:p w14:paraId="7CDB5DDE">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7、为保障设备兼容性，要求与控制器为同一品牌；</w:t>
            </w:r>
          </w:p>
        </w:tc>
        <w:tc>
          <w:tcPr>
            <w:tcW w:w="1040" w:type="dxa"/>
            <w:tcBorders>
              <w:top w:val="single" w:color="000000" w:sz="4" w:space="0"/>
              <w:left w:val="nil"/>
              <w:bottom w:val="single" w:color="000000" w:sz="4" w:space="0"/>
              <w:right w:val="single" w:color="000000" w:sz="4" w:space="0"/>
            </w:tcBorders>
            <w:vAlign w:val="center"/>
          </w:tcPr>
          <w:p w14:paraId="17DF7276">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4212F3D3">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0FC488EF">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6A41B167">
            <w:pPr>
              <w:jc w:val="center"/>
              <w:rPr>
                <w:rFonts w:hint="eastAsia" w:ascii="宋体" w:hAnsi="宋体"/>
                <w:color w:val="auto"/>
                <w:sz w:val="18"/>
                <w:szCs w:val="18"/>
                <w:highlight w:val="green"/>
                <w:lang w:val="en-US" w:eastAsia="zh-CN"/>
              </w:rPr>
            </w:pPr>
          </w:p>
        </w:tc>
      </w:tr>
      <w:tr w14:paraId="72937B5C">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6D4F8D5F">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13</w:t>
            </w:r>
            <w:r>
              <w:rPr>
                <w:rFonts w:hint="eastAsia" w:ascii="宋体" w:hAnsi="宋体"/>
                <w:color w:val="auto"/>
                <w:kern w:val="0"/>
                <w:sz w:val="18"/>
                <w:szCs w:val="18"/>
                <w:highlight w:val="none"/>
                <w:lang w:val="en-US" w:eastAsia="zh-CN"/>
              </w:rPr>
              <w:t>2</w:t>
            </w:r>
          </w:p>
        </w:tc>
        <w:tc>
          <w:tcPr>
            <w:tcW w:w="817" w:type="dxa"/>
            <w:tcBorders>
              <w:top w:val="single" w:color="000000" w:sz="4" w:space="0"/>
              <w:left w:val="nil"/>
              <w:bottom w:val="single" w:color="000000" w:sz="4" w:space="0"/>
              <w:right w:val="single" w:color="000000" w:sz="4" w:space="0"/>
            </w:tcBorders>
            <w:vAlign w:val="center"/>
          </w:tcPr>
          <w:p w14:paraId="4BA8EE1E">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 xml:space="preserve"> 控制面板</w:t>
            </w:r>
            <w:r>
              <w:rPr>
                <w:rFonts w:hint="eastAsia" w:ascii="宋体" w:hAnsi="宋体"/>
                <w:color w:val="auto"/>
                <w:kern w:val="0"/>
                <w:sz w:val="18"/>
                <w:szCs w:val="18"/>
                <w:highlight w:val="none"/>
                <w:lang w:eastAsia="zh-CN"/>
              </w:rPr>
              <w:t>（</w:t>
            </w:r>
            <w:r>
              <w:rPr>
                <w:rFonts w:hint="eastAsia" w:ascii="宋体" w:hAnsi="宋体"/>
                <w:color w:val="auto"/>
                <w:kern w:val="0"/>
                <w:sz w:val="18"/>
                <w:szCs w:val="18"/>
                <w:highlight w:val="none"/>
                <w:lang w:val="en-US" w:eastAsia="zh-CN"/>
              </w:rPr>
              <w:t>交流接触控制）</w:t>
            </w:r>
          </w:p>
        </w:tc>
        <w:tc>
          <w:tcPr>
            <w:tcW w:w="4112" w:type="dxa"/>
            <w:tcBorders>
              <w:top w:val="single" w:color="000000" w:sz="4" w:space="0"/>
              <w:left w:val="nil"/>
              <w:bottom w:val="single" w:color="000000" w:sz="4" w:space="0"/>
              <w:right w:val="single" w:color="000000" w:sz="4" w:space="0"/>
            </w:tcBorders>
            <w:vAlign w:val="center"/>
          </w:tcPr>
          <w:p w14:paraId="77DDA0E9">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智能触控情景面板</w:t>
            </w:r>
          </w:p>
          <w:p w14:paraId="538A9BB2">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1、≥3.95寸触控显示屏，分辨率≥720*720，支持视网膜高PPI显示，≥6个实体触控按键，支持≥4个按键自定义对应情景功能。</w:t>
            </w:r>
          </w:p>
          <w:p w14:paraId="0D676CE7">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2、≥1个RJ45口支持POE供电。支持触控情景交互，支持显示环境信息、控制灯光、空调、窗帘等环境设备。</w:t>
            </w:r>
          </w:p>
          <w:p w14:paraId="772287C6">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3、支持多媒体智能化控制，保护音视频源切换和多媒体开关机、音量调节等功能。</w:t>
            </w:r>
          </w:p>
        </w:tc>
        <w:tc>
          <w:tcPr>
            <w:tcW w:w="1040" w:type="dxa"/>
            <w:tcBorders>
              <w:top w:val="single" w:color="000000" w:sz="4" w:space="0"/>
              <w:left w:val="nil"/>
              <w:bottom w:val="single" w:color="000000" w:sz="4" w:space="0"/>
              <w:right w:val="single" w:color="000000" w:sz="4" w:space="0"/>
            </w:tcBorders>
            <w:vAlign w:val="center"/>
          </w:tcPr>
          <w:p w14:paraId="6EBA9E56">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5799AB78">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195483C1">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26028E07">
            <w:pPr>
              <w:jc w:val="center"/>
              <w:rPr>
                <w:rFonts w:hint="eastAsia" w:ascii="宋体" w:hAnsi="宋体"/>
                <w:color w:val="auto"/>
                <w:sz w:val="18"/>
                <w:szCs w:val="18"/>
                <w:highlight w:val="green"/>
                <w:lang w:val="en-US" w:eastAsia="zh-CN"/>
              </w:rPr>
            </w:pPr>
          </w:p>
        </w:tc>
      </w:tr>
      <w:tr w14:paraId="3E578F99">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5E83C9AC">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13</w:t>
            </w:r>
            <w:r>
              <w:rPr>
                <w:rFonts w:hint="eastAsia" w:ascii="宋体" w:hAnsi="宋体"/>
                <w:color w:val="auto"/>
                <w:kern w:val="0"/>
                <w:sz w:val="18"/>
                <w:szCs w:val="18"/>
                <w:highlight w:val="none"/>
                <w:lang w:val="en-US" w:eastAsia="zh-CN"/>
              </w:rPr>
              <w:t>3</w:t>
            </w:r>
          </w:p>
        </w:tc>
        <w:tc>
          <w:tcPr>
            <w:tcW w:w="817" w:type="dxa"/>
            <w:tcBorders>
              <w:top w:val="single" w:color="000000" w:sz="4" w:space="0"/>
              <w:left w:val="nil"/>
              <w:bottom w:val="single" w:color="000000" w:sz="4" w:space="0"/>
              <w:right w:val="single" w:color="000000" w:sz="4" w:space="0"/>
            </w:tcBorders>
            <w:vAlign w:val="center"/>
          </w:tcPr>
          <w:p w14:paraId="793DEEDB">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室内型</w:t>
            </w:r>
            <w:r>
              <w:rPr>
                <w:rFonts w:hint="eastAsia" w:ascii="宋体" w:hAnsi="宋体"/>
                <w:color w:val="auto"/>
                <w:kern w:val="0"/>
                <w:sz w:val="18"/>
                <w:szCs w:val="18"/>
                <w:highlight w:val="none"/>
              </w:rPr>
              <w:t>网关</w:t>
            </w:r>
          </w:p>
        </w:tc>
        <w:tc>
          <w:tcPr>
            <w:tcW w:w="4112" w:type="dxa"/>
            <w:tcBorders>
              <w:top w:val="single" w:color="000000" w:sz="4" w:space="0"/>
              <w:left w:val="nil"/>
              <w:bottom w:val="single" w:color="000000" w:sz="4" w:space="0"/>
              <w:right w:val="single" w:color="000000" w:sz="4" w:space="0"/>
            </w:tcBorders>
            <w:vAlign w:val="center"/>
          </w:tcPr>
          <w:p w14:paraId="28CC1D22">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1、为保障更好的物联联通性，并简化实施部署，支持Zigbee、433、LoRa协议通信协议</w:t>
            </w:r>
          </w:p>
          <w:p w14:paraId="29C200C1">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2、外置天线</w:t>
            </w:r>
          </w:p>
          <w:p w14:paraId="6FEED493">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3、RJ45以太网口≥1个,usb≥1个</w:t>
            </w:r>
          </w:p>
          <w:p w14:paraId="10D4D6D0">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4、支持IEEE标准的PoE供电和本地电源适配器供电两种方式</w:t>
            </w:r>
          </w:p>
          <w:p w14:paraId="50F2B237">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5、满负荷工作功耗≤10W</w:t>
            </w:r>
          </w:p>
          <w:p w14:paraId="457E4369">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6、工作温度：0~45℃工作湿度（非凝结）：10%~95%</w:t>
            </w:r>
          </w:p>
          <w:p w14:paraId="7B254F56">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7、整机最大接入传感器数量≥120个</w:t>
            </w:r>
          </w:p>
          <w:p w14:paraId="0999447C">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8、支持125KHz/250KHz/500KHz，支持SF07/SF08/SF09/SF10/SF11/SF12等扩频因子调节</w:t>
            </w:r>
          </w:p>
          <w:p w14:paraId="6AC8F17E">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9、支持软件灵活配置不同射频的发射功率，保障覆盖效果</w:t>
            </w:r>
          </w:p>
          <w:p w14:paraId="1150EA63">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10、支持二三层发现、DHCP Option43、DNS域名等多种方式自动发现物联平台</w:t>
            </w:r>
          </w:p>
          <w:p w14:paraId="6B828F7F">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11、支持平台统一集中管理，支持设备自定义命名</w:t>
            </w:r>
          </w:p>
          <w:p w14:paraId="61B30412">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12、支持多种传感器接入，包括智能插座、空调恒温器、温湿传感器、数据采集器、人体红外感应装置、智能红外遥控装置、智能开关、智能门锁等传感器</w:t>
            </w:r>
          </w:p>
          <w:p w14:paraId="23211EFE">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13、为保障设备的软件成熟度，要求设备开发成熟度模型能力达到CMMI五级（ Level 5）</w:t>
            </w:r>
          </w:p>
        </w:tc>
        <w:tc>
          <w:tcPr>
            <w:tcW w:w="1040" w:type="dxa"/>
            <w:tcBorders>
              <w:top w:val="single" w:color="000000" w:sz="4" w:space="0"/>
              <w:left w:val="nil"/>
              <w:bottom w:val="single" w:color="000000" w:sz="4" w:space="0"/>
              <w:right w:val="single" w:color="000000" w:sz="4" w:space="0"/>
            </w:tcBorders>
            <w:vAlign w:val="center"/>
          </w:tcPr>
          <w:p w14:paraId="049A3B8B">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1866CE08">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27F3666E">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7695F78A">
            <w:pPr>
              <w:jc w:val="center"/>
              <w:rPr>
                <w:rFonts w:hint="eastAsia" w:ascii="宋体" w:hAnsi="宋体"/>
                <w:color w:val="auto"/>
                <w:sz w:val="18"/>
                <w:szCs w:val="18"/>
                <w:highlight w:val="green"/>
                <w:lang w:val="en-US" w:eastAsia="zh-CN"/>
              </w:rPr>
            </w:pPr>
          </w:p>
        </w:tc>
      </w:tr>
      <w:tr w14:paraId="4879E613">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52FE6327">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13</w:t>
            </w:r>
            <w:r>
              <w:rPr>
                <w:rFonts w:hint="eastAsia" w:ascii="宋体" w:hAnsi="宋体"/>
                <w:color w:val="auto"/>
                <w:kern w:val="0"/>
                <w:sz w:val="18"/>
                <w:szCs w:val="18"/>
                <w:highlight w:val="none"/>
                <w:lang w:val="en-US" w:eastAsia="zh-CN"/>
              </w:rPr>
              <w:t>4</w:t>
            </w:r>
          </w:p>
        </w:tc>
        <w:tc>
          <w:tcPr>
            <w:tcW w:w="817" w:type="dxa"/>
            <w:tcBorders>
              <w:top w:val="single" w:color="000000" w:sz="4" w:space="0"/>
              <w:left w:val="nil"/>
              <w:bottom w:val="single" w:color="000000" w:sz="4" w:space="0"/>
              <w:right w:val="single" w:color="000000" w:sz="4" w:space="0"/>
            </w:tcBorders>
            <w:vAlign w:val="center"/>
          </w:tcPr>
          <w:p w14:paraId="77424FF4">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立柜空调</w:t>
            </w:r>
          </w:p>
        </w:tc>
        <w:tc>
          <w:tcPr>
            <w:tcW w:w="4112" w:type="dxa"/>
            <w:tcBorders>
              <w:top w:val="single" w:color="000000" w:sz="4" w:space="0"/>
              <w:left w:val="nil"/>
              <w:bottom w:val="single" w:color="000000" w:sz="4" w:space="0"/>
              <w:right w:val="single" w:color="000000" w:sz="4" w:space="0"/>
            </w:tcBorders>
            <w:vAlign w:val="center"/>
          </w:tcPr>
          <w:p w14:paraId="0AB72DF6">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款式：立柜式  匹数：2匹  定频/变频：变频  能效等级：二级</w:t>
            </w:r>
          </w:p>
        </w:tc>
        <w:tc>
          <w:tcPr>
            <w:tcW w:w="1040" w:type="dxa"/>
            <w:tcBorders>
              <w:top w:val="single" w:color="000000" w:sz="4" w:space="0"/>
              <w:left w:val="nil"/>
              <w:bottom w:val="single" w:color="000000" w:sz="4" w:space="0"/>
              <w:right w:val="single" w:color="000000" w:sz="4" w:space="0"/>
            </w:tcBorders>
            <w:vAlign w:val="center"/>
          </w:tcPr>
          <w:p w14:paraId="37D03854">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65D15BC2">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台</w:t>
            </w:r>
          </w:p>
        </w:tc>
        <w:tc>
          <w:tcPr>
            <w:tcW w:w="1084" w:type="dxa"/>
            <w:tcBorders>
              <w:top w:val="single" w:color="000000" w:sz="4" w:space="0"/>
              <w:left w:val="nil"/>
              <w:bottom w:val="single" w:color="000000" w:sz="4" w:space="0"/>
              <w:right w:val="single" w:color="000000" w:sz="4" w:space="0"/>
            </w:tcBorders>
            <w:vAlign w:val="center"/>
          </w:tcPr>
          <w:p w14:paraId="2BC741EB">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4BB9CFD1">
            <w:pPr>
              <w:jc w:val="center"/>
              <w:rPr>
                <w:rFonts w:ascii="宋体" w:hAnsi="宋体"/>
                <w:color w:val="auto"/>
                <w:sz w:val="18"/>
                <w:szCs w:val="18"/>
                <w:highlight w:val="none"/>
                <w:lang w:val="en-US" w:eastAsia="zh-CN"/>
              </w:rPr>
            </w:pPr>
          </w:p>
        </w:tc>
      </w:tr>
      <w:tr w14:paraId="3932EFE1">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4B556FE9">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13</w:t>
            </w:r>
            <w:r>
              <w:rPr>
                <w:rFonts w:hint="eastAsia" w:ascii="宋体" w:hAnsi="宋体"/>
                <w:color w:val="auto"/>
                <w:kern w:val="0"/>
                <w:sz w:val="18"/>
                <w:szCs w:val="18"/>
                <w:highlight w:val="none"/>
                <w:lang w:val="en-US" w:eastAsia="zh-CN"/>
              </w:rPr>
              <w:t>5</w:t>
            </w:r>
          </w:p>
        </w:tc>
        <w:tc>
          <w:tcPr>
            <w:tcW w:w="817" w:type="dxa"/>
            <w:tcBorders>
              <w:top w:val="single" w:color="000000" w:sz="4" w:space="0"/>
              <w:left w:val="nil"/>
              <w:bottom w:val="single" w:color="000000" w:sz="4" w:space="0"/>
              <w:right w:val="single" w:color="000000" w:sz="4" w:space="0"/>
            </w:tcBorders>
            <w:vAlign w:val="center"/>
          </w:tcPr>
          <w:p w14:paraId="77883383">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研讨桌</w:t>
            </w:r>
          </w:p>
        </w:tc>
        <w:tc>
          <w:tcPr>
            <w:tcW w:w="4112" w:type="dxa"/>
            <w:tcBorders>
              <w:top w:val="single" w:color="000000" w:sz="4" w:space="0"/>
              <w:left w:val="nil"/>
              <w:bottom w:val="single" w:color="000000" w:sz="4" w:space="0"/>
              <w:right w:val="single" w:color="000000" w:sz="4" w:space="0"/>
            </w:tcBorders>
            <w:vAlign w:val="center"/>
          </w:tcPr>
          <w:p w14:paraId="13F97BAF">
            <w:pPr>
              <w:widowControl/>
              <w:jc w:val="left"/>
              <w:textAlignment w:val="center"/>
              <w:rPr>
                <w:rFonts w:hint="eastAsia" w:ascii="宋体" w:hAnsi="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1.研讨桌尺寸：</w:t>
            </w:r>
            <w:r>
              <w:rPr>
                <w:rFonts w:hint="eastAsia" w:ascii="宋体" w:hAnsi="宋体"/>
                <w:color w:val="auto"/>
                <w:kern w:val="0"/>
                <w:sz w:val="18"/>
                <w:szCs w:val="18"/>
                <w:highlight w:val="none"/>
              </w:rPr>
              <w:t>长边7655mm*斜边5505mm*短边3445mm，厚度25mm</w:t>
            </w:r>
            <w:r>
              <w:rPr>
                <w:rFonts w:hint="eastAsia" w:ascii="宋体" w:hAnsi="宋体"/>
                <w:color w:val="auto"/>
                <w:kern w:val="0"/>
                <w:sz w:val="18"/>
                <w:szCs w:val="18"/>
                <w:highlight w:val="none"/>
                <w:lang w:val="en-US" w:eastAsia="zh-CN"/>
              </w:rPr>
              <w:t>（允差±5cm），8张桌拼凑直径2000mm(允差±5cm)。</w:t>
            </w:r>
          </w:p>
          <w:p w14:paraId="16DA2C10">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lang w:val="en-US" w:eastAsia="zh-CN"/>
              </w:rPr>
              <w:t>2</w:t>
            </w:r>
            <w:r>
              <w:rPr>
                <w:rFonts w:hint="eastAsia" w:ascii="宋体" w:hAnsi="宋体"/>
                <w:color w:val="auto"/>
                <w:kern w:val="0"/>
                <w:sz w:val="18"/>
                <w:szCs w:val="18"/>
                <w:highlight w:val="none"/>
              </w:rPr>
              <w:t>.台面板和前挡板 采用优质刨花板（三聚氰胺板），甲醛释放量≤0.124mg/m3，静曲强度≤11.0Mpa，弹性模量≤1600Mpa，内胶合强度≤0.35Mpa，</w:t>
            </w:r>
          </w:p>
          <w:p w14:paraId="26D93349">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lang w:val="en-US" w:eastAsia="zh-CN"/>
              </w:rPr>
              <w:t>3</w:t>
            </w:r>
            <w:r>
              <w:rPr>
                <w:rFonts w:hint="eastAsia" w:ascii="宋体" w:hAnsi="宋体"/>
                <w:color w:val="auto"/>
                <w:kern w:val="0"/>
                <w:sz w:val="18"/>
                <w:szCs w:val="18"/>
                <w:highlight w:val="none"/>
              </w:rPr>
              <w:t>.台面托架 采用优质冷轧钢板经冲压折弯工艺一体而成，长280mm*宽30mm材料壁厚：（2.8mm）表面采用防锈静电喷涂处理,实用牢固，承受力大。</w:t>
            </w:r>
          </w:p>
          <w:p w14:paraId="0FB1CB8F">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lang w:val="en-US" w:eastAsia="zh-CN"/>
              </w:rPr>
              <w:t>4</w:t>
            </w:r>
            <w:r>
              <w:rPr>
                <w:rFonts w:hint="eastAsia" w:ascii="宋体" w:hAnsi="宋体"/>
                <w:color w:val="auto"/>
                <w:kern w:val="0"/>
                <w:sz w:val="18"/>
                <w:szCs w:val="18"/>
                <w:highlight w:val="none"/>
              </w:rPr>
              <w:t xml:space="preserve">.折叠机构 桌子两侧采用压铸一体成型铝接头，材料壁厚：（4.0mm），锁机丝固定在立柱上，整体造型外观饱满，精致大方。需安装舌芯+铝芯+弹簧折叠装置，中间配制六角管传动轴连接铝芯，外侧配置优质PP一体成型旋钮开关，任何一侧只需轻轻一扭便可折叠， </w:t>
            </w:r>
          </w:p>
          <w:p w14:paraId="0692021B">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lang w:val="en-US" w:eastAsia="zh-CN"/>
              </w:rPr>
              <w:t>5</w:t>
            </w:r>
            <w:r>
              <w:rPr>
                <w:rFonts w:hint="eastAsia" w:ascii="宋体" w:hAnsi="宋体"/>
                <w:color w:val="auto"/>
                <w:kern w:val="0"/>
                <w:sz w:val="18"/>
                <w:szCs w:val="18"/>
                <w:highlight w:val="none"/>
              </w:rPr>
              <w:t>.侧脚管 前脚管采用优质蛋型冷轧钢管，尺寸为（20mm*50mm*壁厚1.2mm）后脚管(20mm*50mm*壁厚1.2mm),前后脚跨度为530mm表面采用防锈静电喷涂处理及塑料配件而成，整体牢固耐用，美观大方，承受力大。</w:t>
            </w:r>
          </w:p>
          <w:p w14:paraId="5848B3FE">
            <w:pPr>
              <w:widowControl/>
              <w:jc w:val="left"/>
              <w:textAlignment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lang w:val="en-US" w:eastAsia="zh-CN"/>
              </w:rPr>
              <w:t>6</w:t>
            </w:r>
            <w:r>
              <w:rPr>
                <w:rFonts w:hint="eastAsia" w:ascii="宋体" w:hAnsi="宋体"/>
                <w:color w:val="auto"/>
                <w:kern w:val="0"/>
                <w:sz w:val="18"/>
                <w:szCs w:val="18"/>
                <w:highlight w:val="none"/>
              </w:rPr>
              <w:t>.横梁 采用优质φ50mm圆形冷轧钢管，壁厚1.2mm,表面再经防锈静电喷涂处理，实用牢固，承受力大</w:t>
            </w:r>
            <w:r>
              <w:rPr>
                <w:rFonts w:hint="eastAsia" w:ascii="宋体" w:hAnsi="宋体"/>
                <w:color w:val="auto"/>
                <w:kern w:val="0"/>
                <w:sz w:val="18"/>
                <w:szCs w:val="18"/>
                <w:highlight w:val="none"/>
                <w:lang w:eastAsia="zh-CN"/>
              </w:rPr>
              <w:t>。</w:t>
            </w:r>
          </w:p>
          <w:p w14:paraId="47DE65B8">
            <w:pPr>
              <w:widowControl/>
              <w:jc w:val="left"/>
              <w:textAlignment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7</w:t>
            </w:r>
            <w:r>
              <w:rPr>
                <w:rFonts w:hint="eastAsia" w:ascii="宋体" w:hAnsi="宋体"/>
                <w:color w:val="auto"/>
                <w:kern w:val="0"/>
                <w:sz w:val="18"/>
                <w:szCs w:val="18"/>
                <w:highlight w:val="none"/>
              </w:rPr>
              <w:t>.书网 采用优质φ14mm圆管,(厚度为0.8mm)经塑料件与圆管组合成型表面采用防锈静电喷涂处理。</w:t>
            </w:r>
          </w:p>
        </w:tc>
        <w:tc>
          <w:tcPr>
            <w:tcW w:w="1040" w:type="dxa"/>
            <w:tcBorders>
              <w:top w:val="single" w:color="000000" w:sz="4" w:space="0"/>
              <w:left w:val="nil"/>
              <w:bottom w:val="single" w:color="000000" w:sz="4" w:space="0"/>
              <w:right w:val="single" w:color="000000" w:sz="4" w:space="0"/>
            </w:tcBorders>
            <w:vAlign w:val="center"/>
          </w:tcPr>
          <w:p w14:paraId="7E15ABDD">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6</w:t>
            </w:r>
          </w:p>
        </w:tc>
        <w:tc>
          <w:tcPr>
            <w:tcW w:w="935" w:type="dxa"/>
            <w:tcBorders>
              <w:top w:val="single" w:color="000000" w:sz="4" w:space="0"/>
              <w:left w:val="nil"/>
              <w:bottom w:val="single" w:color="000000" w:sz="4" w:space="0"/>
              <w:right w:val="single" w:color="000000" w:sz="4" w:space="0"/>
            </w:tcBorders>
            <w:vAlign w:val="center"/>
          </w:tcPr>
          <w:p w14:paraId="5CC848C6">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14:paraId="7D1D514E">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5A2B5BD6">
            <w:pPr>
              <w:jc w:val="center"/>
              <w:rPr>
                <w:rFonts w:hint="eastAsia" w:ascii="宋体" w:hAnsi="宋体"/>
                <w:color w:val="auto"/>
                <w:sz w:val="18"/>
                <w:szCs w:val="18"/>
                <w:highlight w:val="green"/>
                <w:lang w:val="en-US" w:eastAsia="zh-CN"/>
              </w:rPr>
            </w:pPr>
          </w:p>
        </w:tc>
      </w:tr>
      <w:tr w14:paraId="3EBAC488">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5D83C821">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13</w:t>
            </w:r>
            <w:r>
              <w:rPr>
                <w:rFonts w:hint="eastAsia" w:ascii="宋体" w:hAnsi="宋体"/>
                <w:color w:val="auto"/>
                <w:kern w:val="0"/>
                <w:sz w:val="18"/>
                <w:szCs w:val="18"/>
                <w:highlight w:val="none"/>
                <w:lang w:val="en-US" w:eastAsia="zh-CN"/>
              </w:rPr>
              <w:t>6</w:t>
            </w:r>
          </w:p>
        </w:tc>
        <w:tc>
          <w:tcPr>
            <w:tcW w:w="817" w:type="dxa"/>
            <w:tcBorders>
              <w:top w:val="single" w:color="000000" w:sz="4" w:space="0"/>
              <w:left w:val="nil"/>
              <w:bottom w:val="single" w:color="000000" w:sz="4" w:space="0"/>
              <w:right w:val="single" w:color="000000" w:sz="4" w:space="0"/>
            </w:tcBorders>
            <w:vAlign w:val="center"/>
          </w:tcPr>
          <w:p w14:paraId="1E6745DF">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单人学生凳子</w:t>
            </w:r>
          </w:p>
        </w:tc>
        <w:tc>
          <w:tcPr>
            <w:tcW w:w="4112" w:type="dxa"/>
            <w:tcBorders>
              <w:top w:val="single" w:color="000000" w:sz="4" w:space="0"/>
              <w:left w:val="nil"/>
              <w:bottom w:val="single" w:color="000000" w:sz="4" w:space="0"/>
              <w:right w:val="single" w:color="000000" w:sz="4" w:space="0"/>
            </w:tcBorders>
            <w:vAlign w:val="center"/>
          </w:tcPr>
          <w:p w14:paraId="33EDAD55">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1.靠背 靠背采用PP+20%纤维，连接件装饰盖采用ABS材质，无扶手连接件采用PP+10%纤维，胶条采用PE材料，</w:t>
            </w:r>
          </w:p>
          <w:p w14:paraId="3BD0F144">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2.坐垫 坐垫定型海绵采用聚合物多元醇二苯基甲烷二异氰酸酯，座布采用长丝pp+纤维材质，坐垫底盘采用PP材质，</w:t>
            </w:r>
          </w:p>
          <w:p w14:paraId="2EA64E9B">
            <w:pPr>
              <w:widowControl/>
              <w:jc w:val="left"/>
              <w:textAlignment w:val="center"/>
              <w:rPr>
                <w:rFonts w:hint="default" w:ascii="宋体" w:hAnsi="宋体" w:eastAsia="宋体"/>
                <w:color w:val="auto"/>
                <w:sz w:val="18"/>
                <w:szCs w:val="18"/>
                <w:highlight w:val="none"/>
                <w:lang w:val="en-US" w:eastAsia="zh-CN"/>
              </w:rPr>
            </w:pPr>
            <w:r>
              <w:rPr>
                <w:rFonts w:hint="eastAsia" w:ascii="宋体" w:hAnsi="宋体"/>
                <w:color w:val="auto"/>
                <w:kern w:val="0"/>
                <w:sz w:val="18"/>
                <w:szCs w:val="18"/>
                <w:highlight w:val="none"/>
              </w:rPr>
              <w:t>3.铁框架 椅架采用33mmX20mm壁厚1.5mm优质冷轧钢管，椅架中间采用直径19圆管壁厚1.5mm做横梁连接,脚轮：采用φ50mm普通尼龙材质+PVC，静音设置，移动时不会发出噪音；脚塞采用pp+30%纤维材质</w:t>
            </w:r>
          </w:p>
        </w:tc>
        <w:tc>
          <w:tcPr>
            <w:tcW w:w="1040" w:type="dxa"/>
            <w:tcBorders>
              <w:top w:val="single" w:color="000000" w:sz="4" w:space="0"/>
              <w:left w:val="nil"/>
              <w:bottom w:val="single" w:color="000000" w:sz="4" w:space="0"/>
              <w:right w:val="single" w:color="000000" w:sz="4" w:space="0"/>
            </w:tcBorders>
            <w:vAlign w:val="center"/>
          </w:tcPr>
          <w:p w14:paraId="419ECEC5">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48</w:t>
            </w:r>
          </w:p>
        </w:tc>
        <w:tc>
          <w:tcPr>
            <w:tcW w:w="935" w:type="dxa"/>
            <w:tcBorders>
              <w:top w:val="single" w:color="000000" w:sz="4" w:space="0"/>
              <w:left w:val="nil"/>
              <w:bottom w:val="single" w:color="000000" w:sz="4" w:space="0"/>
              <w:right w:val="single" w:color="000000" w:sz="4" w:space="0"/>
            </w:tcBorders>
            <w:vAlign w:val="center"/>
          </w:tcPr>
          <w:p w14:paraId="5428AB4F">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张</w:t>
            </w:r>
          </w:p>
        </w:tc>
        <w:tc>
          <w:tcPr>
            <w:tcW w:w="1084" w:type="dxa"/>
            <w:tcBorders>
              <w:top w:val="single" w:color="000000" w:sz="4" w:space="0"/>
              <w:left w:val="nil"/>
              <w:bottom w:val="single" w:color="000000" w:sz="4" w:space="0"/>
              <w:right w:val="single" w:color="000000" w:sz="4" w:space="0"/>
            </w:tcBorders>
            <w:vAlign w:val="center"/>
          </w:tcPr>
          <w:p w14:paraId="1E324D45">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0B292CEF">
            <w:pPr>
              <w:jc w:val="center"/>
              <w:rPr>
                <w:rFonts w:hint="eastAsia" w:ascii="宋体" w:hAnsi="宋体"/>
                <w:color w:val="auto"/>
                <w:sz w:val="18"/>
                <w:szCs w:val="18"/>
                <w:highlight w:val="green"/>
                <w:lang w:val="en-US" w:eastAsia="zh-CN"/>
              </w:rPr>
            </w:pPr>
          </w:p>
        </w:tc>
      </w:tr>
      <w:tr w14:paraId="12238CB6">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6F5195B1">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13</w:t>
            </w:r>
            <w:r>
              <w:rPr>
                <w:rFonts w:hint="eastAsia" w:ascii="宋体" w:hAnsi="宋体"/>
                <w:color w:val="auto"/>
                <w:kern w:val="0"/>
                <w:sz w:val="18"/>
                <w:szCs w:val="18"/>
                <w:highlight w:val="none"/>
                <w:lang w:val="en-US" w:eastAsia="zh-CN"/>
              </w:rPr>
              <w:t>7</w:t>
            </w:r>
          </w:p>
        </w:tc>
        <w:tc>
          <w:tcPr>
            <w:tcW w:w="817" w:type="dxa"/>
            <w:tcBorders>
              <w:top w:val="single" w:color="000000" w:sz="4" w:space="0"/>
              <w:left w:val="nil"/>
              <w:bottom w:val="single" w:color="000000" w:sz="4" w:space="0"/>
              <w:right w:val="single" w:color="000000" w:sz="4" w:space="0"/>
            </w:tcBorders>
            <w:vAlign w:val="center"/>
          </w:tcPr>
          <w:p w14:paraId="74F3CD77">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门锁安装</w:t>
            </w:r>
          </w:p>
        </w:tc>
        <w:tc>
          <w:tcPr>
            <w:tcW w:w="4112" w:type="dxa"/>
            <w:tcBorders>
              <w:top w:val="single" w:color="000000" w:sz="4" w:space="0"/>
              <w:left w:val="nil"/>
              <w:bottom w:val="single" w:color="000000" w:sz="4" w:space="0"/>
              <w:right w:val="single" w:color="000000" w:sz="4" w:space="0"/>
            </w:tcBorders>
            <w:vAlign w:val="center"/>
          </w:tcPr>
          <w:p w14:paraId="785E26B0">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开锁方式：NFC、临时密码、密码、蓝牙、钥匙</w:t>
            </w:r>
          </w:p>
        </w:tc>
        <w:tc>
          <w:tcPr>
            <w:tcW w:w="1040" w:type="dxa"/>
            <w:tcBorders>
              <w:top w:val="single" w:color="000000" w:sz="4" w:space="0"/>
              <w:left w:val="nil"/>
              <w:bottom w:val="single" w:color="000000" w:sz="4" w:space="0"/>
              <w:right w:val="single" w:color="000000" w:sz="4" w:space="0"/>
            </w:tcBorders>
            <w:vAlign w:val="center"/>
          </w:tcPr>
          <w:p w14:paraId="25E2912F">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70A7007D">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个</w:t>
            </w:r>
          </w:p>
        </w:tc>
        <w:tc>
          <w:tcPr>
            <w:tcW w:w="1084" w:type="dxa"/>
            <w:tcBorders>
              <w:top w:val="single" w:color="000000" w:sz="4" w:space="0"/>
              <w:left w:val="nil"/>
              <w:bottom w:val="single" w:color="000000" w:sz="4" w:space="0"/>
              <w:right w:val="single" w:color="000000" w:sz="4" w:space="0"/>
            </w:tcBorders>
            <w:vAlign w:val="center"/>
          </w:tcPr>
          <w:p w14:paraId="3506FED8">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5EEB6BD6">
            <w:pPr>
              <w:jc w:val="center"/>
              <w:rPr>
                <w:rFonts w:hint="eastAsia" w:ascii="宋体" w:hAnsi="宋体"/>
                <w:color w:val="auto"/>
                <w:sz w:val="18"/>
                <w:szCs w:val="18"/>
                <w:highlight w:val="green"/>
                <w:lang w:val="en-US" w:eastAsia="zh-CN"/>
              </w:rPr>
            </w:pPr>
          </w:p>
        </w:tc>
      </w:tr>
      <w:tr w14:paraId="1AE1F86C">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52C94943">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13</w:t>
            </w:r>
            <w:r>
              <w:rPr>
                <w:rFonts w:hint="eastAsia" w:ascii="宋体" w:hAnsi="宋体"/>
                <w:color w:val="auto"/>
                <w:kern w:val="0"/>
                <w:sz w:val="18"/>
                <w:szCs w:val="18"/>
                <w:highlight w:val="none"/>
                <w:lang w:val="en-US" w:eastAsia="zh-CN"/>
              </w:rPr>
              <w:t>8</w:t>
            </w:r>
          </w:p>
        </w:tc>
        <w:tc>
          <w:tcPr>
            <w:tcW w:w="817" w:type="dxa"/>
            <w:tcBorders>
              <w:top w:val="single" w:color="000000" w:sz="4" w:space="0"/>
              <w:left w:val="nil"/>
              <w:bottom w:val="single" w:color="000000" w:sz="4" w:space="0"/>
              <w:right w:val="single" w:color="000000" w:sz="4" w:space="0"/>
            </w:tcBorders>
            <w:vAlign w:val="center"/>
          </w:tcPr>
          <w:p w14:paraId="38A88733">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隔音门</w:t>
            </w:r>
          </w:p>
        </w:tc>
        <w:tc>
          <w:tcPr>
            <w:tcW w:w="4112" w:type="dxa"/>
            <w:tcBorders>
              <w:top w:val="single" w:color="000000" w:sz="4" w:space="0"/>
              <w:left w:val="nil"/>
              <w:bottom w:val="single" w:color="000000" w:sz="4" w:space="0"/>
              <w:right w:val="single" w:color="000000" w:sz="4" w:space="0"/>
            </w:tcBorders>
            <w:vAlign w:val="center"/>
          </w:tcPr>
          <w:p w14:paraId="0459505C">
            <w:pPr>
              <w:widowControl/>
              <w:jc w:val="left"/>
              <w:textAlignment w:val="center"/>
              <w:rPr>
                <w:rFonts w:ascii="宋体" w:hAnsi="宋体"/>
                <w:color w:val="auto"/>
                <w:sz w:val="18"/>
                <w:szCs w:val="18"/>
                <w:highlight w:val="none"/>
              </w:rPr>
            </w:pPr>
            <w:r>
              <w:rPr>
                <w:sz w:val="18"/>
                <w:szCs w:val="18"/>
              </w:rPr>
              <w:t>采用</w:t>
            </w:r>
            <w:r>
              <w:rPr>
                <w:rFonts w:hint="eastAsia"/>
                <w:sz w:val="18"/>
                <w:szCs w:val="18"/>
              </w:rPr>
              <w:t>钢材</w:t>
            </w:r>
            <w:r>
              <w:rPr>
                <w:rFonts w:hint="eastAsia" w:ascii="宋体" w:hAnsi="宋体"/>
                <w:color w:val="auto"/>
                <w:sz w:val="18"/>
                <w:szCs w:val="18"/>
                <w:highlight w:val="none"/>
              </w:rPr>
              <w:t>制作</w:t>
            </w:r>
            <w:r>
              <w:rPr>
                <w:rFonts w:hint="eastAsia" w:ascii="宋体" w:hAnsi="宋体"/>
                <w:color w:val="auto"/>
                <w:sz w:val="18"/>
                <w:szCs w:val="18"/>
                <w:highlight w:val="none"/>
                <w:lang w:val="en-US" w:eastAsia="zh-CN"/>
              </w:rPr>
              <w:t xml:space="preserve"> </w:t>
            </w:r>
            <w:r>
              <w:rPr>
                <w:rFonts w:hint="eastAsia" w:ascii="宋体" w:hAnsi="宋体"/>
                <w:color w:val="auto"/>
                <w:kern w:val="0"/>
                <w:sz w:val="18"/>
                <w:szCs w:val="18"/>
                <w:highlight w:val="none"/>
              </w:rPr>
              <w:t>高</w:t>
            </w:r>
            <w:r>
              <w:rPr>
                <w:rFonts w:hint="eastAsia" w:ascii="宋体" w:hAnsi="宋体"/>
                <w:color w:val="auto"/>
                <w:kern w:val="0"/>
                <w:sz w:val="18"/>
                <w:szCs w:val="18"/>
                <w:highlight w:val="none"/>
                <w:lang w:val="en-US" w:eastAsia="zh-CN"/>
              </w:rPr>
              <w:t>1.97米，</w:t>
            </w:r>
            <w:r>
              <w:rPr>
                <w:rFonts w:hint="eastAsia" w:ascii="宋体" w:hAnsi="宋体"/>
                <w:color w:val="auto"/>
                <w:kern w:val="0"/>
                <w:sz w:val="18"/>
                <w:szCs w:val="18"/>
                <w:highlight w:val="none"/>
              </w:rPr>
              <w:t>宽</w:t>
            </w:r>
            <w:r>
              <w:rPr>
                <w:rFonts w:hint="eastAsia" w:ascii="宋体" w:hAnsi="宋体"/>
                <w:color w:val="auto"/>
                <w:kern w:val="0"/>
                <w:sz w:val="18"/>
                <w:szCs w:val="18"/>
                <w:highlight w:val="none"/>
                <w:lang w:val="en-US" w:eastAsia="zh-CN"/>
              </w:rPr>
              <w:t>0.86米</w:t>
            </w:r>
          </w:p>
        </w:tc>
        <w:tc>
          <w:tcPr>
            <w:tcW w:w="1040" w:type="dxa"/>
            <w:tcBorders>
              <w:top w:val="single" w:color="000000" w:sz="4" w:space="0"/>
              <w:left w:val="nil"/>
              <w:bottom w:val="single" w:color="000000" w:sz="4" w:space="0"/>
              <w:right w:val="single" w:color="000000" w:sz="4" w:space="0"/>
            </w:tcBorders>
            <w:vAlign w:val="center"/>
          </w:tcPr>
          <w:p w14:paraId="7C897121">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3373276B">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扇</w:t>
            </w:r>
          </w:p>
        </w:tc>
        <w:tc>
          <w:tcPr>
            <w:tcW w:w="1084" w:type="dxa"/>
            <w:tcBorders>
              <w:top w:val="single" w:color="000000" w:sz="4" w:space="0"/>
              <w:left w:val="nil"/>
              <w:bottom w:val="single" w:color="000000" w:sz="4" w:space="0"/>
              <w:right w:val="single" w:color="000000" w:sz="4" w:space="0"/>
            </w:tcBorders>
            <w:vAlign w:val="center"/>
          </w:tcPr>
          <w:p w14:paraId="2EACC6D5">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712B9287">
            <w:pPr>
              <w:jc w:val="center"/>
              <w:rPr>
                <w:rFonts w:hint="eastAsia" w:ascii="宋体" w:hAnsi="宋体"/>
                <w:color w:val="auto"/>
                <w:sz w:val="18"/>
                <w:szCs w:val="18"/>
                <w:highlight w:val="green"/>
                <w:lang w:val="en-US" w:eastAsia="zh-CN"/>
              </w:rPr>
            </w:pPr>
          </w:p>
        </w:tc>
      </w:tr>
      <w:tr w14:paraId="77E82139">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71D3B286">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39</w:t>
            </w:r>
          </w:p>
        </w:tc>
        <w:tc>
          <w:tcPr>
            <w:tcW w:w="817" w:type="dxa"/>
            <w:tcBorders>
              <w:top w:val="single" w:color="000000" w:sz="4" w:space="0"/>
              <w:left w:val="nil"/>
              <w:bottom w:val="single" w:color="000000" w:sz="4" w:space="0"/>
              <w:right w:val="single" w:color="000000" w:sz="4" w:space="0"/>
            </w:tcBorders>
            <w:vAlign w:val="center"/>
          </w:tcPr>
          <w:p w14:paraId="4CDDF4DA">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普通门</w:t>
            </w:r>
          </w:p>
        </w:tc>
        <w:tc>
          <w:tcPr>
            <w:tcW w:w="4112" w:type="dxa"/>
            <w:tcBorders>
              <w:top w:val="single" w:color="000000" w:sz="4" w:space="0"/>
              <w:left w:val="nil"/>
              <w:bottom w:val="single" w:color="000000" w:sz="4" w:space="0"/>
              <w:right w:val="single" w:color="000000" w:sz="4" w:space="0"/>
            </w:tcBorders>
            <w:vAlign w:val="center"/>
          </w:tcPr>
          <w:p w14:paraId="752AB614">
            <w:pPr>
              <w:widowControl/>
              <w:jc w:val="left"/>
              <w:textAlignment w:val="center"/>
              <w:rPr>
                <w:rFonts w:ascii="宋体" w:hAnsi="宋体"/>
                <w:color w:val="auto"/>
                <w:sz w:val="18"/>
                <w:szCs w:val="18"/>
                <w:highlight w:val="none"/>
              </w:rPr>
            </w:pPr>
            <w:r>
              <w:rPr>
                <w:sz w:val="18"/>
                <w:szCs w:val="18"/>
                <w:highlight w:val="none"/>
              </w:rPr>
              <w:t>采用</w:t>
            </w:r>
            <w:r>
              <w:rPr>
                <w:rFonts w:hint="eastAsia"/>
                <w:sz w:val="18"/>
                <w:szCs w:val="18"/>
                <w:highlight w:val="none"/>
              </w:rPr>
              <w:t>钢材</w:t>
            </w:r>
            <w:r>
              <w:rPr>
                <w:rFonts w:hint="eastAsia" w:ascii="宋体" w:hAnsi="宋体"/>
                <w:color w:val="auto"/>
                <w:sz w:val="18"/>
                <w:szCs w:val="18"/>
                <w:highlight w:val="none"/>
              </w:rPr>
              <w:t>制作</w:t>
            </w:r>
            <w:r>
              <w:rPr>
                <w:rFonts w:hint="eastAsia" w:ascii="宋体" w:hAnsi="宋体"/>
                <w:color w:val="auto"/>
                <w:sz w:val="18"/>
                <w:szCs w:val="18"/>
                <w:highlight w:val="none"/>
                <w:lang w:val="en-US" w:eastAsia="zh-CN"/>
              </w:rPr>
              <w:t xml:space="preserve"> </w:t>
            </w:r>
            <w:r>
              <w:rPr>
                <w:rFonts w:hint="eastAsia" w:ascii="宋体" w:hAnsi="宋体"/>
                <w:color w:val="auto"/>
                <w:kern w:val="0"/>
                <w:sz w:val="18"/>
                <w:szCs w:val="18"/>
                <w:highlight w:val="none"/>
              </w:rPr>
              <w:t>高</w:t>
            </w:r>
            <w:r>
              <w:rPr>
                <w:rFonts w:hint="eastAsia" w:ascii="宋体" w:hAnsi="宋体"/>
                <w:color w:val="auto"/>
                <w:kern w:val="0"/>
                <w:sz w:val="18"/>
                <w:szCs w:val="18"/>
                <w:highlight w:val="none"/>
                <w:lang w:val="en-US" w:eastAsia="zh-CN"/>
              </w:rPr>
              <w:t>1.97米，</w:t>
            </w:r>
            <w:r>
              <w:rPr>
                <w:rFonts w:hint="eastAsia" w:ascii="宋体" w:hAnsi="宋体"/>
                <w:color w:val="auto"/>
                <w:kern w:val="0"/>
                <w:sz w:val="18"/>
                <w:szCs w:val="18"/>
                <w:highlight w:val="none"/>
              </w:rPr>
              <w:t>宽</w:t>
            </w:r>
            <w:r>
              <w:rPr>
                <w:rFonts w:hint="eastAsia" w:ascii="宋体" w:hAnsi="宋体"/>
                <w:color w:val="auto"/>
                <w:kern w:val="0"/>
                <w:sz w:val="18"/>
                <w:szCs w:val="18"/>
                <w:highlight w:val="none"/>
                <w:lang w:val="en-US" w:eastAsia="zh-CN"/>
              </w:rPr>
              <w:t>0.86</w:t>
            </w:r>
            <w:r>
              <w:rPr>
                <w:rFonts w:hint="eastAsia"/>
                <w:highlight w:val="none"/>
                <w:lang w:val="en-US" w:eastAsia="zh-CN"/>
              </w:rPr>
              <w:t>米。</w:t>
            </w:r>
          </w:p>
        </w:tc>
        <w:tc>
          <w:tcPr>
            <w:tcW w:w="1040" w:type="dxa"/>
            <w:tcBorders>
              <w:top w:val="single" w:color="000000" w:sz="4" w:space="0"/>
              <w:left w:val="nil"/>
              <w:bottom w:val="single" w:color="000000" w:sz="4" w:space="0"/>
              <w:right w:val="single" w:color="000000" w:sz="4" w:space="0"/>
            </w:tcBorders>
            <w:vAlign w:val="center"/>
          </w:tcPr>
          <w:p w14:paraId="4B9B5CE2">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2</w:t>
            </w:r>
          </w:p>
        </w:tc>
        <w:tc>
          <w:tcPr>
            <w:tcW w:w="935" w:type="dxa"/>
            <w:tcBorders>
              <w:top w:val="single" w:color="000000" w:sz="4" w:space="0"/>
              <w:left w:val="nil"/>
              <w:bottom w:val="single" w:color="000000" w:sz="4" w:space="0"/>
              <w:right w:val="single" w:color="000000" w:sz="4" w:space="0"/>
            </w:tcBorders>
            <w:vAlign w:val="center"/>
          </w:tcPr>
          <w:p w14:paraId="6ABD8D99">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扇</w:t>
            </w:r>
          </w:p>
        </w:tc>
        <w:tc>
          <w:tcPr>
            <w:tcW w:w="1084" w:type="dxa"/>
            <w:tcBorders>
              <w:top w:val="single" w:color="000000" w:sz="4" w:space="0"/>
              <w:left w:val="nil"/>
              <w:bottom w:val="single" w:color="000000" w:sz="4" w:space="0"/>
              <w:right w:val="single" w:color="000000" w:sz="4" w:space="0"/>
            </w:tcBorders>
            <w:vAlign w:val="center"/>
          </w:tcPr>
          <w:p w14:paraId="37F47C67">
            <w:pPr>
              <w:jc w:val="center"/>
              <w:rPr>
                <w:rFonts w:hint="default" w:ascii="宋体" w:hAnsi="宋体" w:eastAsia="宋体"/>
                <w:color w:val="auto"/>
                <w:sz w:val="18"/>
                <w:szCs w:val="18"/>
                <w:highlight w:val="yellow"/>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3078195A">
            <w:pPr>
              <w:jc w:val="center"/>
              <w:rPr>
                <w:rFonts w:hint="eastAsia" w:ascii="宋体" w:hAnsi="宋体"/>
                <w:color w:val="auto"/>
                <w:sz w:val="18"/>
                <w:szCs w:val="18"/>
                <w:highlight w:val="yellow"/>
                <w:lang w:val="en-US" w:eastAsia="zh-CN"/>
              </w:rPr>
            </w:pPr>
          </w:p>
        </w:tc>
      </w:tr>
      <w:tr w14:paraId="432B6AE1">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4A8F9955">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40</w:t>
            </w:r>
          </w:p>
        </w:tc>
        <w:tc>
          <w:tcPr>
            <w:tcW w:w="817" w:type="dxa"/>
            <w:tcBorders>
              <w:top w:val="single" w:color="000000" w:sz="4" w:space="0"/>
              <w:left w:val="nil"/>
              <w:bottom w:val="single" w:color="000000" w:sz="4" w:space="0"/>
              <w:right w:val="single" w:color="000000" w:sz="4" w:space="0"/>
            </w:tcBorders>
            <w:vAlign w:val="center"/>
          </w:tcPr>
          <w:p w14:paraId="6D0ED554">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600×600铝扣板</w:t>
            </w:r>
          </w:p>
        </w:tc>
        <w:tc>
          <w:tcPr>
            <w:tcW w:w="4112" w:type="dxa"/>
            <w:tcBorders>
              <w:top w:val="single" w:color="000000" w:sz="4" w:space="0"/>
              <w:left w:val="nil"/>
              <w:bottom w:val="single" w:color="000000" w:sz="4" w:space="0"/>
              <w:right w:val="single" w:color="000000" w:sz="4" w:space="0"/>
            </w:tcBorders>
            <w:vAlign w:val="center"/>
          </w:tcPr>
          <w:p w14:paraId="614CE779">
            <w:pPr>
              <w:rPr>
                <w:rFonts w:ascii="宋体" w:hAnsi="宋体"/>
                <w:color w:val="auto"/>
                <w:sz w:val="18"/>
                <w:szCs w:val="18"/>
                <w:highlight w:val="none"/>
              </w:rPr>
            </w:pPr>
            <w:r>
              <w:rPr>
                <w:rFonts w:hint="eastAsia" w:ascii="宋体" w:hAnsi="宋体"/>
                <w:color w:val="auto"/>
                <w:kern w:val="0"/>
                <w:sz w:val="18"/>
                <w:szCs w:val="18"/>
                <w:highlight w:val="none"/>
              </w:rPr>
              <w:t>1、宽度(mm): 600、长度(mm): 600、厚度: 0.9mm2、表面工艺: 抗油污滚涂板、材质: 铝合金、阻燃棉布有良好的防火性能，耐腐蚀，易清洁，符合绿色环保性能。</w:t>
            </w:r>
          </w:p>
        </w:tc>
        <w:tc>
          <w:tcPr>
            <w:tcW w:w="1040" w:type="dxa"/>
            <w:tcBorders>
              <w:top w:val="single" w:color="000000" w:sz="4" w:space="0"/>
              <w:left w:val="nil"/>
              <w:bottom w:val="single" w:color="000000" w:sz="4" w:space="0"/>
              <w:right w:val="single" w:color="000000" w:sz="4" w:space="0"/>
            </w:tcBorders>
            <w:vAlign w:val="center"/>
          </w:tcPr>
          <w:p w14:paraId="069B35AB">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108.00</w:t>
            </w:r>
          </w:p>
        </w:tc>
        <w:tc>
          <w:tcPr>
            <w:tcW w:w="935" w:type="dxa"/>
            <w:tcBorders>
              <w:top w:val="single" w:color="000000" w:sz="4" w:space="0"/>
              <w:left w:val="nil"/>
              <w:bottom w:val="single" w:color="000000" w:sz="4" w:space="0"/>
              <w:right w:val="single" w:color="000000" w:sz="4" w:space="0"/>
            </w:tcBorders>
            <w:vAlign w:val="center"/>
          </w:tcPr>
          <w:p w14:paraId="16E46D66">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m2</w:t>
            </w:r>
          </w:p>
        </w:tc>
        <w:tc>
          <w:tcPr>
            <w:tcW w:w="1084" w:type="dxa"/>
            <w:tcBorders>
              <w:top w:val="single" w:color="000000" w:sz="4" w:space="0"/>
              <w:left w:val="nil"/>
              <w:bottom w:val="single" w:color="000000" w:sz="4" w:space="0"/>
              <w:right w:val="single" w:color="000000" w:sz="4" w:space="0"/>
            </w:tcBorders>
            <w:vAlign w:val="center"/>
          </w:tcPr>
          <w:p w14:paraId="26C8B3BF">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67336CBA">
            <w:pPr>
              <w:jc w:val="center"/>
              <w:rPr>
                <w:rFonts w:hint="eastAsia" w:ascii="宋体" w:hAnsi="宋体"/>
                <w:color w:val="auto"/>
                <w:sz w:val="18"/>
                <w:szCs w:val="18"/>
                <w:highlight w:val="green"/>
                <w:lang w:val="en-US" w:eastAsia="zh-CN"/>
              </w:rPr>
            </w:pPr>
          </w:p>
        </w:tc>
      </w:tr>
      <w:tr w14:paraId="39715BA8">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01F17C2C">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14</w:t>
            </w:r>
            <w:r>
              <w:rPr>
                <w:rFonts w:hint="eastAsia" w:ascii="宋体" w:hAnsi="宋体"/>
                <w:color w:val="auto"/>
                <w:kern w:val="0"/>
                <w:sz w:val="18"/>
                <w:szCs w:val="18"/>
                <w:highlight w:val="none"/>
                <w:lang w:val="en-US" w:eastAsia="zh-CN"/>
              </w:rPr>
              <w:t>1</w:t>
            </w:r>
          </w:p>
        </w:tc>
        <w:tc>
          <w:tcPr>
            <w:tcW w:w="817" w:type="dxa"/>
            <w:tcBorders>
              <w:top w:val="single" w:color="000000" w:sz="4" w:space="0"/>
              <w:left w:val="nil"/>
              <w:bottom w:val="single" w:color="000000" w:sz="4" w:space="0"/>
              <w:right w:val="single" w:color="000000" w:sz="4" w:space="0"/>
            </w:tcBorders>
            <w:vAlign w:val="center"/>
          </w:tcPr>
          <w:p w14:paraId="524268C3">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地板胶</w:t>
            </w:r>
          </w:p>
        </w:tc>
        <w:tc>
          <w:tcPr>
            <w:tcW w:w="4112" w:type="dxa"/>
            <w:tcBorders>
              <w:top w:val="single" w:color="000000" w:sz="4" w:space="0"/>
              <w:left w:val="nil"/>
              <w:bottom w:val="single" w:color="000000" w:sz="4" w:space="0"/>
              <w:right w:val="single" w:color="000000" w:sz="4" w:space="0"/>
            </w:tcBorders>
            <w:vAlign w:val="center"/>
          </w:tcPr>
          <w:p w14:paraId="6532BFB1">
            <w:pPr>
              <w:widowControl/>
              <w:jc w:val="left"/>
              <w:textAlignment w:val="center"/>
              <w:rPr>
                <w:rFonts w:ascii="宋体" w:hAnsi="宋体"/>
                <w:color w:val="auto"/>
                <w:sz w:val="18"/>
                <w:szCs w:val="18"/>
                <w:highlight w:val="none"/>
              </w:rPr>
            </w:pPr>
            <w:r>
              <w:rPr>
                <w:rFonts w:hint="eastAsia"/>
                <w:sz w:val="18"/>
                <w:szCs w:val="18"/>
              </w:rPr>
              <w:t>地面平整，易清洁、耐磨、防滑和防静电的PVC 塑胶地板，厚度在 2-3mm 左右；</w:t>
            </w:r>
          </w:p>
        </w:tc>
        <w:tc>
          <w:tcPr>
            <w:tcW w:w="1040" w:type="dxa"/>
            <w:tcBorders>
              <w:top w:val="single" w:color="000000" w:sz="4" w:space="0"/>
              <w:left w:val="nil"/>
              <w:bottom w:val="single" w:color="000000" w:sz="4" w:space="0"/>
              <w:right w:val="single" w:color="000000" w:sz="4" w:space="0"/>
            </w:tcBorders>
            <w:vAlign w:val="center"/>
          </w:tcPr>
          <w:p w14:paraId="6F98E008">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108.00</w:t>
            </w:r>
          </w:p>
        </w:tc>
        <w:tc>
          <w:tcPr>
            <w:tcW w:w="935" w:type="dxa"/>
            <w:tcBorders>
              <w:top w:val="single" w:color="000000" w:sz="4" w:space="0"/>
              <w:left w:val="nil"/>
              <w:bottom w:val="single" w:color="000000" w:sz="4" w:space="0"/>
              <w:right w:val="single" w:color="000000" w:sz="4" w:space="0"/>
            </w:tcBorders>
            <w:vAlign w:val="center"/>
          </w:tcPr>
          <w:p w14:paraId="75B52128">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m2</w:t>
            </w:r>
          </w:p>
        </w:tc>
        <w:tc>
          <w:tcPr>
            <w:tcW w:w="1084" w:type="dxa"/>
            <w:tcBorders>
              <w:top w:val="single" w:color="000000" w:sz="4" w:space="0"/>
              <w:left w:val="nil"/>
              <w:bottom w:val="single" w:color="000000" w:sz="4" w:space="0"/>
              <w:right w:val="single" w:color="000000" w:sz="4" w:space="0"/>
            </w:tcBorders>
            <w:vAlign w:val="center"/>
          </w:tcPr>
          <w:p w14:paraId="20818A15">
            <w:pPr>
              <w:jc w:val="center"/>
              <w:rPr>
                <w:rFonts w:hint="default" w:ascii="宋体" w:hAnsi="宋体" w:eastAsia="宋体"/>
                <w:color w:val="auto"/>
                <w:sz w:val="18"/>
                <w:szCs w:val="18"/>
                <w:highlight w:val="green"/>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0A0EF341">
            <w:pPr>
              <w:jc w:val="center"/>
              <w:rPr>
                <w:rFonts w:hint="eastAsia" w:ascii="宋体" w:hAnsi="宋体"/>
                <w:color w:val="auto"/>
                <w:sz w:val="18"/>
                <w:szCs w:val="18"/>
                <w:highlight w:val="green"/>
                <w:lang w:val="en-US" w:eastAsia="zh-CN"/>
              </w:rPr>
            </w:pPr>
          </w:p>
        </w:tc>
      </w:tr>
      <w:tr w14:paraId="465AAE1C">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74E04FE7">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14</w:t>
            </w:r>
            <w:r>
              <w:rPr>
                <w:rFonts w:hint="eastAsia" w:ascii="宋体" w:hAnsi="宋体"/>
                <w:color w:val="auto"/>
                <w:kern w:val="0"/>
                <w:sz w:val="18"/>
                <w:szCs w:val="18"/>
                <w:highlight w:val="none"/>
                <w:lang w:val="en-US" w:eastAsia="zh-CN"/>
              </w:rPr>
              <w:t>2</w:t>
            </w:r>
          </w:p>
        </w:tc>
        <w:tc>
          <w:tcPr>
            <w:tcW w:w="817" w:type="dxa"/>
            <w:tcBorders>
              <w:top w:val="single" w:color="000000" w:sz="4" w:space="0"/>
              <w:left w:val="nil"/>
              <w:bottom w:val="single" w:color="000000" w:sz="4" w:space="0"/>
              <w:right w:val="single" w:color="000000" w:sz="4" w:space="0"/>
            </w:tcBorders>
            <w:vAlign w:val="center"/>
          </w:tcPr>
          <w:p w14:paraId="0067FDB4">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墙面吸音板聚酯纤维板</w:t>
            </w:r>
          </w:p>
        </w:tc>
        <w:tc>
          <w:tcPr>
            <w:tcW w:w="4112" w:type="dxa"/>
            <w:tcBorders>
              <w:top w:val="single" w:color="000000" w:sz="4" w:space="0"/>
              <w:left w:val="nil"/>
              <w:bottom w:val="single" w:color="000000" w:sz="4" w:space="0"/>
              <w:right w:val="single" w:color="000000" w:sz="4" w:space="0"/>
            </w:tcBorders>
            <w:vAlign w:val="center"/>
          </w:tcPr>
          <w:p w14:paraId="317C1D79">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四周墙壁采用聚酯纤维吸音板1.5cm厚度吸音板</w:t>
            </w:r>
            <w:r>
              <w:rPr>
                <w:rFonts w:hint="eastAsia" w:ascii="宋体" w:hAnsi="宋体"/>
                <w:color w:val="auto"/>
                <w:kern w:val="0"/>
                <w:sz w:val="18"/>
                <w:szCs w:val="18"/>
                <w:highlight w:val="none"/>
                <w:lang w:val="en-US" w:eastAsia="zh-CN"/>
              </w:rPr>
              <w:t xml:space="preserve"> </w:t>
            </w:r>
            <w:r>
              <w:rPr>
                <w:sz w:val="18"/>
                <w:szCs w:val="18"/>
              </w:rPr>
              <w:t>墙面采用聚酯纤维吸音板无气味，减少室内回音，自然材料质感，具有出色的阻燃 防火性能</w:t>
            </w:r>
          </w:p>
        </w:tc>
        <w:tc>
          <w:tcPr>
            <w:tcW w:w="1040" w:type="dxa"/>
            <w:tcBorders>
              <w:top w:val="single" w:color="000000" w:sz="4" w:space="0"/>
              <w:left w:val="nil"/>
              <w:bottom w:val="single" w:color="000000" w:sz="4" w:space="0"/>
              <w:right w:val="single" w:color="000000" w:sz="4" w:space="0"/>
            </w:tcBorders>
            <w:vAlign w:val="center"/>
          </w:tcPr>
          <w:p w14:paraId="58C5032E">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147.00</w:t>
            </w:r>
          </w:p>
        </w:tc>
        <w:tc>
          <w:tcPr>
            <w:tcW w:w="935" w:type="dxa"/>
            <w:tcBorders>
              <w:top w:val="single" w:color="000000" w:sz="4" w:space="0"/>
              <w:left w:val="nil"/>
              <w:bottom w:val="single" w:color="000000" w:sz="4" w:space="0"/>
              <w:right w:val="single" w:color="000000" w:sz="4" w:space="0"/>
            </w:tcBorders>
            <w:vAlign w:val="center"/>
          </w:tcPr>
          <w:p w14:paraId="5D72E563">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m2</w:t>
            </w:r>
          </w:p>
        </w:tc>
        <w:tc>
          <w:tcPr>
            <w:tcW w:w="1084" w:type="dxa"/>
            <w:tcBorders>
              <w:top w:val="single" w:color="000000" w:sz="4" w:space="0"/>
              <w:left w:val="nil"/>
              <w:bottom w:val="single" w:color="000000" w:sz="4" w:space="0"/>
              <w:right w:val="single" w:color="000000" w:sz="4" w:space="0"/>
            </w:tcBorders>
            <w:vAlign w:val="center"/>
          </w:tcPr>
          <w:p w14:paraId="6AACDBB8">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7E7BDF9B">
            <w:pPr>
              <w:jc w:val="center"/>
              <w:rPr>
                <w:rFonts w:hint="eastAsia" w:ascii="宋体" w:hAnsi="宋体"/>
                <w:color w:val="auto"/>
                <w:sz w:val="18"/>
                <w:szCs w:val="18"/>
                <w:highlight w:val="green"/>
                <w:lang w:val="en-US" w:eastAsia="zh-CN"/>
              </w:rPr>
            </w:pPr>
          </w:p>
        </w:tc>
      </w:tr>
      <w:tr w14:paraId="53B2D986">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4D3B9643">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14</w:t>
            </w:r>
            <w:r>
              <w:rPr>
                <w:rFonts w:hint="eastAsia" w:ascii="宋体" w:hAnsi="宋体"/>
                <w:color w:val="auto"/>
                <w:kern w:val="0"/>
                <w:sz w:val="18"/>
                <w:szCs w:val="18"/>
                <w:highlight w:val="none"/>
                <w:lang w:val="en-US" w:eastAsia="zh-CN"/>
              </w:rPr>
              <w:t>3</w:t>
            </w:r>
          </w:p>
        </w:tc>
        <w:tc>
          <w:tcPr>
            <w:tcW w:w="817" w:type="dxa"/>
            <w:tcBorders>
              <w:top w:val="single" w:color="000000" w:sz="4" w:space="0"/>
              <w:left w:val="nil"/>
              <w:bottom w:val="single" w:color="000000" w:sz="4" w:space="0"/>
              <w:right w:val="single" w:color="000000" w:sz="4" w:space="0"/>
            </w:tcBorders>
            <w:vAlign w:val="center"/>
          </w:tcPr>
          <w:p w14:paraId="08AFA95F">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墙面9厘夹板基础封平</w:t>
            </w:r>
          </w:p>
        </w:tc>
        <w:tc>
          <w:tcPr>
            <w:tcW w:w="4112" w:type="dxa"/>
            <w:tcBorders>
              <w:top w:val="single" w:color="000000" w:sz="4" w:space="0"/>
              <w:left w:val="nil"/>
              <w:bottom w:val="single" w:color="000000" w:sz="4" w:space="0"/>
              <w:right w:val="single" w:color="000000" w:sz="4" w:space="0"/>
            </w:tcBorders>
            <w:vAlign w:val="center"/>
          </w:tcPr>
          <w:p w14:paraId="41B3954A">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墙面基层使用轻钢龙骨制作，两根龙骨间距≤40cm，外层全铺设9厘夹板基础封平</w:t>
            </w:r>
          </w:p>
        </w:tc>
        <w:tc>
          <w:tcPr>
            <w:tcW w:w="1040" w:type="dxa"/>
            <w:tcBorders>
              <w:top w:val="single" w:color="000000" w:sz="4" w:space="0"/>
              <w:left w:val="nil"/>
              <w:bottom w:val="single" w:color="000000" w:sz="4" w:space="0"/>
              <w:right w:val="single" w:color="000000" w:sz="4" w:space="0"/>
            </w:tcBorders>
            <w:vAlign w:val="center"/>
          </w:tcPr>
          <w:p w14:paraId="3DB7AC86">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147.00</w:t>
            </w:r>
          </w:p>
        </w:tc>
        <w:tc>
          <w:tcPr>
            <w:tcW w:w="935" w:type="dxa"/>
            <w:tcBorders>
              <w:top w:val="single" w:color="000000" w:sz="4" w:space="0"/>
              <w:left w:val="nil"/>
              <w:bottom w:val="single" w:color="000000" w:sz="4" w:space="0"/>
              <w:right w:val="single" w:color="000000" w:sz="4" w:space="0"/>
            </w:tcBorders>
            <w:vAlign w:val="center"/>
          </w:tcPr>
          <w:p w14:paraId="092C6A82">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m2</w:t>
            </w:r>
          </w:p>
        </w:tc>
        <w:tc>
          <w:tcPr>
            <w:tcW w:w="1084" w:type="dxa"/>
            <w:tcBorders>
              <w:top w:val="single" w:color="000000" w:sz="4" w:space="0"/>
              <w:left w:val="nil"/>
              <w:bottom w:val="single" w:color="000000" w:sz="4" w:space="0"/>
              <w:right w:val="single" w:color="000000" w:sz="4" w:space="0"/>
            </w:tcBorders>
            <w:vAlign w:val="center"/>
          </w:tcPr>
          <w:p w14:paraId="10AF5F7C">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053D052D">
            <w:pPr>
              <w:jc w:val="center"/>
              <w:rPr>
                <w:rFonts w:hint="eastAsia" w:ascii="宋体" w:hAnsi="宋体"/>
                <w:color w:val="auto"/>
                <w:sz w:val="18"/>
                <w:szCs w:val="18"/>
                <w:highlight w:val="green"/>
                <w:lang w:val="en-US" w:eastAsia="zh-CN"/>
              </w:rPr>
            </w:pPr>
          </w:p>
        </w:tc>
      </w:tr>
      <w:tr w14:paraId="2DE8AAC4">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25F2D164">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14</w:t>
            </w:r>
            <w:r>
              <w:rPr>
                <w:rFonts w:hint="eastAsia" w:ascii="宋体" w:hAnsi="宋体"/>
                <w:color w:val="auto"/>
                <w:kern w:val="0"/>
                <w:sz w:val="18"/>
                <w:szCs w:val="18"/>
                <w:highlight w:val="none"/>
                <w:lang w:val="en-US" w:eastAsia="zh-CN"/>
              </w:rPr>
              <w:t>4</w:t>
            </w:r>
          </w:p>
        </w:tc>
        <w:tc>
          <w:tcPr>
            <w:tcW w:w="817" w:type="dxa"/>
            <w:tcBorders>
              <w:top w:val="single" w:color="000000" w:sz="4" w:space="0"/>
              <w:left w:val="nil"/>
              <w:bottom w:val="single" w:color="000000" w:sz="4" w:space="0"/>
              <w:right w:val="single" w:color="000000" w:sz="4" w:space="0"/>
            </w:tcBorders>
            <w:vAlign w:val="center"/>
          </w:tcPr>
          <w:p w14:paraId="79FDD1E1">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吸音棉</w:t>
            </w:r>
          </w:p>
        </w:tc>
        <w:tc>
          <w:tcPr>
            <w:tcW w:w="4112" w:type="dxa"/>
            <w:tcBorders>
              <w:top w:val="single" w:color="000000" w:sz="4" w:space="0"/>
              <w:left w:val="nil"/>
              <w:bottom w:val="single" w:color="000000" w:sz="4" w:space="0"/>
              <w:right w:val="single" w:color="000000" w:sz="4" w:space="0"/>
            </w:tcBorders>
            <w:vAlign w:val="center"/>
          </w:tcPr>
          <w:p w14:paraId="61556C68">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绝燃</w:t>
            </w:r>
            <w:r>
              <w:rPr>
                <w:rFonts w:hint="eastAsia" w:ascii="宋体" w:hAnsi="宋体"/>
                <w:color w:val="auto"/>
                <w:kern w:val="0"/>
                <w:sz w:val="18"/>
                <w:szCs w:val="18"/>
                <w:highlight w:val="none"/>
                <w:lang w:eastAsia="zh-CN"/>
              </w:rPr>
              <w:t>、</w:t>
            </w:r>
            <w:r>
              <w:rPr>
                <w:rFonts w:hint="eastAsia" w:ascii="宋体" w:hAnsi="宋体"/>
                <w:color w:val="auto"/>
                <w:kern w:val="0"/>
                <w:sz w:val="18"/>
                <w:szCs w:val="18"/>
                <w:highlight w:val="none"/>
                <w:lang w:val="en-US" w:eastAsia="zh-CN"/>
              </w:rPr>
              <w:t>厚度</w:t>
            </w:r>
            <w:r>
              <w:rPr>
                <w:rFonts w:hint="eastAsia" w:ascii="宋体" w:hAnsi="宋体"/>
                <w:color w:val="auto"/>
                <w:kern w:val="0"/>
                <w:sz w:val="18"/>
                <w:szCs w:val="18"/>
                <w:highlight w:val="none"/>
              </w:rPr>
              <w:t>5cm</w:t>
            </w:r>
            <w:r>
              <w:rPr>
                <w:rFonts w:hint="eastAsia" w:ascii="宋体" w:hAnsi="宋体"/>
                <w:color w:val="auto"/>
                <w:kern w:val="0"/>
                <w:sz w:val="18"/>
                <w:szCs w:val="18"/>
                <w:highlight w:val="none"/>
                <w:lang w:eastAsia="zh-CN"/>
              </w:rPr>
              <w:t>、</w:t>
            </w:r>
            <w:r>
              <w:rPr>
                <w:rFonts w:hint="eastAsia" w:ascii="宋体" w:hAnsi="宋体"/>
                <w:color w:val="auto"/>
                <w:kern w:val="0"/>
                <w:sz w:val="18"/>
                <w:szCs w:val="18"/>
                <w:highlight w:val="none"/>
              </w:rPr>
              <w:t>双层复合+背胶</w:t>
            </w:r>
          </w:p>
        </w:tc>
        <w:tc>
          <w:tcPr>
            <w:tcW w:w="1040" w:type="dxa"/>
            <w:tcBorders>
              <w:top w:val="single" w:color="000000" w:sz="4" w:space="0"/>
              <w:left w:val="nil"/>
              <w:bottom w:val="single" w:color="000000" w:sz="4" w:space="0"/>
              <w:right w:val="single" w:color="000000" w:sz="4" w:space="0"/>
            </w:tcBorders>
            <w:vAlign w:val="center"/>
          </w:tcPr>
          <w:p w14:paraId="57808FEF">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50.00</w:t>
            </w:r>
          </w:p>
        </w:tc>
        <w:tc>
          <w:tcPr>
            <w:tcW w:w="935" w:type="dxa"/>
            <w:tcBorders>
              <w:top w:val="single" w:color="000000" w:sz="4" w:space="0"/>
              <w:left w:val="nil"/>
              <w:bottom w:val="single" w:color="000000" w:sz="4" w:space="0"/>
              <w:right w:val="single" w:color="000000" w:sz="4" w:space="0"/>
            </w:tcBorders>
            <w:vAlign w:val="center"/>
          </w:tcPr>
          <w:p w14:paraId="7709CE28">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m2</w:t>
            </w:r>
          </w:p>
        </w:tc>
        <w:tc>
          <w:tcPr>
            <w:tcW w:w="1084" w:type="dxa"/>
            <w:tcBorders>
              <w:top w:val="single" w:color="000000" w:sz="4" w:space="0"/>
              <w:left w:val="nil"/>
              <w:bottom w:val="single" w:color="000000" w:sz="4" w:space="0"/>
              <w:right w:val="single" w:color="000000" w:sz="4" w:space="0"/>
            </w:tcBorders>
            <w:vAlign w:val="center"/>
          </w:tcPr>
          <w:p w14:paraId="5FB25D71">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7DE76C98">
            <w:pPr>
              <w:jc w:val="center"/>
              <w:rPr>
                <w:rFonts w:hint="eastAsia" w:ascii="宋体" w:hAnsi="宋体"/>
                <w:color w:val="auto"/>
                <w:sz w:val="18"/>
                <w:szCs w:val="18"/>
                <w:highlight w:val="green"/>
                <w:lang w:val="en-US" w:eastAsia="zh-CN"/>
              </w:rPr>
            </w:pPr>
          </w:p>
        </w:tc>
      </w:tr>
      <w:tr w14:paraId="7EEF1649">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725EEF12">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14</w:t>
            </w:r>
            <w:r>
              <w:rPr>
                <w:rFonts w:hint="eastAsia" w:ascii="宋体" w:hAnsi="宋体"/>
                <w:color w:val="auto"/>
                <w:kern w:val="0"/>
                <w:sz w:val="18"/>
                <w:szCs w:val="18"/>
                <w:highlight w:val="none"/>
                <w:lang w:val="en-US" w:eastAsia="zh-CN"/>
              </w:rPr>
              <w:t>5</w:t>
            </w:r>
          </w:p>
        </w:tc>
        <w:tc>
          <w:tcPr>
            <w:tcW w:w="817" w:type="dxa"/>
            <w:tcBorders>
              <w:top w:val="single" w:color="000000" w:sz="4" w:space="0"/>
              <w:left w:val="nil"/>
              <w:bottom w:val="single" w:color="000000" w:sz="4" w:space="0"/>
              <w:right w:val="single" w:color="000000" w:sz="4" w:space="0"/>
            </w:tcBorders>
            <w:vAlign w:val="center"/>
          </w:tcPr>
          <w:p w14:paraId="52022814">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护眼LED灯</w:t>
            </w:r>
          </w:p>
        </w:tc>
        <w:tc>
          <w:tcPr>
            <w:tcW w:w="4112" w:type="dxa"/>
            <w:tcBorders>
              <w:top w:val="single" w:color="000000" w:sz="4" w:space="0"/>
              <w:left w:val="nil"/>
              <w:bottom w:val="single" w:color="000000" w:sz="4" w:space="0"/>
              <w:right w:val="single" w:color="000000" w:sz="4" w:space="0"/>
            </w:tcBorders>
            <w:vAlign w:val="center"/>
          </w:tcPr>
          <w:p w14:paraId="3F5FA023">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lang w:val="en-US" w:eastAsia="zh-CN"/>
              </w:rPr>
              <w:t>长</w:t>
            </w:r>
            <w:r>
              <w:rPr>
                <w:rFonts w:hint="eastAsia" w:ascii="宋体" w:hAnsi="宋体"/>
                <w:color w:val="auto"/>
                <w:kern w:val="0"/>
                <w:sz w:val="18"/>
                <w:szCs w:val="18"/>
                <w:highlight w:val="none"/>
              </w:rPr>
              <w:t>600</w:t>
            </w:r>
            <w:r>
              <w:rPr>
                <w:rFonts w:hint="eastAsia" w:ascii="宋体" w:hAnsi="宋体"/>
                <w:color w:val="auto"/>
                <w:kern w:val="0"/>
                <w:sz w:val="18"/>
                <w:szCs w:val="18"/>
                <w:highlight w:val="none"/>
                <w:lang w:val="en-US" w:eastAsia="zh-CN"/>
              </w:rPr>
              <w:t>mm</w:t>
            </w:r>
            <w:r>
              <w:rPr>
                <w:rFonts w:hint="eastAsia" w:ascii="宋体" w:hAnsi="宋体"/>
                <w:color w:val="auto"/>
                <w:kern w:val="0"/>
                <w:sz w:val="18"/>
                <w:szCs w:val="18"/>
                <w:highlight w:val="none"/>
              </w:rPr>
              <w:t>X</w:t>
            </w:r>
            <w:r>
              <w:rPr>
                <w:rFonts w:hint="eastAsia" w:ascii="宋体" w:hAnsi="宋体"/>
                <w:color w:val="auto"/>
                <w:kern w:val="0"/>
                <w:sz w:val="18"/>
                <w:szCs w:val="18"/>
                <w:highlight w:val="none"/>
                <w:lang w:val="en-US" w:eastAsia="zh-CN"/>
              </w:rPr>
              <w:t>宽</w:t>
            </w:r>
            <w:r>
              <w:rPr>
                <w:rFonts w:hint="eastAsia" w:ascii="宋体" w:hAnsi="宋体"/>
                <w:color w:val="auto"/>
                <w:kern w:val="0"/>
                <w:sz w:val="18"/>
                <w:szCs w:val="18"/>
                <w:highlight w:val="none"/>
              </w:rPr>
              <w:t>600mm,LED方灯；</w:t>
            </w:r>
          </w:p>
          <w:p w14:paraId="1DE87038">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电学参数</w:t>
            </w:r>
          </w:p>
          <w:p w14:paraId="7B92FC92">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额定输入电压 Vin 220V~240VAC，50/60Hz /</w:t>
            </w:r>
          </w:p>
          <w:p w14:paraId="7118C3AE">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额定输入电流 Iin 1A Max /</w:t>
            </w:r>
          </w:p>
          <w:p w14:paraId="407B194C">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额定功率 Pin 40W /</w:t>
            </w:r>
          </w:p>
          <w:p w14:paraId="710A27B8">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光学参数</w:t>
            </w:r>
          </w:p>
          <w:p w14:paraId="601981EE">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光通量 Flux ≥3000lm /</w:t>
            </w:r>
          </w:p>
          <w:p w14:paraId="60DA0FF9">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光效 ≥75lm/W /</w:t>
            </w:r>
          </w:p>
          <w:p w14:paraId="781EF25D">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色温 CCT 5000K±200K /</w:t>
            </w:r>
          </w:p>
          <w:p w14:paraId="0689DA04">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色容差 SDCM ≤5 Step@IEC F5000; /</w:t>
            </w:r>
          </w:p>
          <w:p w14:paraId="2A8F55C2">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显色指数 CRI ≥90 /</w:t>
            </w:r>
          </w:p>
          <w:p w14:paraId="54FD3199">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R9 ＞60 /</w:t>
            </w:r>
          </w:p>
          <w:p w14:paraId="39530A8C">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R15 ＞90 /</w:t>
            </w:r>
          </w:p>
          <w:p w14:paraId="207EE103">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发光角度 120°±10° 统一眩光值（UGR） &lt;16 </w:t>
            </w:r>
          </w:p>
          <w:p w14:paraId="3630AB26">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外形结构</w:t>
            </w:r>
          </w:p>
          <w:p w14:paraId="2F691AF7">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长度 595±5mm /</w:t>
            </w:r>
          </w:p>
          <w:p w14:paraId="7D204D9E">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宽度 595±5mm /</w:t>
            </w:r>
          </w:p>
          <w:p w14:paraId="4F1143D9">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高 42±5mm /</w:t>
            </w:r>
          </w:p>
          <w:p w14:paraId="3F8D8EB4">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材质 优质铝型材+PC /</w:t>
            </w:r>
          </w:p>
          <w:p w14:paraId="73CCD7D6">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表面处理 喷砂阳极氧化/电镀/喷塑 /</w:t>
            </w:r>
          </w:p>
          <w:p w14:paraId="4F5DCABF">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颜色 银/白 /</w:t>
            </w:r>
          </w:p>
          <w:p w14:paraId="599100E8">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阻燃等级 94-V2 /</w:t>
            </w:r>
          </w:p>
          <w:p w14:paraId="6C1E6340">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环境</w:t>
            </w:r>
          </w:p>
          <w:p w14:paraId="18F23D6C">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工作温度 -10~+45℃ /</w:t>
            </w:r>
          </w:p>
          <w:p w14:paraId="771C394B">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工作湿度 0~95%RH 无冷凝 /</w:t>
            </w:r>
          </w:p>
          <w:p w14:paraId="7B9BC165">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存储温度 -20~+80℃ /</w:t>
            </w:r>
          </w:p>
          <w:p w14:paraId="61227345">
            <w:pPr>
              <w:widowControl/>
              <w:jc w:val="left"/>
              <w:textAlignment w:val="center"/>
              <w:rPr>
                <w:rFonts w:ascii="宋体" w:hAnsi="宋体"/>
                <w:color w:val="auto"/>
                <w:sz w:val="18"/>
                <w:szCs w:val="18"/>
                <w:highlight w:val="none"/>
              </w:rPr>
            </w:pPr>
            <w:r>
              <w:rPr>
                <w:rFonts w:hint="eastAsia" w:ascii="宋体" w:hAnsi="宋体" w:eastAsia="宋体" w:cs="宋体"/>
                <w:color w:val="000000"/>
                <w:kern w:val="0"/>
                <w:sz w:val="21"/>
                <w:szCs w:val="21"/>
                <w:lang w:val="en-US" w:eastAsia="zh-CN" w:bidi="ar"/>
              </w:rPr>
              <w:t>存储湿度 0~95%RH 无冷凝</w:t>
            </w:r>
          </w:p>
        </w:tc>
        <w:tc>
          <w:tcPr>
            <w:tcW w:w="1040" w:type="dxa"/>
            <w:tcBorders>
              <w:top w:val="single" w:color="000000" w:sz="4" w:space="0"/>
              <w:left w:val="nil"/>
              <w:bottom w:val="single" w:color="000000" w:sz="4" w:space="0"/>
              <w:right w:val="single" w:color="000000" w:sz="4" w:space="0"/>
            </w:tcBorders>
            <w:vAlign w:val="center"/>
          </w:tcPr>
          <w:p w14:paraId="745A6CA0">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24</w:t>
            </w:r>
          </w:p>
        </w:tc>
        <w:tc>
          <w:tcPr>
            <w:tcW w:w="935" w:type="dxa"/>
            <w:tcBorders>
              <w:top w:val="single" w:color="000000" w:sz="4" w:space="0"/>
              <w:left w:val="nil"/>
              <w:bottom w:val="single" w:color="000000" w:sz="4" w:space="0"/>
              <w:right w:val="single" w:color="000000" w:sz="4" w:space="0"/>
            </w:tcBorders>
            <w:vAlign w:val="center"/>
          </w:tcPr>
          <w:p w14:paraId="2F336ACE">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盏</w:t>
            </w:r>
          </w:p>
        </w:tc>
        <w:tc>
          <w:tcPr>
            <w:tcW w:w="1084" w:type="dxa"/>
            <w:tcBorders>
              <w:top w:val="single" w:color="000000" w:sz="4" w:space="0"/>
              <w:left w:val="nil"/>
              <w:bottom w:val="single" w:color="000000" w:sz="4" w:space="0"/>
              <w:right w:val="single" w:color="000000" w:sz="4" w:space="0"/>
            </w:tcBorders>
            <w:vAlign w:val="center"/>
          </w:tcPr>
          <w:p w14:paraId="7A6D7402">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14:paraId="3D2995A0">
            <w:pPr>
              <w:jc w:val="center"/>
              <w:rPr>
                <w:rFonts w:ascii="宋体" w:hAnsi="宋体"/>
                <w:color w:val="auto"/>
                <w:sz w:val="18"/>
                <w:szCs w:val="18"/>
                <w:highlight w:val="none"/>
                <w:lang w:val="en-US" w:eastAsia="zh-CN"/>
              </w:rPr>
            </w:pPr>
          </w:p>
        </w:tc>
      </w:tr>
      <w:tr w14:paraId="602DB768">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14:paraId="5D4EBEE5">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14</w:t>
            </w:r>
            <w:r>
              <w:rPr>
                <w:rFonts w:hint="eastAsia" w:ascii="宋体" w:hAnsi="宋体"/>
                <w:color w:val="auto"/>
                <w:kern w:val="0"/>
                <w:sz w:val="18"/>
                <w:szCs w:val="18"/>
                <w:highlight w:val="none"/>
                <w:lang w:val="en-US" w:eastAsia="zh-CN"/>
              </w:rPr>
              <w:t>6</w:t>
            </w:r>
          </w:p>
        </w:tc>
        <w:tc>
          <w:tcPr>
            <w:tcW w:w="817" w:type="dxa"/>
            <w:tcBorders>
              <w:top w:val="single" w:color="000000" w:sz="4" w:space="0"/>
              <w:left w:val="nil"/>
              <w:bottom w:val="single" w:color="000000" w:sz="4" w:space="0"/>
              <w:right w:val="single" w:color="000000" w:sz="4" w:space="0"/>
            </w:tcBorders>
            <w:vAlign w:val="center"/>
          </w:tcPr>
          <w:p w14:paraId="36792EDE">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装饰辅材</w:t>
            </w:r>
          </w:p>
        </w:tc>
        <w:tc>
          <w:tcPr>
            <w:tcW w:w="4112" w:type="dxa"/>
            <w:tcBorders>
              <w:top w:val="single" w:color="000000" w:sz="4" w:space="0"/>
              <w:left w:val="nil"/>
              <w:bottom w:val="single" w:color="000000" w:sz="4" w:space="0"/>
              <w:right w:val="single" w:color="000000" w:sz="4" w:space="0"/>
            </w:tcBorders>
            <w:vAlign w:val="center"/>
          </w:tcPr>
          <w:p w14:paraId="0368A3CA">
            <w:pPr>
              <w:widowControl/>
              <w:jc w:val="left"/>
              <w:textAlignment w:val="auto"/>
              <w:rPr>
                <w:rFonts w:ascii="宋体" w:hAnsi="宋体"/>
                <w:color w:val="auto"/>
                <w:sz w:val="18"/>
                <w:szCs w:val="18"/>
                <w:highlight w:val="none"/>
              </w:rPr>
            </w:pPr>
            <w:r>
              <w:rPr>
                <w:rFonts w:hint="eastAsia" w:ascii="宋体" w:hAnsi="宋体"/>
                <w:color w:val="auto"/>
                <w:kern w:val="0"/>
                <w:sz w:val="18"/>
                <w:szCs w:val="18"/>
                <w:highlight w:val="none"/>
              </w:rPr>
              <w:t>配电箱</w:t>
            </w:r>
            <w:r>
              <w:rPr>
                <w:rFonts w:hint="eastAsia" w:ascii="宋体" w:hAnsi="宋体"/>
                <w:color w:val="auto"/>
                <w:kern w:val="0"/>
                <w:sz w:val="18"/>
                <w:szCs w:val="18"/>
                <w:highlight w:val="none"/>
                <w:lang w:val="en-US" w:eastAsia="zh-CN"/>
              </w:rPr>
              <w:t>30x20一个</w:t>
            </w:r>
            <w:r>
              <w:rPr>
                <w:rFonts w:hint="eastAsia" w:ascii="宋体" w:hAnsi="宋体"/>
                <w:color w:val="auto"/>
                <w:kern w:val="0"/>
                <w:sz w:val="18"/>
                <w:szCs w:val="18"/>
                <w:highlight w:val="none"/>
              </w:rPr>
              <w:t>、一位开关一个、</w:t>
            </w:r>
            <w:r>
              <w:rPr>
                <w:rFonts w:hint="eastAsia" w:ascii="宋体" w:hAnsi="宋体"/>
                <w:color w:val="auto"/>
                <w:kern w:val="0"/>
                <w:sz w:val="18"/>
                <w:szCs w:val="18"/>
                <w:highlight w:val="none"/>
                <w:lang w:val="en-US" w:eastAsia="zh-CN"/>
              </w:rPr>
              <w:t xml:space="preserve"> </w:t>
            </w:r>
            <w:r>
              <w:rPr>
                <w:rFonts w:hint="eastAsia" w:ascii="宋体" w:hAnsi="宋体"/>
                <w:color w:val="auto"/>
                <w:kern w:val="0"/>
                <w:sz w:val="18"/>
                <w:szCs w:val="18"/>
                <w:highlight w:val="none"/>
              </w:rPr>
              <w:t>三位开关一个、</w:t>
            </w:r>
            <w:r>
              <w:rPr>
                <w:rFonts w:hint="eastAsia" w:ascii="宋体" w:hAnsi="宋体"/>
                <w:color w:val="auto"/>
                <w:kern w:val="0"/>
                <w:sz w:val="18"/>
                <w:szCs w:val="18"/>
                <w:highlight w:val="none"/>
                <w:lang w:val="en-US" w:eastAsia="zh-CN"/>
              </w:rPr>
              <w:t xml:space="preserve"> </w:t>
            </w:r>
            <w:r>
              <w:rPr>
                <w:rFonts w:hint="eastAsia"/>
                <w:sz w:val="18"/>
                <w:szCs w:val="18"/>
              </w:rPr>
              <w:t>五孔</w:t>
            </w:r>
            <w:r>
              <w:rPr>
                <w:sz w:val="18"/>
                <w:szCs w:val="18"/>
              </w:rPr>
              <w:t>插座</w:t>
            </w:r>
            <w:r>
              <w:rPr>
                <w:rFonts w:hint="eastAsia"/>
                <w:sz w:val="18"/>
                <w:szCs w:val="18"/>
              </w:rPr>
              <w:t>三个</w:t>
            </w:r>
            <w:r>
              <w:rPr>
                <w:rFonts w:hint="eastAsia" w:ascii="宋体" w:hAnsi="宋体"/>
                <w:color w:val="auto"/>
                <w:kern w:val="0"/>
                <w:sz w:val="18"/>
                <w:szCs w:val="18"/>
                <w:highlight w:val="none"/>
              </w:rPr>
              <w:t>、空调</w:t>
            </w:r>
            <w:r>
              <w:rPr>
                <w:sz w:val="18"/>
                <w:szCs w:val="18"/>
              </w:rPr>
              <w:t>插座</w:t>
            </w:r>
            <w:r>
              <w:rPr>
                <w:rFonts w:hint="eastAsia"/>
                <w:sz w:val="18"/>
                <w:szCs w:val="18"/>
              </w:rPr>
              <w:t>三个</w:t>
            </w:r>
            <w:r>
              <w:rPr>
                <w:rFonts w:hint="eastAsia" w:ascii="宋体" w:hAnsi="宋体"/>
                <w:color w:val="auto"/>
                <w:kern w:val="0"/>
                <w:sz w:val="18"/>
                <w:szCs w:val="18"/>
                <w:highlight w:val="none"/>
              </w:rPr>
              <w:t>、</w:t>
            </w:r>
            <w:r>
              <w:rPr>
                <w:rFonts w:hint="eastAsia"/>
                <w:sz w:val="18"/>
                <w:szCs w:val="18"/>
                <w:lang w:val="en-US" w:eastAsia="zh-CN"/>
              </w:rPr>
              <w:t xml:space="preserve"> </w:t>
            </w:r>
            <w:r>
              <w:rPr>
                <w:rFonts w:hint="eastAsia" w:ascii="宋体" w:hAnsi="宋体"/>
                <w:color w:val="auto"/>
                <w:kern w:val="0"/>
                <w:sz w:val="18"/>
                <w:szCs w:val="18"/>
                <w:highlight w:val="none"/>
              </w:rPr>
              <w:t>电线</w:t>
            </w:r>
            <w:r>
              <w:rPr>
                <w:rFonts w:hint="eastAsia" w:ascii="宋体" w:hAnsi="宋体"/>
                <w:color w:val="auto"/>
                <w:kern w:val="0"/>
                <w:sz w:val="18"/>
                <w:szCs w:val="18"/>
                <w:highlight w:val="none"/>
                <w:lang w:val="en-US" w:eastAsia="zh-CN"/>
              </w:rPr>
              <w:t>200米</w:t>
            </w:r>
            <w:r>
              <w:rPr>
                <w:rFonts w:hint="eastAsia" w:ascii="宋体" w:hAnsi="宋体"/>
                <w:color w:val="auto"/>
                <w:kern w:val="0"/>
                <w:sz w:val="18"/>
                <w:szCs w:val="18"/>
                <w:highlight w:val="none"/>
              </w:rPr>
              <w:t>、PVC</w:t>
            </w:r>
            <w:r>
              <w:rPr>
                <w:rFonts w:hint="eastAsia" w:ascii="宋体" w:hAnsi="宋体"/>
                <w:color w:val="auto"/>
                <w:kern w:val="0"/>
                <w:sz w:val="18"/>
                <w:szCs w:val="18"/>
                <w:highlight w:val="none"/>
                <w:lang w:val="en-US" w:eastAsia="zh-CN"/>
              </w:rPr>
              <w:t xml:space="preserve">200米 </w:t>
            </w:r>
          </w:p>
        </w:tc>
        <w:tc>
          <w:tcPr>
            <w:tcW w:w="1040" w:type="dxa"/>
            <w:tcBorders>
              <w:top w:val="single" w:color="000000" w:sz="4" w:space="0"/>
              <w:left w:val="nil"/>
              <w:bottom w:val="single" w:color="000000" w:sz="4" w:space="0"/>
              <w:right w:val="single" w:color="000000" w:sz="4" w:space="0"/>
            </w:tcBorders>
            <w:vAlign w:val="center"/>
          </w:tcPr>
          <w:p w14:paraId="2D469572">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14:paraId="61064C44">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项</w:t>
            </w:r>
          </w:p>
        </w:tc>
        <w:tc>
          <w:tcPr>
            <w:tcW w:w="1084" w:type="dxa"/>
            <w:tcBorders>
              <w:top w:val="single" w:color="000000" w:sz="4" w:space="0"/>
              <w:left w:val="nil"/>
              <w:bottom w:val="single" w:color="000000" w:sz="4" w:space="0"/>
              <w:right w:val="single" w:color="000000" w:sz="4" w:space="0"/>
            </w:tcBorders>
            <w:vAlign w:val="center"/>
          </w:tcPr>
          <w:p w14:paraId="79B515DB">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14:paraId="052768A2">
            <w:pPr>
              <w:jc w:val="center"/>
              <w:rPr>
                <w:rFonts w:hint="eastAsia" w:ascii="宋体" w:hAnsi="宋体"/>
                <w:color w:val="auto"/>
                <w:sz w:val="18"/>
                <w:szCs w:val="18"/>
                <w:highlight w:val="green"/>
                <w:lang w:val="en-US" w:eastAsia="zh-CN"/>
              </w:rPr>
            </w:pPr>
          </w:p>
        </w:tc>
      </w:tr>
      <w:tr w14:paraId="0FA54379">
        <w:tblPrEx>
          <w:tblCellMar>
            <w:top w:w="0" w:type="dxa"/>
            <w:left w:w="108" w:type="dxa"/>
            <w:bottom w:w="0" w:type="dxa"/>
            <w:right w:w="108" w:type="dxa"/>
          </w:tblCellMar>
        </w:tblPrEx>
        <w:trPr>
          <w:trHeight w:val="300" w:hRule="atLeast"/>
        </w:trPr>
        <w:tc>
          <w:tcPr>
            <w:tcW w:w="441" w:type="dxa"/>
            <w:tcBorders>
              <w:top w:val="single" w:color="000000" w:sz="4" w:space="0"/>
              <w:left w:val="single" w:color="000000" w:sz="4" w:space="0"/>
              <w:bottom w:val="single" w:color="000000" w:sz="4" w:space="0"/>
              <w:right w:val="single" w:color="000000" w:sz="4" w:space="0"/>
            </w:tcBorders>
            <w:noWrap/>
            <w:vAlign w:val="center"/>
          </w:tcPr>
          <w:p w14:paraId="2D47CA8C">
            <w:pPr>
              <w:jc w:val="center"/>
              <w:rPr>
                <w:rFonts w:ascii="宋体" w:hAnsi="宋体"/>
                <w:color w:val="auto"/>
                <w:sz w:val="22"/>
                <w:highlight w:val="none"/>
              </w:rPr>
            </w:pPr>
          </w:p>
        </w:tc>
        <w:tc>
          <w:tcPr>
            <w:tcW w:w="817" w:type="dxa"/>
            <w:tcBorders>
              <w:top w:val="single" w:color="000000" w:sz="4" w:space="0"/>
              <w:left w:val="nil"/>
              <w:bottom w:val="single" w:color="000000" w:sz="4" w:space="0"/>
              <w:right w:val="single" w:color="000000" w:sz="4" w:space="0"/>
            </w:tcBorders>
            <w:noWrap/>
            <w:vAlign w:val="center"/>
          </w:tcPr>
          <w:p w14:paraId="0DA75420">
            <w:pPr>
              <w:widowControl/>
              <w:jc w:val="center"/>
              <w:textAlignment w:val="center"/>
              <w:rPr>
                <w:rFonts w:ascii="宋体" w:hAnsi="宋体"/>
                <w:color w:val="auto"/>
                <w:sz w:val="22"/>
                <w:highlight w:val="none"/>
              </w:rPr>
            </w:pPr>
            <w:r>
              <w:rPr>
                <w:rFonts w:hint="eastAsia" w:ascii="宋体" w:hAnsi="宋体"/>
                <w:color w:val="auto"/>
                <w:kern w:val="0"/>
                <w:sz w:val="22"/>
                <w:szCs w:val="22"/>
                <w:highlight w:val="none"/>
              </w:rPr>
              <w:t>合计</w:t>
            </w:r>
          </w:p>
        </w:tc>
        <w:tc>
          <w:tcPr>
            <w:tcW w:w="4112" w:type="dxa"/>
            <w:tcBorders>
              <w:top w:val="single" w:color="000000" w:sz="4" w:space="0"/>
              <w:left w:val="nil"/>
              <w:bottom w:val="single" w:color="000000" w:sz="4" w:space="0"/>
              <w:right w:val="single" w:color="000000" w:sz="4" w:space="0"/>
            </w:tcBorders>
            <w:noWrap/>
            <w:vAlign w:val="center"/>
          </w:tcPr>
          <w:p w14:paraId="7B0905E6">
            <w:pPr>
              <w:jc w:val="center"/>
              <w:rPr>
                <w:rFonts w:ascii="宋体" w:hAnsi="宋体"/>
                <w:color w:val="auto"/>
                <w:sz w:val="22"/>
                <w:highlight w:val="none"/>
              </w:rPr>
            </w:pPr>
          </w:p>
        </w:tc>
        <w:tc>
          <w:tcPr>
            <w:tcW w:w="1040" w:type="dxa"/>
            <w:tcBorders>
              <w:top w:val="single" w:color="000000" w:sz="4" w:space="0"/>
              <w:left w:val="nil"/>
              <w:bottom w:val="single" w:color="000000" w:sz="4" w:space="0"/>
              <w:right w:val="single" w:color="000000" w:sz="4" w:space="0"/>
            </w:tcBorders>
            <w:noWrap/>
            <w:vAlign w:val="center"/>
          </w:tcPr>
          <w:p w14:paraId="45633C80">
            <w:pPr>
              <w:jc w:val="center"/>
              <w:rPr>
                <w:rFonts w:ascii="宋体" w:hAnsi="宋体"/>
                <w:color w:val="auto"/>
                <w:sz w:val="22"/>
                <w:highlight w:val="none"/>
              </w:rPr>
            </w:pPr>
          </w:p>
        </w:tc>
        <w:tc>
          <w:tcPr>
            <w:tcW w:w="935" w:type="dxa"/>
            <w:tcBorders>
              <w:top w:val="single" w:color="000000" w:sz="4" w:space="0"/>
              <w:left w:val="nil"/>
              <w:bottom w:val="single" w:color="000000" w:sz="4" w:space="0"/>
              <w:right w:val="single" w:color="000000" w:sz="4" w:space="0"/>
            </w:tcBorders>
            <w:noWrap/>
            <w:vAlign w:val="center"/>
          </w:tcPr>
          <w:p w14:paraId="2BEB0ABE">
            <w:pPr>
              <w:jc w:val="center"/>
              <w:rPr>
                <w:rFonts w:ascii="宋体" w:hAnsi="宋体"/>
                <w:color w:val="auto"/>
                <w:sz w:val="22"/>
                <w:highlight w:val="none"/>
              </w:rPr>
            </w:pPr>
          </w:p>
        </w:tc>
        <w:tc>
          <w:tcPr>
            <w:tcW w:w="1084" w:type="dxa"/>
            <w:tcBorders>
              <w:top w:val="single" w:color="000000" w:sz="4" w:space="0"/>
              <w:left w:val="nil"/>
              <w:bottom w:val="single" w:color="000000" w:sz="4" w:space="0"/>
              <w:right w:val="single" w:color="000000" w:sz="4" w:space="0"/>
            </w:tcBorders>
            <w:noWrap/>
            <w:vAlign w:val="center"/>
          </w:tcPr>
          <w:p w14:paraId="474266A3">
            <w:pPr>
              <w:jc w:val="center"/>
              <w:rPr>
                <w:rFonts w:ascii="宋体" w:hAnsi="宋体"/>
                <w:color w:val="auto"/>
                <w:sz w:val="22"/>
                <w:highlight w:val="none"/>
              </w:rPr>
            </w:pPr>
          </w:p>
        </w:tc>
        <w:tc>
          <w:tcPr>
            <w:tcW w:w="859" w:type="dxa"/>
            <w:tcBorders>
              <w:top w:val="single" w:color="000000" w:sz="4" w:space="0"/>
              <w:left w:val="nil"/>
              <w:bottom w:val="single" w:color="000000" w:sz="4" w:space="0"/>
              <w:right w:val="single" w:color="000000" w:sz="4" w:space="0"/>
            </w:tcBorders>
            <w:noWrap/>
            <w:vAlign w:val="center"/>
          </w:tcPr>
          <w:p w14:paraId="0BB33710">
            <w:pPr>
              <w:jc w:val="center"/>
              <w:rPr>
                <w:rFonts w:ascii="宋体" w:hAnsi="宋体"/>
                <w:color w:val="auto"/>
                <w:sz w:val="22"/>
                <w:highlight w:val="none"/>
              </w:rPr>
            </w:pPr>
          </w:p>
        </w:tc>
      </w:tr>
    </w:tbl>
    <w:p w14:paraId="34B57356"/>
    <w:p w14:paraId="5F0C0CE7">
      <w:pPr>
        <w:pStyle w:val="2"/>
      </w:pPr>
    </w:p>
    <w:p w14:paraId="74297FFD"/>
    <w:p w14:paraId="11F734EB">
      <w:pPr>
        <w:pStyle w:val="2"/>
      </w:pPr>
    </w:p>
    <w:p w14:paraId="5CCE3CFD"/>
    <w:p w14:paraId="668978D5">
      <w:pPr>
        <w:pStyle w:val="3"/>
      </w:pPr>
    </w:p>
    <w:p w14:paraId="2ED4782B"/>
    <w:p w14:paraId="44BE9A2A">
      <w:pPr>
        <w:pStyle w:val="3"/>
      </w:pPr>
    </w:p>
    <w:p w14:paraId="2B3332FE"/>
    <w:p w14:paraId="3520B47F">
      <w:pPr>
        <w:pStyle w:val="3"/>
      </w:pPr>
    </w:p>
    <w:p w14:paraId="6680CCD4"/>
    <w:p w14:paraId="7AC31C2C">
      <w:pPr>
        <w:pStyle w:val="3"/>
      </w:pPr>
    </w:p>
    <w:p w14:paraId="22C3FE21"/>
    <w:p w14:paraId="11498F0A">
      <w:pPr>
        <w:pStyle w:val="2"/>
      </w:pPr>
    </w:p>
    <w:p w14:paraId="5BF78350"/>
    <w:p w14:paraId="3DB8A2B3">
      <w:pPr>
        <w:pStyle w:val="2"/>
      </w:pPr>
    </w:p>
    <w:p w14:paraId="40EBCCEF"/>
    <w:p w14:paraId="5BACEDC1">
      <w:pPr>
        <w:pStyle w:val="2"/>
      </w:pPr>
    </w:p>
    <w:p w14:paraId="35A9F2A5"/>
    <w:p w14:paraId="626507AF">
      <w:pPr>
        <w:pStyle w:val="2"/>
      </w:pPr>
    </w:p>
    <w:p w14:paraId="29DE2874"/>
    <w:p w14:paraId="39B93004">
      <w:pPr>
        <w:pStyle w:val="2"/>
      </w:pPr>
    </w:p>
    <w:p w14:paraId="4E30F2DC">
      <w:pPr>
        <w:rPr>
          <w:rFonts w:ascii="宋体" w:hAnsi="宋体"/>
          <w:sz w:val="24"/>
        </w:rPr>
      </w:pPr>
    </w:p>
    <w:p w14:paraId="46C75F90">
      <w:pPr>
        <w:pStyle w:val="3"/>
        <w:rPr>
          <w:rFonts w:ascii="宋体" w:hAnsi="宋体"/>
          <w:b w:val="0"/>
          <w:sz w:val="36"/>
          <w:szCs w:val="36"/>
        </w:rPr>
      </w:pPr>
      <w:bookmarkStart w:id="240" w:name="_Toc154755494"/>
      <w:bookmarkStart w:id="241" w:name="_Toc16252"/>
      <w:bookmarkStart w:id="242" w:name="_Toc154744450"/>
      <w:r>
        <w:rPr>
          <w:rFonts w:hint="eastAsia" w:ascii="宋体" w:hAnsi="宋体"/>
          <w:b w:val="0"/>
          <w:sz w:val="36"/>
          <w:szCs w:val="36"/>
        </w:rPr>
        <w:t>第六章</w:t>
      </w:r>
      <w:r>
        <w:rPr>
          <w:rFonts w:hint="eastAsia" w:ascii="宋体" w:hAnsi="宋体"/>
          <w:b w:val="0"/>
          <w:sz w:val="36"/>
          <w:szCs w:val="36"/>
          <w:lang w:eastAsia="zh-CN"/>
        </w:rPr>
        <w:t>响应文件</w:t>
      </w:r>
      <w:r>
        <w:rPr>
          <w:rFonts w:hint="eastAsia" w:ascii="宋体" w:hAnsi="宋体"/>
          <w:b w:val="0"/>
          <w:sz w:val="36"/>
          <w:szCs w:val="36"/>
        </w:rPr>
        <w:t>格式</w:t>
      </w:r>
      <w:bookmarkEnd w:id="240"/>
      <w:bookmarkEnd w:id="241"/>
      <w:bookmarkEnd w:id="242"/>
    </w:p>
    <w:p w14:paraId="3CBE4153">
      <w:pPr>
        <w:spacing w:line="460" w:lineRule="exact"/>
        <w:jc w:val="center"/>
        <w:rPr>
          <w:rFonts w:ascii="宋体" w:hAnsi="宋体"/>
          <w:b/>
          <w:sz w:val="32"/>
          <w:szCs w:val="32"/>
        </w:rPr>
      </w:pPr>
    </w:p>
    <w:p w14:paraId="3FF99F74">
      <w:pPr>
        <w:spacing w:line="600" w:lineRule="exact"/>
        <w:jc w:val="center"/>
        <w:rPr>
          <w:rFonts w:ascii="宋体" w:hAnsi="宋体"/>
          <w:b/>
          <w:sz w:val="32"/>
          <w:szCs w:val="32"/>
          <w:u w:val="single"/>
        </w:rPr>
      </w:pPr>
    </w:p>
    <w:p w14:paraId="55C0B74D">
      <w:pPr>
        <w:spacing w:line="600" w:lineRule="exact"/>
        <w:jc w:val="center"/>
        <w:rPr>
          <w:rFonts w:ascii="宋体" w:hAnsi="宋体"/>
          <w:b/>
          <w:sz w:val="32"/>
          <w:szCs w:val="32"/>
          <w:u w:val="single"/>
        </w:rPr>
      </w:pPr>
    </w:p>
    <w:p w14:paraId="3DBDAF7A">
      <w:pPr>
        <w:spacing w:line="600" w:lineRule="exact"/>
        <w:jc w:val="center"/>
        <w:outlineLvl w:val="1"/>
        <w:rPr>
          <w:rFonts w:ascii="宋体" w:hAnsi="宋体"/>
          <w:b/>
          <w:sz w:val="48"/>
          <w:szCs w:val="48"/>
          <w:u w:val="single"/>
        </w:rPr>
      </w:pPr>
      <w:bookmarkStart w:id="243" w:name="_Toc16697"/>
      <w:r>
        <w:rPr>
          <w:rFonts w:ascii="宋体" w:hAnsi="宋体"/>
          <w:b/>
          <w:sz w:val="48"/>
          <w:szCs w:val="48"/>
          <w:u w:val="single"/>
        </w:rPr>
        <w:t>（</w:t>
      </w:r>
      <w:r>
        <w:rPr>
          <w:rFonts w:hint="eastAsia" w:ascii="宋体" w:hAnsi="宋体"/>
          <w:b/>
          <w:sz w:val="44"/>
          <w:szCs w:val="44"/>
          <w:u w:val="single"/>
        </w:rPr>
        <w:t>项目名称</w:t>
      </w:r>
      <w:r>
        <w:rPr>
          <w:rFonts w:hint="eastAsia" w:ascii="宋体" w:hAnsi="宋体"/>
          <w:b/>
          <w:sz w:val="48"/>
          <w:szCs w:val="48"/>
          <w:u w:val="single"/>
        </w:rPr>
        <w:t>）</w:t>
      </w:r>
      <w:bookmarkEnd w:id="243"/>
    </w:p>
    <w:p w14:paraId="18C624F5">
      <w:pPr>
        <w:spacing w:line="460" w:lineRule="exact"/>
        <w:jc w:val="center"/>
        <w:rPr>
          <w:rFonts w:ascii="宋体" w:hAnsi="宋体"/>
          <w:b/>
          <w:sz w:val="32"/>
          <w:szCs w:val="32"/>
        </w:rPr>
      </w:pPr>
    </w:p>
    <w:p w14:paraId="0199CCB7">
      <w:pPr>
        <w:spacing w:line="460" w:lineRule="exact"/>
        <w:jc w:val="center"/>
        <w:rPr>
          <w:rFonts w:ascii="宋体" w:hAnsi="宋体"/>
          <w:b/>
          <w:sz w:val="32"/>
          <w:szCs w:val="32"/>
          <w:u w:val="single"/>
        </w:rPr>
      </w:pPr>
    </w:p>
    <w:p w14:paraId="4E5AAB44">
      <w:pPr>
        <w:spacing w:line="460" w:lineRule="exact"/>
        <w:jc w:val="center"/>
        <w:rPr>
          <w:rFonts w:ascii="宋体" w:hAnsi="宋体"/>
          <w:b/>
          <w:sz w:val="32"/>
          <w:szCs w:val="32"/>
          <w:u w:val="single"/>
        </w:rPr>
      </w:pPr>
    </w:p>
    <w:p w14:paraId="46CFD736">
      <w:pPr>
        <w:spacing w:line="460" w:lineRule="exact"/>
        <w:jc w:val="center"/>
        <w:rPr>
          <w:rFonts w:ascii="宋体" w:hAnsi="宋体"/>
          <w:b/>
          <w:sz w:val="32"/>
          <w:szCs w:val="32"/>
          <w:u w:val="single"/>
        </w:rPr>
      </w:pPr>
    </w:p>
    <w:p w14:paraId="6D9E919C">
      <w:pPr>
        <w:spacing w:line="460" w:lineRule="exact"/>
        <w:jc w:val="center"/>
        <w:rPr>
          <w:rFonts w:ascii="宋体" w:hAnsi="宋体"/>
          <w:b/>
          <w:sz w:val="32"/>
          <w:szCs w:val="32"/>
          <w:u w:val="single"/>
        </w:rPr>
      </w:pPr>
    </w:p>
    <w:p w14:paraId="47DE9B10">
      <w:pPr>
        <w:spacing w:line="460" w:lineRule="exact"/>
        <w:jc w:val="center"/>
        <w:rPr>
          <w:rFonts w:ascii="宋体" w:hAnsi="宋体"/>
          <w:b/>
          <w:sz w:val="32"/>
          <w:szCs w:val="32"/>
          <w:u w:val="single"/>
        </w:rPr>
      </w:pPr>
    </w:p>
    <w:p w14:paraId="66B11D55">
      <w:pPr>
        <w:spacing w:line="460" w:lineRule="exact"/>
        <w:jc w:val="center"/>
        <w:rPr>
          <w:rFonts w:hint="eastAsia" w:ascii="宋体" w:hAnsi="宋体" w:eastAsia="宋体"/>
          <w:b/>
          <w:sz w:val="44"/>
          <w:szCs w:val="44"/>
          <w:lang w:eastAsia="zh-CN"/>
        </w:rPr>
      </w:pPr>
      <w:r>
        <w:rPr>
          <w:rFonts w:hint="eastAsia" w:ascii="宋体" w:hAnsi="宋体"/>
          <w:b/>
          <w:sz w:val="44"/>
          <w:szCs w:val="44"/>
          <w:lang w:eastAsia="zh-CN"/>
        </w:rPr>
        <w:t>响应文件</w:t>
      </w:r>
    </w:p>
    <w:p w14:paraId="7AA3AB53">
      <w:pPr>
        <w:spacing w:line="460" w:lineRule="exact"/>
        <w:jc w:val="center"/>
        <w:rPr>
          <w:rFonts w:ascii="宋体" w:hAnsi="宋体"/>
          <w:sz w:val="32"/>
          <w:szCs w:val="32"/>
        </w:rPr>
      </w:pPr>
    </w:p>
    <w:p w14:paraId="50B1AD61">
      <w:pPr>
        <w:spacing w:line="460" w:lineRule="exact"/>
        <w:jc w:val="center"/>
        <w:rPr>
          <w:rFonts w:ascii="宋体" w:hAnsi="宋体"/>
          <w:b/>
          <w:sz w:val="36"/>
          <w:szCs w:val="36"/>
        </w:rPr>
      </w:pPr>
    </w:p>
    <w:p w14:paraId="51462C54">
      <w:pPr>
        <w:spacing w:line="460" w:lineRule="exact"/>
        <w:jc w:val="center"/>
        <w:rPr>
          <w:rFonts w:ascii="宋体" w:hAnsi="宋体"/>
          <w:b/>
          <w:sz w:val="36"/>
          <w:szCs w:val="36"/>
        </w:rPr>
      </w:pPr>
    </w:p>
    <w:p w14:paraId="04315265">
      <w:pPr>
        <w:spacing w:line="460" w:lineRule="exact"/>
        <w:jc w:val="center"/>
        <w:rPr>
          <w:rFonts w:ascii="宋体" w:hAnsi="宋体"/>
          <w:b/>
          <w:sz w:val="36"/>
          <w:szCs w:val="36"/>
        </w:rPr>
      </w:pPr>
    </w:p>
    <w:p w14:paraId="20F33011">
      <w:pPr>
        <w:spacing w:line="460" w:lineRule="exact"/>
        <w:jc w:val="center"/>
        <w:rPr>
          <w:rFonts w:ascii="宋体" w:hAnsi="宋体"/>
          <w:b/>
          <w:sz w:val="36"/>
          <w:szCs w:val="36"/>
        </w:rPr>
      </w:pPr>
    </w:p>
    <w:p w14:paraId="4C7E0981">
      <w:pPr>
        <w:spacing w:line="460" w:lineRule="exact"/>
        <w:jc w:val="center"/>
        <w:rPr>
          <w:rFonts w:ascii="宋体" w:hAnsi="宋体"/>
          <w:b/>
          <w:sz w:val="36"/>
          <w:szCs w:val="36"/>
        </w:rPr>
      </w:pPr>
    </w:p>
    <w:p w14:paraId="043F7E4A">
      <w:pPr>
        <w:spacing w:line="460" w:lineRule="exact"/>
        <w:jc w:val="center"/>
        <w:rPr>
          <w:rFonts w:ascii="宋体" w:hAnsi="宋体"/>
          <w:b/>
          <w:sz w:val="36"/>
          <w:szCs w:val="36"/>
        </w:rPr>
      </w:pPr>
    </w:p>
    <w:p w14:paraId="66E12C3B">
      <w:pPr>
        <w:spacing w:line="460" w:lineRule="exact"/>
        <w:jc w:val="center"/>
        <w:rPr>
          <w:rFonts w:ascii="宋体" w:hAnsi="宋体"/>
          <w:b/>
          <w:sz w:val="36"/>
          <w:szCs w:val="36"/>
        </w:rPr>
      </w:pPr>
    </w:p>
    <w:p w14:paraId="2AFBA03F">
      <w:pPr>
        <w:spacing w:line="460" w:lineRule="exact"/>
        <w:jc w:val="center"/>
        <w:rPr>
          <w:rFonts w:ascii="宋体" w:hAnsi="宋体"/>
          <w:sz w:val="28"/>
          <w:szCs w:val="28"/>
        </w:rPr>
      </w:pPr>
    </w:p>
    <w:p w14:paraId="36342D5A">
      <w:pPr>
        <w:spacing w:line="460" w:lineRule="exact"/>
        <w:jc w:val="center"/>
        <w:rPr>
          <w:rFonts w:ascii="宋体" w:hAnsi="宋体"/>
          <w:sz w:val="28"/>
          <w:szCs w:val="28"/>
        </w:rPr>
      </w:pPr>
      <w:r>
        <w:rPr>
          <w:rFonts w:ascii="宋体" w:hAnsi="宋体"/>
          <w:sz w:val="28"/>
          <w:szCs w:val="28"/>
        </w:rPr>
        <w:t xml:space="preserve"> </w:t>
      </w:r>
      <w:r>
        <w:rPr>
          <w:rFonts w:hint="eastAsia" w:ascii="宋体" w:hAnsi="宋体"/>
          <w:sz w:val="28"/>
          <w:szCs w:val="28"/>
          <w:lang w:eastAsia="zh-CN"/>
        </w:rPr>
        <w:t>供应商</w:t>
      </w:r>
      <w:r>
        <w:rPr>
          <w:rFonts w:ascii="宋体" w:hAnsi="宋体"/>
          <w:sz w:val="28"/>
          <w:szCs w:val="28"/>
        </w:rPr>
        <w:t>：（盖单位章）</w:t>
      </w:r>
    </w:p>
    <w:p w14:paraId="57076814">
      <w:pPr>
        <w:spacing w:line="460" w:lineRule="exact"/>
        <w:jc w:val="center"/>
        <w:rPr>
          <w:rFonts w:ascii="宋体" w:hAnsi="宋体"/>
          <w:sz w:val="28"/>
          <w:szCs w:val="28"/>
        </w:rPr>
      </w:pPr>
    </w:p>
    <w:p w14:paraId="2B2FB9ED">
      <w:pPr>
        <w:spacing w:line="460" w:lineRule="exact"/>
        <w:ind w:firstLine="1400" w:firstLineChars="500"/>
        <w:rPr>
          <w:rFonts w:ascii="宋体" w:hAnsi="宋体"/>
          <w:sz w:val="28"/>
          <w:szCs w:val="28"/>
        </w:rPr>
      </w:pPr>
      <w:r>
        <w:rPr>
          <w:rFonts w:hint="eastAsia" w:ascii="宋体" w:hAnsi="宋体"/>
          <w:sz w:val="28"/>
          <w:szCs w:val="28"/>
        </w:rPr>
        <w:t>法定代表人或其委托代理人：（签字）</w:t>
      </w:r>
    </w:p>
    <w:p w14:paraId="2C22DD3F">
      <w:pPr>
        <w:spacing w:line="460" w:lineRule="exact"/>
        <w:jc w:val="center"/>
        <w:rPr>
          <w:rFonts w:ascii="宋体" w:hAnsi="宋体"/>
          <w:sz w:val="28"/>
          <w:szCs w:val="28"/>
          <w:u w:val="single"/>
        </w:rPr>
      </w:pPr>
    </w:p>
    <w:p w14:paraId="5D186B45">
      <w:pPr>
        <w:spacing w:line="460" w:lineRule="exact"/>
        <w:jc w:val="center"/>
        <w:rPr>
          <w:rFonts w:ascii="宋体" w:hAnsi="宋体"/>
          <w:sz w:val="28"/>
          <w:szCs w:val="28"/>
        </w:rPr>
      </w:pPr>
      <w:r>
        <w:rPr>
          <w:rFonts w:hint="eastAsia" w:ascii="宋体" w:hAnsi="宋体"/>
          <w:sz w:val="28"/>
          <w:szCs w:val="28"/>
        </w:rPr>
        <w:t>年   月  日</w:t>
      </w:r>
    </w:p>
    <w:p w14:paraId="0895D1DB">
      <w:pPr>
        <w:spacing w:line="460" w:lineRule="exact"/>
      </w:pPr>
      <w:r>
        <w:rPr>
          <w:rFonts w:ascii="宋体" w:hAnsi="宋体"/>
          <w:sz w:val="28"/>
          <w:szCs w:val="28"/>
        </w:rPr>
        <w:br w:type="page"/>
      </w:r>
      <w:bookmarkStart w:id="244" w:name="_Toc364316075"/>
      <w:bookmarkStart w:id="245" w:name="_Toc364341471"/>
      <w:bookmarkStart w:id="246" w:name="_Toc45533835"/>
      <w:bookmarkStart w:id="247" w:name="_Toc197921885"/>
    </w:p>
    <w:p w14:paraId="219123D5">
      <w:pPr>
        <w:pStyle w:val="2"/>
        <w:ind w:firstLine="0"/>
        <w:rPr>
          <w:color w:val="auto"/>
        </w:rPr>
      </w:pPr>
      <w:bookmarkStart w:id="248" w:name="_Toc5368"/>
      <w:bookmarkStart w:id="249" w:name="_Toc154755495"/>
      <w:bookmarkStart w:id="250" w:name="_Toc154744451"/>
      <w:r>
        <w:rPr>
          <w:rFonts w:hint="eastAsia"/>
          <w:color w:val="auto"/>
        </w:rPr>
        <w:t>目录</w:t>
      </w:r>
      <w:bookmarkEnd w:id="244"/>
      <w:bookmarkEnd w:id="245"/>
      <w:bookmarkEnd w:id="246"/>
      <w:bookmarkEnd w:id="247"/>
      <w:bookmarkEnd w:id="248"/>
      <w:bookmarkEnd w:id="249"/>
      <w:bookmarkEnd w:id="250"/>
    </w:p>
    <w:p w14:paraId="32519AFE">
      <w:pPr>
        <w:rPr>
          <w:rFonts w:ascii="宋体" w:hAnsi="宋体"/>
          <w:sz w:val="28"/>
          <w:szCs w:val="28"/>
          <w:lang w:val="en-GB"/>
        </w:rPr>
      </w:pPr>
    </w:p>
    <w:p w14:paraId="64B76FD7">
      <w:pPr>
        <w:rPr>
          <w:rFonts w:ascii="宋体" w:hAnsi="宋体"/>
          <w:sz w:val="28"/>
          <w:szCs w:val="28"/>
        </w:rPr>
      </w:pPr>
      <w:r>
        <w:rPr>
          <w:rFonts w:hint="eastAsia" w:ascii="宋体" w:hAnsi="宋体"/>
          <w:sz w:val="28"/>
          <w:szCs w:val="28"/>
          <w:lang w:val="en-GB"/>
        </w:rPr>
        <w:t>一、投标承诺函</w:t>
      </w:r>
    </w:p>
    <w:p w14:paraId="045DD637">
      <w:pPr>
        <w:rPr>
          <w:rFonts w:ascii="宋体" w:hAnsi="宋体"/>
          <w:sz w:val="28"/>
          <w:szCs w:val="28"/>
          <w:lang w:val="en-GB"/>
        </w:rPr>
      </w:pPr>
      <w:r>
        <w:rPr>
          <w:rFonts w:hint="eastAsia" w:ascii="宋体" w:hAnsi="宋体"/>
          <w:sz w:val="28"/>
          <w:szCs w:val="28"/>
          <w:lang w:val="en-GB"/>
        </w:rPr>
        <w:t>二、法定代表人授权委托书</w:t>
      </w:r>
    </w:p>
    <w:p w14:paraId="12595B84">
      <w:pPr>
        <w:rPr>
          <w:rFonts w:ascii="宋体" w:hAnsi="宋体"/>
          <w:sz w:val="28"/>
          <w:szCs w:val="28"/>
          <w:lang w:val="en-GB"/>
        </w:rPr>
      </w:pPr>
      <w:r>
        <w:rPr>
          <w:rFonts w:hint="eastAsia" w:ascii="宋体" w:hAnsi="宋体"/>
          <w:sz w:val="28"/>
          <w:szCs w:val="28"/>
          <w:lang w:val="en-GB"/>
        </w:rPr>
        <w:t>三、资格申明信</w:t>
      </w:r>
    </w:p>
    <w:p w14:paraId="6CF428FC">
      <w:pPr>
        <w:rPr>
          <w:rFonts w:ascii="宋体" w:hAnsi="宋体"/>
          <w:sz w:val="28"/>
          <w:szCs w:val="28"/>
          <w:lang w:val="en-GB"/>
        </w:rPr>
      </w:pPr>
      <w:r>
        <w:rPr>
          <w:rFonts w:hint="eastAsia" w:ascii="宋体" w:hAnsi="宋体"/>
          <w:sz w:val="28"/>
          <w:szCs w:val="28"/>
          <w:lang w:val="en-GB"/>
        </w:rPr>
        <w:t>四、投标一览表</w:t>
      </w:r>
    </w:p>
    <w:p w14:paraId="3EB29166">
      <w:pPr>
        <w:rPr>
          <w:rFonts w:ascii="宋体" w:hAnsi="宋体"/>
          <w:sz w:val="28"/>
          <w:szCs w:val="28"/>
        </w:rPr>
      </w:pPr>
      <w:r>
        <w:rPr>
          <w:rFonts w:hint="eastAsia" w:ascii="宋体" w:hAnsi="宋体"/>
          <w:sz w:val="28"/>
          <w:szCs w:val="28"/>
          <w:lang w:val="en-US" w:eastAsia="zh-CN"/>
        </w:rPr>
        <w:t>五</w:t>
      </w:r>
      <w:r>
        <w:rPr>
          <w:rFonts w:hint="eastAsia" w:ascii="宋体" w:hAnsi="宋体"/>
          <w:sz w:val="28"/>
          <w:szCs w:val="28"/>
        </w:rPr>
        <w:t>、</w:t>
      </w:r>
      <w:r>
        <w:rPr>
          <w:rFonts w:hint="eastAsia" w:ascii="宋体" w:hAnsi="宋体"/>
          <w:sz w:val="28"/>
          <w:szCs w:val="28"/>
          <w:lang w:eastAsia="zh-CN"/>
        </w:rPr>
        <w:t>供应商</w:t>
      </w:r>
      <w:r>
        <w:rPr>
          <w:rFonts w:hint="eastAsia" w:ascii="宋体" w:hAnsi="宋体"/>
          <w:sz w:val="28"/>
          <w:szCs w:val="28"/>
        </w:rPr>
        <w:t>资格证明文件</w:t>
      </w:r>
    </w:p>
    <w:p w14:paraId="41A9C4D2">
      <w:pPr>
        <w:rPr>
          <w:rFonts w:ascii="宋体" w:hAnsi="宋体"/>
          <w:sz w:val="28"/>
          <w:szCs w:val="28"/>
        </w:rPr>
      </w:pPr>
      <w:r>
        <w:rPr>
          <w:rFonts w:hint="eastAsia" w:ascii="宋体" w:hAnsi="宋体"/>
          <w:sz w:val="28"/>
          <w:szCs w:val="28"/>
        </w:rPr>
        <w:t>（一）</w:t>
      </w:r>
      <w:r>
        <w:rPr>
          <w:rFonts w:hint="eastAsia" w:ascii="宋体" w:hAnsi="宋体"/>
          <w:sz w:val="28"/>
          <w:szCs w:val="28"/>
          <w:lang w:eastAsia="zh-CN"/>
        </w:rPr>
        <w:t>供应商</w:t>
      </w:r>
      <w:r>
        <w:rPr>
          <w:rFonts w:hint="eastAsia" w:ascii="宋体" w:hAnsi="宋体"/>
          <w:sz w:val="28"/>
          <w:szCs w:val="28"/>
        </w:rPr>
        <w:t>基本情况表</w:t>
      </w:r>
    </w:p>
    <w:p w14:paraId="030DE0D9">
      <w:pPr>
        <w:rPr>
          <w:rFonts w:hint="eastAsia" w:ascii="宋体" w:hAnsi="宋体"/>
          <w:sz w:val="28"/>
          <w:szCs w:val="28"/>
        </w:rPr>
      </w:pPr>
      <w:r>
        <w:rPr>
          <w:rFonts w:hint="eastAsia" w:ascii="宋体" w:hAnsi="宋体"/>
          <w:sz w:val="28"/>
          <w:szCs w:val="28"/>
        </w:rPr>
        <w:t>（二）资格审查资料</w:t>
      </w:r>
    </w:p>
    <w:p w14:paraId="3189513C">
      <w:pPr>
        <w:rPr>
          <w:rFonts w:hint="default" w:ascii="宋体" w:hAnsi="宋体" w:eastAsia="宋体"/>
          <w:sz w:val="28"/>
          <w:szCs w:val="28"/>
          <w:lang w:val="en-US" w:eastAsia="zh-CN"/>
        </w:rPr>
      </w:pPr>
      <w:r>
        <w:rPr>
          <w:rFonts w:hint="eastAsia" w:ascii="宋体" w:hAnsi="宋体"/>
          <w:sz w:val="28"/>
          <w:szCs w:val="28"/>
          <w:lang w:val="en-US" w:eastAsia="zh-CN"/>
        </w:rPr>
        <w:t>六、中小企业声明函</w:t>
      </w:r>
    </w:p>
    <w:p w14:paraId="07D2DE61">
      <w:pPr>
        <w:rPr>
          <w:rFonts w:ascii="宋体" w:hAnsi="宋体"/>
          <w:sz w:val="28"/>
          <w:szCs w:val="28"/>
        </w:rPr>
      </w:pPr>
      <w:r>
        <w:rPr>
          <w:rFonts w:hint="eastAsia" w:ascii="宋体" w:hAnsi="宋体"/>
          <w:sz w:val="28"/>
          <w:szCs w:val="28"/>
          <w:lang w:val="en-US" w:eastAsia="zh-CN"/>
        </w:rPr>
        <w:t>七</w:t>
      </w:r>
      <w:r>
        <w:rPr>
          <w:rFonts w:hint="eastAsia" w:ascii="宋体" w:hAnsi="宋体"/>
          <w:sz w:val="28"/>
          <w:szCs w:val="28"/>
        </w:rPr>
        <w:t>、用户需求响应表</w:t>
      </w:r>
    </w:p>
    <w:p w14:paraId="7863088A">
      <w:pPr>
        <w:rPr>
          <w:rFonts w:ascii="宋体" w:hAnsi="宋体"/>
          <w:sz w:val="28"/>
          <w:szCs w:val="28"/>
          <w:lang w:val="en-GB"/>
        </w:rPr>
      </w:pPr>
      <w:r>
        <w:rPr>
          <w:rFonts w:hint="eastAsia" w:ascii="宋体" w:hAnsi="宋体"/>
          <w:sz w:val="28"/>
          <w:szCs w:val="28"/>
          <w:lang w:val="en-US" w:eastAsia="zh-CN"/>
        </w:rPr>
        <w:t>八</w:t>
      </w:r>
      <w:r>
        <w:rPr>
          <w:rFonts w:hint="eastAsia" w:ascii="宋体" w:hAnsi="宋体"/>
          <w:sz w:val="28"/>
          <w:szCs w:val="28"/>
        </w:rPr>
        <w:t>、</w:t>
      </w:r>
      <w:r>
        <w:rPr>
          <w:rFonts w:hint="eastAsia" w:ascii="宋体" w:hAnsi="宋体"/>
          <w:sz w:val="28"/>
          <w:szCs w:val="28"/>
          <w:lang w:val="en-GB" w:eastAsia="zh-CN"/>
        </w:rPr>
        <w:t>供应商</w:t>
      </w:r>
      <w:r>
        <w:rPr>
          <w:rFonts w:hint="eastAsia" w:ascii="宋体" w:hAnsi="宋体"/>
          <w:sz w:val="28"/>
          <w:szCs w:val="28"/>
          <w:lang w:val="en-GB"/>
        </w:rPr>
        <w:t>简介</w:t>
      </w:r>
    </w:p>
    <w:p w14:paraId="31A13A05">
      <w:pPr>
        <w:rPr>
          <w:rFonts w:ascii="宋体" w:hAnsi="宋体"/>
          <w:sz w:val="28"/>
          <w:szCs w:val="28"/>
          <w:lang w:val="en-GB"/>
        </w:rPr>
      </w:pPr>
      <w:r>
        <w:rPr>
          <w:rFonts w:hint="eastAsia" w:ascii="宋体" w:hAnsi="宋体"/>
          <w:sz w:val="28"/>
          <w:szCs w:val="28"/>
          <w:lang w:val="en-US" w:eastAsia="zh-CN"/>
        </w:rPr>
        <w:t>九</w:t>
      </w:r>
      <w:r>
        <w:rPr>
          <w:rFonts w:hint="eastAsia" w:ascii="宋体" w:hAnsi="宋体"/>
          <w:sz w:val="28"/>
          <w:szCs w:val="28"/>
          <w:lang w:val="en-GB"/>
        </w:rPr>
        <w:t>、项目业绩一览表</w:t>
      </w:r>
    </w:p>
    <w:p w14:paraId="756BBAFE">
      <w:pPr>
        <w:rPr>
          <w:rFonts w:ascii="宋体" w:hAnsi="宋体"/>
          <w:sz w:val="28"/>
          <w:szCs w:val="28"/>
          <w:lang w:val="en-GB"/>
        </w:rPr>
      </w:pPr>
      <w:r>
        <w:rPr>
          <w:rFonts w:hint="eastAsia" w:ascii="宋体" w:hAnsi="宋体"/>
          <w:sz w:val="28"/>
          <w:szCs w:val="28"/>
          <w:lang w:val="en-US" w:eastAsia="zh-CN"/>
        </w:rPr>
        <w:t>十</w:t>
      </w:r>
      <w:r>
        <w:rPr>
          <w:rFonts w:hint="eastAsia" w:ascii="宋体" w:hAnsi="宋体"/>
          <w:sz w:val="28"/>
          <w:szCs w:val="28"/>
          <w:lang w:val="en-GB"/>
        </w:rPr>
        <w:t>、</w:t>
      </w:r>
      <w:r>
        <w:rPr>
          <w:rFonts w:hint="eastAsia" w:ascii="宋体" w:hAnsi="宋体"/>
          <w:sz w:val="28"/>
          <w:szCs w:val="28"/>
          <w:lang w:val="en-US" w:eastAsia="zh-CN"/>
        </w:rPr>
        <w:t>项目技术</w:t>
      </w:r>
      <w:r>
        <w:rPr>
          <w:rFonts w:hint="eastAsia" w:ascii="宋体" w:hAnsi="宋体"/>
          <w:sz w:val="28"/>
          <w:szCs w:val="28"/>
          <w:lang w:val="en-GB"/>
        </w:rPr>
        <w:t>方案</w:t>
      </w:r>
    </w:p>
    <w:p w14:paraId="72A16207">
      <w:pPr>
        <w:rPr>
          <w:rFonts w:ascii="宋体" w:hAnsi="宋体"/>
          <w:sz w:val="28"/>
          <w:szCs w:val="28"/>
          <w:lang w:val="en-GB"/>
        </w:rPr>
      </w:pPr>
      <w:r>
        <w:rPr>
          <w:rFonts w:hint="eastAsia" w:ascii="宋体" w:hAnsi="宋体"/>
          <w:sz w:val="28"/>
          <w:szCs w:val="28"/>
          <w:lang w:val="en-GB"/>
        </w:rPr>
        <w:t>十</w:t>
      </w:r>
      <w:r>
        <w:rPr>
          <w:rFonts w:hint="eastAsia" w:ascii="宋体" w:hAnsi="宋体"/>
          <w:sz w:val="28"/>
          <w:szCs w:val="28"/>
          <w:lang w:val="en-US" w:eastAsia="zh-CN"/>
        </w:rPr>
        <w:t>一</w:t>
      </w:r>
      <w:r>
        <w:rPr>
          <w:rFonts w:hint="eastAsia" w:ascii="宋体" w:hAnsi="宋体"/>
          <w:sz w:val="28"/>
          <w:szCs w:val="28"/>
          <w:lang w:val="en-GB"/>
        </w:rPr>
        <w:t>、其他材料</w:t>
      </w:r>
    </w:p>
    <w:p w14:paraId="34633AAE">
      <w:pPr>
        <w:rPr>
          <w:rFonts w:ascii="宋体" w:hAnsi="宋体"/>
          <w:sz w:val="28"/>
          <w:szCs w:val="28"/>
        </w:rPr>
      </w:pPr>
    </w:p>
    <w:p w14:paraId="7C9E479C">
      <w:pPr>
        <w:rPr>
          <w:rFonts w:ascii="宋体" w:hAnsi="宋体"/>
          <w:sz w:val="28"/>
          <w:szCs w:val="28"/>
        </w:rPr>
      </w:pPr>
    </w:p>
    <w:p w14:paraId="27B392CB">
      <w:pPr>
        <w:spacing w:line="460" w:lineRule="exact"/>
      </w:pPr>
    </w:p>
    <w:p w14:paraId="16E6DD07">
      <w:pPr>
        <w:spacing w:line="440" w:lineRule="exact"/>
        <w:jc w:val="center"/>
        <w:rPr>
          <w:rFonts w:ascii="宋体" w:hAnsi="宋体" w:cs="宋体"/>
          <w:b/>
          <w:sz w:val="30"/>
          <w:szCs w:val="30"/>
          <w:lang w:val="en-GB"/>
        </w:rPr>
      </w:pPr>
      <w:bookmarkStart w:id="251" w:name="_Toc364341472"/>
      <w:bookmarkStart w:id="252" w:name="_Toc45533836"/>
      <w:bookmarkStart w:id="253" w:name="_Toc248740581"/>
      <w:bookmarkStart w:id="254" w:name="_Toc229152483"/>
      <w:bookmarkStart w:id="255" w:name="_Toc364316076"/>
    </w:p>
    <w:p w14:paraId="3E40A921">
      <w:pPr>
        <w:spacing w:line="440" w:lineRule="exact"/>
        <w:jc w:val="center"/>
        <w:rPr>
          <w:rFonts w:ascii="宋体" w:hAnsi="宋体" w:cs="宋体"/>
          <w:b/>
          <w:sz w:val="30"/>
          <w:szCs w:val="30"/>
          <w:lang w:val="en-GB"/>
        </w:rPr>
      </w:pPr>
    </w:p>
    <w:p w14:paraId="44A5C1D5">
      <w:pPr>
        <w:spacing w:line="440" w:lineRule="exact"/>
        <w:jc w:val="center"/>
        <w:rPr>
          <w:rFonts w:ascii="宋体" w:hAnsi="宋体" w:cs="宋体"/>
          <w:b/>
          <w:sz w:val="30"/>
          <w:szCs w:val="30"/>
          <w:lang w:val="en-GB"/>
        </w:rPr>
      </w:pPr>
    </w:p>
    <w:p w14:paraId="18B69B95">
      <w:pPr>
        <w:spacing w:line="440" w:lineRule="exact"/>
        <w:jc w:val="center"/>
        <w:rPr>
          <w:rFonts w:ascii="宋体" w:hAnsi="宋体" w:cs="宋体"/>
          <w:b/>
          <w:sz w:val="30"/>
          <w:szCs w:val="30"/>
          <w:lang w:val="en-GB"/>
        </w:rPr>
      </w:pPr>
    </w:p>
    <w:p w14:paraId="2F45B21F">
      <w:pPr>
        <w:spacing w:line="440" w:lineRule="exact"/>
        <w:jc w:val="center"/>
        <w:rPr>
          <w:rFonts w:ascii="宋体" w:hAnsi="宋体" w:cs="宋体"/>
          <w:b/>
          <w:sz w:val="30"/>
          <w:szCs w:val="30"/>
          <w:lang w:val="en-GB"/>
        </w:rPr>
      </w:pPr>
    </w:p>
    <w:p w14:paraId="7C9C6B8F">
      <w:pPr>
        <w:spacing w:line="440" w:lineRule="exact"/>
        <w:jc w:val="center"/>
        <w:rPr>
          <w:rFonts w:ascii="宋体" w:hAnsi="宋体" w:cs="宋体"/>
          <w:b/>
          <w:sz w:val="30"/>
          <w:szCs w:val="30"/>
          <w:lang w:val="en-GB"/>
        </w:rPr>
      </w:pPr>
    </w:p>
    <w:p w14:paraId="3E09FEB5">
      <w:pPr>
        <w:pStyle w:val="2"/>
        <w:rPr>
          <w:lang w:val="en-GB"/>
        </w:rPr>
      </w:pPr>
    </w:p>
    <w:p w14:paraId="14142D86">
      <w:pPr>
        <w:spacing w:line="440" w:lineRule="exact"/>
        <w:rPr>
          <w:rFonts w:ascii="宋体" w:hAnsi="宋体" w:cs="宋体"/>
          <w:b/>
          <w:sz w:val="30"/>
          <w:szCs w:val="30"/>
          <w:lang w:val="en-GB"/>
        </w:rPr>
      </w:pPr>
    </w:p>
    <w:p w14:paraId="2580291A">
      <w:pPr>
        <w:wordWrap w:val="0"/>
        <w:spacing w:line="360" w:lineRule="auto"/>
        <w:jc w:val="center"/>
        <w:rPr>
          <w:rFonts w:cs="宋体"/>
          <w:sz w:val="32"/>
          <w:szCs w:val="32"/>
        </w:rPr>
      </w:pPr>
      <w:bookmarkStart w:id="256" w:name="_Toc410830782"/>
      <w:bookmarkStart w:id="257" w:name="_Toc115358999"/>
      <w:bookmarkStart w:id="258" w:name="_Toc408133557"/>
      <w:bookmarkStart w:id="259" w:name="_Toc398637894"/>
      <w:bookmarkStart w:id="260" w:name="_Toc488955489"/>
      <w:bookmarkStart w:id="261" w:name="_Toc38635205"/>
      <w:bookmarkStart w:id="262" w:name="_Toc398637784"/>
      <w:bookmarkStart w:id="263" w:name="_Toc154744453"/>
      <w:bookmarkStart w:id="264" w:name="_Toc154755497"/>
      <w:r>
        <w:rPr>
          <w:rFonts w:hint="eastAsia" w:cs="宋体"/>
          <w:sz w:val="32"/>
          <w:szCs w:val="32"/>
        </w:rPr>
        <w:t>评标索引表</w:t>
      </w:r>
      <w:bookmarkEnd w:id="256"/>
      <w:bookmarkEnd w:id="257"/>
      <w:bookmarkEnd w:id="258"/>
      <w:bookmarkEnd w:id="259"/>
      <w:bookmarkEnd w:id="260"/>
      <w:bookmarkEnd w:id="261"/>
      <w:bookmarkEnd w:id="262"/>
      <w:bookmarkEnd w:id="263"/>
      <w:bookmarkEnd w:id="264"/>
    </w:p>
    <w:p w14:paraId="74C3CFB2"/>
    <w:p w14:paraId="5CBC3D90">
      <w:pPr>
        <w:wordWrap w:val="0"/>
        <w:spacing w:line="360" w:lineRule="auto"/>
        <w:ind w:firstLine="480" w:firstLineChars="200"/>
        <w:rPr>
          <w:rFonts w:ascii="宋体" w:hAnsi="宋体" w:cs="宋体"/>
          <w:b/>
          <w:sz w:val="24"/>
        </w:rPr>
      </w:pPr>
      <w:r>
        <w:rPr>
          <w:rFonts w:hint="eastAsia" w:ascii="宋体" w:hAnsi="宋体" w:cs="宋体"/>
          <w:sz w:val="24"/>
        </w:rPr>
        <w:t>为了便于评标的高效有序进行，请</w:t>
      </w:r>
      <w:r>
        <w:rPr>
          <w:rFonts w:hint="eastAsia" w:ascii="宋体" w:hAnsi="宋体" w:cs="宋体"/>
          <w:sz w:val="24"/>
          <w:lang w:eastAsia="zh-CN"/>
        </w:rPr>
        <w:t>供应商</w:t>
      </w:r>
      <w:r>
        <w:rPr>
          <w:rFonts w:hint="eastAsia" w:ascii="宋体" w:hAnsi="宋体" w:cs="宋体"/>
          <w:sz w:val="24"/>
        </w:rPr>
        <w:t>参照此格式提供评标索引表：</w:t>
      </w:r>
    </w:p>
    <w:p w14:paraId="5F3376D4">
      <w:pPr>
        <w:wordWrap w:val="0"/>
        <w:spacing w:line="360" w:lineRule="auto"/>
        <w:rPr>
          <w:rFonts w:ascii="宋体" w:hAnsi="宋体" w:cs="宋体"/>
          <w:b/>
          <w:sz w:val="24"/>
        </w:rPr>
      </w:pPr>
    </w:p>
    <w:p w14:paraId="028A829D">
      <w:pPr>
        <w:wordWrap w:val="0"/>
        <w:spacing w:line="360" w:lineRule="auto"/>
        <w:jc w:val="center"/>
        <w:rPr>
          <w:rFonts w:ascii="宋体" w:hAnsi="宋体" w:cs="宋体"/>
          <w:b/>
          <w:sz w:val="24"/>
        </w:rPr>
      </w:pPr>
      <w:r>
        <w:rPr>
          <w:rFonts w:hint="eastAsia" w:ascii="宋体" w:hAnsi="宋体" w:cs="宋体"/>
          <w:b/>
          <w:sz w:val="24"/>
        </w:rPr>
        <w:t>技术商务评分表页码索引表</w:t>
      </w:r>
    </w:p>
    <w:tbl>
      <w:tblPr>
        <w:tblStyle w:val="29"/>
        <w:tblW w:w="90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2987"/>
        <w:gridCol w:w="2551"/>
        <w:gridCol w:w="2297"/>
      </w:tblGrid>
      <w:tr w14:paraId="2AF0AF3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14:paraId="728A64EA">
            <w:pPr>
              <w:wordWrap w:val="0"/>
              <w:autoSpaceDN w:val="0"/>
              <w:spacing w:line="360" w:lineRule="auto"/>
              <w:ind w:right="482"/>
              <w:jc w:val="center"/>
              <w:rPr>
                <w:rFonts w:ascii="宋体" w:hAnsi="宋体" w:cs="宋体"/>
                <w:sz w:val="24"/>
                <w:shd w:val="clear" w:color="auto" w:fill="FFFFFF"/>
              </w:rPr>
            </w:pPr>
            <w:r>
              <w:rPr>
                <w:rFonts w:hint="eastAsia" w:ascii="宋体" w:hAnsi="宋体" w:cs="宋体"/>
                <w:sz w:val="24"/>
                <w:shd w:val="clear" w:color="auto" w:fill="FFFFFF"/>
              </w:rPr>
              <w:t>序号</w:t>
            </w:r>
          </w:p>
        </w:tc>
        <w:tc>
          <w:tcPr>
            <w:tcW w:w="2987" w:type="dxa"/>
            <w:vAlign w:val="center"/>
          </w:tcPr>
          <w:p w14:paraId="51E483A5">
            <w:pPr>
              <w:wordWrap w:val="0"/>
              <w:autoSpaceDN w:val="0"/>
              <w:spacing w:line="360" w:lineRule="auto"/>
              <w:ind w:right="482"/>
              <w:jc w:val="center"/>
              <w:rPr>
                <w:rFonts w:ascii="宋体" w:hAnsi="宋体" w:cs="宋体"/>
                <w:sz w:val="24"/>
                <w:shd w:val="clear" w:color="auto" w:fill="FFFFFF"/>
              </w:rPr>
            </w:pPr>
            <w:r>
              <w:rPr>
                <w:rFonts w:hint="eastAsia" w:ascii="宋体" w:hAnsi="宋体" w:cs="宋体"/>
                <w:sz w:val="24"/>
                <w:shd w:val="clear" w:color="auto" w:fill="FFFFFF"/>
              </w:rPr>
              <w:t>评审项</w:t>
            </w:r>
          </w:p>
        </w:tc>
        <w:tc>
          <w:tcPr>
            <w:tcW w:w="2551" w:type="dxa"/>
            <w:vAlign w:val="center"/>
          </w:tcPr>
          <w:p w14:paraId="37A544FE">
            <w:pPr>
              <w:wordWrap w:val="0"/>
              <w:autoSpaceDN w:val="0"/>
              <w:spacing w:line="360" w:lineRule="auto"/>
              <w:ind w:right="482"/>
              <w:jc w:val="center"/>
              <w:rPr>
                <w:rFonts w:ascii="宋体" w:hAnsi="宋体" w:cs="宋体"/>
                <w:sz w:val="24"/>
                <w:shd w:val="clear" w:color="auto" w:fill="FFFFFF"/>
              </w:rPr>
            </w:pPr>
            <w:r>
              <w:rPr>
                <w:rFonts w:hint="eastAsia" w:ascii="宋体" w:hAnsi="宋体" w:cs="宋体"/>
                <w:sz w:val="24"/>
                <w:shd w:val="clear" w:color="auto" w:fill="FFFFFF"/>
              </w:rPr>
              <w:t>响应情况</w:t>
            </w:r>
          </w:p>
        </w:tc>
        <w:tc>
          <w:tcPr>
            <w:tcW w:w="2297" w:type="dxa"/>
            <w:vAlign w:val="center"/>
          </w:tcPr>
          <w:p w14:paraId="0B97EF08">
            <w:pPr>
              <w:wordWrap w:val="0"/>
              <w:autoSpaceDN w:val="0"/>
              <w:spacing w:line="360" w:lineRule="auto"/>
              <w:ind w:right="482"/>
              <w:jc w:val="center"/>
              <w:rPr>
                <w:rFonts w:ascii="宋体" w:hAnsi="宋体" w:cs="宋体"/>
                <w:sz w:val="24"/>
                <w:shd w:val="clear" w:color="auto" w:fill="FFFFFF"/>
              </w:rPr>
            </w:pPr>
            <w:r>
              <w:rPr>
                <w:rFonts w:hint="eastAsia" w:ascii="宋体" w:hAnsi="宋体" w:cs="宋体"/>
                <w:sz w:val="24"/>
                <w:shd w:val="clear" w:color="auto" w:fill="FFFFFF"/>
              </w:rPr>
              <w:t>材料所在页码</w:t>
            </w:r>
          </w:p>
          <w:p w14:paraId="6E65B2AF">
            <w:pPr>
              <w:wordWrap w:val="0"/>
              <w:autoSpaceDN w:val="0"/>
              <w:spacing w:line="360" w:lineRule="auto"/>
              <w:ind w:right="482"/>
              <w:jc w:val="center"/>
              <w:rPr>
                <w:rFonts w:ascii="宋体" w:hAnsi="宋体" w:cs="宋体"/>
                <w:sz w:val="24"/>
                <w:shd w:val="clear" w:color="auto" w:fill="FFFFFF"/>
              </w:rPr>
            </w:pPr>
            <w:r>
              <w:rPr>
                <w:rFonts w:hint="eastAsia" w:ascii="宋体" w:hAnsi="宋体" w:cs="宋体"/>
                <w:sz w:val="24"/>
                <w:shd w:val="clear" w:color="auto" w:fill="FFFFFF"/>
              </w:rPr>
              <w:t>（第页）</w:t>
            </w:r>
          </w:p>
        </w:tc>
      </w:tr>
      <w:tr w14:paraId="6C9E796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14:paraId="3809FA4C">
            <w:pPr>
              <w:wordWrap w:val="0"/>
              <w:autoSpaceDN w:val="0"/>
              <w:spacing w:line="360" w:lineRule="auto"/>
              <w:ind w:right="482"/>
              <w:jc w:val="center"/>
              <w:rPr>
                <w:rFonts w:ascii="宋体" w:hAnsi="宋体" w:cs="宋体"/>
                <w:sz w:val="24"/>
                <w:shd w:val="clear" w:color="auto" w:fill="FFFFFF"/>
              </w:rPr>
            </w:pPr>
            <w:r>
              <w:rPr>
                <w:rFonts w:ascii="宋体" w:hAnsi="宋体" w:cs="宋体"/>
                <w:sz w:val="24"/>
                <w:shd w:val="clear" w:color="auto" w:fill="FFFFFF"/>
              </w:rPr>
              <w:t>1</w:t>
            </w:r>
          </w:p>
        </w:tc>
        <w:tc>
          <w:tcPr>
            <w:tcW w:w="2987" w:type="dxa"/>
            <w:vAlign w:val="center"/>
          </w:tcPr>
          <w:p w14:paraId="730725DB">
            <w:pPr>
              <w:wordWrap w:val="0"/>
              <w:autoSpaceDN w:val="0"/>
              <w:spacing w:line="360" w:lineRule="auto"/>
              <w:ind w:right="482"/>
              <w:jc w:val="center"/>
              <w:rPr>
                <w:rFonts w:ascii="宋体" w:hAnsi="宋体" w:cs="宋体"/>
                <w:sz w:val="24"/>
                <w:shd w:val="clear" w:color="auto" w:fill="FFFFFF"/>
              </w:rPr>
            </w:pPr>
          </w:p>
        </w:tc>
        <w:tc>
          <w:tcPr>
            <w:tcW w:w="2551" w:type="dxa"/>
            <w:vAlign w:val="center"/>
          </w:tcPr>
          <w:p w14:paraId="6D2CAFA4">
            <w:pPr>
              <w:wordWrap w:val="0"/>
              <w:autoSpaceDN w:val="0"/>
              <w:spacing w:line="360" w:lineRule="auto"/>
              <w:ind w:right="482"/>
              <w:jc w:val="center"/>
              <w:rPr>
                <w:rFonts w:ascii="宋体" w:hAnsi="宋体" w:cs="宋体"/>
                <w:sz w:val="24"/>
                <w:shd w:val="clear" w:color="auto" w:fill="FFFFFF"/>
              </w:rPr>
            </w:pPr>
          </w:p>
        </w:tc>
        <w:tc>
          <w:tcPr>
            <w:tcW w:w="2297" w:type="dxa"/>
            <w:vAlign w:val="center"/>
          </w:tcPr>
          <w:p w14:paraId="48DC1CD1">
            <w:pPr>
              <w:wordWrap w:val="0"/>
              <w:autoSpaceDN w:val="0"/>
              <w:spacing w:line="360" w:lineRule="auto"/>
              <w:ind w:right="482"/>
              <w:jc w:val="center"/>
              <w:rPr>
                <w:rFonts w:ascii="宋体" w:hAnsi="宋体" w:cs="宋体"/>
                <w:sz w:val="24"/>
                <w:shd w:val="clear" w:color="auto" w:fill="FFFFFF"/>
              </w:rPr>
            </w:pPr>
          </w:p>
        </w:tc>
      </w:tr>
      <w:tr w14:paraId="2DE5F2D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14:paraId="4FE850A5">
            <w:pPr>
              <w:wordWrap w:val="0"/>
              <w:autoSpaceDN w:val="0"/>
              <w:spacing w:line="360" w:lineRule="auto"/>
              <w:ind w:right="482"/>
              <w:jc w:val="center"/>
              <w:rPr>
                <w:rFonts w:ascii="宋体" w:hAnsi="宋体" w:cs="宋体"/>
                <w:sz w:val="24"/>
                <w:shd w:val="clear" w:color="auto" w:fill="FFFFFF"/>
              </w:rPr>
            </w:pPr>
            <w:r>
              <w:rPr>
                <w:rFonts w:ascii="宋体" w:hAnsi="宋体" w:cs="宋体"/>
                <w:sz w:val="24"/>
                <w:shd w:val="clear" w:color="auto" w:fill="FFFFFF"/>
              </w:rPr>
              <w:t>2</w:t>
            </w:r>
          </w:p>
        </w:tc>
        <w:tc>
          <w:tcPr>
            <w:tcW w:w="2987" w:type="dxa"/>
            <w:vAlign w:val="center"/>
          </w:tcPr>
          <w:p w14:paraId="3B3798B0">
            <w:pPr>
              <w:wordWrap w:val="0"/>
              <w:autoSpaceDN w:val="0"/>
              <w:spacing w:line="360" w:lineRule="auto"/>
              <w:ind w:right="482"/>
              <w:jc w:val="center"/>
              <w:rPr>
                <w:rFonts w:ascii="宋体" w:hAnsi="宋体" w:cs="宋体"/>
                <w:sz w:val="24"/>
                <w:shd w:val="clear" w:color="auto" w:fill="FFFFFF"/>
              </w:rPr>
            </w:pPr>
          </w:p>
        </w:tc>
        <w:tc>
          <w:tcPr>
            <w:tcW w:w="2551" w:type="dxa"/>
            <w:vAlign w:val="center"/>
          </w:tcPr>
          <w:p w14:paraId="37C8CA5A">
            <w:pPr>
              <w:wordWrap w:val="0"/>
              <w:autoSpaceDN w:val="0"/>
              <w:spacing w:line="360" w:lineRule="auto"/>
              <w:ind w:right="482"/>
              <w:jc w:val="center"/>
              <w:rPr>
                <w:rFonts w:ascii="宋体" w:hAnsi="宋体" w:cs="宋体"/>
                <w:sz w:val="24"/>
                <w:shd w:val="clear" w:color="auto" w:fill="FFFFFF"/>
              </w:rPr>
            </w:pPr>
          </w:p>
        </w:tc>
        <w:tc>
          <w:tcPr>
            <w:tcW w:w="2297" w:type="dxa"/>
            <w:vAlign w:val="center"/>
          </w:tcPr>
          <w:p w14:paraId="5A8C6FCC">
            <w:pPr>
              <w:wordWrap w:val="0"/>
              <w:autoSpaceDN w:val="0"/>
              <w:spacing w:line="360" w:lineRule="auto"/>
              <w:ind w:right="482"/>
              <w:jc w:val="center"/>
              <w:rPr>
                <w:rFonts w:ascii="宋体" w:hAnsi="宋体" w:cs="宋体"/>
                <w:sz w:val="24"/>
                <w:shd w:val="clear" w:color="auto" w:fill="FFFFFF"/>
              </w:rPr>
            </w:pPr>
          </w:p>
        </w:tc>
      </w:tr>
      <w:tr w14:paraId="0C0F92D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14:paraId="356B42EF">
            <w:pPr>
              <w:wordWrap w:val="0"/>
              <w:autoSpaceDN w:val="0"/>
              <w:spacing w:line="360" w:lineRule="auto"/>
              <w:ind w:right="482"/>
              <w:jc w:val="center"/>
              <w:rPr>
                <w:rFonts w:ascii="宋体" w:hAnsi="宋体" w:cs="宋体"/>
                <w:sz w:val="24"/>
                <w:shd w:val="clear" w:color="auto" w:fill="FFFFFF"/>
              </w:rPr>
            </w:pPr>
            <w:r>
              <w:rPr>
                <w:rFonts w:ascii="宋体" w:hAnsi="宋体" w:cs="宋体"/>
                <w:sz w:val="24"/>
                <w:shd w:val="clear" w:color="auto" w:fill="FFFFFF"/>
              </w:rPr>
              <w:t>3</w:t>
            </w:r>
          </w:p>
        </w:tc>
        <w:tc>
          <w:tcPr>
            <w:tcW w:w="2987" w:type="dxa"/>
            <w:vAlign w:val="center"/>
          </w:tcPr>
          <w:p w14:paraId="1B51971C">
            <w:pPr>
              <w:wordWrap w:val="0"/>
              <w:autoSpaceDN w:val="0"/>
              <w:spacing w:line="360" w:lineRule="auto"/>
              <w:ind w:right="482"/>
              <w:jc w:val="center"/>
              <w:rPr>
                <w:rFonts w:ascii="宋体" w:hAnsi="宋体" w:cs="宋体"/>
                <w:sz w:val="24"/>
                <w:shd w:val="clear" w:color="auto" w:fill="FFFFFF"/>
              </w:rPr>
            </w:pPr>
          </w:p>
        </w:tc>
        <w:tc>
          <w:tcPr>
            <w:tcW w:w="2551" w:type="dxa"/>
            <w:vAlign w:val="center"/>
          </w:tcPr>
          <w:p w14:paraId="34BEA080">
            <w:pPr>
              <w:wordWrap w:val="0"/>
              <w:autoSpaceDN w:val="0"/>
              <w:spacing w:line="360" w:lineRule="auto"/>
              <w:ind w:right="482"/>
              <w:jc w:val="center"/>
              <w:rPr>
                <w:rFonts w:ascii="宋体" w:hAnsi="宋体" w:cs="宋体"/>
                <w:sz w:val="24"/>
                <w:shd w:val="clear" w:color="auto" w:fill="FFFFFF"/>
              </w:rPr>
            </w:pPr>
          </w:p>
        </w:tc>
        <w:tc>
          <w:tcPr>
            <w:tcW w:w="2297" w:type="dxa"/>
            <w:vAlign w:val="center"/>
          </w:tcPr>
          <w:p w14:paraId="01174F46">
            <w:pPr>
              <w:wordWrap w:val="0"/>
              <w:autoSpaceDN w:val="0"/>
              <w:spacing w:line="360" w:lineRule="auto"/>
              <w:ind w:right="482"/>
              <w:jc w:val="center"/>
              <w:rPr>
                <w:rFonts w:ascii="宋体" w:hAnsi="宋体" w:cs="宋体"/>
                <w:sz w:val="24"/>
                <w:shd w:val="clear" w:color="auto" w:fill="FFFFFF"/>
              </w:rPr>
            </w:pPr>
          </w:p>
        </w:tc>
      </w:tr>
      <w:tr w14:paraId="13AB3A0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14:paraId="29EE9A64">
            <w:pPr>
              <w:wordWrap w:val="0"/>
              <w:autoSpaceDN w:val="0"/>
              <w:spacing w:line="360" w:lineRule="auto"/>
              <w:ind w:right="482"/>
              <w:jc w:val="center"/>
              <w:rPr>
                <w:rFonts w:ascii="宋体" w:hAnsi="宋体" w:cs="宋体"/>
                <w:sz w:val="24"/>
                <w:shd w:val="clear" w:color="auto" w:fill="FFFFFF"/>
              </w:rPr>
            </w:pPr>
            <w:r>
              <w:rPr>
                <w:rFonts w:hint="eastAsia" w:ascii="宋体" w:hAnsi="宋体" w:cs="宋体"/>
                <w:sz w:val="24"/>
                <w:shd w:val="clear" w:color="auto" w:fill="FFFFFF"/>
              </w:rPr>
              <w:t>……</w:t>
            </w:r>
          </w:p>
        </w:tc>
        <w:tc>
          <w:tcPr>
            <w:tcW w:w="2987" w:type="dxa"/>
            <w:vAlign w:val="center"/>
          </w:tcPr>
          <w:p w14:paraId="78886BAA">
            <w:pPr>
              <w:wordWrap w:val="0"/>
              <w:autoSpaceDN w:val="0"/>
              <w:spacing w:line="360" w:lineRule="auto"/>
              <w:ind w:right="482"/>
              <w:jc w:val="center"/>
              <w:rPr>
                <w:rFonts w:ascii="宋体" w:hAnsi="宋体" w:cs="宋体"/>
                <w:sz w:val="24"/>
                <w:shd w:val="clear" w:color="auto" w:fill="FFFFFF"/>
              </w:rPr>
            </w:pPr>
          </w:p>
        </w:tc>
        <w:tc>
          <w:tcPr>
            <w:tcW w:w="2551" w:type="dxa"/>
            <w:vAlign w:val="center"/>
          </w:tcPr>
          <w:p w14:paraId="31E6F32A">
            <w:pPr>
              <w:wordWrap w:val="0"/>
              <w:autoSpaceDN w:val="0"/>
              <w:spacing w:line="360" w:lineRule="auto"/>
              <w:ind w:right="482"/>
              <w:jc w:val="center"/>
              <w:rPr>
                <w:rFonts w:ascii="宋体" w:hAnsi="宋体" w:cs="宋体"/>
                <w:sz w:val="24"/>
                <w:shd w:val="clear" w:color="auto" w:fill="FFFFFF"/>
              </w:rPr>
            </w:pPr>
          </w:p>
        </w:tc>
        <w:tc>
          <w:tcPr>
            <w:tcW w:w="2297" w:type="dxa"/>
            <w:vAlign w:val="center"/>
          </w:tcPr>
          <w:p w14:paraId="1ED63E9D">
            <w:pPr>
              <w:wordWrap w:val="0"/>
              <w:autoSpaceDN w:val="0"/>
              <w:spacing w:line="360" w:lineRule="auto"/>
              <w:ind w:right="482"/>
              <w:jc w:val="center"/>
              <w:rPr>
                <w:rFonts w:ascii="宋体" w:hAnsi="宋体" w:cs="宋体"/>
                <w:sz w:val="24"/>
                <w:shd w:val="clear" w:color="auto" w:fill="FFFFFF"/>
              </w:rPr>
            </w:pPr>
          </w:p>
        </w:tc>
      </w:tr>
    </w:tbl>
    <w:p w14:paraId="7066DC13">
      <w:pPr>
        <w:spacing w:line="440" w:lineRule="exact"/>
        <w:jc w:val="center"/>
        <w:rPr>
          <w:rFonts w:ascii="宋体" w:hAnsi="宋体" w:cs="宋体"/>
          <w:b/>
          <w:sz w:val="30"/>
          <w:szCs w:val="30"/>
          <w:lang w:val="en-GB"/>
        </w:rPr>
      </w:pPr>
    </w:p>
    <w:p w14:paraId="46490CC6">
      <w:pPr>
        <w:rPr>
          <w:rFonts w:ascii="宋体" w:hAnsi="宋体" w:cs="宋体"/>
          <w:sz w:val="30"/>
          <w:szCs w:val="30"/>
          <w:lang w:val="en-GB"/>
        </w:rPr>
      </w:pPr>
    </w:p>
    <w:p w14:paraId="4175AB7B">
      <w:pPr>
        <w:rPr>
          <w:rFonts w:ascii="宋体" w:hAnsi="宋体" w:cs="宋体"/>
          <w:b/>
          <w:sz w:val="30"/>
          <w:szCs w:val="30"/>
          <w:lang w:val="en-GB"/>
        </w:rPr>
      </w:pPr>
    </w:p>
    <w:p w14:paraId="2D1653EC">
      <w:pPr>
        <w:rPr>
          <w:rFonts w:ascii="宋体" w:hAnsi="宋体" w:cs="宋体"/>
          <w:sz w:val="30"/>
          <w:szCs w:val="30"/>
          <w:lang w:val="en-GB"/>
        </w:rPr>
      </w:pPr>
    </w:p>
    <w:p w14:paraId="392C1E81">
      <w:pPr>
        <w:rPr>
          <w:rFonts w:ascii="宋体" w:hAnsi="宋体" w:cs="宋体"/>
          <w:b/>
          <w:sz w:val="30"/>
          <w:szCs w:val="30"/>
          <w:lang w:val="en-GB"/>
        </w:rPr>
      </w:pPr>
    </w:p>
    <w:p w14:paraId="7D21D730">
      <w:pPr>
        <w:rPr>
          <w:rFonts w:ascii="宋体" w:hAnsi="宋体" w:cs="宋体"/>
          <w:sz w:val="30"/>
          <w:szCs w:val="30"/>
          <w:lang w:val="en-GB"/>
        </w:rPr>
      </w:pPr>
    </w:p>
    <w:p w14:paraId="407C77C9">
      <w:pPr>
        <w:rPr>
          <w:rFonts w:ascii="宋体" w:hAnsi="宋体" w:cs="宋体"/>
          <w:b/>
          <w:sz w:val="30"/>
          <w:szCs w:val="30"/>
          <w:lang w:val="en-GB"/>
        </w:rPr>
      </w:pPr>
    </w:p>
    <w:p w14:paraId="26E04474">
      <w:pPr>
        <w:rPr>
          <w:rFonts w:ascii="宋体" w:hAnsi="宋体" w:cs="宋体"/>
          <w:sz w:val="30"/>
          <w:szCs w:val="30"/>
          <w:lang w:val="en-GB"/>
        </w:rPr>
      </w:pPr>
    </w:p>
    <w:p w14:paraId="0D623AEB">
      <w:pPr>
        <w:rPr>
          <w:rFonts w:ascii="宋体" w:hAnsi="宋体" w:cs="宋体"/>
          <w:b/>
          <w:sz w:val="30"/>
          <w:szCs w:val="30"/>
          <w:lang w:val="en-GB"/>
        </w:rPr>
      </w:pPr>
    </w:p>
    <w:p w14:paraId="6795CF56">
      <w:pPr>
        <w:rPr>
          <w:rFonts w:ascii="宋体" w:hAnsi="宋体" w:cs="宋体"/>
          <w:sz w:val="30"/>
          <w:szCs w:val="30"/>
          <w:lang w:val="en-GB"/>
        </w:rPr>
      </w:pPr>
    </w:p>
    <w:p w14:paraId="4C1F06AD">
      <w:pPr>
        <w:rPr>
          <w:rFonts w:ascii="宋体" w:hAnsi="宋体" w:cs="宋体"/>
          <w:b/>
          <w:sz w:val="30"/>
          <w:szCs w:val="30"/>
          <w:lang w:val="en-GB"/>
        </w:rPr>
      </w:pPr>
    </w:p>
    <w:p w14:paraId="5F437F6A">
      <w:pPr>
        <w:rPr>
          <w:lang w:val="en-GB"/>
        </w:rPr>
      </w:pPr>
    </w:p>
    <w:p w14:paraId="497AFB8F">
      <w:pPr>
        <w:spacing w:line="440" w:lineRule="exact"/>
        <w:rPr>
          <w:rFonts w:ascii="宋体" w:hAnsi="宋体" w:cs="宋体"/>
          <w:b/>
          <w:sz w:val="30"/>
          <w:szCs w:val="30"/>
          <w:lang w:val="en-GB"/>
        </w:rPr>
      </w:pPr>
    </w:p>
    <w:p w14:paraId="5B385EC1">
      <w:pPr>
        <w:rPr>
          <w:rFonts w:ascii="宋体" w:hAnsi="宋体" w:cs="宋体"/>
          <w:b/>
          <w:sz w:val="30"/>
          <w:szCs w:val="30"/>
          <w:lang w:val="en-GB"/>
        </w:rPr>
      </w:pPr>
      <w:bookmarkStart w:id="265" w:name="_Toc154755498"/>
      <w:bookmarkStart w:id="266" w:name="_Toc154744454"/>
    </w:p>
    <w:p w14:paraId="0D026903">
      <w:pPr>
        <w:spacing w:line="440" w:lineRule="exact"/>
        <w:jc w:val="center"/>
        <w:outlineLvl w:val="1"/>
        <w:rPr>
          <w:rFonts w:ascii="宋体" w:hAnsi="宋体" w:cs="宋体"/>
          <w:b/>
          <w:sz w:val="24"/>
        </w:rPr>
      </w:pPr>
      <w:bookmarkStart w:id="267" w:name="_Toc13375"/>
      <w:r>
        <w:rPr>
          <w:rFonts w:hint="eastAsia" w:ascii="宋体" w:hAnsi="宋体" w:cs="宋体"/>
          <w:b/>
          <w:sz w:val="30"/>
          <w:szCs w:val="30"/>
          <w:lang w:val="en-GB"/>
        </w:rPr>
        <w:t>一、投标承诺函</w:t>
      </w:r>
      <w:bookmarkEnd w:id="265"/>
      <w:bookmarkEnd w:id="266"/>
      <w:bookmarkEnd w:id="267"/>
    </w:p>
    <w:p w14:paraId="2D405663">
      <w:pPr>
        <w:spacing w:beforeLines="50" w:line="440" w:lineRule="exact"/>
        <w:rPr>
          <w:rFonts w:ascii="宋体" w:hAnsi="宋体" w:cs="宋体"/>
          <w:b/>
          <w:bCs/>
          <w:sz w:val="24"/>
          <w:lang w:val="en-GB"/>
        </w:rPr>
      </w:pPr>
      <w:r>
        <w:rPr>
          <w:rFonts w:hint="eastAsia" w:ascii="宋体" w:hAnsi="宋体" w:cs="宋体"/>
          <w:b/>
          <w:bCs/>
          <w:sz w:val="24"/>
          <w:lang w:val="en-GB"/>
        </w:rPr>
        <w:t>致：</w:t>
      </w:r>
      <w:r>
        <w:rPr>
          <w:rFonts w:hint="eastAsia" w:ascii="宋体" w:hAnsi="宋体" w:cs="宋体"/>
          <w:b/>
          <w:bCs/>
          <w:sz w:val="24"/>
          <w:u w:val="single"/>
          <w:lang w:val="zh-CN"/>
        </w:rPr>
        <w:t>海南省机电工程学校</w:t>
      </w:r>
      <w:r>
        <w:rPr>
          <w:rFonts w:hint="eastAsia" w:ascii="宋体" w:hAnsi="宋体" w:cs="宋体"/>
          <w:b/>
          <w:bCs/>
          <w:sz w:val="24"/>
          <w:lang w:val="en-GB"/>
        </w:rPr>
        <w:t xml:space="preserve"> </w:t>
      </w:r>
    </w:p>
    <w:p w14:paraId="18CA87FF">
      <w:pPr>
        <w:spacing w:line="440" w:lineRule="exact"/>
        <w:ind w:firstLine="480" w:firstLineChars="200"/>
        <w:rPr>
          <w:rFonts w:ascii="宋体" w:hAnsi="宋体" w:cs="宋体"/>
          <w:sz w:val="24"/>
          <w:lang w:val="en-GB"/>
        </w:rPr>
      </w:pPr>
      <w:r>
        <w:rPr>
          <w:rFonts w:hint="eastAsia" w:ascii="宋体" w:hAnsi="宋体" w:cs="宋体"/>
          <w:sz w:val="24"/>
          <w:lang w:val="en-GB"/>
        </w:rPr>
        <w:t>根据贵单位就</w:t>
      </w:r>
      <w:r>
        <w:rPr>
          <w:rFonts w:hint="eastAsia" w:ascii="宋体" w:hAnsi="宋体" w:cs="宋体"/>
          <w:b/>
          <w:bCs/>
          <w:sz w:val="24"/>
          <w:u w:val="single"/>
          <w:lang w:val="zh-CN"/>
        </w:rPr>
        <w:t>海南省机电工程学校</w:t>
      </w:r>
      <w:r>
        <w:rPr>
          <w:rFonts w:hint="eastAsia" w:ascii="宋体" w:hAnsi="宋体" w:cs="宋体"/>
          <w:sz w:val="24"/>
          <w:lang w:val="zh-CN"/>
        </w:rPr>
        <w:t>的</w:t>
      </w:r>
      <w:r>
        <w:rPr>
          <w:rFonts w:hint="eastAsia" w:ascii="宋体" w:hAnsi="宋体" w:cs="宋体"/>
          <w:b/>
          <w:bCs/>
          <w:sz w:val="24"/>
          <w:u w:val="single"/>
          <w:lang w:eastAsia="zh-CN"/>
        </w:rPr>
        <w:t>海南省机电工程学校直播教室设备采购项目</w:t>
      </w:r>
      <w:r>
        <w:rPr>
          <w:rFonts w:ascii="宋体" w:hAnsi="宋体" w:cs="宋体"/>
          <w:b/>
          <w:bCs/>
          <w:sz w:val="24"/>
          <w:u w:val="single"/>
        </w:rPr>
        <w:t>（</w:t>
      </w:r>
      <w:r>
        <w:rPr>
          <w:rFonts w:hint="eastAsia" w:ascii="宋体" w:hAnsi="宋体" w:cs="宋体"/>
          <w:b/>
          <w:bCs/>
          <w:sz w:val="24"/>
          <w:u w:val="single"/>
          <w:lang w:val="en-GB"/>
        </w:rPr>
        <w:t>项目编号：</w:t>
      </w:r>
      <w:r>
        <w:rPr>
          <w:rFonts w:hint="eastAsia" w:ascii="宋体" w:hAnsi="宋体" w:cs="宋体"/>
          <w:b/>
          <w:bCs/>
          <w:sz w:val="24"/>
          <w:u w:val="single"/>
          <w:lang w:eastAsia="zh-CN"/>
        </w:rPr>
        <w:t>FZJTHN-CG-2024003</w:t>
      </w:r>
      <w:r>
        <w:rPr>
          <w:rFonts w:ascii="宋体" w:hAnsi="宋体" w:cs="宋体"/>
          <w:b/>
          <w:bCs/>
          <w:sz w:val="24"/>
          <w:u w:val="single"/>
        </w:rPr>
        <w:t>）</w:t>
      </w:r>
      <w:r>
        <w:rPr>
          <w:rFonts w:hint="eastAsia" w:ascii="宋体" w:hAnsi="宋体" w:cs="宋体"/>
          <w:sz w:val="24"/>
          <w:lang w:val="en-GB"/>
        </w:rPr>
        <w:t>的投标邀请函，正式授权下述签字人</w:t>
      </w:r>
      <w:r>
        <w:rPr>
          <w:rFonts w:hint="eastAsia" w:ascii="宋体" w:hAnsi="宋体" w:cs="宋体"/>
          <w:b/>
          <w:bCs/>
          <w:sz w:val="24"/>
          <w:u w:val="single"/>
          <w:lang w:val="en-GB"/>
        </w:rPr>
        <w:t>姓名：职务：</w:t>
      </w:r>
      <w:r>
        <w:rPr>
          <w:rFonts w:hint="eastAsia" w:ascii="宋体" w:hAnsi="宋体" w:cs="宋体"/>
          <w:sz w:val="24"/>
          <w:lang w:val="en-GB"/>
        </w:rPr>
        <w:t>代表</w:t>
      </w:r>
      <w:r>
        <w:rPr>
          <w:rFonts w:hint="eastAsia" w:ascii="宋体" w:hAnsi="宋体" w:cs="宋体"/>
          <w:sz w:val="24"/>
          <w:lang w:val="en-GB" w:eastAsia="zh-CN"/>
        </w:rPr>
        <w:t>供应商</w:t>
      </w:r>
      <w:r>
        <w:rPr>
          <w:rFonts w:hint="eastAsia" w:ascii="宋体" w:hAnsi="宋体" w:cs="宋体"/>
          <w:b/>
          <w:bCs/>
          <w:sz w:val="24"/>
          <w:u w:val="single"/>
          <w:lang w:val="en-GB"/>
        </w:rPr>
        <w:t>（</w:t>
      </w:r>
      <w:r>
        <w:rPr>
          <w:rFonts w:hint="eastAsia" w:ascii="宋体" w:hAnsi="宋体" w:cs="宋体"/>
          <w:b/>
          <w:bCs/>
          <w:sz w:val="24"/>
          <w:u w:val="single"/>
          <w:lang w:val="en-GB" w:eastAsia="zh-CN"/>
        </w:rPr>
        <w:t>供应商</w:t>
      </w:r>
      <w:r>
        <w:rPr>
          <w:rFonts w:hint="eastAsia" w:ascii="宋体" w:hAnsi="宋体" w:cs="宋体"/>
          <w:b/>
          <w:bCs/>
          <w:sz w:val="24"/>
          <w:u w:val="single"/>
          <w:lang w:val="en-GB"/>
        </w:rPr>
        <w:t>名称）</w:t>
      </w:r>
      <w:r>
        <w:rPr>
          <w:rFonts w:hint="eastAsia" w:ascii="宋体" w:hAnsi="宋体" w:cs="宋体"/>
          <w:sz w:val="24"/>
          <w:lang w:val="en-GB"/>
        </w:rPr>
        <w:t>。</w:t>
      </w:r>
    </w:p>
    <w:p w14:paraId="605CF4F9">
      <w:pPr>
        <w:spacing w:line="440" w:lineRule="exact"/>
        <w:ind w:firstLine="480" w:firstLineChars="200"/>
        <w:rPr>
          <w:rFonts w:ascii="宋体" w:hAnsi="宋体" w:cs="宋体"/>
          <w:sz w:val="24"/>
          <w:lang w:val="en-GB"/>
        </w:rPr>
      </w:pPr>
      <w:r>
        <w:rPr>
          <w:rFonts w:hint="eastAsia" w:ascii="宋体" w:hAnsi="宋体" w:cs="宋体"/>
          <w:sz w:val="24"/>
          <w:lang w:val="en-GB"/>
        </w:rPr>
        <w:t>本公司谨此承诺并声明：</w:t>
      </w:r>
    </w:p>
    <w:p w14:paraId="0310494C">
      <w:pPr>
        <w:spacing w:line="440" w:lineRule="exact"/>
        <w:ind w:firstLine="480" w:firstLineChars="200"/>
        <w:rPr>
          <w:rFonts w:ascii="宋体" w:hAnsi="宋体" w:cs="宋体"/>
          <w:sz w:val="24"/>
          <w:lang w:val="en-GB"/>
        </w:rPr>
      </w:pPr>
      <w:r>
        <w:rPr>
          <w:rFonts w:ascii="宋体" w:hAnsi="宋体" w:cs="宋体"/>
          <w:sz w:val="24"/>
          <w:lang w:val="en-GB"/>
        </w:rPr>
        <w:t xml:space="preserve">1、同意并接受招标文件的各项条款要求，遵守文件中的各项规定，按招标文件的要求投标。 </w:t>
      </w:r>
    </w:p>
    <w:p w14:paraId="3D91179A">
      <w:pPr>
        <w:spacing w:line="440" w:lineRule="exact"/>
        <w:ind w:firstLine="480" w:firstLineChars="200"/>
        <w:rPr>
          <w:rFonts w:ascii="宋体" w:hAnsi="宋体" w:cs="宋体"/>
          <w:sz w:val="24"/>
          <w:lang w:val="en-GB"/>
        </w:rPr>
      </w:pPr>
      <w:r>
        <w:rPr>
          <w:rFonts w:ascii="宋体" w:hAnsi="宋体" w:cs="宋体"/>
          <w:sz w:val="24"/>
          <w:lang w:val="en-GB"/>
        </w:rPr>
        <w:t>2、</w:t>
      </w:r>
      <w:r>
        <w:rPr>
          <w:rFonts w:hint="eastAsia" w:ascii="宋体" w:hAnsi="宋体" w:cs="宋体"/>
          <w:bCs/>
          <w:kern w:val="0"/>
          <w:sz w:val="24"/>
          <w:lang w:val="en-GB"/>
        </w:rPr>
        <w:t>本</w:t>
      </w:r>
      <w:r>
        <w:rPr>
          <w:rFonts w:hint="eastAsia" w:ascii="宋体" w:hAnsi="宋体" w:cs="宋体"/>
          <w:bCs/>
          <w:kern w:val="0"/>
          <w:sz w:val="24"/>
          <w:lang w:val="en-GB" w:eastAsia="zh-CN"/>
        </w:rPr>
        <w:t>响应文件</w:t>
      </w:r>
      <w:r>
        <w:rPr>
          <w:rFonts w:hint="eastAsia" w:ascii="宋体" w:hAnsi="宋体" w:cs="宋体"/>
          <w:bCs/>
          <w:kern w:val="0"/>
          <w:sz w:val="24"/>
          <w:lang w:val="en-GB"/>
        </w:rPr>
        <w:t>的有效期为从投标截止日期起计算的</w:t>
      </w:r>
      <w:r>
        <w:rPr>
          <w:rFonts w:ascii="宋体" w:hAnsi="宋体" w:cs="宋体"/>
          <w:b/>
          <w:kern w:val="0"/>
          <w:sz w:val="24"/>
          <w:u w:val="single"/>
        </w:rPr>
        <w:t>90</w:t>
      </w:r>
      <w:r>
        <w:rPr>
          <w:rFonts w:hint="eastAsia" w:ascii="宋体" w:hAnsi="宋体" w:cs="宋体"/>
          <w:bCs/>
          <w:kern w:val="0"/>
          <w:sz w:val="24"/>
        </w:rPr>
        <w:t>日历</w:t>
      </w:r>
      <w:r>
        <w:rPr>
          <w:rFonts w:hint="eastAsia" w:ascii="宋体" w:hAnsi="宋体" w:cs="宋体"/>
          <w:bCs/>
          <w:kern w:val="0"/>
          <w:sz w:val="24"/>
          <w:lang w:val="en-GB"/>
        </w:rPr>
        <w:t>天，在此期间，本</w:t>
      </w:r>
      <w:r>
        <w:rPr>
          <w:rFonts w:hint="eastAsia" w:ascii="宋体" w:hAnsi="宋体" w:cs="宋体"/>
          <w:bCs/>
          <w:kern w:val="0"/>
          <w:sz w:val="24"/>
          <w:lang w:val="en-GB" w:eastAsia="zh-CN"/>
        </w:rPr>
        <w:t>响应文件</w:t>
      </w:r>
      <w:r>
        <w:rPr>
          <w:rFonts w:hint="eastAsia" w:ascii="宋体" w:hAnsi="宋体" w:cs="宋体"/>
          <w:bCs/>
          <w:kern w:val="0"/>
          <w:sz w:val="24"/>
          <w:lang w:val="en-GB"/>
        </w:rPr>
        <w:t>将始终对我们具有约束力，并可随时被接受</w:t>
      </w:r>
      <w:r>
        <w:rPr>
          <w:rFonts w:hint="eastAsia" w:ascii="宋体" w:hAnsi="宋体" w:cs="宋体"/>
          <w:sz w:val="24"/>
          <w:lang w:val="en-GB"/>
        </w:rPr>
        <w:t>澄清</w:t>
      </w:r>
      <w:r>
        <w:rPr>
          <w:rFonts w:hint="eastAsia" w:ascii="宋体" w:hAnsi="宋体" w:cs="宋体"/>
          <w:bCs/>
          <w:kern w:val="0"/>
          <w:sz w:val="24"/>
          <w:lang w:val="en-GB"/>
        </w:rPr>
        <w:t>。如果我们中标，本</w:t>
      </w:r>
      <w:r>
        <w:rPr>
          <w:rFonts w:hint="eastAsia" w:ascii="宋体" w:hAnsi="宋体" w:cs="宋体"/>
          <w:bCs/>
          <w:kern w:val="0"/>
          <w:sz w:val="24"/>
          <w:lang w:val="en-GB" w:eastAsia="zh-CN"/>
        </w:rPr>
        <w:t>响应文件</w:t>
      </w:r>
      <w:r>
        <w:rPr>
          <w:rFonts w:hint="eastAsia" w:ascii="宋体" w:hAnsi="宋体" w:cs="宋体"/>
          <w:bCs/>
          <w:kern w:val="0"/>
          <w:sz w:val="24"/>
          <w:lang w:val="en-GB"/>
        </w:rPr>
        <w:t>在此期间之后将继续保持有效。</w:t>
      </w:r>
    </w:p>
    <w:p w14:paraId="47F89DCE">
      <w:pPr>
        <w:spacing w:line="440" w:lineRule="exact"/>
        <w:ind w:firstLine="480" w:firstLineChars="200"/>
        <w:rPr>
          <w:rFonts w:ascii="宋体" w:hAnsi="宋体" w:cs="宋体"/>
          <w:sz w:val="24"/>
          <w:lang w:val="en-GB"/>
        </w:rPr>
      </w:pPr>
      <w:r>
        <w:rPr>
          <w:rFonts w:ascii="宋体" w:hAnsi="宋体" w:cs="宋体"/>
          <w:sz w:val="24"/>
          <w:lang w:val="en-GB"/>
        </w:rPr>
        <w:t>3、我方已经详细地阅读了全部招标文件及其附件，包括澄清及参考文件。我方已完全清晰理解招标文件的要求，不存在任何含糊不清和误解之处，同意放弃对这些文件所提出的异议和质疑的权利。</w:t>
      </w:r>
    </w:p>
    <w:p w14:paraId="1B9AF6AF">
      <w:pPr>
        <w:spacing w:line="440" w:lineRule="exact"/>
        <w:ind w:firstLine="480" w:firstLineChars="200"/>
        <w:rPr>
          <w:rFonts w:ascii="宋体" w:hAnsi="宋体" w:cs="宋体"/>
          <w:sz w:val="24"/>
          <w:lang w:val="en-GB"/>
        </w:rPr>
      </w:pPr>
      <w:r>
        <w:rPr>
          <w:rFonts w:ascii="宋体" w:hAnsi="宋体" w:cs="宋体"/>
          <w:sz w:val="24"/>
          <w:lang w:val="en-GB"/>
        </w:rPr>
        <w:t>4、我方已毫无保留地向贵方提供一切所需的证明材料。不论在任何时候，将按贵方要求如实提供一切补充材料。</w:t>
      </w:r>
    </w:p>
    <w:p w14:paraId="1E85319E">
      <w:pPr>
        <w:spacing w:line="440" w:lineRule="exact"/>
        <w:ind w:firstLine="480" w:firstLineChars="200"/>
        <w:rPr>
          <w:rFonts w:ascii="宋体" w:hAnsi="宋体" w:cs="宋体"/>
          <w:sz w:val="24"/>
          <w:lang w:val="en-GB"/>
        </w:rPr>
      </w:pPr>
      <w:r>
        <w:rPr>
          <w:rFonts w:ascii="宋体" w:hAnsi="宋体" w:cs="宋体"/>
          <w:sz w:val="24"/>
          <w:lang w:val="en-GB"/>
        </w:rPr>
        <w:t>5、我方承诺在本次投标中提供的一切文件，无论是原件还是复印件均为真实和准确的，绝无任何虚假、伪造和夸大的成份，否则，愿承担相应的后果和法律责任。</w:t>
      </w:r>
    </w:p>
    <w:p w14:paraId="2D559912">
      <w:pPr>
        <w:spacing w:line="440" w:lineRule="exact"/>
        <w:ind w:firstLine="480" w:firstLineChars="200"/>
        <w:rPr>
          <w:rFonts w:ascii="宋体" w:hAnsi="宋体" w:cs="宋体"/>
          <w:sz w:val="24"/>
          <w:lang w:val="en-GB"/>
        </w:rPr>
      </w:pPr>
      <w:r>
        <w:rPr>
          <w:rFonts w:ascii="宋体" w:hAnsi="宋体" w:cs="宋体"/>
          <w:sz w:val="24"/>
          <w:lang w:val="en-GB"/>
        </w:rPr>
        <w:t>6、我方完全服从和尊重评审小组所作的评审结果，同时清楚理解到投标报价最低并不一定获得中标资格。</w:t>
      </w:r>
    </w:p>
    <w:p w14:paraId="1D191CE6">
      <w:pPr>
        <w:spacing w:line="440" w:lineRule="exact"/>
        <w:ind w:firstLine="480" w:firstLineChars="200"/>
        <w:rPr>
          <w:rFonts w:ascii="宋体" w:hAnsi="宋体" w:cs="宋体"/>
          <w:sz w:val="24"/>
          <w:lang w:val="en-GB"/>
        </w:rPr>
      </w:pPr>
      <w:r>
        <w:rPr>
          <w:rFonts w:ascii="宋体" w:hAnsi="宋体" w:cs="宋体"/>
          <w:sz w:val="24"/>
          <w:lang w:val="en-GB"/>
        </w:rPr>
        <w:t>7、我方同意</w:t>
      </w:r>
      <w:r>
        <w:rPr>
          <w:rFonts w:hint="eastAsia" w:ascii="宋体" w:hAnsi="宋体" w:cs="宋体"/>
          <w:bCs/>
          <w:kern w:val="0"/>
          <w:sz w:val="24"/>
          <w:lang w:val="en-GB"/>
        </w:rPr>
        <w:t>如果获得中标并按《中标通知书》的要求，</w:t>
      </w:r>
      <w:r>
        <w:rPr>
          <w:rFonts w:hint="eastAsia" w:ascii="宋体" w:hAnsi="宋体" w:cs="宋体"/>
          <w:sz w:val="24"/>
          <w:lang w:val="en-GB"/>
        </w:rPr>
        <w:t>如期签订合同并履行其一切责任和义务。</w:t>
      </w:r>
    </w:p>
    <w:p w14:paraId="42875EB4">
      <w:pPr>
        <w:spacing w:line="440" w:lineRule="exact"/>
        <w:ind w:firstLine="480" w:firstLineChars="200"/>
        <w:rPr>
          <w:rFonts w:ascii="宋体" w:hAnsi="宋体" w:cs="宋体"/>
          <w:sz w:val="24"/>
          <w:lang w:val="en-GB"/>
        </w:rPr>
      </w:pPr>
      <w:r>
        <w:rPr>
          <w:rFonts w:ascii="宋体" w:hAnsi="宋体" w:cs="宋体"/>
          <w:sz w:val="24"/>
          <w:lang w:val="en-GB"/>
        </w:rPr>
        <w:t>8、我方在参与本次公开招标采购活动中，不以任何不当手段影响、串通、排斥有关当事人或谋取、施予非法利益，如有不当行为，愿承担此行为所造成的不利后果和法律责任。</w:t>
      </w:r>
    </w:p>
    <w:p w14:paraId="16AB8CEB">
      <w:pPr>
        <w:spacing w:beforeLines="100" w:afterLines="100" w:line="440" w:lineRule="exact"/>
        <w:rPr>
          <w:rFonts w:hint="eastAsia" w:ascii="宋体" w:hAnsi="宋体" w:eastAsia="宋体" w:cs="宋体"/>
          <w:bCs/>
          <w:sz w:val="24"/>
          <w:lang w:val="en-GB" w:eastAsia="zh-CN"/>
        </w:rPr>
      </w:pPr>
      <w:r>
        <w:rPr>
          <w:rFonts w:hint="eastAsia" w:ascii="宋体" w:hAnsi="宋体" w:cs="宋体"/>
          <w:sz w:val="24"/>
          <w:lang w:val="en-GB" w:eastAsia="zh-CN"/>
        </w:rPr>
        <w:t>供应商</w:t>
      </w:r>
      <w:r>
        <w:rPr>
          <w:rFonts w:hint="eastAsia" w:ascii="宋体" w:hAnsi="宋体" w:cs="宋体"/>
          <w:sz w:val="24"/>
          <w:lang w:val="en-GB"/>
        </w:rPr>
        <w:t>名称：</w:t>
      </w:r>
      <w:r>
        <w:rPr>
          <w:rFonts w:ascii="宋体" w:hAnsi="宋体" w:cs="宋体"/>
          <w:sz w:val="24"/>
          <w:u w:val="single"/>
          <w:lang w:val="en-GB"/>
        </w:rPr>
        <w:t xml:space="preserve"> （公章）</w:t>
      </w:r>
      <w:r>
        <w:rPr>
          <w:rFonts w:hint="eastAsia" w:ascii="宋体" w:hAnsi="宋体" w:cs="宋体"/>
          <w:bCs/>
          <w:sz w:val="24"/>
          <w:lang w:val="en-GB"/>
        </w:rPr>
        <w:t>法定代表人：</w:t>
      </w:r>
      <w:r>
        <w:rPr>
          <w:rFonts w:ascii="宋体" w:hAnsi="宋体" w:cs="宋体"/>
          <w:bCs/>
          <w:sz w:val="24"/>
          <w:u w:val="single"/>
          <w:lang w:val="en-GB"/>
        </w:rPr>
        <w:t xml:space="preserve">            </w:t>
      </w:r>
      <w:r>
        <w:rPr>
          <w:rFonts w:hint="eastAsia" w:ascii="宋体" w:hAnsi="宋体" w:cs="宋体"/>
          <w:bCs/>
          <w:sz w:val="24"/>
          <w:u w:val="single"/>
          <w:lang w:val="en-GB" w:eastAsia="zh-CN"/>
        </w:rPr>
        <w:t>（签字或盖章）</w:t>
      </w:r>
    </w:p>
    <w:p w14:paraId="502B4EEA">
      <w:pPr>
        <w:snapToGrid w:val="0"/>
        <w:spacing w:beforeLines="100" w:afterLines="100" w:line="440" w:lineRule="exact"/>
        <w:rPr>
          <w:rFonts w:ascii="宋体" w:hAnsi="宋体" w:cs="宋体"/>
          <w:sz w:val="24"/>
          <w:u w:val="single"/>
        </w:rPr>
      </w:pPr>
      <w:r>
        <w:rPr>
          <w:rFonts w:hint="eastAsia" w:ascii="宋体" w:hAnsi="宋体" w:cs="宋体"/>
          <w:sz w:val="24"/>
          <w:lang w:val="en-GB"/>
        </w:rPr>
        <w:t>被授权人：</w:t>
      </w:r>
      <w:r>
        <w:rPr>
          <w:rFonts w:hint="eastAsia" w:ascii="宋体" w:hAnsi="宋体" w:cs="宋体"/>
          <w:bCs/>
          <w:sz w:val="24"/>
          <w:u w:val="single"/>
          <w:lang w:val="en-GB" w:eastAsia="zh-CN"/>
        </w:rPr>
        <w:t>（签字或盖章）</w:t>
      </w:r>
      <w:r>
        <w:rPr>
          <w:rFonts w:hint="eastAsia" w:ascii="宋体" w:hAnsi="宋体" w:cs="宋体"/>
          <w:sz w:val="24"/>
          <w:lang w:val="en-GB"/>
        </w:rPr>
        <w:t>职务：</w:t>
      </w:r>
    </w:p>
    <w:p w14:paraId="7DC34A14">
      <w:pPr>
        <w:snapToGrid w:val="0"/>
        <w:spacing w:beforeLines="100" w:afterLines="100" w:line="440" w:lineRule="exact"/>
        <w:rPr>
          <w:rFonts w:ascii="宋体" w:hAnsi="宋体" w:cs="宋体"/>
          <w:b/>
          <w:sz w:val="30"/>
          <w:szCs w:val="30"/>
          <w:lang w:val="en-GB"/>
        </w:rPr>
      </w:pPr>
      <w:r>
        <w:rPr>
          <w:rFonts w:hint="eastAsia" w:ascii="宋体" w:hAnsi="宋体" w:cs="宋体"/>
          <w:sz w:val="24"/>
          <w:lang w:val="en-GB"/>
        </w:rPr>
        <w:t>承诺日期：   年   月   日</w:t>
      </w:r>
    </w:p>
    <w:p w14:paraId="74186FEA">
      <w:pPr>
        <w:spacing w:line="440" w:lineRule="exact"/>
        <w:jc w:val="center"/>
        <w:rPr>
          <w:rFonts w:ascii="宋体" w:hAnsi="宋体" w:cs="宋体"/>
          <w:b/>
          <w:sz w:val="30"/>
          <w:szCs w:val="30"/>
          <w:lang w:val="en-GB"/>
        </w:rPr>
      </w:pPr>
    </w:p>
    <w:p w14:paraId="1610A166">
      <w:pPr>
        <w:spacing w:line="440" w:lineRule="exact"/>
        <w:jc w:val="center"/>
        <w:outlineLvl w:val="1"/>
        <w:rPr>
          <w:rFonts w:ascii="宋体" w:hAnsi="宋体" w:cs="宋体"/>
          <w:b/>
          <w:sz w:val="30"/>
          <w:szCs w:val="30"/>
          <w:lang w:val="en-GB"/>
        </w:rPr>
      </w:pPr>
      <w:bookmarkStart w:id="268" w:name="_Toc14544"/>
      <w:r>
        <w:rPr>
          <w:rFonts w:hint="eastAsia" w:ascii="宋体" w:hAnsi="宋体" w:cs="宋体"/>
          <w:b/>
          <w:sz w:val="30"/>
          <w:szCs w:val="30"/>
          <w:lang w:val="en-GB"/>
        </w:rPr>
        <w:t>二、法定代表人授权委托书</w:t>
      </w:r>
      <w:bookmarkEnd w:id="268"/>
    </w:p>
    <w:p w14:paraId="5339873D">
      <w:pPr>
        <w:spacing w:beforeLines="50" w:line="440" w:lineRule="exact"/>
        <w:rPr>
          <w:rFonts w:ascii="宋体" w:hAnsi="宋体" w:cs="宋体"/>
          <w:b/>
          <w:bCs/>
          <w:sz w:val="24"/>
          <w:lang w:val="en-GB"/>
        </w:rPr>
      </w:pPr>
      <w:r>
        <w:rPr>
          <w:rFonts w:hint="eastAsia" w:ascii="宋体" w:hAnsi="宋体" w:cs="宋体"/>
          <w:b/>
          <w:bCs/>
          <w:sz w:val="24"/>
          <w:lang w:val="zh-CN"/>
        </w:rPr>
        <w:t>致：</w:t>
      </w:r>
      <w:r>
        <w:rPr>
          <w:rFonts w:hint="eastAsia" w:ascii="宋体" w:hAnsi="宋体" w:cs="宋体"/>
          <w:b/>
          <w:bCs/>
          <w:sz w:val="24"/>
          <w:u w:val="single"/>
          <w:lang w:val="zh-CN"/>
        </w:rPr>
        <w:t>海南省机电工程学校</w:t>
      </w:r>
      <w:r>
        <w:rPr>
          <w:rFonts w:hint="eastAsia" w:ascii="宋体" w:hAnsi="宋体" w:cs="宋体"/>
          <w:b/>
          <w:bCs/>
          <w:sz w:val="24"/>
          <w:lang w:val="zh-CN"/>
        </w:rPr>
        <w:t xml:space="preserve"> </w:t>
      </w:r>
    </w:p>
    <w:p w14:paraId="6CEB1319">
      <w:pPr>
        <w:spacing w:line="440" w:lineRule="exact"/>
        <w:ind w:firstLine="482" w:firstLineChars="200"/>
        <w:rPr>
          <w:rFonts w:ascii="宋体" w:hAnsi="宋体" w:cs="宋体"/>
          <w:sz w:val="24"/>
          <w:lang w:val="en-GB"/>
        </w:rPr>
      </w:pPr>
      <w:r>
        <w:rPr>
          <w:rFonts w:hint="eastAsia" w:ascii="宋体" w:hAnsi="宋体" w:cs="宋体"/>
          <w:b/>
          <w:bCs/>
          <w:sz w:val="24"/>
          <w:u w:val="single"/>
          <w:lang w:val="zh-CN"/>
        </w:rPr>
        <w:t>（供应商名称）</w:t>
      </w:r>
      <w:r>
        <w:rPr>
          <w:rFonts w:hint="eastAsia" w:ascii="宋体" w:hAnsi="宋体" w:cs="宋体"/>
          <w:sz w:val="24"/>
          <w:lang w:val="zh-CN"/>
        </w:rPr>
        <w:t>在下面签字的</w:t>
      </w:r>
      <w:r>
        <w:rPr>
          <w:rFonts w:hint="eastAsia" w:ascii="宋体" w:hAnsi="宋体" w:cs="宋体"/>
          <w:sz w:val="24"/>
          <w:u w:val="single"/>
          <w:lang w:val="zh-CN"/>
        </w:rPr>
        <w:t>（法定代表人）</w:t>
      </w:r>
      <w:r>
        <w:rPr>
          <w:rFonts w:hint="eastAsia" w:ascii="宋体" w:hAnsi="宋体" w:cs="宋体"/>
          <w:b/>
          <w:bCs/>
          <w:sz w:val="24"/>
          <w:u w:val="single"/>
          <w:lang w:val="zh-CN"/>
        </w:rPr>
        <w:t>姓名：职务：</w:t>
      </w:r>
      <w:r>
        <w:rPr>
          <w:rFonts w:hint="eastAsia" w:ascii="宋体" w:hAnsi="宋体" w:cs="宋体"/>
          <w:sz w:val="24"/>
          <w:lang w:val="zh-CN"/>
        </w:rPr>
        <w:t>代表本公司授权下面签字的</w:t>
      </w:r>
      <w:r>
        <w:rPr>
          <w:rFonts w:hint="eastAsia" w:ascii="宋体" w:hAnsi="宋体" w:cs="宋体"/>
          <w:sz w:val="24"/>
          <w:u w:val="single"/>
          <w:lang w:val="zh-CN"/>
        </w:rPr>
        <w:t>（被授权代表）</w:t>
      </w:r>
      <w:r>
        <w:rPr>
          <w:rFonts w:hint="eastAsia" w:ascii="宋体" w:hAnsi="宋体" w:cs="宋体"/>
          <w:b/>
          <w:bCs/>
          <w:sz w:val="24"/>
          <w:u w:val="single"/>
          <w:lang w:val="zh-CN"/>
        </w:rPr>
        <w:t>姓名：职务：</w:t>
      </w:r>
      <w:r>
        <w:rPr>
          <w:rFonts w:hint="eastAsia" w:ascii="宋体" w:hAnsi="宋体" w:cs="宋体"/>
          <w:sz w:val="24"/>
          <w:lang w:val="zh-CN"/>
        </w:rPr>
        <w:t>为本公司的合法代理人，就</w:t>
      </w:r>
      <w:r>
        <w:rPr>
          <w:rFonts w:hint="eastAsia" w:ascii="宋体" w:hAnsi="宋体" w:cs="宋体"/>
          <w:b/>
          <w:bCs/>
          <w:sz w:val="24"/>
          <w:u w:val="single"/>
          <w:lang w:val="zh-CN"/>
        </w:rPr>
        <w:t>海南省机电工程学校</w:t>
      </w:r>
      <w:r>
        <w:rPr>
          <w:rFonts w:hint="eastAsia" w:ascii="宋体" w:hAnsi="宋体" w:cs="宋体"/>
          <w:sz w:val="24"/>
          <w:lang w:val="zh-CN"/>
        </w:rPr>
        <w:t>的</w:t>
      </w:r>
      <w:r>
        <w:rPr>
          <w:rFonts w:hint="eastAsia" w:ascii="宋体" w:hAnsi="宋体" w:cs="宋体"/>
          <w:b/>
          <w:bCs/>
          <w:sz w:val="24"/>
          <w:u w:val="single"/>
          <w:lang w:val="zh-CN"/>
        </w:rPr>
        <w:t>海南省机电工程学校直播教室设备采购项目</w:t>
      </w:r>
      <w:r>
        <w:rPr>
          <w:rFonts w:ascii="宋体" w:hAnsi="宋体" w:cs="宋体"/>
          <w:b/>
          <w:bCs/>
          <w:sz w:val="24"/>
          <w:u w:val="single"/>
          <w:lang w:val="zh-CN"/>
        </w:rPr>
        <w:t>（项目编号：</w:t>
      </w:r>
      <w:r>
        <w:rPr>
          <w:rFonts w:hint="eastAsia" w:ascii="宋体" w:hAnsi="宋体" w:cs="宋体"/>
          <w:b/>
          <w:bCs/>
          <w:sz w:val="24"/>
          <w:u w:val="single"/>
          <w:lang w:eastAsia="zh-CN"/>
        </w:rPr>
        <w:t>FZJTHN-CG-2024003</w:t>
      </w:r>
      <w:r>
        <w:rPr>
          <w:rFonts w:hint="eastAsia" w:ascii="宋体" w:hAnsi="宋体" w:cs="宋体"/>
          <w:b/>
          <w:bCs/>
          <w:sz w:val="24"/>
          <w:u w:val="single"/>
          <w:lang w:val="zh-CN"/>
        </w:rPr>
        <w:t>）</w:t>
      </w:r>
      <w:r>
        <w:rPr>
          <w:rFonts w:hint="eastAsia" w:ascii="宋体" w:hAnsi="宋体" w:cs="宋体"/>
          <w:sz w:val="24"/>
          <w:lang w:val="zh-CN"/>
        </w:rPr>
        <w:t>进行投标，以本公司的名义处理一切与之相关的事务</w:t>
      </w:r>
      <w:r>
        <w:rPr>
          <w:rFonts w:hint="eastAsia" w:ascii="宋体" w:hAnsi="宋体" w:cs="宋体"/>
          <w:sz w:val="24"/>
          <w:lang w:val="en-GB"/>
        </w:rPr>
        <w:t>。</w:t>
      </w:r>
    </w:p>
    <w:p w14:paraId="3D6DD8D7">
      <w:pPr>
        <w:spacing w:line="440" w:lineRule="exact"/>
        <w:ind w:firstLine="480" w:firstLineChars="200"/>
        <w:rPr>
          <w:rFonts w:ascii="宋体" w:hAnsi="宋体" w:cs="宋体"/>
          <w:sz w:val="24"/>
          <w:lang w:val="en-GB"/>
        </w:rPr>
      </w:pPr>
      <w:r>
        <w:rPr>
          <w:rFonts w:hint="eastAsia" w:ascii="宋体" w:hAnsi="宋体" w:cs="宋体"/>
          <w:sz w:val="24"/>
          <w:lang w:val="en-GB"/>
        </w:rPr>
        <w:t>本授权书自年月日至年月日内签字有效，特此声明。</w:t>
      </w:r>
    </w:p>
    <w:p w14:paraId="2308B1FF">
      <w:pPr>
        <w:spacing w:beforeLines="100" w:afterLines="100" w:line="440" w:lineRule="exact"/>
        <w:rPr>
          <w:rFonts w:ascii="宋体" w:hAnsi="宋体" w:cs="宋体"/>
          <w:sz w:val="24"/>
          <w:u w:val="single"/>
        </w:rPr>
      </w:pPr>
      <w:r>
        <w:rPr>
          <w:rFonts w:hint="eastAsia" w:ascii="宋体" w:hAnsi="宋体" w:cs="宋体"/>
          <w:sz w:val="24"/>
          <w:lang w:val="en-GB" w:eastAsia="zh-CN"/>
        </w:rPr>
        <w:t>供应商</w:t>
      </w:r>
      <w:r>
        <w:rPr>
          <w:rFonts w:hint="eastAsia" w:ascii="宋体" w:hAnsi="宋体" w:cs="宋体"/>
          <w:sz w:val="24"/>
          <w:lang w:val="en-GB"/>
        </w:rPr>
        <w:t>名称：</w:t>
      </w:r>
      <w:r>
        <w:rPr>
          <w:rFonts w:hint="eastAsia" w:ascii="宋体" w:hAnsi="宋体" w:cs="宋体"/>
          <w:sz w:val="24"/>
          <w:u w:val="single"/>
          <w:lang w:val="en-GB"/>
        </w:rPr>
        <w:t>（公章）</w:t>
      </w:r>
    </w:p>
    <w:p w14:paraId="75AE3C8E">
      <w:pPr>
        <w:spacing w:beforeLines="100" w:afterLines="100" w:line="440" w:lineRule="exact"/>
        <w:rPr>
          <w:rFonts w:ascii="宋体" w:hAnsi="宋体" w:cs="宋体"/>
          <w:sz w:val="24"/>
          <w:u w:val="single"/>
        </w:rPr>
      </w:pPr>
      <w:r>
        <w:rPr>
          <w:rFonts w:hint="eastAsia" w:ascii="宋体" w:hAnsi="宋体" w:cs="宋体"/>
          <w:sz w:val="24"/>
          <w:lang w:val="en-GB"/>
        </w:rPr>
        <w:t>营业执照号码：</w:t>
      </w:r>
    </w:p>
    <w:p w14:paraId="3E1DD518">
      <w:pPr>
        <w:spacing w:beforeLines="200" w:afterLines="100" w:line="440" w:lineRule="exact"/>
        <w:rPr>
          <w:rFonts w:hint="eastAsia" w:ascii="宋体" w:hAnsi="宋体" w:eastAsia="宋体" w:cs="宋体"/>
          <w:sz w:val="24"/>
          <w:lang w:val="en-GB" w:eastAsia="zh-CN"/>
        </w:rPr>
      </w:pPr>
      <w:r>
        <w:rPr>
          <w:rFonts w:ascii="宋体" w:hAnsi="宋体" w:cs="宋体"/>
          <w:sz w:val="24"/>
        </w:rPr>
        <mc:AlternateContent>
          <mc:Choice Requires="wps">
            <w:drawing>
              <wp:anchor distT="0" distB="0" distL="114300" distR="114300" simplePos="0" relativeHeight="251661312" behindDoc="0" locked="0" layoutInCell="1" allowOverlap="1">
                <wp:simplePos x="0" y="0"/>
                <wp:positionH relativeFrom="column">
                  <wp:posOffset>3239770</wp:posOffset>
                </wp:positionH>
                <wp:positionV relativeFrom="paragraph">
                  <wp:posOffset>83185</wp:posOffset>
                </wp:positionV>
                <wp:extent cx="2849880" cy="2006600"/>
                <wp:effectExtent l="4445" t="4445" r="22225" b="8255"/>
                <wp:wrapNone/>
                <wp:docPr id="2" name="矩形 7"/>
                <wp:cNvGraphicFramePr/>
                <a:graphic xmlns:a="http://schemas.openxmlformats.org/drawingml/2006/main">
                  <a:graphicData uri="http://schemas.microsoft.com/office/word/2010/wordprocessingShape">
                    <wps:wsp>
                      <wps:cNvSpPr/>
                      <wps:spPr>
                        <a:xfrm>
                          <a:off x="0" y="0"/>
                          <a:ext cx="2849880" cy="20066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6A0B2777">
                            <w:pPr>
                              <w:jc w:val="right"/>
                              <w:rPr>
                                <w:rFonts w:eastAsia="黑体"/>
                                <w:b/>
                                <w:sz w:val="30"/>
                              </w:rPr>
                            </w:pPr>
                          </w:p>
                          <w:p w14:paraId="31FA0429">
                            <w:pPr>
                              <w:jc w:val="center"/>
                              <w:rPr>
                                <w:rFonts w:ascii="宋体" w:hAnsi="宋体"/>
                                <w:b/>
                                <w:sz w:val="28"/>
                              </w:rPr>
                            </w:pPr>
                            <w:r>
                              <w:rPr>
                                <w:rFonts w:hint="eastAsia" w:ascii="宋体" w:hAnsi="宋体"/>
                                <w:b/>
                                <w:sz w:val="28"/>
                              </w:rPr>
                              <w:t>法定代表人</w:t>
                            </w:r>
                          </w:p>
                          <w:p w14:paraId="115D121C">
                            <w:pPr>
                              <w:jc w:val="center"/>
                              <w:rPr>
                                <w:rFonts w:ascii="宋体" w:hAnsi="宋体"/>
                                <w:sz w:val="28"/>
                              </w:rPr>
                            </w:pPr>
                            <w:r>
                              <w:rPr>
                                <w:rFonts w:hint="eastAsia" w:ascii="宋体" w:hAnsi="宋体"/>
                                <w:b/>
                                <w:sz w:val="28"/>
                              </w:rPr>
                              <w:t>居民身份证复印件正反面粘贴处</w:t>
                            </w:r>
                          </w:p>
                        </w:txbxContent>
                      </wps:txbx>
                      <wps:bodyPr upright="1"/>
                    </wps:wsp>
                  </a:graphicData>
                </a:graphic>
              </wp:anchor>
            </w:drawing>
          </mc:Choice>
          <mc:Fallback>
            <w:pict>
              <v:rect id="矩形 7" o:spid="_x0000_s1026" o:spt="1" style="position:absolute;left:0pt;margin-left:255.1pt;margin-top:6.55pt;height:158pt;width:224.4pt;z-index:251661312;mso-width-relative:page;mso-height-relative:page;" fillcolor="#FFFFFF" filled="t" stroked="t" coordsize="21600,21600" o:gfxdata="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4PQyttcAAAAKAQAADwAAAAAAAAABACAAAAAiAAAA&#10;ZHJzL2Rvd25yZXYueG1sUEsBAhQAFAAAAAgAh07iQFhBYgAIAgAAOAQAAA4AAAAAAAAAAQAgAAAA&#10;JgEAAGRycy9lMm9Eb2MueG1sUEsFBgAAAAAGAAYAWQEAAKAFAAAAAA==&#10;">
                <v:fill on="t" focussize="0,0"/>
                <v:stroke color="#000000" joinstyle="miter"/>
                <v:imagedata o:title=""/>
                <o:lock v:ext="edit" aspectratio="f"/>
                <v:textbox>
                  <w:txbxContent>
                    <w:p w14:paraId="6A0B2777">
                      <w:pPr>
                        <w:jc w:val="right"/>
                        <w:rPr>
                          <w:rFonts w:eastAsia="黑体"/>
                          <w:b/>
                          <w:sz w:val="30"/>
                        </w:rPr>
                      </w:pPr>
                    </w:p>
                    <w:p w14:paraId="31FA0429">
                      <w:pPr>
                        <w:jc w:val="center"/>
                        <w:rPr>
                          <w:rFonts w:ascii="宋体" w:hAnsi="宋体"/>
                          <w:b/>
                          <w:sz w:val="28"/>
                        </w:rPr>
                      </w:pPr>
                      <w:r>
                        <w:rPr>
                          <w:rFonts w:hint="eastAsia" w:ascii="宋体" w:hAnsi="宋体"/>
                          <w:b/>
                          <w:sz w:val="28"/>
                        </w:rPr>
                        <w:t>法定代表人</w:t>
                      </w:r>
                    </w:p>
                    <w:p w14:paraId="115D121C">
                      <w:pPr>
                        <w:jc w:val="center"/>
                        <w:rPr>
                          <w:rFonts w:ascii="宋体" w:hAnsi="宋体"/>
                          <w:sz w:val="28"/>
                        </w:rPr>
                      </w:pPr>
                      <w:r>
                        <w:rPr>
                          <w:rFonts w:hint="eastAsia" w:ascii="宋体" w:hAnsi="宋体"/>
                          <w:b/>
                          <w:sz w:val="28"/>
                        </w:rPr>
                        <w:t>居民身份证复印件正反面粘贴处</w:t>
                      </w:r>
                    </w:p>
                  </w:txbxContent>
                </v:textbox>
              </v:rect>
            </w:pict>
          </mc:Fallback>
        </mc:AlternateContent>
      </w:r>
      <w:r>
        <w:rPr>
          <w:rFonts w:hint="eastAsia" w:ascii="宋体" w:hAnsi="宋体" w:cs="宋体"/>
          <w:sz w:val="24"/>
          <w:lang w:val="en-GB"/>
        </w:rPr>
        <w:t>法定代表人：</w:t>
      </w:r>
      <w:r>
        <w:rPr>
          <w:rFonts w:hint="eastAsia" w:ascii="宋体" w:hAnsi="宋体" w:cs="宋体"/>
          <w:bCs/>
          <w:sz w:val="24"/>
          <w:u w:val="single"/>
          <w:lang w:val="en-GB" w:eastAsia="zh-CN"/>
        </w:rPr>
        <w:t>（签字或盖章）</w:t>
      </w:r>
    </w:p>
    <w:p w14:paraId="6FBBC1DE">
      <w:pPr>
        <w:spacing w:beforeLines="100" w:afterLines="100" w:line="440" w:lineRule="exact"/>
        <w:rPr>
          <w:rFonts w:ascii="宋体" w:hAnsi="宋体" w:cs="宋体"/>
          <w:sz w:val="24"/>
          <w:u w:val="single"/>
        </w:rPr>
      </w:pPr>
      <w:r>
        <w:rPr>
          <w:rFonts w:hint="eastAsia" w:ascii="宋体" w:hAnsi="宋体" w:cs="宋体"/>
          <w:sz w:val="24"/>
          <w:lang w:val="en-GB"/>
        </w:rPr>
        <w:t>身份证号码：</w:t>
      </w:r>
    </w:p>
    <w:p w14:paraId="4733DBE6">
      <w:pPr>
        <w:spacing w:beforeLines="100" w:afterLines="100" w:line="440" w:lineRule="exact"/>
        <w:rPr>
          <w:rFonts w:ascii="宋体" w:hAnsi="宋体" w:cs="宋体"/>
          <w:sz w:val="24"/>
          <w:u w:val="single"/>
        </w:rPr>
      </w:pPr>
      <w:r>
        <w:rPr>
          <w:rFonts w:hint="eastAsia" w:ascii="宋体" w:hAnsi="宋体" w:cs="宋体"/>
          <w:sz w:val="24"/>
          <w:lang w:val="en-GB"/>
        </w:rPr>
        <w:t>职务：</w:t>
      </w:r>
    </w:p>
    <w:p w14:paraId="1192F207">
      <w:pPr>
        <w:spacing w:beforeLines="100" w:afterLines="100" w:line="440" w:lineRule="exact"/>
        <w:rPr>
          <w:rFonts w:ascii="宋体" w:hAnsi="宋体" w:cs="宋体"/>
          <w:sz w:val="24"/>
          <w:u w:val="single"/>
        </w:rPr>
      </w:pPr>
      <w:r>
        <w:rPr>
          <w:rFonts w:hint="eastAsia" w:ascii="宋体" w:hAnsi="宋体" w:cs="宋体"/>
          <w:sz w:val="24"/>
          <w:lang w:val="en-GB"/>
        </w:rPr>
        <w:t>联系电话：</w:t>
      </w:r>
    </w:p>
    <w:p w14:paraId="2DA36342">
      <w:pPr>
        <w:spacing w:beforeLines="200" w:afterLines="100" w:line="440" w:lineRule="exact"/>
        <w:rPr>
          <w:rFonts w:hint="eastAsia" w:ascii="宋体" w:hAnsi="宋体" w:eastAsia="宋体" w:cs="宋体"/>
          <w:sz w:val="24"/>
          <w:u w:val="single"/>
          <w:lang w:val="en-GB" w:eastAsia="zh-CN"/>
        </w:rPr>
      </w:pPr>
      <w:r>
        <w:rPr>
          <w:rFonts w:ascii="宋体" w:hAnsi="宋体" w:cs="宋体"/>
          <w:sz w:val="24"/>
          <w:lang w:val="en-GB"/>
        </w:rPr>
        <mc:AlternateContent>
          <mc:Choice Requires="wps">
            <w:drawing>
              <wp:anchor distT="0" distB="0" distL="114300" distR="114300" simplePos="0" relativeHeight="251660288" behindDoc="0" locked="0" layoutInCell="1" allowOverlap="1">
                <wp:simplePos x="0" y="0"/>
                <wp:positionH relativeFrom="column">
                  <wp:posOffset>3239770</wp:posOffset>
                </wp:positionH>
                <wp:positionV relativeFrom="paragraph">
                  <wp:posOffset>148590</wp:posOffset>
                </wp:positionV>
                <wp:extent cx="2849880" cy="2006600"/>
                <wp:effectExtent l="4445" t="4445" r="22225" b="8255"/>
                <wp:wrapNone/>
                <wp:docPr id="1" name="Rectangle 2"/>
                <wp:cNvGraphicFramePr/>
                <a:graphic xmlns:a="http://schemas.openxmlformats.org/drawingml/2006/main">
                  <a:graphicData uri="http://schemas.microsoft.com/office/word/2010/wordprocessingShape">
                    <wps:wsp>
                      <wps:cNvSpPr/>
                      <wps:spPr>
                        <a:xfrm>
                          <a:off x="0" y="0"/>
                          <a:ext cx="2849880" cy="20066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6B8A156E">
                            <w:pPr>
                              <w:jc w:val="right"/>
                              <w:rPr>
                                <w:rFonts w:eastAsia="黑体"/>
                                <w:b/>
                                <w:sz w:val="30"/>
                              </w:rPr>
                            </w:pPr>
                          </w:p>
                          <w:p w14:paraId="1E08DF01">
                            <w:pPr>
                              <w:jc w:val="center"/>
                              <w:rPr>
                                <w:rFonts w:ascii="宋体" w:hAnsi="宋体"/>
                                <w:b/>
                                <w:sz w:val="28"/>
                              </w:rPr>
                            </w:pPr>
                            <w:r>
                              <w:rPr>
                                <w:rFonts w:hint="eastAsia" w:ascii="宋体" w:hAnsi="宋体"/>
                                <w:b/>
                                <w:sz w:val="28"/>
                              </w:rPr>
                              <w:t>被授权人</w:t>
                            </w:r>
                          </w:p>
                          <w:p w14:paraId="5E704F95">
                            <w:pPr>
                              <w:jc w:val="center"/>
                              <w:rPr>
                                <w:rFonts w:ascii="宋体" w:hAnsi="宋体"/>
                                <w:sz w:val="28"/>
                              </w:rPr>
                            </w:pPr>
                            <w:r>
                              <w:rPr>
                                <w:rFonts w:hint="eastAsia" w:ascii="宋体" w:hAnsi="宋体"/>
                                <w:b/>
                                <w:sz w:val="28"/>
                              </w:rPr>
                              <w:t>居民身份证复印件正反面粘贴处</w:t>
                            </w:r>
                          </w:p>
                        </w:txbxContent>
                      </wps:txbx>
                      <wps:bodyPr upright="1"/>
                    </wps:wsp>
                  </a:graphicData>
                </a:graphic>
              </wp:anchor>
            </w:drawing>
          </mc:Choice>
          <mc:Fallback>
            <w:pict>
              <v:rect id="Rectangle 2" o:spid="_x0000_s1026" o:spt="1" style="position:absolute;left:0pt;margin-left:255.1pt;margin-top:11.7pt;height:158pt;width:224.4pt;z-index:251660288;mso-width-relative:page;mso-height-relative:page;" fillcolor="#FFFFFF" filled="t" stroked="t" coordsize="21600,21600" o:gfxdata="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p1oq2AAAAAoBAAAPAAAAAAAAAAEAIAAAACIAAABkcnMvZG93bnJl&#10;di54bWxQSwECFAAUAAAACACHTuJAd3J+Wf0BAAA7BAAADgAAAAAAAAABACAAAAAnAQAAZHJzL2Uy&#10;b0RvYy54bWxQSwUGAAAAAAYABgBZAQAAlgUAAAAA&#10;">
                <v:fill on="t" focussize="0,0"/>
                <v:stroke color="#000000" joinstyle="miter"/>
                <v:imagedata o:title=""/>
                <o:lock v:ext="edit" aspectratio="f"/>
                <v:textbox>
                  <w:txbxContent>
                    <w:p w14:paraId="6B8A156E">
                      <w:pPr>
                        <w:jc w:val="right"/>
                        <w:rPr>
                          <w:rFonts w:eastAsia="黑体"/>
                          <w:b/>
                          <w:sz w:val="30"/>
                        </w:rPr>
                      </w:pPr>
                    </w:p>
                    <w:p w14:paraId="1E08DF01">
                      <w:pPr>
                        <w:jc w:val="center"/>
                        <w:rPr>
                          <w:rFonts w:ascii="宋体" w:hAnsi="宋体"/>
                          <w:b/>
                          <w:sz w:val="28"/>
                        </w:rPr>
                      </w:pPr>
                      <w:r>
                        <w:rPr>
                          <w:rFonts w:hint="eastAsia" w:ascii="宋体" w:hAnsi="宋体"/>
                          <w:b/>
                          <w:sz w:val="28"/>
                        </w:rPr>
                        <w:t>被授权人</w:t>
                      </w:r>
                    </w:p>
                    <w:p w14:paraId="5E704F95">
                      <w:pPr>
                        <w:jc w:val="center"/>
                        <w:rPr>
                          <w:rFonts w:ascii="宋体" w:hAnsi="宋体"/>
                          <w:sz w:val="28"/>
                        </w:rPr>
                      </w:pPr>
                      <w:r>
                        <w:rPr>
                          <w:rFonts w:hint="eastAsia" w:ascii="宋体" w:hAnsi="宋体"/>
                          <w:b/>
                          <w:sz w:val="28"/>
                        </w:rPr>
                        <w:t>居民身份证复印件正反面粘贴处</w:t>
                      </w:r>
                    </w:p>
                  </w:txbxContent>
                </v:textbox>
              </v:rect>
            </w:pict>
          </mc:Fallback>
        </mc:AlternateContent>
      </w:r>
      <w:r>
        <w:rPr>
          <w:rFonts w:hint="eastAsia" w:ascii="宋体" w:hAnsi="宋体" w:cs="宋体"/>
          <w:sz w:val="24"/>
          <w:lang w:val="en-GB"/>
        </w:rPr>
        <w:t>被授权人：</w:t>
      </w:r>
      <w:r>
        <w:rPr>
          <w:rFonts w:hint="eastAsia" w:ascii="宋体" w:hAnsi="宋体" w:cs="宋体"/>
          <w:bCs/>
          <w:sz w:val="24"/>
          <w:u w:val="single"/>
          <w:lang w:val="en-GB" w:eastAsia="zh-CN"/>
        </w:rPr>
        <w:t>（签字或盖章）</w:t>
      </w:r>
    </w:p>
    <w:p w14:paraId="1E8D24FC">
      <w:pPr>
        <w:spacing w:beforeLines="100" w:afterLines="100" w:line="440" w:lineRule="exact"/>
        <w:rPr>
          <w:rFonts w:ascii="宋体" w:hAnsi="宋体" w:cs="宋体"/>
          <w:sz w:val="24"/>
        </w:rPr>
      </w:pPr>
      <w:r>
        <w:rPr>
          <w:rFonts w:hint="eastAsia" w:ascii="宋体" w:hAnsi="宋体" w:cs="宋体"/>
          <w:sz w:val="24"/>
          <w:lang w:val="en-GB"/>
        </w:rPr>
        <w:t>身份证号码：</w:t>
      </w:r>
    </w:p>
    <w:p w14:paraId="4722FD2D">
      <w:pPr>
        <w:spacing w:beforeLines="100" w:afterLines="100" w:line="440" w:lineRule="exact"/>
        <w:rPr>
          <w:rFonts w:ascii="宋体" w:hAnsi="宋体" w:cs="宋体"/>
          <w:sz w:val="24"/>
          <w:u w:val="single"/>
        </w:rPr>
      </w:pPr>
      <w:r>
        <w:rPr>
          <w:rFonts w:hint="eastAsia" w:ascii="宋体" w:hAnsi="宋体" w:cs="宋体"/>
          <w:sz w:val="24"/>
          <w:lang w:val="en-GB"/>
        </w:rPr>
        <w:t>职务：</w:t>
      </w:r>
    </w:p>
    <w:p w14:paraId="39C66C78">
      <w:pPr>
        <w:spacing w:beforeLines="100" w:afterLines="100" w:line="440" w:lineRule="exact"/>
        <w:rPr>
          <w:rFonts w:ascii="宋体" w:hAnsi="宋体" w:cs="宋体"/>
          <w:sz w:val="24"/>
          <w:u w:val="single"/>
        </w:rPr>
      </w:pPr>
      <w:r>
        <w:rPr>
          <w:rFonts w:hint="eastAsia" w:ascii="宋体" w:hAnsi="宋体" w:cs="宋体"/>
          <w:sz w:val="24"/>
          <w:lang w:val="en-GB"/>
        </w:rPr>
        <w:t>联系电话：</w:t>
      </w:r>
    </w:p>
    <w:p w14:paraId="2E0837E5">
      <w:pPr>
        <w:spacing w:beforeLines="200" w:afterLines="100" w:line="440" w:lineRule="exact"/>
        <w:rPr>
          <w:rFonts w:ascii="宋体" w:hAnsi="宋体" w:cs="宋体"/>
          <w:sz w:val="24"/>
        </w:rPr>
      </w:pPr>
      <w:r>
        <w:rPr>
          <w:rFonts w:hint="eastAsia" w:ascii="宋体" w:hAnsi="宋体" w:cs="宋体"/>
          <w:sz w:val="24"/>
          <w:lang w:val="en-GB"/>
        </w:rPr>
        <w:t>生效日期：    年   月  日</w:t>
      </w:r>
    </w:p>
    <w:p w14:paraId="03641795">
      <w:pPr>
        <w:spacing w:beforeLines="200" w:afterLines="100" w:line="440" w:lineRule="exact"/>
        <w:rPr>
          <w:rFonts w:ascii="宋体" w:hAnsi="宋体" w:cs="宋体"/>
          <w:sz w:val="24"/>
        </w:rPr>
      </w:pPr>
      <w:r>
        <w:rPr>
          <w:rFonts w:hint="eastAsia" w:ascii="宋体" w:hAnsi="宋体" w:cs="宋体"/>
          <w:b/>
          <w:bCs/>
          <w:sz w:val="24"/>
          <w:lang w:val="en-GB"/>
        </w:rPr>
        <w:t>注：本授权书内容不得擅自修改。</w:t>
      </w:r>
    </w:p>
    <w:p w14:paraId="69784FCA">
      <w:pPr>
        <w:spacing w:line="440" w:lineRule="exact"/>
        <w:rPr>
          <w:rFonts w:ascii="宋体" w:hAnsi="宋体" w:cs="宋体"/>
          <w:b/>
          <w:sz w:val="30"/>
          <w:szCs w:val="30"/>
          <w:lang w:val="en-GB"/>
        </w:rPr>
      </w:pPr>
    </w:p>
    <w:p w14:paraId="645A8E71">
      <w:pPr>
        <w:spacing w:line="440" w:lineRule="exact"/>
        <w:jc w:val="center"/>
        <w:outlineLvl w:val="1"/>
        <w:rPr>
          <w:rFonts w:ascii="宋体" w:hAnsi="宋体" w:cs="宋体"/>
          <w:b/>
          <w:sz w:val="30"/>
          <w:szCs w:val="30"/>
          <w:lang w:val="en-GB"/>
        </w:rPr>
      </w:pPr>
      <w:bookmarkStart w:id="269" w:name="_Toc11808"/>
      <w:r>
        <w:rPr>
          <w:rFonts w:hint="eastAsia" w:ascii="宋体" w:hAnsi="宋体" w:cs="宋体"/>
          <w:b/>
          <w:sz w:val="30"/>
          <w:szCs w:val="30"/>
          <w:lang w:val="en-GB"/>
        </w:rPr>
        <w:t>三、资格申明信</w:t>
      </w:r>
      <w:bookmarkEnd w:id="269"/>
    </w:p>
    <w:p w14:paraId="4EEC9B58">
      <w:pPr>
        <w:snapToGrid w:val="0"/>
        <w:spacing w:beforeLines="50" w:line="440" w:lineRule="exact"/>
        <w:rPr>
          <w:rFonts w:ascii="宋体" w:hAnsi="宋体" w:cs="宋体"/>
          <w:b/>
          <w:kern w:val="0"/>
          <w:sz w:val="24"/>
          <w:lang w:val="en-GB"/>
        </w:rPr>
      </w:pPr>
      <w:r>
        <w:rPr>
          <w:rFonts w:hint="eastAsia" w:ascii="宋体" w:hAnsi="宋体" w:cs="宋体"/>
          <w:b/>
          <w:kern w:val="0"/>
          <w:sz w:val="24"/>
          <w:lang w:val="en-GB"/>
        </w:rPr>
        <w:t>致：</w:t>
      </w:r>
      <w:r>
        <w:rPr>
          <w:rFonts w:hint="eastAsia" w:ascii="宋体" w:hAnsi="宋体" w:cs="宋体"/>
          <w:b/>
          <w:bCs/>
          <w:sz w:val="24"/>
          <w:u w:val="single"/>
          <w:lang w:val="zh-CN"/>
        </w:rPr>
        <w:t>海南省机电工程学校</w:t>
      </w:r>
      <w:r>
        <w:rPr>
          <w:rFonts w:hint="eastAsia" w:ascii="宋体" w:hAnsi="宋体" w:cs="宋体"/>
          <w:b/>
          <w:kern w:val="0"/>
          <w:sz w:val="24"/>
          <w:lang w:val="en-GB"/>
        </w:rPr>
        <w:t xml:space="preserve"> </w:t>
      </w:r>
    </w:p>
    <w:p w14:paraId="137FB281">
      <w:pPr>
        <w:spacing w:line="440" w:lineRule="exact"/>
        <w:ind w:firstLine="576"/>
        <w:rPr>
          <w:rFonts w:ascii="宋体" w:hAnsi="宋体"/>
          <w:sz w:val="24"/>
        </w:rPr>
      </w:pPr>
      <w:r>
        <w:rPr>
          <w:rFonts w:hint="eastAsia" w:ascii="宋体" w:hAnsi="宋体"/>
          <w:sz w:val="24"/>
        </w:rPr>
        <w:t>为响应</w:t>
      </w:r>
      <w:r>
        <w:rPr>
          <w:rFonts w:hint="eastAsia" w:ascii="宋体" w:hAnsi="宋体" w:cs="宋体"/>
          <w:sz w:val="24"/>
        </w:rPr>
        <w:t>贵公司组织的</w:t>
      </w:r>
      <w:r>
        <w:rPr>
          <w:rFonts w:hint="eastAsia" w:ascii="宋体" w:hAnsi="宋体" w:cs="宋体"/>
          <w:b/>
          <w:bCs/>
          <w:sz w:val="24"/>
          <w:u w:val="single"/>
          <w:lang w:val="zh-CN"/>
        </w:rPr>
        <w:t>海南省机电工程学校</w:t>
      </w:r>
      <w:r>
        <w:rPr>
          <w:rFonts w:hint="eastAsia" w:ascii="宋体" w:hAnsi="宋体" w:cs="宋体"/>
          <w:sz w:val="24"/>
          <w:lang w:val="zh-CN"/>
        </w:rPr>
        <w:t>关于</w:t>
      </w:r>
      <w:r>
        <w:rPr>
          <w:rFonts w:hint="eastAsia" w:ascii="宋体" w:hAnsi="宋体" w:cs="宋体"/>
          <w:b/>
          <w:bCs/>
          <w:sz w:val="24"/>
          <w:u w:val="single"/>
          <w:lang w:eastAsia="zh-CN"/>
        </w:rPr>
        <w:t>海南省机电工程学校直播教室设备采购项目</w:t>
      </w:r>
      <w:r>
        <w:rPr>
          <w:rFonts w:ascii="宋体" w:hAnsi="宋体" w:cs="宋体"/>
          <w:b/>
          <w:bCs/>
          <w:sz w:val="24"/>
          <w:u w:val="single"/>
        </w:rPr>
        <w:t>（项目编号：</w:t>
      </w:r>
      <w:r>
        <w:rPr>
          <w:rFonts w:hint="eastAsia" w:ascii="宋体" w:hAnsi="宋体" w:cs="宋体"/>
          <w:b/>
          <w:bCs/>
          <w:kern w:val="0"/>
          <w:sz w:val="24"/>
          <w:u w:val="single"/>
          <w:lang w:eastAsia="zh-CN"/>
        </w:rPr>
        <w:t>FZJTHN-CG-2024003</w:t>
      </w:r>
      <w:r>
        <w:rPr>
          <w:rFonts w:hint="eastAsia" w:ascii="宋体" w:hAnsi="宋体" w:cs="宋体"/>
          <w:b/>
          <w:bCs/>
          <w:sz w:val="24"/>
          <w:u w:val="single"/>
        </w:rPr>
        <w:t>）</w:t>
      </w:r>
      <w:r>
        <w:rPr>
          <w:rFonts w:hint="eastAsia" w:ascii="宋体" w:hAnsi="宋体"/>
          <w:sz w:val="24"/>
        </w:rPr>
        <w:t>项目的</w:t>
      </w:r>
      <w:r>
        <w:rPr>
          <w:rFonts w:hint="eastAsia" w:ascii="宋体" w:hAnsi="宋体" w:cs="宋体"/>
          <w:sz w:val="24"/>
        </w:rPr>
        <w:t>招标采购活动</w:t>
      </w:r>
      <w:r>
        <w:rPr>
          <w:rFonts w:hint="eastAsia" w:ascii="宋体" w:hAnsi="宋体"/>
          <w:sz w:val="24"/>
        </w:rPr>
        <w:t>，我公司愿意参与投标。</w:t>
      </w:r>
    </w:p>
    <w:p w14:paraId="75BA0CF0">
      <w:pPr>
        <w:spacing w:line="440" w:lineRule="exact"/>
        <w:ind w:firstLine="576"/>
        <w:rPr>
          <w:rFonts w:ascii="宋体" w:hAnsi="宋体"/>
          <w:sz w:val="24"/>
        </w:rPr>
      </w:pPr>
      <w:r>
        <w:rPr>
          <w:rFonts w:hint="eastAsia" w:ascii="宋体" w:hAnsi="宋体"/>
          <w:sz w:val="24"/>
        </w:rPr>
        <w:t>我公司在法律、财务和运作上符合招标文件对</w:t>
      </w:r>
      <w:r>
        <w:rPr>
          <w:rFonts w:hint="eastAsia" w:ascii="宋体" w:hAnsi="宋体"/>
          <w:sz w:val="24"/>
          <w:lang w:eastAsia="zh-CN"/>
        </w:rPr>
        <w:t>供应商</w:t>
      </w:r>
      <w:r>
        <w:rPr>
          <w:rFonts w:hint="eastAsia" w:ascii="宋体" w:hAnsi="宋体"/>
          <w:sz w:val="24"/>
        </w:rPr>
        <w:t>的资格要求，提供“</w:t>
      </w:r>
      <w:r>
        <w:rPr>
          <w:rFonts w:hint="eastAsia" w:ascii="宋体" w:hAnsi="宋体"/>
          <w:sz w:val="24"/>
          <w:lang w:eastAsia="zh-CN"/>
        </w:rPr>
        <w:t>采购需求书</w:t>
      </w:r>
      <w:r>
        <w:rPr>
          <w:rFonts w:hint="eastAsia" w:ascii="宋体" w:hAnsi="宋体"/>
          <w:sz w:val="24"/>
        </w:rPr>
        <w:t>”中相关服务，提交的所有文件和全部说明是真实的和正确的。</w:t>
      </w:r>
    </w:p>
    <w:p w14:paraId="35BEAF5F">
      <w:pPr>
        <w:spacing w:line="440" w:lineRule="exact"/>
        <w:ind w:firstLine="576"/>
        <w:rPr>
          <w:rFonts w:ascii="宋体" w:hAnsi="宋体"/>
          <w:sz w:val="24"/>
        </w:rPr>
      </w:pPr>
      <w:r>
        <w:rPr>
          <w:rFonts w:hint="eastAsia" w:ascii="宋体" w:hAnsi="宋体"/>
          <w:sz w:val="24"/>
        </w:rPr>
        <w:t>我公司理解贵公司可能还要求提供更进一步的资格资料，并愿意应贵公司的要求提交。</w:t>
      </w:r>
    </w:p>
    <w:p w14:paraId="188BB99A">
      <w:pPr>
        <w:spacing w:line="440" w:lineRule="exact"/>
        <w:ind w:firstLine="576"/>
        <w:rPr>
          <w:rFonts w:ascii="宋体" w:hAnsi="宋体"/>
          <w:sz w:val="24"/>
        </w:rPr>
      </w:pPr>
    </w:p>
    <w:p w14:paraId="081DAE42">
      <w:pPr>
        <w:pStyle w:val="21"/>
      </w:pPr>
    </w:p>
    <w:p w14:paraId="4246B269">
      <w:pPr>
        <w:spacing w:line="440" w:lineRule="exact"/>
        <w:ind w:firstLine="576"/>
        <w:rPr>
          <w:rFonts w:ascii="宋体" w:hAnsi="宋体"/>
          <w:sz w:val="24"/>
        </w:rPr>
      </w:pPr>
    </w:p>
    <w:p w14:paraId="19FF8ECD">
      <w:pPr>
        <w:spacing w:line="440" w:lineRule="exact"/>
        <w:ind w:firstLine="576"/>
        <w:rPr>
          <w:rFonts w:ascii="宋体" w:hAnsi="宋体"/>
          <w:sz w:val="24"/>
        </w:rPr>
      </w:pPr>
    </w:p>
    <w:p w14:paraId="644AF7E8">
      <w:pPr>
        <w:spacing w:line="440" w:lineRule="exact"/>
        <w:ind w:firstLine="576"/>
        <w:rPr>
          <w:rFonts w:ascii="宋体" w:hAnsi="宋体"/>
          <w:sz w:val="24"/>
        </w:rPr>
      </w:pPr>
    </w:p>
    <w:p w14:paraId="778A5BDF">
      <w:pPr>
        <w:adjustRightInd w:val="0"/>
        <w:snapToGrid w:val="0"/>
        <w:spacing w:line="720" w:lineRule="auto"/>
        <w:ind w:right="210" w:rightChars="100"/>
        <w:jc w:val="right"/>
        <w:rPr>
          <w:sz w:val="24"/>
          <w:u w:val="single"/>
        </w:rPr>
      </w:pPr>
      <w:r>
        <w:rPr>
          <w:rFonts w:hint="eastAsia"/>
          <w:sz w:val="24"/>
          <w:lang w:eastAsia="zh-CN"/>
        </w:rPr>
        <w:t>供应商</w:t>
      </w:r>
      <w:r>
        <w:rPr>
          <w:rFonts w:hint="eastAsia"/>
          <w:iCs/>
          <w:sz w:val="24"/>
        </w:rPr>
        <w:t>名称</w:t>
      </w:r>
      <w:r>
        <w:rPr>
          <w:rFonts w:hint="eastAsia"/>
          <w:sz w:val="24"/>
        </w:rPr>
        <w:t>：</w:t>
      </w:r>
      <w:r>
        <w:rPr>
          <w:rFonts w:hint="eastAsia"/>
          <w:sz w:val="24"/>
          <w:u w:val="single"/>
        </w:rPr>
        <w:t>（公章）</w:t>
      </w:r>
    </w:p>
    <w:p w14:paraId="1CD98E44">
      <w:pPr>
        <w:adjustRightInd w:val="0"/>
        <w:snapToGrid w:val="0"/>
        <w:spacing w:line="720" w:lineRule="auto"/>
        <w:ind w:right="210" w:rightChars="100"/>
        <w:jc w:val="right"/>
        <w:rPr>
          <w:rFonts w:hint="eastAsia" w:eastAsia="宋体"/>
          <w:sz w:val="24"/>
          <w:lang w:eastAsia="zh-CN"/>
        </w:rPr>
      </w:pPr>
      <w:r>
        <w:rPr>
          <w:rFonts w:hint="eastAsia"/>
          <w:sz w:val="24"/>
        </w:rPr>
        <w:t>法定代表人或被授权人：</w:t>
      </w:r>
      <w:r>
        <w:rPr>
          <w:rFonts w:hint="eastAsia" w:ascii="宋体" w:hAnsi="宋体" w:cs="宋体"/>
          <w:bCs/>
          <w:sz w:val="24"/>
          <w:u w:val="single"/>
          <w:lang w:val="en-GB" w:eastAsia="zh-CN"/>
        </w:rPr>
        <w:t>（签字或盖章）</w:t>
      </w:r>
    </w:p>
    <w:p w14:paraId="3E81B900">
      <w:pPr>
        <w:adjustRightInd w:val="0"/>
        <w:snapToGrid w:val="0"/>
        <w:spacing w:line="720" w:lineRule="auto"/>
        <w:ind w:right="210" w:rightChars="100"/>
        <w:jc w:val="center"/>
        <w:rPr>
          <w:rFonts w:ascii="宋体" w:hAnsi="宋体" w:cs="宋体"/>
          <w:bCs/>
          <w:kern w:val="0"/>
          <w:sz w:val="24"/>
          <w:lang w:val="en-GB"/>
        </w:rPr>
      </w:pPr>
      <w:r>
        <w:rPr>
          <w:rFonts w:hint="eastAsia"/>
          <w:sz w:val="24"/>
        </w:rPr>
        <w:t xml:space="preserve">申明日期：  </w:t>
      </w:r>
      <w:r>
        <w:rPr>
          <w:rFonts w:hint="eastAsia" w:ascii="宋体" w:hAnsi="宋体" w:cs="宋体"/>
          <w:sz w:val="24"/>
          <w:lang w:val="en-GB"/>
        </w:rPr>
        <w:t>年  月   日</w:t>
      </w:r>
    </w:p>
    <w:p w14:paraId="7310A7F6">
      <w:pPr>
        <w:spacing w:beforeLines="50" w:line="440" w:lineRule="exact"/>
        <w:rPr>
          <w:rFonts w:ascii="宋体" w:hAnsi="宋体" w:cs="宋体"/>
          <w:b/>
          <w:bCs/>
          <w:sz w:val="24"/>
        </w:rPr>
      </w:pPr>
    </w:p>
    <w:p w14:paraId="178B4098">
      <w:pPr>
        <w:spacing w:beforeLines="50" w:line="440" w:lineRule="exact"/>
        <w:rPr>
          <w:rFonts w:ascii="宋体" w:hAnsi="宋体" w:cs="宋体"/>
          <w:b/>
          <w:bCs/>
          <w:sz w:val="24"/>
        </w:rPr>
      </w:pPr>
    </w:p>
    <w:p w14:paraId="117CEA20">
      <w:pPr>
        <w:spacing w:beforeLines="50" w:line="440" w:lineRule="exact"/>
        <w:rPr>
          <w:rFonts w:ascii="宋体" w:hAnsi="宋体" w:cs="宋体"/>
          <w:b/>
          <w:bCs/>
          <w:sz w:val="24"/>
        </w:rPr>
      </w:pPr>
    </w:p>
    <w:p w14:paraId="2C0F4E43">
      <w:pPr>
        <w:spacing w:beforeLines="50" w:line="440" w:lineRule="exact"/>
        <w:rPr>
          <w:rFonts w:ascii="宋体" w:hAnsi="宋体" w:cs="宋体"/>
          <w:b/>
          <w:bCs/>
          <w:sz w:val="24"/>
        </w:rPr>
      </w:pPr>
    </w:p>
    <w:p w14:paraId="7AF5D26C">
      <w:pPr>
        <w:spacing w:beforeLines="50" w:line="440" w:lineRule="exact"/>
        <w:rPr>
          <w:rFonts w:ascii="宋体" w:hAnsi="宋体" w:cs="宋体"/>
          <w:b/>
          <w:bCs/>
          <w:sz w:val="24"/>
        </w:rPr>
      </w:pPr>
    </w:p>
    <w:p w14:paraId="48ECEEF2">
      <w:pPr>
        <w:spacing w:beforeLines="50" w:line="440" w:lineRule="exact"/>
        <w:rPr>
          <w:rFonts w:ascii="宋体" w:hAnsi="宋体" w:cs="宋体"/>
          <w:b/>
          <w:bCs/>
          <w:sz w:val="24"/>
        </w:rPr>
      </w:pPr>
    </w:p>
    <w:p w14:paraId="567563BB">
      <w:pPr>
        <w:spacing w:beforeLines="50" w:line="440" w:lineRule="exact"/>
        <w:rPr>
          <w:rFonts w:ascii="宋体" w:hAnsi="宋体" w:cs="宋体"/>
          <w:b/>
          <w:bCs/>
          <w:sz w:val="24"/>
        </w:rPr>
      </w:pPr>
    </w:p>
    <w:p w14:paraId="2F147621">
      <w:pPr>
        <w:keepNext/>
        <w:keepLines/>
        <w:rPr>
          <w:rFonts w:cs="宋体"/>
          <w:sz w:val="24"/>
        </w:rPr>
      </w:pPr>
    </w:p>
    <w:p w14:paraId="36B6145D">
      <w:pPr>
        <w:rPr>
          <w:rFonts w:ascii="宋体" w:hAnsi="宋体" w:cs="宋体"/>
          <w:b/>
          <w:bCs/>
          <w:sz w:val="24"/>
        </w:rPr>
      </w:pPr>
    </w:p>
    <w:p w14:paraId="23B7CDD7"/>
    <w:p w14:paraId="39B7B7D7">
      <w:pPr>
        <w:pStyle w:val="21"/>
      </w:pPr>
    </w:p>
    <w:p w14:paraId="3C07C9F0">
      <w:pPr>
        <w:pStyle w:val="21"/>
      </w:pPr>
    </w:p>
    <w:p w14:paraId="6141A894">
      <w:pPr>
        <w:spacing w:line="440" w:lineRule="exact"/>
        <w:rPr>
          <w:rFonts w:ascii="宋体" w:hAnsi="宋体" w:cs="宋体"/>
          <w:b/>
          <w:bCs/>
          <w:sz w:val="30"/>
          <w:szCs w:val="30"/>
        </w:rPr>
      </w:pPr>
    </w:p>
    <w:p w14:paraId="5B24D34F">
      <w:pPr>
        <w:spacing w:line="440" w:lineRule="exact"/>
        <w:jc w:val="center"/>
        <w:outlineLvl w:val="1"/>
        <w:rPr>
          <w:rFonts w:ascii="宋体" w:hAnsi="宋体" w:cs="宋体"/>
          <w:b/>
          <w:sz w:val="30"/>
          <w:szCs w:val="30"/>
          <w:lang w:val="en-GB"/>
        </w:rPr>
      </w:pPr>
      <w:bookmarkStart w:id="270" w:name="_Toc1689"/>
      <w:r>
        <w:rPr>
          <w:rFonts w:hint="eastAsia" w:ascii="宋体" w:hAnsi="宋体" w:cs="宋体"/>
          <w:b/>
          <w:sz w:val="30"/>
          <w:szCs w:val="30"/>
          <w:lang w:val="en-GB"/>
        </w:rPr>
        <w:t>四、投标一览表</w:t>
      </w:r>
      <w:bookmarkEnd w:id="270"/>
    </w:p>
    <w:p w14:paraId="25CA81C5">
      <w:pPr>
        <w:spacing w:afterLines="50" w:line="440" w:lineRule="exact"/>
        <w:jc w:val="center"/>
        <w:rPr>
          <w:rFonts w:ascii="宋体" w:hAnsi="宋体" w:cs="宋体"/>
          <w:sz w:val="24"/>
        </w:rPr>
      </w:pPr>
    </w:p>
    <w:p w14:paraId="4BF99A21">
      <w:pPr>
        <w:widowControl/>
        <w:spacing w:line="360" w:lineRule="auto"/>
        <w:rPr>
          <w:rFonts w:hint="eastAsia" w:ascii="宋体" w:hAnsi="宋体" w:cs="宋体"/>
          <w:b/>
          <w:bCs/>
          <w:kern w:val="0"/>
          <w:sz w:val="24"/>
          <w:lang w:eastAsia="zh-CN"/>
        </w:rPr>
      </w:pPr>
      <w:r>
        <w:rPr>
          <w:rFonts w:hint="eastAsia" w:ascii="宋体" w:hAnsi="宋体" w:cs="宋体"/>
          <w:b/>
          <w:sz w:val="24"/>
        </w:rPr>
        <w:t>项目名称：</w:t>
      </w:r>
      <w:bookmarkStart w:id="271" w:name="_Toc154755499"/>
      <w:bookmarkStart w:id="272" w:name="_Toc154744455"/>
      <w:r>
        <w:rPr>
          <w:rFonts w:hint="eastAsia" w:ascii="宋体" w:hAnsi="宋体" w:cs="宋体"/>
          <w:b/>
          <w:sz w:val="24"/>
          <w:lang w:eastAsia="zh-CN"/>
        </w:rPr>
        <w:t>海南省机电工程学校直播教室设备采购项目</w:t>
      </w:r>
      <w:r>
        <w:rPr>
          <w:rFonts w:hint="eastAsia" w:ascii="宋体" w:hAnsi="宋体" w:cs="宋体"/>
          <w:b/>
          <w:sz w:val="24"/>
          <w:lang w:val="en-US" w:eastAsia="zh-CN"/>
        </w:rPr>
        <w:t xml:space="preserve">  </w:t>
      </w:r>
      <w:r>
        <w:rPr>
          <w:rFonts w:hint="eastAsia" w:ascii="宋体" w:hAnsi="宋体" w:cs="宋体"/>
          <w:b/>
          <w:sz w:val="24"/>
        </w:rPr>
        <w:t>项目编号：</w:t>
      </w:r>
      <w:bookmarkEnd w:id="271"/>
      <w:bookmarkEnd w:id="272"/>
      <w:r>
        <w:rPr>
          <w:rFonts w:hint="eastAsia" w:ascii="宋体" w:hAnsi="宋体" w:cs="宋体"/>
          <w:b/>
          <w:bCs/>
          <w:kern w:val="0"/>
          <w:sz w:val="24"/>
          <w:lang w:eastAsia="zh-CN"/>
        </w:rPr>
        <w:t>FZJTHN-CG-2024003</w:t>
      </w:r>
    </w:p>
    <w:p w14:paraId="485A465A">
      <w:pPr>
        <w:widowControl/>
        <w:spacing w:line="360" w:lineRule="auto"/>
        <w:rPr>
          <w:rFonts w:hint="eastAsia" w:ascii="宋体" w:hAnsi="宋体" w:cs="宋体"/>
          <w:b/>
          <w:bCs/>
          <w:kern w:val="0"/>
          <w:sz w:val="24"/>
          <w:lang w:eastAsia="zh-CN"/>
        </w:rPr>
      </w:pPr>
    </w:p>
    <w:p w14:paraId="27ED142C">
      <w:pPr>
        <w:widowControl/>
        <w:spacing w:line="360" w:lineRule="auto"/>
        <w:rPr>
          <w:rFonts w:hint="eastAsia" w:ascii="宋体" w:hAnsi="宋体" w:cs="宋体"/>
          <w:b/>
          <w:bCs/>
          <w:kern w:val="0"/>
          <w:sz w:val="24"/>
          <w:lang w:eastAsia="zh-CN"/>
        </w:rPr>
      </w:pPr>
    </w:p>
    <w:tbl>
      <w:tblPr>
        <w:tblStyle w:val="29"/>
        <w:tblW w:w="9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7641"/>
      </w:tblGrid>
      <w:tr w14:paraId="49CC43F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trPr>
        <w:tc>
          <w:tcPr>
            <w:tcW w:w="9025" w:type="dxa"/>
            <w:gridSpan w:val="2"/>
            <w:tcBorders>
              <w:top w:val="single" w:color="auto" w:sz="4" w:space="0"/>
              <w:left w:val="single" w:color="auto" w:sz="4" w:space="0"/>
              <w:bottom w:val="single" w:color="auto" w:sz="4" w:space="0"/>
              <w:right w:val="single" w:color="auto" w:sz="4" w:space="0"/>
            </w:tcBorders>
          </w:tcPr>
          <w:p w14:paraId="52652D39">
            <w:pPr>
              <w:rPr>
                <w:rFonts w:ascii="宋体" w:hAnsi="宋体" w:cs="宋体"/>
                <w:b/>
                <w:bCs/>
                <w:sz w:val="24"/>
              </w:rPr>
            </w:pPr>
            <w:bookmarkStart w:id="273" w:name="_Toc171325099"/>
          </w:p>
          <w:p w14:paraId="18F1AF04">
            <w:pPr>
              <w:rPr>
                <w:rFonts w:ascii="宋体" w:hAnsi="宋体"/>
                <w:b/>
                <w:bCs/>
                <w:sz w:val="24"/>
                <w:u w:val="single"/>
              </w:rPr>
            </w:pPr>
            <w:r>
              <w:rPr>
                <w:rFonts w:hint="eastAsia" w:ascii="宋体" w:hAnsi="宋体" w:cs="宋体"/>
                <w:b/>
                <w:bCs/>
                <w:sz w:val="24"/>
                <w:lang w:val="en-US" w:eastAsia="zh-CN"/>
              </w:rPr>
              <w:t>投标报价</w:t>
            </w:r>
            <w:r>
              <w:rPr>
                <w:rFonts w:hint="eastAsia" w:ascii="宋体" w:hAnsi="宋体" w:cs="宋体"/>
                <w:b/>
                <w:bCs/>
                <w:sz w:val="24"/>
              </w:rPr>
              <w:t>：</w:t>
            </w:r>
            <w:r>
              <w:rPr>
                <w:rFonts w:hint="eastAsia" w:ascii="宋体" w:hAnsi="宋体"/>
                <w:b/>
                <w:bCs/>
                <w:sz w:val="24"/>
              </w:rPr>
              <w:t>￥</w:t>
            </w:r>
          </w:p>
          <w:p w14:paraId="1CAAEC57">
            <w:pPr>
              <w:rPr>
                <w:rFonts w:ascii="宋体" w:hAnsi="宋体"/>
                <w:b/>
                <w:bCs/>
                <w:sz w:val="24"/>
                <w:u w:val="single"/>
              </w:rPr>
            </w:pPr>
          </w:p>
          <w:p w14:paraId="6D2AA16C">
            <w:pPr>
              <w:rPr>
                <w:rFonts w:hint="eastAsia" w:ascii="宋体" w:hAnsi="宋体" w:eastAsia="宋体"/>
                <w:b/>
                <w:bCs/>
                <w:sz w:val="24"/>
                <w:u w:val="single"/>
                <w:lang w:eastAsia="zh-CN"/>
              </w:rPr>
            </w:pPr>
            <w:r>
              <w:rPr>
                <w:rFonts w:hint="eastAsia" w:ascii="宋体" w:hAnsi="宋体" w:cs="宋体"/>
                <w:b/>
                <w:bCs/>
                <w:sz w:val="24"/>
              </w:rPr>
              <w:t>报价</w:t>
            </w:r>
            <w:r>
              <w:rPr>
                <w:rFonts w:hint="eastAsia" w:ascii="宋体" w:hAnsi="宋体" w:cs="宋体"/>
                <w:b/>
                <w:bCs/>
                <w:sz w:val="24"/>
                <w:lang w:val="en-US" w:eastAsia="zh-CN"/>
              </w:rPr>
              <w:t>报价</w:t>
            </w:r>
            <w:r>
              <w:rPr>
                <w:rFonts w:hint="eastAsia" w:ascii="宋体" w:hAnsi="宋体"/>
                <w:b/>
                <w:bCs/>
                <w:sz w:val="24"/>
              </w:rPr>
              <w:t>（大写）</w:t>
            </w:r>
            <w:r>
              <w:rPr>
                <w:rFonts w:hint="eastAsia" w:ascii="宋体" w:hAnsi="宋体"/>
                <w:b/>
                <w:bCs/>
                <w:sz w:val="24"/>
                <w:lang w:eastAsia="zh-CN"/>
              </w:rPr>
              <w:t>：</w:t>
            </w:r>
            <w:r>
              <w:rPr>
                <w:rFonts w:hint="eastAsia" w:ascii="宋体" w:hAnsi="宋体"/>
                <w:b/>
                <w:bCs/>
                <w:sz w:val="24"/>
              </w:rPr>
              <w:t>￥</w:t>
            </w:r>
          </w:p>
          <w:p w14:paraId="3E0BCDD5">
            <w:pPr>
              <w:rPr>
                <w:rFonts w:ascii="宋体" w:hAnsi="宋体"/>
                <w:sz w:val="24"/>
              </w:rPr>
            </w:pPr>
          </w:p>
        </w:tc>
      </w:tr>
      <w:tr w14:paraId="6070E09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trPr>
        <w:tc>
          <w:tcPr>
            <w:tcW w:w="1384" w:type="dxa"/>
            <w:tcBorders>
              <w:top w:val="single" w:color="auto" w:sz="4" w:space="0"/>
              <w:left w:val="single" w:color="auto" w:sz="4" w:space="0"/>
              <w:bottom w:val="single" w:color="auto" w:sz="4" w:space="0"/>
              <w:right w:val="single" w:color="auto" w:sz="4" w:space="0"/>
            </w:tcBorders>
            <w:vAlign w:val="center"/>
          </w:tcPr>
          <w:p w14:paraId="553F05C3">
            <w:pPr>
              <w:jc w:val="center"/>
              <w:rPr>
                <w:rFonts w:hint="default" w:ascii="宋体" w:hAnsi="宋体" w:eastAsia="宋体"/>
                <w:sz w:val="24"/>
                <w:lang w:val="en-US" w:eastAsia="zh-CN"/>
              </w:rPr>
            </w:pPr>
            <w:r>
              <w:rPr>
                <w:rFonts w:hint="eastAsia" w:ascii="宋体" w:hAnsi="宋体"/>
                <w:sz w:val="24"/>
                <w:lang w:val="en-US" w:eastAsia="zh-CN"/>
              </w:rPr>
              <w:t>工期</w:t>
            </w:r>
          </w:p>
        </w:tc>
        <w:tc>
          <w:tcPr>
            <w:tcW w:w="7641" w:type="dxa"/>
            <w:tcBorders>
              <w:top w:val="single" w:color="auto" w:sz="4" w:space="0"/>
              <w:left w:val="single" w:color="auto" w:sz="4" w:space="0"/>
              <w:bottom w:val="single" w:color="auto" w:sz="4" w:space="0"/>
              <w:right w:val="single" w:color="auto" w:sz="4" w:space="0"/>
            </w:tcBorders>
            <w:vAlign w:val="center"/>
          </w:tcPr>
          <w:p w14:paraId="5364BD72">
            <w:pPr>
              <w:spacing w:line="420" w:lineRule="exact"/>
              <w:ind w:firstLine="480" w:firstLineChars="200"/>
              <w:jc w:val="center"/>
              <w:rPr>
                <w:rFonts w:ascii="宋体" w:hAnsi="宋体"/>
                <w:sz w:val="24"/>
              </w:rPr>
            </w:pPr>
          </w:p>
        </w:tc>
      </w:tr>
      <w:tr w14:paraId="033EF1C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1384" w:type="dxa"/>
            <w:tcBorders>
              <w:top w:val="single" w:color="auto" w:sz="4" w:space="0"/>
              <w:left w:val="single" w:color="auto" w:sz="4" w:space="0"/>
              <w:bottom w:val="single" w:color="auto" w:sz="4" w:space="0"/>
              <w:right w:val="single" w:color="auto" w:sz="4" w:space="0"/>
            </w:tcBorders>
            <w:vAlign w:val="center"/>
          </w:tcPr>
          <w:p w14:paraId="12DC0DAB">
            <w:pPr>
              <w:jc w:val="center"/>
              <w:rPr>
                <w:rFonts w:hint="eastAsia" w:ascii="宋体" w:hAnsi="宋体" w:eastAsia="宋体"/>
                <w:sz w:val="24"/>
                <w:lang w:val="en-US" w:eastAsia="zh-CN"/>
              </w:rPr>
            </w:pPr>
            <w:r>
              <w:rPr>
                <w:rFonts w:hint="eastAsia" w:ascii="宋体" w:hAnsi="宋体"/>
                <w:sz w:val="24"/>
                <w:lang w:val="en-US" w:eastAsia="zh-CN"/>
              </w:rPr>
              <w:t>质保期</w:t>
            </w:r>
          </w:p>
        </w:tc>
        <w:tc>
          <w:tcPr>
            <w:tcW w:w="7641" w:type="dxa"/>
            <w:tcBorders>
              <w:top w:val="single" w:color="auto" w:sz="4" w:space="0"/>
              <w:left w:val="single" w:color="auto" w:sz="4" w:space="0"/>
              <w:bottom w:val="single" w:color="auto" w:sz="4" w:space="0"/>
              <w:right w:val="single" w:color="auto" w:sz="4" w:space="0"/>
            </w:tcBorders>
          </w:tcPr>
          <w:p w14:paraId="36D8B474">
            <w:pPr>
              <w:rPr>
                <w:rFonts w:ascii="宋体" w:hAnsi="宋体"/>
                <w:b/>
                <w:bCs/>
                <w:sz w:val="24"/>
                <w:u w:val="single"/>
              </w:rPr>
            </w:pPr>
          </w:p>
          <w:p w14:paraId="7342C6E8">
            <w:pPr>
              <w:rPr>
                <w:rFonts w:ascii="宋体" w:hAnsi="宋体"/>
                <w:sz w:val="24"/>
              </w:rPr>
            </w:pPr>
          </w:p>
        </w:tc>
      </w:tr>
      <w:tr w14:paraId="2CFAE02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1384" w:type="dxa"/>
            <w:tcBorders>
              <w:top w:val="single" w:color="auto" w:sz="4" w:space="0"/>
              <w:left w:val="single" w:color="auto" w:sz="4" w:space="0"/>
              <w:bottom w:val="single" w:color="auto" w:sz="4" w:space="0"/>
              <w:right w:val="single" w:color="auto" w:sz="4" w:space="0"/>
            </w:tcBorders>
            <w:vAlign w:val="center"/>
          </w:tcPr>
          <w:p w14:paraId="4009D1D1">
            <w:pPr>
              <w:jc w:val="center"/>
              <w:rPr>
                <w:rFonts w:hint="default" w:ascii="宋体" w:hAnsi="宋体"/>
                <w:sz w:val="24"/>
                <w:lang w:val="en-US" w:eastAsia="zh-CN"/>
              </w:rPr>
            </w:pPr>
            <w:r>
              <w:rPr>
                <w:rFonts w:hint="eastAsia" w:ascii="宋体" w:hAnsi="宋体"/>
                <w:sz w:val="24"/>
                <w:lang w:val="en-US" w:eastAsia="zh-CN"/>
              </w:rPr>
              <w:t>交货时间</w:t>
            </w:r>
          </w:p>
        </w:tc>
        <w:tc>
          <w:tcPr>
            <w:tcW w:w="7641" w:type="dxa"/>
            <w:tcBorders>
              <w:top w:val="single" w:color="auto" w:sz="4" w:space="0"/>
              <w:left w:val="single" w:color="auto" w:sz="4" w:space="0"/>
              <w:bottom w:val="single" w:color="auto" w:sz="4" w:space="0"/>
              <w:right w:val="single" w:color="auto" w:sz="4" w:space="0"/>
            </w:tcBorders>
          </w:tcPr>
          <w:p w14:paraId="0FE2CA2F">
            <w:pPr>
              <w:rPr>
                <w:rFonts w:ascii="宋体" w:hAnsi="宋体"/>
                <w:sz w:val="24"/>
              </w:rPr>
            </w:pPr>
          </w:p>
        </w:tc>
      </w:tr>
      <w:tr w14:paraId="2806EFD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1384" w:type="dxa"/>
            <w:tcBorders>
              <w:top w:val="single" w:color="auto" w:sz="4" w:space="0"/>
              <w:left w:val="single" w:color="auto" w:sz="4" w:space="0"/>
              <w:bottom w:val="single" w:color="auto" w:sz="4" w:space="0"/>
              <w:right w:val="single" w:color="auto" w:sz="4" w:space="0"/>
            </w:tcBorders>
            <w:vAlign w:val="center"/>
          </w:tcPr>
          <w:p w14:paraId="7C579435">
            <w:pPr>
              <w:jc w:val="center"/>
              <w:rPr>
                <w:rFonts w:hint="default" w:ascii="宋体" w:hAnsi="宋体"/>
                <w:sz w:val="24"/>
                <w:lang w:val="en-US" w:eastAsia="zh-CN"/>
              </w:rPr>
            </w:pPr>
            <w:r>
              <w:rPr>
                <w:rFonts w:hint="eastAsia" w:ascii="宋体" w:hAnsi="宋体"/>
                <w:sz w:val="24"/>
                <w:lang w:val="en-US" w:eastAsia="zh-CN"/>
              </w:rPr>
              <w:t>质量标准</w:t>
            </w:r>
          </w:p>
        </w:tc>
        <w:tc>
          <w:tcPr>
            <w:tcW w:w="7641" w:type="dxa"/>
            <w:tcBorders>
              <w:top w:val="single" w:color="auto" w:sz="4" w:space="0"/>
              <w:left w:val="single" w:color="auto" w:sz="4" w:space="0"/>
              <w:bottom w:val="single" w:color="auto" w:sz="4" w:space="0"/>
              <w:right w:val="single" w:color="auto" w:sz="4" w:space="0"/>
            </w:tcBorders>
          </w:tcPr>
          <w:p w14:paraId="329A4721">
            <w:pPr>
              <w:rPr>
                <w:rFonts w:ascii="宋体" w:hAnsi="宋体"/>
                <w:sz w:val="24"/>
              </w:rPr>
            </w:pPr>
          </w:p>
        </w:tc>
      </w:tr>
    </w:tbl>
    <w:p w14:paraId="65BE9582">
      <w:pPr>
        <w:spacing w:line="420" w:lineRule="exact"/>
        <w:rPr>
          <w:rFonts w:ascii="宋体" w:hAnsi="宋体" w:cs="宋体"/>
          <w:kern w:val="44"/>
          <w:sz w:val="24"/>
        </w:rPr>
      </w:pPr>
    </w:p>
    <w:p w14:paraId="0113A36D">
      <w:pPr>
        <w:rPr>
          <w:rFonts w:ascii="黑体" w:hAnsi="宋体" w:eastAsia="黑体"/>
          <w:sz w:val="28"/>
          <w:szCs w:val="28"/>
        </w:rPr>
      </w:pPr>
    </w:p>
    <w:p w14:paraId="5A5A3FE2">
      <w:pPr>
        <w:topLinePunct/>
        <w:snapToGrid w:val="0"/>
        <w:spacing w:before="4" w:line="360" w:lineRule="auto"/>
        <w:rPr>
          <w:rFonts w:ascii="宋体" w:hAnsi="宋体"/>
          <w:b/>
          <w:bCs/>
          <w:sz w:val="28"/>
          <w:szCs w:val="28"/>
          <w:u w:val="single"/>
        </w:rPr>
      </w:pPr>
      <w:r>
        <w:rPr>
          <w:rFonts w:hint="eastAsia" w:ascii="宋体" w:hAnsi="宋体"/>
          <w:b/>
          <w:bCs/>
          <w:sz w:val="28"/>
          <w:szCs w:val="28"/>
          <w:lang w:eastAsia="zh-CN"/>
        </w:rPr>
        <w:t>供应商</w:t>
      </w:r>
      <w:r>
        <w:rPr>
          <w:rFonts w:hint="eastAsia" w:ascii="宋体" w:hAnsi="宋体"/>
          <w:b/>
          <w:bCs/>
          <w:sz w:val="28"/>
          <w:szCs w:val="28"/>
        </w:rPr>
        <w:t>名称（公章）：</w:t>
      </w:r>
    </w:p>
    <w:p w14:paraId="512DCFB4">
      <w:pPr>
        <w:topLinePunct/>
        <w:snapToGrid w:val="0"/>
        <w:spacing w:before="4" w:line="360" w:lineRule="auto"/>
        <w:rPr>
          <w:rFonts w:ascii="宋体" w:hAnsi="宋体"/>
          <w:b/>
          <w:bCs/>
          <w:sz w:val="28"/>
          <w:szCs w:val="28"/>
        </w:rPr>
      </w:pPr>
    </w:p>
    <w:p w14:paraId="4DDD89DD">
      <w:pPr>
        <w:topLinePunct/>
        <w:snapToGrid w:val="0"/>
        <w:spacing w:before="4" w:line="360" w:lineRule="auto"/>
      </w:pPr>
      <w:r>
        <w:rPr>
          <w:rFonts w:hint="eastAsia" w:ascii="宋体" w:hAnsi="宋体"/>
          <w:b/>
          <w:bCs/>
          <w:sz w:val="28"/>
          <w:szCs w:val="28"/>
        </w:rPr>
        <w:t>法定代表人或被授权人（签字）</w:t>
      </w:r>
      <w:bookmarkEnd w:id="273"/>
    </w:p>
    <w:p w14:paraId="7AA37D67">
      <w:pPr>
        <w:spacing w:line="420" w:lineRule="exact"/>
        <w:rPr>
          <w:rFonts w:ascii="宋体" w:hAnsi="宋体" w:cs="宋体"/>
          <w:kern w:val="44"/>
          <w:sz w:val="24"/>
        </w:rPr>
      </w:pPr>
    </w:p>
    <w:p w14:paraId="3C301182">
      <w:pPr>
        <w:spacing w:line="420" w:lineRule="exact"/>
        <w:rPr>
          <w:rFonts w:ascii="宋体" w:hAnsi="宋体" w:cs="宋体"/>
          <w:kern w:val="44"/>
          <w:sz w:val="24"/>
        </w:rPr>
      </w:pPr>
      <w:r>
        <w:rPr>
          <w:rFonts w:hint="eastAsia" w:ascii="宋体" w:hAnsi="宋体" w:cs="宋体"/>
          <w:kern w:val="44"/>
          <w:sz w:val="24"/>
        </w:rPr>
        <w:t>注：</w:t>
      </w:r>
      <w:r>
        <w:rPr>
          <w:rFonts w:ascii="宋体" w:hAnsi="宋体" w:cs="宋体"/>
          <w:kern w:val="44"/>
          <w:sz w:val="24"/>
        </w:rPr>
        <w:t>1.不得填报选择性报价方案，否则投标无效；</w:t>
      </w:r>
    </w:p>
    <w:p w14:paraId="70FCDF64">
      <w:pPr>
        <w:spacing w:line="420" w:lineRule="exact"/>
        <w:ind w:firstLine="480" w:firstLineChars="200"/>
        <w:rPr>
          <w:rFonts w:ascii="宋体" w:hAnsi="宋体" w:cs="宋体"/>
          <w:kern w:val="44"/>
          <w:sz w:val="24"/>
        </w:rPr>
      </w:pPr>
      <w:r>
        <w:rPr>
          <w:rFonts w:ascii="宋体" w:hAnsi="宋体" w:cs="宋体"/>
          <w:kern w:val="44"/>
          <w:sz w:val="24"/>
        </w:rPr>
        <w:t xml:space="preserve">2.报价应包括招标文件所规定的采购范围的全部内容；     </w:t>
      </w:r>
    </w:p>
    <w:p w14:paraId="26562F7C">
      <w:pPr>
        <w:spacing w:line="420" w:lineRule="exact"/>
        <w:ind w:firstLine="480" w:firstLineChars="200"/>
        <w:rPr>
          <w:rFonts w:ascii="宋体" w:hAnsi="宋体" w:cs="宋体"/>
          <w:kern w:val="44"/>
          <w:sz w:val="24"/>
        </w:rPr>
      </w:pPr>
      <w:r>
        <w:rPr>
          <w:rFonts w:ascii="宋体" w:hAnsi="宋体" w:cs="宋体"/>
          <w:kern w:val="44"/>
          <w:sz w:val="24"/>
        </w:rPr>
        <w:t>3.</w:t>
      </w:r>
      <w:r>
        <w:rPr>
          <w:rFonts w:hint="eastAsia" w:ascii="宋体" w:hAnsi="宋体" w:cs="宋体"/>
          <w:kern w:val="44"/>
          <w:sz w:val="24"/>
        </w:rPr>
        <w:t>报价包括包含货款、税金、运输、装卸费等一切应当包含的费用</w:t>
      </w:r>
    </w:p>
    <w:p w14:paraId="76DB2FB5"/>
    <w:p w14:paraId="76A87FF7"/>
    <w:p w14:paraId="3161F1B3"/>
    <w:p w14:paraId="10CF70C9">
      <w:pPr>
        <w:spacing w:line="440" w:lineRule="exact"/>
        <w:rPr>
          <w:rFonts w:ascii="宋体" w:hAnsi="宋体" w:cs="宋体"/>
          <w:sz w:val="24"/>
          <w:lang w:val="en-GB"/>
        </w:rPr>
      </w:pPr>
    </w:p>
    <w:p w14:paraId="7B0B84EB">
      <w:pPr>
        <w:spacing w:line="320" w:lineRule="exact"/>
        <w:textAlignment w:val="baseline"/>
        <w:rPr>
          <w:rFonts w:ascii="宋体" w:hAnsi="宋体" w:cs="宋体"/>
          <w:b/>
          <w:bCs/>
          <w:kern w:val="0"/>
          <w:sz w:val="30"/>
          <w:szCs w:val="30"/>
        </w:rPr>
      </w:pPr>
    </w:p>
    <w:p w14:paraId="6D0B8AE2">
      <w:pPr>
        <w:rPr>
          <w:rFonts w:ascii="宋体" w:hAnsi="宋体" w:cs="宋体"/>
          <w:b/>
          <w:sz w:val="30"/>
          <w:szCs w:val="30"/>
        </w:rPr>
      </w:pPr>
      <w:r>
        <w:rPr>
          <w:rFonts w:hint="eastAsia" w:ascii="宋体" w:hAnsi="宋体" w:cs="宋体"/>
          <w:b/>
          <w:sz w:val="30"/>
          <w:szCs w:val="30"/>
        </w:rPr>
        <w:br w:type="page"/>
      </w:r>
    </w:p>
    <w:p w14:paraId="1846BB87">
      <w:pPr>
        <w:spacing w:line="440" w:lineRule="exact"/>
        <w:jc w:val="center"/>
        <w:outlineLvl w:val="1"/>
        <w:rPr>
          <w:rFonts w:ascii="宋体" w:hAnsi="宋体" w:cs="宋体"/>
          <w:b/>
          <w:sz w:val="30"/>
          <w:szCs w:val="30"/>
        </w:rPr>
      </w:pPr>
      <w:bookmarkStart w:id="274" w:name="_Toc18995"/>
      <w:r>
        <w:rPr>
          <w:rFonts w:hint="eastAsia" w:ascii="宋体" w:hAnsi="宋体" w:cs="宋体"/>
          <w:b/>
          <w:sz w:val="30"/>
          <w:szCs w:val="30"/>
          <w:lang w:val="en-US" w:eastAsia="zh-CN"/>
        </w:rPr>
        <w:t>五</w:t>
      </w:r>
      <w:r>
        <w:rPr>
          <w:rFonts w:hint="eastAsia" w:ascii="宋体" w:hAnsi="宋体" w:cs="宋体"/>
          <w:b/>
          <w:sz w:val="30"/>
          <w:szCs w:val="30"/>
        </w:rPr>
        <w:t>、</w:t>
      </w:r>
      <w:r>
        <w:rPr>
          <w:rFonts w:hint="eastAsia" w:ascii="宋体" w:hAnsi="宋体" w:cs="宋体"/>
          <w:b/>
          <w:sz w:val="30"/>
          <w:szCs w:val="30"/>
          <w:lang w:eastAsia="zh-CN"/>
        </w:rPr>
        <w:t>供应商</w:t>
      </w:r>
      <w:r>
        <w:rPr>
          <w:rFonts w:hint="eastAsia" w:ascii="宋体" w:hAnsi="宋体" w:cs="宋体"/>
          <w:b/>
          <w:sz w:val="30"/>
          <w:szCs w:val="30"/>
        </w:rPr>
        <w:t>资格证明文件</w:t>
      </w:r>
      <w:bookmarkEnd w:id="274"/>
    </w:p>
    <w:p w14:paraId="322645F2">
      <w:pPr>
        <w:keepNext/>
        <w:keepLines/>
        <w:spacing w:line="377" w:lineRule="auto"/>
        <w:jc w:val="center"/>
      </w:pPr>
      <w:r>
        <w:rPr>
          <w:rFonts w:hint="eastAsia"/>
        </w:rPr>
        <w:t>（一）</w:t>
      </w:r>
      <w:r>
        <w:rPr>
          <w:rFonts w:hint="eastAsia"/>
          <w:lang w:eastAsia="zh-CN"/>
        </w:rPr>
        <w:t>供应商</w:t>
      </w:r>
      <w:r>
        <w:rPr>
          <w:rFonts w:hint="eastAsia"/>
        </w:rPr>
        <w:t>基本情况表</w:t>
      </w:r>
    </w:p>
    <w:tbl>
      <w:tblPr>
        <w:tblStyle w:val="29"/>
        <w:tblW w:w="8522"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0"/>
        <w:gridCol w:w="958"/>
        <w:gridCol w:w="1237"/>
        <w:gridCol w:w="1241"/>
        <w:gridCol w:w="7"/>
        <w:gridCol w:w="1314"/>
        <w:gridCol w:w="159"/>
        <w:gridCol w:w="1002"/>
        <w:gridCol w:w="1084"/>
      </w:tblGrid>
      <w:tr w14:paraId="7605C173">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20" w:type="dxa"/>
            <w:vAlign w:val="center"/>
          </w:tcPr>
          <w:p w14:paraId="064EFD9B">
            <w:pPr>
              <w:autoSpaceDE w:val="0"/>
              <w:autoSpaceDN w:val="0"/>
              <w:spacing w:line="400" w:lineRule="exact"/>
              <w:jc w:val="center"/>
              <w:rPr>
                <w:sz w:val="24"/>
                <w:szCs w:val="24"/>
              </w:rPr>
            </w:pPr>
            <w:r>
              <w:rPr>
                <w:rFonts w:hint="eastAsia" w:hAnsi="宋体"/>
                <w:sz w:val="24"/>
                <w:szCs w:val="24"/>
                <w:lang w:eastAsia="zh-CN"/>
              </w:rPr>
              <w:t>供应商</w:t>
            </w:r>
            <w:r>
              <w:rPr>
                <w:rFonts w:hAnsi="宋体"/>
                <w:sz w:val="24"/>
                <w:szCs w:val="24"/>
              </w:rPr>
              <w:t>名称</w:t>
            </w:r>
          </w:p>
        </w:tc>
        <w:tc>
          <w:tcPr>
            <w:tcW w:w="7002" w:type="dxa"/>
            <w:gridSpan w:val="8"/>
            <w:vAlign w:val="center"/>
          </w:tcPr>
          <w:p w14:paraId="53B3522D">
            <w:pPr>
              <w:autoSpaceDE w:val="0"/>
              <w:autoSpaceDN w:val="0"/>
              <w:spacing w:line="400" w:lineRule="exact"/>
              <w:jc w:val="center"/>
              <w:rPr>
                <w:sz w:val="24"/>
                <w:szCs w:val="24"/>
              </w:rPr>
            </w:pPr>
          </w:p>
        </w:tc>
      </w:tr>
      <w:tr w14:paraId="4227E59E">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20" w:type="dxa"/>
            <w:vAlign w:val="center"/>
          </w:tcPr>
          <w:p w14:paraId="632D7C79">
            <w:pPr>
              <w:autoSpaceDE w:val="0"/>
              <w:autoSpaceDN w:val="0"/>
              <w:spacing w:line="400" w:lineRule="exact"/>
              <w:jc w:val="center"/>
              <w:rPr>
                <w:sz w:val="24"/>
                <w:szCs w:val="24"/>
              </w:rPr>
            </w:pPr>
            <w:r>
              <w:rPr>
                <w:rFonts w:hAnsi="宋体"/>
                <w:sz w:val="24"/>
                <w:szCs w:val="24"/>
              </w:rPr>
              <w:t>注册地址</w:t>
            </w:r>
          </w:p>
        </w:tc>
        <w:tc>
          <w:tcPr>
            <w:tcW w:w="3443" w:type="dxa"/>
            <w:gridSpan w:val="4"/>
            <w:vAlign w:val="center"/>
          </w:tcPr>
          <w:p w14:paraId="621574B5">
            <w:pPr>
              <w:autoSpaceDE w:val="0"/>
              <w:autoSpaceDN w:val="0"/>
              <w:spacing w:line="400" w:lineRule="exact"/>
              <w:jc w:val="center"/>
              <w:rPr>
                <w:sz w:val="24"/>
                <w:szCs w:val="24"/>
              </w:rPr>
            </w:pPr>
          </w:p>
        </w:tc>
        <w:tc>
          <w:tcPr>
            <w:tcW w:w="1314" w:type="dxa"/>
            <w:vAlign w:val="center"/>
          </w:tcPr>
          <w:p w14:paraId="1394D55F">
            <w:pPr>
              <w:autoSpaceDE w:val="0"/>
              <w:autoSpaceDN w:val="0"/>
              <w:spacing w:line="400" w:lineRule="exact"/>
              <w:jc w:val="center"/>
              <w:rPr>
                <w:sz w:val="24"/>
                <w:szCs w:val="24"/>
              </w:rPr>
            </w:pPr>
            <w:r>
              <w:rPr>
                <w:rFonts w:hAnsi="宋体"/>
                <w:sz w:val="24"/>
                <w:szCs w:val="24"/>
              </w:rPr>
              <w:t>邮政编码</w:t>
            </w:r>
          </w:p>
        </w:tc>
        <w:tc>
          <w:tcPr>
            <w:tcW w:w="2245" w:type="dxa"/>
            <w:gridSpan w:val="3"/>
            <w:vAlign w:val="center"/>
          </w:tcPr>
          <w:p w14:paraId="73C019D4">
            <w:pPr>
              <w:autoSpaceDE w:val="0"/>
              <w:autoSpaceDN w:val="0"/>
              <w:spacing w:line="400" w:lineRule="exact"/>
              <w:jc w:val="center"/>
              <w:rPr>
                <w:sz w:val="24"/>
                <w:szCs w:val="24"/>
              </w:rPr>
            </w:pPr>
          </w:p>
        </w:tc>
      </w:tr>
      <w:tr w14:paraId="21FB1BFD">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0" w:type="dxa"/>
            <w:vMerge w:val="restart"/>
            <w:vAlign w:val="center"/>
          </w:tcPr>
          <w:p w14:paraId="006C6FF7">
            <w:pPr>
              <w:autoSpaceDE w:val="0"/>
              <w:autoSpaceDN w:val="0"/>
              <w:spacing w:line="400" w:lineRule="exact"/>
              <w:jc w:val="center"/>
              <w:rPr>
                <w:sz w:val="24"/>
                <w:szCs w:val="24"/>
              </w:rPr>
            </w:pPr>
            <w:r>
              <w:rPr>
                <w:rFonts w:hAnsi="宋体"/>
                <w:sz w:val="24"/>
                <w:szCs w:val="24"/>
              </w:rPr>
              <w:t>联系方式</w:t>
            </w:r>
          </w:p>
        </w:tc>
        <w:tc>
          <w:tcPr>
            <w:tcW w:w="958" w:type="dxa"/>
            <w:vAlign w:val="center"/>
          </w:tcPr>
          <w:p w14:paraId="78BC008B">
            <w:pPr>
              <w:autoSpaceDE w:val="0"/>
              <w:autoSpaceDN w:val="0"/>
              <w:spacing w:line="400" w:lineRule="exact"/>
              <w:jc w:val="center"/>
              <w:rPr>
                <w:sz w:val="24"/>
                <w:szCs w:val="24"/>
              </w:rPr>
            </w:pPr>
            <w:r>
              <w:rPr>
                <w:rFonts w:hAnsi="宋体"/>
                <w:sz w:val="24"/>
                <w:szCs w:val="24"/>
              </w:rPr>
              <w:t>联系人</w:t>
            </w:r>
          </w:p>
        </w:tc>
        <w:tc>
          <w:tcPr>
            <w:tcW w:w="2478" w:type="dxa"/>
            <w:gridSpan w:val="2"/>
            <w:vAlign w:val="center"/>
          </w:tcPr>
          <w:p w14:paraId="794E2D0A">
            <w:pPr>
              <w:autoSpaceDE w:val="0"/>
              <w:autoSpaceDN w:val="0"/>
              <w:spacing w:line="400" w:lineRule="exact"/>
              <w:jc w:val="center"/>
              <w:rPr>
                <w:sz w:val="24"/>
                <w:szCs w:val="24"/>
              </w:rPr>
            </w:pPr>
          </w:p>
        </w:tc>
        <w:tc>
          <w:tcPr>
            <w:tcW w:w="1321" w:type="dxa"/>
            <w:gridSpan w:val="2"/>
            <w:vAlign w:val="center"/>
          </w:tcPr>
          <w:p w14:paraId="0CEA3FD2">
            <w:pPr>
              <w:autoSpaceDE w:val="0"/>
              <w:autoSpaceDN w:val="0"/>
              <w:spacing w:line="400" w:lineRule="exact"/>
              <w:jc w:val="center"/>
              <w:rPr>
                <w:sz w:val="24"/>
                <w:szCs w:val="24"/>
              </w:rPr>
            </w:pPr>
            <w:r>
              <w:rPr>
                <w:rFonts w:hAnsi="宋体"/>
                <w:sz w:val="24"/>
                <w:szCs w:val="24"/>
              </w:rPr>
              <w:t>电话</w:t>
            </w:r>
          </w:p>
        </w:tc>
        <w:tc>
          <w:tcPr>
            <w:tcW w:w="2245" w:type="dxa"/>
            <w:gridSpan w:val="3"/>
            <w:vAlign w:val="center"/>
          </w:tcPr>
          <w:p w14:paraId="771AFA3C">
            <w:pPr>
              <w:autoSpaceDE w:val="0"/>
              <w:autoSpaceDN w:val="0"/>
              <w:spacing w:line="400" w:lineRule="exact"/>
              <w:jc w:val="center"/>
              <w:rPr>
                <w:sz w:val="24"/>
                <w:szCs w:val="24"/>
              </w:rPr>
            </w:pPr>
          </w:p>
        </w:tc>
      </w:tr>
      <w:tr w14:paraId="04332706">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48" w:hRule="atLeast"/>
          <w:jc w:val="center"/>
        </w:trPr>
        <w:tc>
          <w:tcPr>
            <w:tcW w:w="1520" w:type="dxa"/>
            <w:vMerge w:val="continue"/>
            <w:vAlign w:val="center"/>
          </w:tcPr>
          <w:p w14:paraId="3FA0A661">
            <w:pPr>
              <w:autoSpaceDE w:val="0"/>
              <w:autoSpaceDN w:val="0"/>
              <w:spacing w:line="400" w:lineRule="exact"/>
              <w:jc w:val="center"/>
              <w:rPr>
                <w:sz w:val="24"/>
                <w:szCs w:val="24"/>
              </w:rPr>
            </w:pPr>
          </w:p>
        </w:tc>
        <w:tc>
          <w:tcPr>
            <w:tcW w:w="958" w:type="dxa"/>
            <w:vAlign w:val="center"/>
          </w:tcPr>
          <w:p w14:paraId="34C64A5C">
            <w:pPr>
              <w:autoSpaceDE w:val="0"/>
              <w:autoSpaceDN w:val="0"/>
              <w:spacing w:line="400" w:lineRule="exact"/>
              <w:jc w:val="center"/>
              <w:rPr>
                <w:sz w:val="24"/>
                <w:szCs w:val="24"/>
              </w:rPr>
            </w:pPr>
            <w:r>
              <w:rPr>
                <w:rFonts w:hAnsi="宋体"/>
                <w:sz w:val="24"/>
                <w:szCs w:val="24"/>
              </w:rPr>
              <w:t>传真</w:t>
            </w:r>
          </w:p>
        </w:tc>
        <w:tc>
          <w:tcPr>
            <w:tcW w:w="2478" w:type="dxa"/>
            <w:gridSpan w:val="2"/>
            <w:vAlign w:val="center"/>
          </w:tcPr>
          <w:p w14:paraId="76308484">
            <w:pPr>
              <w:autoSpaceDE w:val="0"/>
              <w:autoSpaceDN w:val="0"/>
              <w:spacing w:line="400" w:lineRule="exact"/>
              <w:jc w:val="center"/>
              <w:rPr>
                <w:sz w:val="24"/>
                <w:szCs w:val="24"/>
              </w:rPr>
            </w:pPr>
          </w:p>
        </w:tc>
        <w:tc>
          <w:tcPr>
            <w:tcW w:w="1321" w:type="dxa"/>
            <w:gridSpan w:val="2"/>
            <w:vAlign w:val="center"/>
          </w:tcPr>
          <w:p w14:paraId="3DFD4269">
            <w:pPr>
              <w:autoSpaceDE w:val="0"/>
              <w:autoSpaceDN w:val="0"/>
              <w:spacing w:line="400" w:lineRule="exact"/>
              <w:jc w:val="center"/>
              <w:rPr>
                <w:sz w:val="24"/>
                <w:szCs w:val="24"/>
              </w:rPr>
            </w:pPr>
            <w:r>
              <w:rPr>
                <w:rFonts w:hAnsi="宋体"/>
                <w:sz w:val="24"/>
                <w:szCs w:val="24"/>
              </w:rPr>
              <w:t>网址</w:t>
            </w:r>
          </w:p>
        </w:tc>
        <w:tc>
          <w:tcPr>
            <w:tcW w:w="2245" w:type="dxa"/>
            <w:gridSpan w:val="3"/>
            <w:vAlign w:val="center"/>
          </w:tcPr>
          <w:p w14:paraId="7AF18AB4">
            <w:pPr>
              <w:autoSpaceDE w:val="0"/>
              <w:autoSpaceDN w:val="0"/>
              <w:spacing w:line="400" w:lineRule="exact"/>
              <w:jc w:val="center"/>
              <w:rPr>
                <w:sz w:val="24"/>
                <w:szCs w:val="24"/>
              </w:rPr>
            </w:pPr>
          </w:p>
        </w:tc>
      </w:tr>
      <w:tr w14:paraId="22B5634F">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20" w:type="dxa"/>
            <w:vAlign w:val="center"/>
          </w:tcPr>
          <w:p w14:paraId="2352D39C">
            <w:pPr>
              <w:autoSpaceDE w:val="0"/>
              <w:autoSpaceDN w:val="0"/>
              <w:spacing w:line="400" w:lineRule="exact"/>
              <w:jc w:val="center"/>
              <w:rPr>
                <w:sz w:val="24"/>
                <w:szCs w:val="24"/>
              </w:rPr>
            </w:pPr>
            <w:r>
              <w:rPr>
                <w:rFonts w:hAnsi="宋体"/>
                <w:sz w:val="24"/>
                <w:szCs w:val="24"/>
              </w:rPr>
              <w:t>法定代表人</w:t>
            </w:r>
          </w:p>
        </w:tc>
        <w:tc>
          <w:tcPr>
            <w:tcW w:w="958" w:type="dxa"/>
            <w:vAlign w:val="center"/>
          </w:tcPr>
          <w:p w14:paraId="0D440D58">
            <w:pPr>
              <w:autoSpaceDE w:val="0"/>
              <w:autoSpaceDN w:val="0"/>
              <w:spacing w:line="400" w:lineRule="exact"/>
              <w:jc w:val="center"/>
              <w:rPr>
                <w:sz w:val="24"/>
                <w:szCs w:val="24"/>
              </w:rPr>
            </w:pPr>
            <w:r>
              <w:rPr>
                <w:rFonts w:hAnsi="宋体"/>
                <w:sz w:val="24"/>
                <w:szCs w:val="24"/>
              </w:rPr>
              <w:t>姓名</w:t>
            </w:r>
          </w:p>
        </w:tc>
        <w:tc>
          <w:tcPr>
            <w:tcW w:w="1237" w:type="dxa"/>
            <w:vAlign w:val="center"/>
          </w:tcPr>
          <w:p w14:paraId="27D3D916">
            <w:pPr>
              <w:autoSpaceDE w:val="0"/>
              <w:autoSpaceDN w:val="0"/>
              <w:spacing w:line="400" w:lineRule="exact"/>
              <w:jc w:val="center"/>
              <w:rPr>
                <w:sz w:val="24"/>
                <w:szCs w:val="24"/>
              </w:rPr>
            </w:pPr>
          </w:p>
        </w:tc>
        <w:tc>
          <w:tcPr>
            <w:tcW w:w="1241" w:type="dxa"/>
            <w:vAlign w:val="center"/>
          </w:tcPr>
          <w:p w14:paraId="1E604975">
            <w:pPr>
              <w:autoSpaceDE w:val="0"/>
              <w:autoSpaceDN w:val="0"/>
              <w:spacing w:line="400" w:lineRule="exact"/>
              <w:jc w:val="center"/>
              <w:rPr>
                <w:sz w:val="24"/>
                <w:szCs w:val="24"/>
              </w:rPr>
            </w:pPr>
            <w:r>
              <w:rPr>
                <w:rFonts w:hAnsi="宋体"/>
                <w:sz w:val="24"/>
                <w:szCs w:val="24"/>
              </w:rPr>
              <w:t>技术职称</w:t>
            </w:r>
          </w:p>
        </w:tc>
        <w:tc>
          <w:tcPr>
            <w:tcW w:w="1321" w:type="dxa"/>
            <w:gridSpan w:val="2"/>
            <w:vAlign w:val="center"/>
          </w:tcPr>
          <w:p w14:paraId="5BC15503">
            <w:pPr>
              <w:autoSpaceDE w:val="0"/>
              <w:autoSpaceDN w:val="0"/>
              <w:spacing w:line="400" w:lineRule="exact"/>
              <w:jc w:val="center"/>
              <w:rPr>
                <w:sz w:val="24"/>
                <w:szCs w:val="24"/>
              </w:rPr>
            </w:pPr>
          </w:p>
        </w:tc>
        <w:tc>
          <w:tcPr>
            <w:tcW w:w="1161" w:type="dxa"/>
            <w:gridSpan w:val="2"/>
            <w:vAlign w:val="center"/>
          </w:tcPr>
          <w:p w14:paraId="55492EFA">
            <w:pPr>
              <w:autoSpaceDE w:val="0"/>
              <w:autoSpaceDN w:val="0"/>
              <w:spacing w:line="400" w:lineRule="exact"/>
              <w:jc w:val="center"/>
              <w:rPr>
                <w:sz w:val="24"/>
                <w:szCs w:val="24"/>
              </w:rPr>
            </w:pPr>
            <w:r>
              <w:rPr>
                <w:rFonts w:hAnsi="宋体"/>
                <w:sz w:val="24"/>
                <w:szCs w:val="24"/>
              </w:rPr>
              <w:t>电话</w:t>
            </w:r>
          </w:p>
        </w:tc>
        <w:tc>
          <w:tcPr>
            <w:tcW w:w="1084" w:type="dxa"/>
            <w:vAlign w:val="center"/>
          </w:tcPr>
          <w:p w14:paraId="1D5F0F65">
            <w:pPr>
              <w:autoSpaceDE w:val="0"/>
              <w:autoSpaceDN w:val="0"/>
              <w:spacing w:line="400" w:lineRule="exact"/>
              <w:jc w:val="center"/>
              <w:rPr>
                <w:b/>
                <w:bCs/>
                <w:sz w:val="24"/>
                <w:szCs w:val="24"/>
              </w:rPr>
            </w:pPr>
          </w:p>
        </w:tc>
      </w:tr>
      <w:tr w14:paraId="1AA0F8BB">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0" w:type="dxa"/>
            <w:vAlign w:val="center"/>
          </w:tcPr>
          <w:p w14:paraId="0DCFCC78">
            <w:pPr>
              <w:autoSpaceDE w:val="0"/>
              <w:autoSpaceDN w:val="0"/>
              <w:spacing w:line="400" w:lineRule="exact"/>
              <w:jc w:val="center"/>
              <w:rPr>
                <w:sz w:val="24"/>
                <w:szCs w:val="24"/>
              </w:rPr>
            </w:pPr>
            <w:r>
              <w:rPr>
                <w:rFonts w:hAnsi="宋体"/>
                <w:sz w:val="24"/>
                <w:szCs w:val="24"/>
              </w:rPr>
              <w:t>技术负责人</w:t>
            </w:r>
          </w:p>
        </w:tc>
        <w:tc>
          <w:tcPr>
            <w:tcW w:w="958" w:type="dxa"/>
            <w:vAlign w:val="center"/>
          </w:tcPr>
          <w:p w14:paraId="744C8DC2">
            <w:pPr>
              <w:autoSpaceDE w:val="0"/>
              <w:autoSpaceDN w:val="0"/>
              <w:spacing w:line="400" w:lineRule="exact"/>
              <w:jc w:val="center"/>
              <w:rPr>
                <w:sz w:val="24"/>
                <w:szCs w:val="24"/>
              </w:rPr>
            </w:pPr>
            <w:r>
              <w:rPr>
                <w:rFonts w:hAnsi="宋体"/>
                <w:sz w:val="24"/>
                <w:szCs w:val="24"/>
              </w:rPr>
              <w:t>姓名</w:t>
            </w:r>
          </w:p>
        </w:tc>
        <w:tc>
          <w:tcPr>
            <w:tcW w:w="1237" w:type="dxa"/>
            <w:vAlign w:val="center"/>
          </w:tcPr>
          <w:p w14:paraId="1B7A9673">
            <w:pPr>
              <w:autoSpaceDE w:val="0"/>
              <w:autoSpaceDN w:val="0"/>
              <w:spacing w:line="400" w:lineRule="exact"/>
              <w:jc w:val="center"/>
              <w:rPr>
                <w:sz w:val="24"/>
                <w:szCs w:val="24"/>
              </w:rPr>
            </w:pPr>
          </w:p>
        </w:tc>
        <w:tc>
          <w:tcPr>
            <w:tcW w:w="1241" w:type="dxa"/>
            <w:vAlign w:val="center"/>
          </w:tcPr>
          <w:p w14:paraId="5C02E741">
            <w:pPr>
              <w:autoSpaceDE w:val="0"/>
              <w:autoSpaceDN w:val="0"/>
              <w:spacing w:line="400" w:lineRule="exact"/>
              <w:jc w:val="center"/>
              <w:rPr>
                <w:sz w:val="24"/>
                <w:szCs w:val="24"/>
              </w:rPr>
            </w:pPr>
            <w:r>
              <w:rPr>
                <w:rFonts w:hAnsi="宋体"/>
                <w:sz w:val="24"/>
                <w:szCs w:val="24"/>
              </w:rPr>
              <w:t>技术职称</w:t>
            </w:r>
          </w:p>
        </w:tc>
        <w:tc>
          <w:tcPr>
            <w:tcW w:w="1321" w:type="dxa"/>
            <w:gridSpan w:val="2"/>
            <w:vAlign w:val="center"/>
          </w:tcPr>
          <w:p w14:paraId="3D0360B2">
            <w:pPr>
              <w:autoSpaceDE w:val="0"/>
              <w:autoSpaceDN w:val="0"/>
              <w:spacing w:line="400" w:lineRule="exact"/>
              <w:jc w:val="center"/>
              <w:rPr>
                <w:sz w:val="24"/>
                <w:szCs w:val="24"/>
              </w:rPr>
            </w:pPr>
          </w:p>
        </w:tc>
        <w:tc>
          <w:tcPr>
            <w:tcW w:w="1161" w:type="dxa"/>
            <w:gridSpan w:val="2"/>
            <w:vAlign w:val="center"/>
          </w:tcPr>
          <w:p w14:paraId="63F9DFF9">
            <w:pPr>
              <w:autoSpaceDE w:val="0"/>
              <w:autoSpaceDN w:val="0"/>
              <w:spacing w:line="400" w:lineRule="exact"/>
              <w:jc w:val="center"/>
              <w:rPr>
                <w:sz w:val="24"/>
                <w:szCs w:val="24"/>
              </w:rPr>
            </w:pPr>
            <w:r>
              <w:rPr>
                <w:rFonts w:hAnsi="宋体"/>
                <w:sz w:val="24"/>
                <w:szCs w:val="24"/>
              </w:rPr>
              <w:t>电话</w:t>
            </w:r>
          </w:p>
        </w:tc>
        <w:tc>
          <w:tcPr>
            <w:tcW w:w="1084" w:type="dxa"/>
            <w:vAlign w:val="center"/>
          </w:tcPr>
          <w:p w14:paraId="2FF374F1">
            <w:pPr>
              <w:autoSpaceDE w:val="0"/>
              <w:autoSpaceDN w:val="0"/>
              <w:spacing w:line="400" w:lineRule="exact"/>
              <w:jc w:val="center"/>
              <w:rPr>
                <w:b/>
                <w:bCs/>
                <w:sz w:val="24"/>
                <w:szCs w:val="24"/>
              </w:rPr>
            </w:pPr>
          </w:p>
        </w:tc>
      </w:tr>
      <w:tr w14:paraId="1FFDE182">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0" w:type="dxa"/>
            <w:vAlign w:val="center"/>
          </w:tcPr>
          <w:p w14:paraId="70D80EE7">
            <w:pPr>
              <w:autoSpaceDE w:val="0"/>
              <w:autoSpaceDN w:val="0"/>
              <w:spacing w:line="400" w:lineRule="exact"/>
              <w:jc w:val="center"/>
              <w:rPr>
                <w:sz w:val="24"/>
                <w:szCs w:val="24"/>
              </w:rPr>
            </w:pPr>
            <w:r>
              <w:rPr>
                <w:rFonts w:hAnsi="宋体"/>
                <w:sz w:val="24"/>
                <w:szCs w:val="24"/>
              </w:rPr>
              <w:t>成立时间</w:t>
            </w:r>
          </w:p>
        </w:tc>
        <w:tc>
          <w:tcPr>
            <w:tcW w:w="2195" w:type="dxa"/>
            <w:gridSpan w:val="2"/>
            <w:vAlign w:val="center"/>
          </w:tcPr>
          <w:p w14:paraId="0F78F6E1">
            <w:pPr>
              <w:autoSpaceDE w:val="0"/>
              <w:autoSpaceDN w:val="0"/>
              <w:spacing w:line="400" w:lineRule="exact"/>
              <w:jc w:val="center"/>
              <w:rPr>
                <w:sz w:val="24"/>
                <w:szCs w:val="24"/>
              </w:rPr>
            </w:pPr>
          </w:p>
        </w:tc>
        <w:tc>
          <w:tcPr>
            <w:tcW w:w="4807" w:type="dxa"/>
            <w:gridSpan w:val="6"/>
            <w:vAlign w:val="center"/>
          </w:tcPr>
          <w:p w14:paraId="03D7520D">
            <w:pPr>
              <w:autoSpaceDE w:val="0"/>
              <w:autoSpaceDN w:val="0"/>
              <w:spacing w:line="400" w:lineRule="exact"/>
              <w:ind w:firstLine="1680" w:firstLineChars="700"/>
              <w:rPr>
                <w:sz w:val="24"/>
                <w:szCs w:val="24"/>
              </w:rPr>
            </w:pPr>
            <w:r>
              <w:rPr>
                <w:rFonts w:hAnsi="宋体"/>
                <w:sz w:val="24"/>
                <w:szCs w:val="24"/>
              </w:rPr>
              <w:t>员工总人数：</w:t>
            </w:r>
          </w:p>
        </w:tc>
      </w:tr>
      <w:tr w14:paraId="3790332B">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20" w:type="dxa"/>
            <w:vAlign w:val="center"/>
          </w:tcPr>
          <w:p w14:paraId="468FAB06">
            <w:pPr>
              <w:autoSpaceDE w:val="0"/>
              <w:autoSpaceDN w:val="0"/>
              <w:spacing w:line="400" w:lineRule="exact"/>
              <w:jc w:val="center"/>
              <w:rPr>
                <w:sz w:val="24"/>
                <w:szCs w:val="24"/>
              </w:rPr>
            </w:pPr>
            <w:r>
              <w:rPr>
                <w:rFonts w:hAnsi="宋体"/>
                <w:sz w:val="24"/>
                <w:szCs w:val="24"/>
              </w:rPr>
              <w:t>企业资质等级</w:t>
            </w:r>
          </w:p>
        </w:tc>
        <w:tc>
          <w:tcPr>
            <w:tcW w:w="2195" w:type="dxa"/>
            <w:gridSpan w:val="2"/>
            <w:vAlign w:val="center"/>
          </w:tcPr>
          <w:p w14:paraId="757C857B">
            <w:pPr>
              <w:autoSpaceDE w:val="0"/>
              <w:autoSpaceDN w:val="0"/>
              <w:spacing w:line="400" w:lineRule="exact"/>
              <w:jc w:val="center"/>
              <w:rPr>
                <w:sz w:val="24"/>
                <w:szCs w:val="24"/>
              </w:rPr>
            </w:pPr>
          </w:p>
        </w:tc>
        <w:tc>
          <w:tcPr>
            <w:tcW w:w="1241" w:type="dxa"/>
            <w:vMerge w:val="restart"/>
            <w:vAlign w:val="center"/>
          </w:tcPr>
          <w:p w14:paraId="6FA28E7B">
            <w:pPr>
              <w:autoSpaceDE w:val="0"/>
              <w:autoSpaceDN w:val="0"/>
              <w:spacing w:line="400" w:lineRule="exact"/>
              <w:jc w:val="center"/>
              <w:rPr>
                <w:sz w:val="24"/>
                <w:szCs w:val="24"/>
              </w:rPr>
            </w:pPr>
            <w:r>
              <w:rPr>
                <w:rFonts w:hAnsi="宋体"/>
                <w:sz w:val="24"/>
                <w:szCs w:val="24"/>
              </w:rPr>
              <w:t>其中</w:t>
            </w:r>
          </w:p>
        </w:tc>
        <w:tc>
          <w:tcPr>
            <w:tcW w:w="1480" w:type="dxa"/>
            <w:gridSpan w:val="3"/>
            <w:vAlign w:val="center"/>
          </w:tcPr>
          <w:p w14:paraId="6FD761EE">
            <w:pPr>
              <w:autoSpaceDE w:val="0"/>
              <w:autoSpaceDN w:val="0"/>
              <w:spacing w:line="400" w:lineRule="exact"/>
              <w:jc w:val="center"/>
              <w:rPr>
                <w:sz w:val="24"/>
                <w:szCs w:val="24"/>
              </w:rPr>
            </w:pPr>
            <w:r>
              <w:rPr>
                <w:rFonts w:hAnsi="宋体"/>
                <w:sz w:val="24"/>
                <w:szCs w:val="24"/>
              </w:rPr>
              <w:t>项目经理</w:t>
            </w:r>
          </w:p>
        </w:tc>
        <w:tc>
          <w:tcPr>
            <w:tcW w:w="2086" w:type="dxa"/>
            <w:gridSpan w:val="2"/>
            <w:vAlign w:val="center"/>
          </w:tcPr>
          <w:p w14:paraId="696D6635">
            <w:pPr>
              <w:autoSpaceDE w:val="0"/>
              <w:autoSpaceDN w:val="0"/>
              <w:spacing w:line="400" w:lineRule="exact"/>
              <w:jc w:val="center"/>
              <w:rPr>
                <w:b/>
                <w:bCs/>
                <w:sz w:val="24"/>
                <w:szCs w:val="24"/>
              </w:rPr>
            </w:pPr>
          </w:p>
        </w:tc>
      </w:tr>
      <w:tr w14:paraId="1DD5D951">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0" w:type="dxa"/>
            <w:vAlign w:val="center"/>
          </w:tcPr>
          <w:p w14:paraId="28B273C5">
            <w:pPr>
              <w:autoSpaceDE w:val="0"/>
              <w:autoSpaceDN w:val="0"/>
              <w:spacing w:line="400" w:lineRule="exact"/>
              <w:jc w:val="center"/>
              <w:rPr>
                <w:sz w:val="24"/>
                <w:szCs w:val="24"/>
              </w:rPr>
            </w:pPr>
            <w:r>
              <w:rPr>
                <w:rFonts w:hAnsi="宋体"/>
                <w:sz w:val="24"/>
                <w:szCs w:val="24"/>
              </w:rPr>
              <w:t>营业执照号</w:t>
            </w:r>
          </w:p>
        </w:tc>
        <w:tc>
          <w:tcPr>
            <w:tcW w:w="2195" w:type="dxa"/>
            <w:gridSpan w:val="2"/>
            <w:vAlign w:val="center"/>
          </w:tcPr>
          <w:p w14:paraId="7A49CA58">
            <w:pPr>
              <w:autoSpaceDE w:val="0"/>
              <w:autoSpaceDN w:val="0"/>
              <w:spacing w:line="400" w:lineRule="exact"/>
              <w:jc w:val="center"/>
              <w:rPr>
                <w:sz w:val="24"/>
                <w:szCs w:val="24"/>
              </w:rPr>
            </w:pPr>
          </w:p>
        </w:tc>
        <w:tc>
          <w:tcPr>
            <w:tcW w:w="1241" w:type="dxa"/>
            <w:vMerge w:val="continue"/>
            <w:vAlign w:val="center"/>
          </w:tcPr>
          <w:p w14:paraId="0BE5C340">
            <w:pPr>
              <w:autoSpaceDE w:val="0"/>
              <w:autoSpaceDN w:val="0"/>
              <w:spacing w:line="400" w:lineRule="exact"/>
              <w:jc w:val="center"/>
              <w:rPr>
                <w:sz w:val="24"/>
                <w:szCs w:val="24"/>
              </w:rPr>
            </w:pPr>
          </w:p>
        </w:tc>
        <w:tc>
          <w:tcPr>
            <w:tcW w:w="1480" w:type="dxa"/>
            <w:gridSpan w:val="3"/>
            <w:vAlign w:val="center"/>
          </w:tcPr>
          <w:p w14:paraId="2AF72E1D">
            <w:pPr>
              <w:autoSpaceDE w:val="0"/>
              <w:autoSpaceDN w:val="0"/>
              <w:spacing w:line="400" w:lineRule="exact"/>
              <w:jc w:val="center"/>
              <w:rPr>
                <w:sz w:val="24"/>
                <w:szCs w:val="24"/>
              </w:rPr>
            </w:pPr>
            <w:r>
              <w:rPr>
                <w:rFonts w:hAnsi="宋体"/>
                <w:sz w:val="24"/>
                <w:szCs w:val="24"/>
              </w:rPr>
              <w:t>高级职称人员</w:t>
            </w:r>
          </w:p>
        </w:tc>
        <w:tc>
          <w:tcPr>
            <w:tcW w:w="2086" w:type="dxa"/>
            <w:gridSpan w:val="2"/>
            <w:vAlign w:val="center"/>
          </w:tcPr>
          <w:p w14:paraId="2B78D86A">
            <w:pPr>
              <w:autoSpaceDE w:val="0"/>
              <w:autoSpaceDN w:val="0"/>
              <w:spacing w:line="400" w:lineRule="exact"/>
              <w:jc w:val="center"/>
              <w:rPr>
                <w:b/>
                <w:bCs/>
                <w:sz w:val="24"/>
                <w:szCs w:val="24"/>
              </w:rPr>
            </w:pPr>
          </w:p>
        </w:tc>
      </w:tr>
      <w:tr w14:paraId="30C1A732">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0" w:type="dxa"/>
            <w:vAlign w:val="center"/>
          </w:tcPr>
          <w:p w14:paraId="11E7BB8E">
            <w:pPr>
              <w:autoSpaceDE w:val="0"/>
              <w:autoSpaceDN w:val="0"/>
              <w:spacing w:line="400" w:lineRule="exact"/>
              <w:jc w:val="center"/>
              <w:rPr>
                <w:sz w:val="24"/>
                <w:szCs w:val="24"/>
              </w:rPr>
            </w:pPr>
            <w:r>
              <w:rPr>
                <w:rFonts w:hAnsi="宋体"/>
                <w:sz w:val="24"/>
                <w:szCs w:val="24"/>
              </w:rPr>
              <w:t>注册资金</w:t>
            </w:r>
          </w:p>
        </w:tc>
        <w:tc>
          <w:tcPr>
            <w:tcW w:w="2195" w:type="dxa"/>
            <w:gridSpan w:val="2"/>
            <w:vAlign w:val="center"/>
          </w:tcPr>
          <w:p w14:paraId="0F9C06E0">
            <w:pPr>
              <w:autoSpaceDE w:val="0"/>
              <w:autoSpaceDN w:val="0"/>
              <w:spacing w:line="400" w:lineRule="exact"/>
              <w:jc w:val="center"/>
              <w:rPr>
                <w:sz w:val="24"/>
                <w:szCs w:val="24"/>
              </w:rPr>
            </w:pPr>
          </w:p>
        </w:tc>
        <w:tc>
          <w:tcPr>
            <w:tcW w:w="1241" w:type="dxa"/>
            <w:vMerge w:val="continue"/>
            <w:vAlign w:val="center"/>
          </w:tcPr>
          <w:p w14:paraId="32217A0A">
            <w:pPr>
              <w:autoSpaceDE w:val="0"/>
              <w:autoSpaceDN w:val="0"/>
              <w:spacing w:line="400" w:lineRule="exact"/>
              <w:jc w:val="center"/>
              <w:rPr>
                <w:sz w:val="24"/>
                <w:szCs w:val="24"/>
              </w:rPr>
            </w:pPr>
          </w:p>
        </w:tc>
        <w:tc>
          <w:tcPr>
            <w:tcW w:w="1480" w:type="dxa"/>
            <w:gridSpan w:val="3"/>
            <w:vAlign w:val="center"/>
          </w:tcPr>
          <w:p w14:paraId="41C7E85E">
            <w:pPr>
              <w:autoSpaceDE w:val="0"/>
              <w:autoSpaceDN w:val="0"/>
              <w:spacing w:line="400" w:lineRule="exact"/>
              <w:jc w:val="center"/>
              <w:rPr>
                <w:sz w:val="24"/>
                <w:szCs w:val="24"/>
              </w:rPr>
            </w:pPr>
            <w:r>
              <w:rPr>
                <w:rFonts w:hAnsi="宋体"/>
                <w:sz w:val="24"/>
                <w:szCs w:val="24"/>
              </w:rPr>
              <w:t>中级职称人员</w:t>
            </w:r>
          </w:p>
        </w:tc>
        <w:tc>
          <w:tcPr>
            <w:tcW w:w="2086" w:type="dxa"/>
            <w:gridSpan w:val="2"/>
            <w:vAlign w:val="center"/>
          </w:tcPr>
          <w:p w14:paraId="53EB99CA">
            <w:pPr>
              <w:autoSpaceDE w:val="0"/>
              <w:autoSpaceDN w:val="0"/>
              <w:spacing w:line="400" w:lineRule="exact"/>
              <w:jc w:val="center"/>
              <w:rPr>
                <w:b/>
                <w:bCs/>
                <w:sz w:val="24"/>
                <w:szCs w:val="24"/>
              </w:rPr>
            </w:pPr>
          </w:p>
        </w:tc>
      </w:tr>
      <w:tr w14:paraId="4E248E41">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20" w:type="dxa"/>
            <w:vAlign w:val="center"/>
          </w:tcPr>
          <w:p w14:paraId="59B74CF9">
            <w:pPr>
              <w:autoSpaceDE w:val="0"/>
              <w:autoSpaceDN w:val="0"/>
              <w:spacing w:line="400" w:lineRule="exact"/>
              <w:jc w:val="center"/>
              <w:rPr>
                <w:sz w:val="24"/>
                <w:szCs w:val="24"/>
              </w:rPr>
            </w:pPr>
            <w:r>
              <w:rPr>
                <w:rFonts w:hAnsi="宋体"/>
                <w:sz w:val="24"/>
                <w:szCs w:val="24"/>
              </w:rPr>
              <w:t>开户银行</w:t>
            </w:r>
          </w:p>
        </w:tc>
        <w:tc>
          <w:tcPr>
            <w:tcW w:w="2195" w:type="dxa"/>
            <w:gridSpan w:val="2"/>
            <w:vAlign w:val="center"/>
          </w:tcPr>
          <w:p w14:paraId="3D9A13FE">
            <w:pPr>
              <w:autoSpaceDE w:val="0"/>
              <w:autoSpaceDN w:val="0"/>
              <w:spacing w:line="400" w:lineRule="exact"/>
              <w:jc w:val="center"/>
              <w:rPr>
                <w:sz w:val="24"/>
                <w:szCs w:val="24"/>
              </w:rPr>
            </w:pPr>
          </w:p>
        </w:tc>
        <w:tc>
          <w:tcPr>
            <w:tcW w:w="1241" w:type="dxa"/>
            <w:vMerge w:val="continue"/>
            <w:vAlign w:val="center"/>
          </w:tcPr>
          <w:p w14:paraId="5FFA59BA">
            <w:pPr>
              <w:autoSpaceDE w:val="0"/>
              <w:autoSpaceDN w:val="0"/>
              <w:spacing w:line="400" w:lineRule="exact"/>
              <w:jc w:val="center"/>
              <w:rPr>
                <w:sz w:val="24"/>
                <w:szCs w:val="24"/>
              </w:rPr>
            </w:pPr>
          </w:p>
        </w:tc>
        <w:tc>
          <w:tcPr>
            <w:tcW w:w="1480" w:type="dxa"/>
            <w:gridSpan w:val="3"/>
            <w:vAlign w:val="center"/>
          </w:tcPr>
          <w:p w14:paraId="19A3B698">
            <w:pPr>
              <w:autoSpaceDE w:val="0"/>
              <w:autoSpaceDN w:val="0"/>
              <w:spacing w:line="400" w:lineRule="exact"/>
              <w:jc w:val="center"/>
              <w:rPr>
                <w:sz w:val="24"/>
                <w:szCs w:val="24"/>
              </w:rPr>
            </w:pPr>
            <w:r>
              <w:rPr>
                <w:rFonts w:hAnsi="宋体"/>
                <w:sz w:val="24"/>
                <w:szCs w:val="24"/>
              </w:rPr>
              <w:t>初级职称人员</w:t>
            </w:r>
          </w:p>
        </w:tc>
        <w:tc>
          <w:tcPr>
            <w:tcW w:w="2086" w:type="dxa"/>
            <w:gridSpan w:val="2"/>
            <w:vAlign w:val="center"/>
          </w:tcPr>
          <w:p w14:paraId="5B9B5D6E">
            <w:pPr>
              <w:autoSpaceDE w:val="0"/>
              <w:autoSpaceDN w:val="0"/>
              <w:spacing w:line="400" w:lineRule="exact"/>
              <w:jc w:val="center"/>
              <w:rPr>
                <w:b/>
                <w:bCs/>
                <w:sz w:val="24"/>
                <w:szCs w:val="24"/>
              </w:rPr>
            </w:pPr>
          </w:p>
        </w:tc>
      </w:tr>
      <w:tr w14:paraId="6B347253">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0" w:type="dxa"/>
            <w:vAlign w:val="center"/>
          </w:tcPr>
          <w:p w14:paraId="0CF43C2E">
            <w:pPr>
              <w:autoSpaceDE w:val="0"/>
              <w:autoSpaceDN w:val="0"/>
              <w:spacing w:line="400" w:lineRule="exact"/>
              <w:jc w:val="center"/>
              <w:rPr>
                <w:sz w:val="24"/>
                <w:szCs w:val="24"/>
              </w:rPr>
            </w:pPr>
            <w:r>
              <w:rPr>
                <w:rFonts w:hAnsi="宋体"/>
                <w:sz w:val="24"/>
                <w:szCs w:val="24"/>
              </w:rPr>
              <w:t>账号</w:t>
            </w:r>
          </w:p>
        </w:tc>
        <w:tc>
          <w:tcPr>
            <w:tcW w:w="2195" w:type="dxa"/>
            <w:gridSpan w:val="2"/>
            <w:vAlign w:val="center"/>
          </w:tcPr>
          <w:p w14:paraId="01CD8426">
            <w:pPr>
              <w:autoSpaceDE w:val="0"/>
              <w:autoSpaceDN w:val="0"/>
              <w:spacing w:line="400" w:lineRule="exact"/>
              <w:jc w:val="center"/>
              <w:rPr>
                <w:sz w:val="24"/>
                <w:szCs w:val="24"/>
              </w:rPr>
            </w:pPr>
          </w:p>
        </w:tc>
        <w:tc>
          <w:tcPr>
            <w:tcW w:w="1241" w:type="dxa"/>
            <w:vMerge w:val="continue"/>
            <w:vAlign w:val="center"/>
          </w:tcPr>
          <w:p w14:paraId="100F85F7">
            <w:pPr>
              <w:autoSpaceDE w:val="0"/>
              <w:autoSpaceDN w:val="0"/>
              <w:spacing w:line="400" w:lineRule="exact"/>
              <w:jc w:val="center"/>
              <w:rPr>
                <w:sz w:val="24"/>
                <w:szCs w:val="24"/>
              </w:rPr>
            </w:pPr>
          </w:p>
        </w:tc>
        <w:tc>
          <w:tcPr>
            <w:tcW w:w="1480" w:type="dxa"/>
            <w:gridSpan w:val="3"/>
            <w:vAlign w:val="center"/>
          </w:tcPr>
          <w:p w14:paraId="6063B098">
            <w:pPr>
              <w:autoSpaceDE w:val="0"/>
              <w:autoSpaceDN w:val="0"/>
              <w:spacing w:line="400" w:lineRule="exact"/>
              <w:jc w:val="center"/>
              <w:rPr>
                <w:sz w:val="24"/>
                <w:szCs w:val="24"/>
              </w:rPr>
            </w:pPr>
            <w:r>
              <w:rPr>
                <w:rFonts w:hAnsi="宋体"/>
                <w:sz w:val="24"/>
                <w:szCs w:val="24"/>
              </w:rPr>
              <w:t>技工</w:t>
            </w:r>
          </w:p>
        </w:tc>
        <w:tc>
          <w:tcPr>
            <w:tcW w:w="2086" w:type="dxa"/>
            <w:gridSpan w:val="2"/>
            <w:vAlign w:val="center"/>
          </w:tcPr>
          <w:p w14:paraId="270D337F">
            <w:pPr>
              <w:autoSpaceDE w:val="0"/>
              <w:autoSpaceDN w:val="0"/>
              <w:spacing w:line="400" w:lineRule="exact"/>
              <w:jc w:val="center"/>
              <w:rPr>
                <w:b/>
                <w:bCs/>
                <w:sz w:val="24"/>
                <w:szCs w:val="24"/>
              </w:rPr>
            </w:pPr>
          </w:p>
        </w:tc>
      </w:tr>
      <w:tr w14:paraId="5E551269">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92" w:hRule="atLeast"/>
          <w:jc w:val="center"/>
        </w:trPr>
        <w:tc>
          <w:tcPr>
            <w:tcW w:w="1520" w:type="dxa"/>
            <w:vAlign w:val="center"/>
          </w:tcPr>
          <w:p w14:paraId="57ADB3F8">
            <w:pPr>
              <w:autoSpaceDE w:val="0"/>
              <w:autoSpaceDN w:val="0"/>
              <w:spacing w:line="400" w:lineRule="exact"/>
              <w:jc w:val="center"/>
              <w:rPr>
                <w:sz w:val="24"/>
                <w:szCs w:val="24"/>
              </w:rPr>
            </w:pPr>
            <w:r>
              <w:rPr>
                <w:rFonts w:hAnsi="宋体"/>
                <w:sz w:val="24"/>
                <w:szCs w:val="24"/>
              </w:rPr>
              <w:t>经营范围</w:t>
            </w:r>
          </w:p>
        </w:tc>
        <w:tc>
          <w:tcPr>
            <w:tcW w:w="7002" w:type="dxa"/>
            <w:gridSpan w:val="8"/>
            <w:vAlign w:val="center"/>
          </w:tcPr>
          <w:p w14:paraId="4ED9B5A4">
            <w:pPr>
              <w:autoSpaceDE w:val="0"/>
              <w:autoSpaceDN w:val="0"/>
              <w:spacing w:line="400" w:lineRule="exact"/>
              <w:rPr>
                <w:b/>
                <w:bCs/>
                <w:sz w:val="24"/>
                <w:szCs w:val="24"/>
              </w:rPr>
            </w:pPr>
          </w:p>
        </w:tc>
      </w:tr>
      <w:tr w14:paraId="6AAFAD31">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1520" w:type="dxa"/>
          </w:tcPr>
          <w:p w14:paraId="2FC166D4">
            <w:pPr>
              <w:autoSpaceDE w:val="0"/>
              <w:autoSpaceDN w:val="0"/>
              <w:spacing w:line="400" w:lineRule="exact"/>
              <w:jc w:val="center"/>
              <w:rPr>
                <w:sz w:val="24"/>
                <w:szCs w:val="24"/>
              </w:rPr>
            </w:pPr>
            <w:r>
              <w:rPr>
                <w:rFonts w:hAnsi="宋体"/>
                <w:sz w:val="24"/>
                <w:szCs w:val="24"/>
              </w:rPr>
              <w:t>备注</w:t>
            </w:r>
          </w:p>
        </w:tc>
        <w:tc>
          <w:tcPr>
            <w:tcW w:w="7002" w:type="dxa"/>
            <w:gridSpan w:val="8"/>
          </w:tcPr>
          <w:p w14:paraId="40475F55">
            <w:pPr>
              <w:autoSpaceDE w:val="0"/>
              <w:autoSpaceDN w:val="0"/>
              <w:spacing w:line="400" w:lineRule="exact"/>
              <w:rPr>
                <w:sz w:val="24"/>
                <w:szCs w:val="24"/>
              </w:rPr>
            </w:pPr>
          </w:p>
        </w:tc>
      </w:tr>
    </w:tbl>
    <w:p w14:paraId="046A0BEE">
      <w:pPr>
        <w:spacing w:line="320" w:lineRule="exact"/>
        <w:ind w:firstLine="480" w:firstLineChars="200"/>
        <w:jc w:val="center"/>
        <w:textAlignment w:val="baseline"/>
        <w:rPr>
          <w:rFonts w:ascii="宋体" w:hAnsi="宋体"/>
          <w:sz w:val="24"/>
          <w:szCs w:val="24"/>
        </w:rPr>
      </w:pPr>
    </w:p>
    <w:p w14:paraId="081FEA57">
      <w:pPr>
        <w:spacing w:line="320" w:lineRule="exact"/>
        <w:ind w:firstLine="602" w:firstLineChars="200"/>
        <w:jc w:val="center"/>
        <w:textAlignment w:val="baseline"/>
        <w:rPr>
          <w:rFonts w:ascii="宋体" w:hAnsi="宋体" w:cs="宋体"/>
          <w:b/>
          <w:bCs/>
          <w:kern w:val="0"/>
          <w:sz w:val="30"/>
          <w:szCs w:val="30"/>
        </w:rPr>
      </w:pPr>
    </w:p>
    <w:p w14:paraId="3B6C69A9">
      <w:pPr>
        <w:pStyle w:val="21"/>
      </w:pPr>
    </w:p>
    <w:p w14:paraId="2A8CE661">
      <w:pPr>
        <w:spacing w:line="320" w:lineRule="exact"/>
        <w:ind w:firstLine="602" w:firstLineChars="200"/>
        <w:jc w:val="center"/>
        <w:textAlignment w:val="baseline"/>
        <w:rPr>
          <w:rFonts w:ascii="宋体" w:hAnsi="宋体" w:cs="宋体"/>
          <w:b/>
          <w:bCs/>
          <w:kern w:val="0"/>
          <w:sz w:val="30"/>
          <w:szCs w:val="30"/>
        </w:rPr>
      </w:pPr>
    </w:p>
    <w:p w14:paraId="0FEBE5D1">
      <w:pPr>
        <w:spacing w:line="320" w:lineRule="exact"/>
        <w:jc w:val="center"/>
        <w:textAlignment w:val="baseline"/>
        <w:rPr>
          <w:rFonts w:ascii="宋体" w:hAnsi="宋体" w:cs="宋体"/>
          <w:b/>
          <w:bCs/>
          <w:kern w:val="0"/>
          <w:sz w:val="30"/>
          <w:szCs w:val="30"/>
        </w:rPr>
      </w:pPr>
    </w:p>
    <w:p w14:paraId="58DA8E43">
      <w:pPr>
        <w:spacing w:line="320" w:lineRule="exact"/>
        <w:jc w:val="center"/>
        <w:textAlignment w:val="baseline"/>
        <w:rPr>
          <w:rFonts w:ascii="宋体" w:hAnsi="宋体" w:cs="宋体"/>
          <w:b/>
          <w:bCs/>
          <w:kern w:val="0"/>
          <w:sz w:val="30"/>
          <w:szCs w:val="30"/>
        </w:rPr>
      </w:pPr>
    </w:p>
    <w:p w14:paraId="0DE1B58F">
      <w:pPr>
        <w:spacing w:line="320" w:lineRule="exact"/>
        <w:jc w:val="center"/>
        <w:textAlignment w:val="baseline"/>
        <w:rPr>
          <w:rFonts w:ascii="宋体" w:hAnsi="宋体" w:cs="宋体"/>
          <w:b/>
          <w:bCs/>
          <w:kern w:val="0"/>
          <w:sz w:val="30"/>
          <w:szCs w:val="30"/>
        </w:rPr>
      </w:pPr>
    </w:p>
    <w:p w14:paraId="6D306B46">
      <w:pPr>
        <w:spacing w:line="320" w:lineRule="exact"/>
        <w:jc w:val="center"/>
        <w:textAlignment w:val="baseline"/>
        <w:rPr>
          <w:rFonts w:ascii="宋体" w:hAnsi="宋体" w:cs="宋体"/>
          <w:b/>
          <w:bCs/>
          <w:kern w:val="0"/>
          <w:sz w:val="30"/>
          <w:szCs w:val="30"/>
        </w:rPr>
      </w:pPr>
    </w:p>
    <w:p w14:paraId="57CB7735">
      <w:pPr>
        <w:spacing w:line="320" w:lineRule="exact"/>
        <w:jc w:val="center"/>
        <w:textAlignment w:val="baseline"/>
        <w:rPr>
          <w:rFonts w:ascii="宋体" w:hAnsi="宋体" w:cs="宋体"/>
          <w:b/>
          <w:bCs/>
          <w:kern w:val="0"/>
          <w:sz w:val="30"/>
          <w:szCs w:val="30"/>
        </w:rPr>
      </w:pPr>
    </w:p>
    <w:p w14:paraId="71E6BE5D">
      <w:pPr>
        <w:spacing w:line="320" w:lineRule="exact"/>
        <w:jc w:val="center"/>
        <w:textAlignment w:val="baseline"/>
        <w:rPr>
          <w:rFonts w:ascii="宋体" w:hAnsi="宋体" w:cs="宋体"/>
          <w:b/>
          <w:bCs/>
          <w:kern w:val="0"/>
          <w:sz w:val="30"/>
          <w:szCs w:val="30"/>
        </w:rPr>
      </w:pPr>
    </w:p>
    <w:p w14:paraId="7D0A9F8E">
      <w:pPr>
        <w:rPr>
          <w:rFonts w:ascii="宋体" w:hAnsi="宋体" w:cs="宋体"/>
          <w:b/>
          <w:bCs/>
          <w:kern w:val="0"/>
          <w:sz w:val="30"/>
          <w:szCs w:val="30"/>
        </w:rPr>
      </w:pPr>
      <w:r>
        <w:rPr>
          <w:rFonts w:hint="eastAsia" w:ascii="宋体" w:hAnsi="宋体" w:cs="宋体"/>
          <w:b/>
          <w:bCs/>
          <w:kern w:val="0"/>
          <w:sz w:val="30"/>
          <w:szCs w:val="30"/>
        </w:rPr>
        <w:br w:type="page"/>
      </w:r>
    </w:p>
    <w:p w14:paraId="755CDAB5">
      <w:pPr>
        <w:spacing w:line="320" w:lineRule="exact"/>
        <w:jc w:val="center"/>
        <w:textAlignment w:val="baseline"/>
        <w:rPr>
          <w:rFonts w:ascii="宋体" w:hAnsi="宋体"/>
          <w:sz w:val="24"/>
          <w:szCs w:val="24"/>
          <w:lang w:val="zh-CN"/>
        </w:rPr>
      </w:pPr>
      <w:r>
        <w:rPr>
          <w:rFonts w:hint="eastAsia" w:ascii="宋体" w:hAnsi="宋体" w:cs="宋体"/>
          <w:b/>
          <w:bCs/>
          <w:kern w:val="0"/>
          <w:sz w:val="30"/>
          <w:szCs w:val="30"/>
        </w:rPr>
        <w:t>（二）资格审查资料</w:t>
      </w:r>
    </w:p>
    <w:p w14:paraId="114AFD70">
      <w:pPr>
        <w:spacing w:line="360" w:lineRule="auto"/>
        <w:outlineLvl w:val="1"/>
        <w:rPr>
          <w:rFonts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1</w:t>
      </w:r>
      <w:r>
        <w:rPr>
          <w:rFonts w:ascii="微软雅黑" w:hAnsi="微软雅黑" w:eastAsia="微软雅黑" w:cs="微软雅黑"/>
          <w:i w:val="0"/>
          <w:iCs w:val="0"/>
          <w:caps w:val="0"/>
          <w:color w:val="333333"/>
          <w:spacing w:val="0"/>
          <w:sz w:val="24"/>
          <w:szCs w:val="24"/>
          <w:shd w:val="clear" w:fill="FFFFFF"/>
        </w:rPr>
        <w:t>满足《中华人民共和国政府采购法》第二十二条规定；</w:t>
      </w:r>
    </w:p>
    <w:p w14:paraId="33A9D785">
      <w:pPr>
        <w:spacing w:line="360" w:lineRule="auto"/>
        <w:outlineLvl w:val="1"/>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4"/>
          <w:szCs w:val="24"/>
          <w:shd w:val="clear" w:fill="FFFFFF"/>
          <w:lang w:val="en-US" w:eastAsia="zh-CN"/>
        </w:rPr>
        <w:t>2</w:t>
      </w:r>
      <w:r>
        <w:rPr>
          <w:rFonts w:hint="eastAsia" w:ascii="微软雅黑" w:hAnsi="微软雅黑" w:eastAsia="微软雅黑" w:cs="微软雅黑"/>
          <w:i w:val="0"/>
          <w:iCs w:val="0"/>
          <w:caps w:val="0"/>
          <w:color w:val="333333"/>
          <w:spacing w:val="0"/>
          <w:sz w:val="24"/>
          <w:szCs w:val="24"/>
          <w:shd w:val="clear" w:fill="FFFFFF"/>
        </w:rPr>
        <w:t>、具有独立承担民事责任的能力。</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是企业（包括合伙企业）的，提供在工商部门注册的有效的“企业法人营业执照”或“营业执照”；</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是事业单位的，提供有效的“事业单位法人证书”；</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是非企业专业服务机构的，如律师事务所，提供执业许可证等证明文件；</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是个体工商户的，提供有效的“个体工商户营业执照”；</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是自然人的，提供有效的自然人身份证明，只有中国公民才能以自然人的身份参加本项目的政府采购活动。如</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是银行、保险、石油石化、电力、电信行业等有行业特殊情况的，分支机构可参与本项目的政府采购活动。采购文件中涉及要求提供“法定代表人”相关证明材料的，提供分支机构“负责人”的相关证明材料。要求提供的相关证明资料为复印件加盖公章；</w:t>
      </w:r>
    </w:p>
    <w:p w14:paraId="62DD9C38">
      <w:pPr>
        <w:spacing w:line="360" w:lineRule="auto"/>
        <w:outlineLvl w:val="1"/>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3</w:t>
      </w:r>
      <w:r>
        <w:rPr>
          <w:rFonts w:hint="eastAsia" w:ascii="微软雅黑" w:hAnsi="微软雅黑" w:eastAsia="微软雅黑" w:cs="微软雅黑"/>
          <w:i w:val="0"/>
          <w:iCs w:val="0"/>
          <w:caps w:val="0"/>
          <w:color w:val="333333"/>
          <w:spacing w:val="0"/>
          <w:sz w:val="24"/>
          <w:szCs w:val="24"/>
          <w:shd w:val="clear" w:fill="FFFFFF"/>
        </w:rPr>
        <w:t>、具有良好的商业信誉和健全的财务会计制度，提供承诺函；</w:t>
      </w:r>
    </w:p>
    <w:p w14:paraId="3D2656DC">
      <w:pPr>
        <w:spacing w:line="360" w:lineRule="auto"/>
        <w:outlineLvl w:val="1"/>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4</w:t>
      </w:r>
      <w:r>
        <w:rPr>
          <w:rFonts w:hint="eastAsia" w:ascii="微软雅黑" w:hAnsi="微软雅黑" w:eastAsia="微软雅黑" w:cs="微软雅黑"/>
          <w:i w:val="0"/>
          <w:iCs w:val="0"/>
          <w:caps w:val="0"/>
          <w:color w:val="333333"/>
          <w:spacing w:val="0"/>
          <w:sz w:val="24"/>
          <w:szCs w:val="24"/>
          <w:shd w:val="clear" w:fill="FFFFFF"/>
        </w:rPr>
        <w:t>、具有依法缴纳税收和社会保障资金的良好记录，提供承诺函；</w:t>
      </w:r>
    </w:p>
    <w:p w14:paraId="0935016C">
      <w:pPr>
        <w:spacing w:line="360" w:lineRule="auto"/>
        <w:outlineLvl w:val="1"/>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5</w:t>
      </w:r>
      <w:r>
        <w:rPr>
          <w:rFonts w:hint="eastAsia" w:ascii="微软雅黑" w:hAnsi="微软雅黑" w:eastAsia="微软雅黑" w:cs="微软雅黑"/>
          <w:i w:val="0"/>
          <w:iCs w:val="0"/>
          <w:caps w:val="0"/>
          <w:color w:val="333333"/>
          <w:spacing w:val="0"/>
          <w:sz w:val="24"/>
          <w:szCs w:val="24"/>
          <w:shd w:val="clear" w:fill="FFFFFF"/>
        </w:rPr>
        <w:t>、参加政府采购活动前三年内，在经营活动中没有重大违法记录，提供承诺函【</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注册成立时间不足三年的，从注册时间起算，加盖公章】；</w:t>
      </w:r>
    </w:p>
    <w:p w14:paraId="36CC70C6">
      <w:pPr>
        <w:spacing w:line="360" w:lineRule="auto"/>
        <w:outlineLvl w:val="1"/>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6</w:t>
      </w:r>
      <w:r>
        <w:rPr>
          <w:rFonts w:hint="eastAsia" w:ascii="微软雅黑" w:hAnsi="微软雅黑" w:eastAsia="微软雅黑" w:cs="微软雅黑"/>
          <w:i w:val="0"/>
          <w:iCs w:val="0"/>
          <w:caps w:val="0"/>
          <w:color w:val="333333"/>
          <w:spacing w:val="0"/>
          <w:sz w:val="24"/>
          <w:szCs w:val="24"/>
          <w:shd w:val="clear" w:fill="FFFFFF"/>
        </w:rPr>
        <w:t>、参加政府采购活动前三年内，在经营活动中没有环保类行政处罚记录，提供承诺函【</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注册成立时间不足三年的，从注册时间起算，加盖公章】；</w:t>
      </w:r>
    </w:p>
    <w:p w14:paraId="230244B5">
      <w:pPr>
        <w:spacing w:line="360" w:lineRule="auto"/>
        <w:outlineLvl w:val="1"/>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7</w:t>
      </w:r>
      <w:r>
        <w:rPr>
          <w:rFonts w:hint="eastAsia" w:ascii="微软雅黑" w:hAnsi="微软雅黑" w:eastAsia="微软雅黑" w:cs="微软雅黑"/>
          <w:i w:val="0"/>
          <w:iCs w:val="0"/>
          <w:caps w:val="0"/>
          <w:color w:val="333333"/>
          <w:spacing w:val="0"/>
          <w:sz w:val="24"/>
          <w:szCs w:val="24"/>
          <w:shd w:val="clear" w:fill="FFFFFF"/>
        </w:rPr>
        <w:t>、具有履行合同所必需的设备和专业技术能力，提供承诺函；</w:t>
      </w:r>
    </w:p>
    <w:p w14:paraId="4BF2E6B7">
      <w:pPr>
        <w:spacing w:line="360" w:lineRule="auto"/>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8</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未被列入信用中国 (https://www.creditchina.gov.cn/)“重大税收违法失信主体”、“政府采购严重违法失信行为记录名单”，未被列入中国执行信息公开网（http://zxgk.court.gov.cn/shixin/）“ 失信被执行人”，未被列入中国政府采购网(http://www.ccgp.gov.cn/)“政府采购严重违法失信行为记录名单”，提供承诺函。</w:t>
      </w:r>
    </w:p>
    <w:p w14:paraId="21D44D2B">
      <w:pPr>
        <w:spacing w:line="360" w:lineRule="auto"/>
        <w:jc w:val="both"/>
        <w:rPr>
          <w:rFonts w:hint="default" w:eastAsia="微软雅黑"/>
          <w:lang w:val="en-US" w:eastAsia="zh-CN"/>
        </w:rPr>
      </w:pPr>
      <w:r>
        <w:rPr>
          <w:rFonts w:hint="eastAsia" w:ascii="微软雅黑" w:hAnsi="微软雅黑" w:eastAsia="微软雅黑" w:cs="微软雅黑"/>
          <w:b w:val="0"/>
          <w:bCs w:val="0"/>
          <w:i w:val="0"/>
          <w:iCs w:val="0"/>
          <w:caps w:val="0"/>
          <w:color w:val="333333"/>
          <w:spacing w:val="0"/>
          <w:sz w:val="24"/>
          <w:szCs w:val="24"/>
          <w:shd w:val="clear" w:fill="FFFFFF"/>
          <w:lang w:val="en-US" w:eastAsia="zh-CN"/>
        </w:rPr>
        <w:t>9、项目不接受联合体投标</w:t>
      </w:r>
    </w:p>
    <w:p w14:paraId="65995498">
      <w:pPr>
        <w:spacing w:line="360" w:lineRule="auto"/>
        <w:jc w:val="left"/>
        <w:rPr>
          <w:rFonts w:hint="default" w:ascii="宋体"/>
          <w:b/>
          <w:sz w:val="24"/>
          <w:lang w:val="en-US"/>
        </w:rPr>
      </w:pPr>
    </w:p>
    <w:p w14:paraId="6C5BA619">
      <w:pPr>
        <w:rPr>
          <w:rFonts w:ascii="宋体" w:hAnsi="宋体"/>
          <w:sz w:val="24"/>
          <w:szCs w:val="24"/>
        </w:rPr>
      </w:pPr>
      <w:bookmarkStart w:id="275" w:name="_Toc154755500"/>
      <w:bookmarkStart w:id="276" w:name="_Toc154744456"/>
      <w:r>
        <w:rPr>
          <w:rFonts w:hint="eastAsia" w:ascii="宋体" w:hAnsi="宋体"/>
          <w:sz w:val="24"/>
          <w:szCs w:val="24"/>
        </w:rPr>
        <w:t>（附表</w:t>
      </w:r>
      <w:r>
        <w:rPr>
          <w:rFonts w:ascii="宋体" w:hAnsi="宋体"/>
          <w:sz w:val="24"/>
          <w:szCs w:val="24"/>
        </w:rPr>
        <w:t>1）</w:t>
      </w:r>
      <w:bookmarkEnd w:id="275"/>
      <w:bookmarkEnd w:id="276"/>
    </w:p>
    <w:p w14:paraId="2074E00D">
      <w:pPr>
        <w:pStyle w:val="2"/>
      </w:pPr>
    </w:p>
    <w:p w14:paraId="6208E642">
      <w:pPr>
        <w:tabs>
          <w:tab w:val="left" w:pos="567"/>
        </w:tabs>
        <w:jc w:val="center"/>
      </w:pPr>
      <w:bookmarkStart w:id="277" w:name="_Toc154755501"/>
      <w:bookmarkStart w:id="278" w:name="_Toc154744457"/>
      <w:r>
        <w:rPr>
          <w:rFonts w:hint="eastAsia"/>
          <w:b/>
          <w:bCs/>
          <w:sz w:val="28"/>
          <w:szCs w:val="24"/>
        </w:rPr>
        <w:t>无重大违法记录的承诺函</w:t>
      </w:r>
      <w:bookmarkEnd w:id="277"/>
      <w:bookmarkEnd w:id="278"/>
    </w:p>
    <w:p w14:paraId="07F7BD9F">
      <w:pPr>
        <w:pStyle w:val="75"/>
        <w:spacing w:line="400" w:lineRule="exact"/>
        <w:ind w:left="0" w:leftChars="0"/>
        <w:rPr>
          <w:rFonts w:ascii="宋体" w:hAnsi="宋体"/>
          <w:sz w:val="24"/>
          <w:szCs w:val="24"/>
        </w:rPr>
      </w:pPr>
    </w:p>
    <w:p w14:paraId="4BBFCAC7">
      <w:pPr>
        <w:pStyle w:val="75"/>
        <w:spacing w:line="400" w:lineRule="exact"/>
        <w:ind w:left="0" w:leftChars="0"/>
        <w:rPr>
          <w:rFonts w:ascii="宋体" w:hAnsi="宋体"/>
          <w:sz w:val="24"/>
          <w:szCs w:val="24"/>
        </w:rPr>
      </w:pPr>
      <w:r>
        <w:rPr>
          <w:rFonts w:hint="eastAsia" w:ascii="宋体" w:hAnsi="宋体"/>
          <w:sz w:val="24"/>
          <w:szCs w:val="24"/>
        </w:rPr>
        <w:t>致</w:t>
      </w:r>
      <w:r>
        <w:rPr>
          <w:rFonts w:hint="eastAsia" w:ascii="宋体" w:hAnsi="宋体"/>
          <w:sz w:val="24"/>
          <w:szCs w:val="24"/>
          <w:lang w:eastAsia="zh-CN"/>
        </w:rPr>
        <w:t>海南省机电工程学校</w:t>
      </w:r>
      <w:r>
        <w:rPr>
          <w:rFonts w:hint="eastAsia" w:ascii="宋体" w:hAnsi="宋体"/>
          <w:sz w:val="24"/>
          <w:szCs w:val="24"/>
        </w:rPr>
        <w:t>、</w:t>
      </w:r>
      <w:r>
        <w:rPr>
          <w:rFonts w:hint="eastAsia" w:ascii="宋体" w:hAnsi="宋体"/>
          <w:sz w:val="24"/>
          <w:szCs w:val="24"/>
          <w:lang w:eastAsia="zh-CN"/>
        </w:rPr>
        <w:t>法正项目管理集团有限公司</w:t>
      </w:r>
      <w:r>
        <w:rPr>
          <w:rFonts w:hint="eastAsia" w:ascii="宋体" w:hAnsi="宋体"/>
          <w:sz w:val="24"/>
          <w:szCs w:val="24"/>
        </w:rPr>
        <w:t xml:space="preserve"> ：</w:t>
      </w:r>
    </w:p>
    <w:p w14:paraId="36CCB29A">
      <w:pPr>
        <w:spacing w:line="600" w:lineRule="exact"/>
        <w:ind w:firstLine="480" w:firstLineChars="200"/>
        <w:rPr>
          <w:rFonts w:ascii="宋体" w:hAnsi="宋体"/>
          <w:sz w:val="24"/>
          <w:szCs w:val="24"/>
        </w:rPr>
      </w:pPr>
      <w:r>
        <w:rPr>
          <w:rFonts w:hint="eastAsia" w:ascii="宋体" w:hAnsi="宋体"/>
          <w:sz w:val="24"/>
          <w:szCs w:val="24"/>
        </w:rPr>
        <w:t>我公司在参加本次招标项目名称：（项目编号</w:t>
      </w:r>
      <w:r>
        <w:rPr>
          <w:rFonts w:ascii="宋体" w:hAnsi="宋体"/>
          <w:sz w:val="24"/>
          <w:szCs w:val="24"/>
        </w:rPr>
        <w:t>:）活动近三年内，在经营活动中没有重大事故，没有任何违法行为记录。</w:t>
      </w:r>
    </w:p>
    <w:p w14:paraId="0598FA23">
      <w:pPr>
        <w:spacing w:line="600" w:lineRule="exact"/>
        <w:ind w:firstLine="480" w:firstLineChars="200"/>
        <w:rPr>
          <w:rFonts w:ascii="宋体" w:hAnsi="宋体"/>
          <w:sz w:val="24"/>
          <w:szCs w:val="24"/>
        </w:rPr>
      </w:pPr>
      <w:r>
        <w:rPr>
          <w:rFonts w:hint="eastAsia" w:ascii="宋体" w:hAnsi="宋体"/>
          <w:sz w:val="24"/>
          <w:szCs w:val="24"/>
        </w:rPr>
        <w:t>如有作假，愿承担一切法律责任。</w:t>
      </w:r>
    </w:p>
    <w:p w14:paraId="28FBA6D9">
      <w:pPr>
        <w:spacing w:line="600" w:lineRule="exact"/>
        <w:ind w:firstLine="480" w:firstLineChars="200"/>
        <w:rPr>
          <w:rFonts w:ascii="宋体" w:hAnsi="宋体"/>
          <w:sz w:val="24"/>
          <w:szCs w:val="24"/>
        </w:rPr>
      </w:pPr>
      <w:r>
        <w:rPr>
          <w:rFonts w:hint="eastAsia" w:ascii="宋体" w:hAnsi="宋体"/>
          <w:sz w:val="24"/>
          <w:szCs w:val="24"/>
        </w:rPr>
        <w:t>特此承诺。</w:t>
      </w:r>
    </w:p>
    <w:p w14:paraId="73D94C1F">
      <w:pPr>
        <w:spacing w:line="360" w:lineRule="auto"/>
        <w:rPr>
          <w:sz w:val="24"/>
        </w:rPr>
      </w:pPr>
    </w:p>
    <w:p w14:paraId="4039A7EF">
      <w:pPr>
        <w:spacing w:line="600" w:lineRule="exact"/>
        <w:ind w:firstLine="480" w:firstLineChars="200"/>
        <w:rPr>
          <w:rFonts w:ascii="宋体" w:hAnsi="宋体"/>
          <w:sz w:val="24"/>
          <w:szCs w:val="24"/>
        </w:rPr>
      </w:pPr>
      <w:r>
        <w:rPr>
          <w:rFonts w:hint="eastAsia" w:ascii="宋体" w:hAnsi="宋体"/>
          <w:sz w:val="24"/>
          <w:szCs w:val="24"/>
          <w:lang w:eastAsia="zh-CN"/>
        </w:rPr>
        <w:t>供应商</w:t>
      </w:r>
      <w:r>
        <w:rPr>
          <w:rFonts w:hint="eastAsia" w:ascii="宋体" w:hAnsi="宋体"/>
          <w:sz w:val="24"/>
          <w:szCs w:val="24"/>
        </w:rPr>
        <w:t>名称：（盖章）</w:t>
      </w:r>
    </w:p>
    <w:p w14:paraId="0347B943">
      <w:pPr>
        <w:spacing w:line="600" w:lineRule="exact"/>
        <w:ind w:firstLine="480" w:firstLineChars="200"/>
        <w:rPr>
          <w:rFonts w:ascii="宋体" w:hAnsi="宋体"/>
          <w:sz w:val="24"/>
          <w:szCs w:val="24"/>
        </w:rPr>
      </w:pPr>
      <w:r>
        <w:rPr>
          <w:rFonts w:hint="eastAsia" w:ascii="宋体" w:hAnsi="宋体"/>
          <w:sz w:val="24"/>
          <w:szCs w:val="24"/>
        </w:rPr>
        <w:t>法定代表人或被授权人（签字）：</w:t>
      </w:r>
    </w:p>
    <w:p w14:paraId="023ABC2C">
      <w:pPr>
        <w:spacing w:line="600" w:lineRule="exact"/>
        <w:ind w:firstLine="480" w:firstLineChars="200"/>
        <w:rPr>
          <w:rFonts w:ascii="宋体" w:hAnsi="宋体"/>
          <w:sz w:val="24"/>
          <w:szCs w:val="24"/>
        </w:rPr>
      </w:pPr>
      <w:r>
        <w:rPr>
          <w:rFonts w:hint="eastAsia" w:ascii="宋体" w:hAnsi="宋体"/>
          <w:sz w:val="24"/>
          <w:szCs w:val="24"/>
        </w:rPr>
        <w:t>日期</w:t>
      </w:r>
      <w:r>
        <w:rPr>
          <w:rFonts w:ascii="宋体" w:hAnsi="宋体"/>
          <w:sz w:val="24"/>
          <w:szCs w:val="24"/>
        </w:rPr>
        <w:t>:</w:t>
      </w:r>
    </w:p>
    <w:p w14:paraId="191C11AD"/>
    <w:p w14:paraId="432FC20D">
      <w:pPr>
        <w:ind w:firstLine="480" w:firstLineChars="200"/>
        <w:jc w:val="left"/>
        <w:rPr>
          <w:rFonts w:ascii="宋体" w:hAnsi="宋体"/>
          <w:sz w:val="24"/>
          <w:szCs w:val="24"/>
        </w:rPr>
      </w:pPr>
    </w:p>
    <w:p w14:paraId="4F368BB3">
      <w:pPr>
        <w:ind w:firstLine="480" w:firstLineChars="200"/>
        <w:jc w:val="left"/>
        <w:rPr>
          <w:rFonts w:ascii="宋体" w:hAnsi="宋体"/>
          <w:sz w:val="24"/>
          <w:szCs w:val="24"/>
        </w:rPr>
      </w:pPr>
    </w:p>
    <w:p w14:paraId="5E35DA71">
      <w:pPr>
        <w:ind w:firstLine="480" w:firstLineChars="200"/>
        <w:jc w:val="left"/>
        <w:rPr>
          <w:rFonts w:ascii="宋体" w:hAnsi="宋体"/>
          <w:sz w:val="24"/>
          <w:szCs w:val="24"/>
        </w:rPr>
      </w:pPr>
    </w:p>
    <w:p w14:paraId="4CF81463"/>
    <w:p w14:paraId="657A2414"/>
    <w:p w14:paraId="253411F5">
      <w:pPr>
        <w:jc w:val="left"/>
        <w:rPr>
          <w:rFonts w:ascii="宋体" w:hAnsi="宋体"/>
          <w:sz w:val="24"/>
          <w:szCs w:val="24"/>
        </w:rPr>
      </w:pPr>
    </w:p>
    <w:p w14:paraId="4F149E51">
      <w:pPr>
        <w:jc w:val="left"/>
        <w:rPr>
          <w:rFonts w:ascii="宋体" w:hAnsi="宋体"/>
          <w:sz w:val="24"/>
          <w:szCs w:val="24"/>
        </w:rPr>
      </w:pPr>
    </w:p>
    <w:p w14:paraId="0F5B11AC">
      <w:pPr>
        <w:rPr>
          <w:rFonts w:ascii="宋体" w:hAnsi="宋体"/>
          <w:sz w:val="24"/>
          <w:szCs w:val="24"/>
        </w:rPr>
      </w:pPr>
    </w:p>
    <w:p w14:paraId="731C0461">
      <w:pPr>
        <w:rPr>
          <w:rFonts w:ascii="宋体" w:hAnsi="宋体"/>
          <w:sz w:val="24"/>
          <w:szCs w:val="24"/>
        </w:rPr>
      </w:pPr>
    </w:p>
    <w:p w14:paraId="55FE3387">
      <w:pPr>
        <w:rPr>
          <w:rFonts w:ascii="宋体" w:hAnsi="宋体"/>
          <w:sz w:val="24"/>
          <w:szCs w:val="24"/>
        </w:rPr>
      </w:pPr>
    </w:p>
    <w:p w14:paraId="1D36D04E">
      <w:pPr>
        <w:rPr>
          <w:rFonts w:ascii="宋体" w:hAnsi="宋体"/>
          <w:sz w:val="24"/>
          <w:szCs w:val="24"/>
        </w:rPr>
      </w:pPr>
    </w:p>
    <w:p w14:paraId="75443A05"/>
    <w:p w14:paraId="53D396FE">
      <w:pPr>
        <w:jc w:val="left"/>
        <w:rPr>
          <w:rFonts w:ascii="宋体" w:hAnsi="宋体"/>
          <w:sz w:val="24"/>
          <w:szCs w:val="24"/>
        </w:rPr>
      </w:pPr>
    </w:p>
    <w:p w14:paraId="04D735E9">
      <w:pPr>
        <w:rPr>
          <w:rFonts w:ascii="宋体" w:hAnsi="宋体"/>
          <w:sz w:val="24"/>
          <w:szCs w:val="24"/>
        </w:rPr>
      </w:pPr>
    </w:p>
    <w:p w14:paraId="06749F2E"/>
    <w:p w14:paraId="167E1B85"/>
    <w:p w14:paraId="20F6834C"/>
    <w:p w14:paraId="0B48DAE0"/>
    <w:p w14:paraId="2E3CC91A"/>
    <w:p w14:paraId="1B90B590">
      <w:pPr>
        <w:pStyle w:val="2"/>
      </w:pPr>
    </w:p>
    <w:p w14:paraId="1BA672BE"/>
    <w:p w14:paraId="615D5BD6"/>
    <w:p w14:paraId="00AE199B">
      <w:pPr>
        <w:jc w:val="left"/>
        <w:rPr>
          <w:rFonts w:ascii="宋体" w:hAnsi="宋体"/>
          <w:sz w:val="24"/>
          <w:szCs w:val="24"/>
        </w:rPr>
      </w:pPr>
      <w:bookmarkStart w:id="279" w:name="_Toc154744458"/>
      <w:bookmarkStart w:id="280" w:name="_Toc154755502"/>
      <w:r>
        <w:rPr>
          <w:rFonts w:hint="eastAsia" w:ascii="宋体" w:hAnsi="宋体"/>
          <w:sz w:val="24"/>
          <w:szCs w:val="24"/>
        </w:rPr>
        <w:t>（附表</w:t>
      </w:r>
      <w:r>
        <w:rPr>
          <w:rFonts w:ascii="宋体" w:hAnsi="宋体"/>
          <w:sz w:val="24"/>
          <w:szCs w:val="24"/>
        </w:rPr>
        <w:t>2）</w:t>
      </w:r>
      <w:bookmarkEnd w:id="279"/>
      <w:bookmarkEnd w:id="280"/>
    </w:p>
    <w:p w14:paraId="6E03C852"/>
    <w:p w14:paraId="135F470D">
      <w:pPr>
        <w:tabs>
          <w:tab w:val="left" w:pos="567"/>
        </w:tabs>
        <w:jc w:val="center"/>
        <w:rPr>
          <w:b/>
          <w:bCs/>
          <w:sz w:val="28"/>
          <w:szCs w:val="24"/>
        </w:rPr>
      </w:pPr>
      <w:bookmarkStart w:id="281" w:name="_Toc154744459"/>
      <w:bookmarkStart w:id="282" w:name="_Toc154755503"/>
      <w:r>
        <w:rPr>
          <w:rFonts w:hint="eastAsia"/>
          <w:b/>
          <w:bCs/>
          <w:sz w:val="28"/>
          <w:szCs w:val="24"/>
        </w:rPr>
        <w:t>承诺函</w:t>
      </w:r>
      <w:bookmarkEnd w:id="281"/>
      <w:bookmarkEnd w:id="282"/>
    </w:p>
    <w:p w14:paraId="5F1FB764">
      <w:pPr>
        <w:tabs>
          <w:tab w:val="left" w:pos="567"/>
        </w:tabs>
        <w:jc w:val="center"/>
        <w:rPr>
          <w:b/>
          <w:bCs/>
          <w:sz w:val="28"/>
          <w:szCs w:val="24"/>
        </w:rPr>
      </w:pPr>
    </w:p>
    <w:p w14:paraId="539B7B46">
      <w:pPr>
        <w:pStyle w:val="75"/>
        <w:spacing w:line="400" w:lineRule="exact"/>
        <w:ind w:left="0" w:leftChars="0"/>
        <w:rPr>
          <w:rFonts w:ascii="宋体" w:hAnsi="宋体"/>
          <w:sz w:val="24"/>
          <w:szCs w:val="24"/>
        </w:rPr>
      </w:pPr>
      <w:r>
        <w:rPr>
          <w:rFonts w:hint="eastAsia" w:ascii="宋体" w:hAnsi="宋体"/>
          <w:sz w:val="24"/>
          <w:szCs w:val="24"/>
        </w:rPr>
        <w:t>致</w:t>
      </w:r>
      <w:r>
        <w:rPr>
          <w:rFonts w:hint="eastAsia" w:ascii="宋体" w:hAnsi="宋体"/>
          <w:sz w:val="24"/>
          <w:szCs w:val="24"/>
          <w:lang w:eastAsia="zh-CN"/>
        </w:rPr>
        <w:t>海南省机电工程学校</w:t>
      </w:r>
      <w:r>
        <w:rPr>
          <w:rFonts w:hint="eastAsia" w:ascii="宋体" w:hAnsi="宋体"/>
          <w:sz w:val="24"/>
          <w:szCs w:val="24"/>
        </w:rPr>
        <w:t>、</w:t>
      </w:r>
      <w:r>
        <w:rPr>
          <w:rFonts w:hint="eastAsia" w:ascii="宋体" w:hAnsi="宋体"/>
          <w:sz w:val="24"/>
          <w:szCs w:val="24"/>
          <w:lang w:eastAsia="zh-CN"/>
        </w:rPr>
        <w:t>法正项目管理集团有限公司</w:t>
      </w:r>
      <w:r>
        <w:rPr>
          <w:rFonts w:hint="eastAsia" w:ascii="宋体" w:hAnsi="宋体"/>
          <w:sz w:val="24"/>
          <w:szCs w:val="24"/>
        </w:rPr>
        <w:t xml:space="preserve"> ：</w:t>
      </w:r>
    </w:p>
    <w:p w14:paraId="137D86B7">
      <w:pPr>
        <w:pStyle w:val="75"/>
        <w:spacing w:line="400" w:lineRule="exact"/>
        <w:ind w:left="0" w:leftChars="0" w:firstLine="540" w:firstLineChars="225"/>
        <w:rPr>
          <w:rFonts w:ascii="宋体" w:hAnsi="宋体"/>
          <w:sz w:val="24"/>
          <w:szCs w:val="24"/>
        </w:rPr>
      </w:pPr>
      <w:r>
        <w:rPr>
          <w:rFonts w:hint="eastAsia" w:ascii="宋体" w:hAnsi="宋体"/>
          <w:sz w:val="24"/>
          <w:szCs w:val="24"/>
        </w:rPr>
        <w:t>本公司</w:t>
      </w:r>
      <w:r>
        <w:rPr>
          <w:rFonts w:ascii="宋体" w:hAnsi="宋体"/>
          <w:sz w:val="24"/>
          <w:szCs w:val="24"/>
          <w:u w:val="single"/>
        </w:rPr>
        <w:t xml:space="preserve">                   （公司名称）</w:t>
      </w:r>
      <w:r>
        <w:rPr>
          <w:rFonts w:hint="eastAsia" w:ascii="宋体" w:hAnsi="宋体"/>
          <w:sz w:val="24"/>
          <w:szCs w:val="24"/>
        </w:rPr>
        <w:t>参加项目名称：（项目编号</w:t>
      </w:r>
      <w:r>
        <w:rPr>
          <w:rFonts w:ascii="宋体" w:hAnsi="宋体"/>
          <w:sz w:val="24"/>
          <w:szCs w:val="24"/>
        </w:rPr>
        <w:t>:）的投标活动，现承诺：</w:t>
      </w:r>
    </w:p>
    <w:p w14:paraId="7CE5172D">
      <w:pPr>
        <w:pStyle w:val="75"/>
        <w:spacing w:line="400" w:lineRule="exact"/>
        <w:ind w:left="0" w:leftChars="0"/>
        <w:rPr>
          <w:rFonts w:ascii="宋体" w:hAnsi="宋体"/>
          <w:sz w:val="24"/>
          <w:szCs w:val="24"/>
        </w:rPr>
      </w:pPr>
      <w:r>
        <w:rPr>
          <w:rFonts w:ascii="宋体" w:hAnsi="宋体"/>
          <w:sz w:val="24"/>
          <w:szCs w:val="24"/>
        </w:rPr>
        <w:t xml:space="preserve">    我公司具有独立签订合同的权利和履行合同所必需供货及服务能力。</w:t>
      </w:r>
    </w:p>
    <w:p w14:paraId="22AD3C26">
      <w:pPr>
        <w:pStyle w:val="75"/>
        <w:spacing w:line="400" w:lineRule="exact"/>
        <w:ind w:left="0" w:leftChars="0"/>
        <w:rPr>
          <w:rFonts w:ascii="宋体" w:hAnsi="宋体"/>
          <w:sz w:val="24"/>
          <w:szCs w:val="24"/>
        </w:rPr>
      </w:pPr>
      <w:r>
        <w:rPr>
          <w:rFonts w:ascii="宋体" w:hAnsi="宋体"/>
          <w:sz w:val="24"/>
          <w:szCs w:val="24"/>
        </w:rPr>
        <w:t xml:space="preserve">    如违反以上承诺，本公司愿承担一切法律责任。</w:t>
      </w:r>
    </w:p>
    <w:p w14:paraId="6D033C00">
      <w:pPr>
        <w:spacing w:line="360" w:lineRule="auto"/>
        <w:rPr>
          <w:rFonts w:hAnsi="宋体"/>
          <w:sz w:val="24"/>
        </w:rPr>
      </w:pPr>
    </w:p>
    <w:p w14:paraId="095843B4">
      <w:pPr>
        <w:spacing w:line="360" w:lineRule="auto"/>
        <w:rPr>
          <w:sz w:val="24"/>
        </w:rPr>
      </w:pPr>
    </w:p>
    <w:p w14:paraId="74627D68">
      <w:pPr>
        <w:spacing w:line="360" w:lineRule="auto"/>
        <w:rPr>
          <w:sz w:val="24"/>
        </w:rPr>
      </w:pPr>
    </w:p>
    <w:p w14:paraId="52F19180">
      <w:pPr>
        <w:spacing w:line="600" w:lineRule="exact"/>
        <w:ind w:firstLine="480" w:firstLineChars="200"/>
        <w:rPr>
          <w:rFonts w:ascii="宋体" w:hAnsi="宋体"/>
          <w:sz w:val="24"/>
          <w:szCs w:val="24"/>
        </w:rPr>
      </w:pPr>
      <w:r>
        <w:rPr>
          <w:rFonts w:hint="eastAsia" w:ascii="宋体" w:hAnsi="宋体"/>
          <w:sz w:val="24"/>
          <w:szCs w:val="24"/>
          <w:lang w:eastAsia="zh-CN"/>
        </w:rPr>
        <w:t>供应商</w:t>
      </w:r>
      <w:r>
        <w:rPr>
          <w:rFonts w:hint="eastAsia" w:ascii="宋体" w:hAnsi="宋体"/>
          <w:sz w:val="24"/>
          <w:szCs w:val="24"/>
        </w:rPr>
        <w:t>名称：（盖章）</w:t>
      </w:r>
    </w:p>
    <w:p w14:paraId="4F6DC0BD">
      <w:pPr>
        <w:spacing w:line="600" w:lineRule="exact"/>
        <w:ind w:firstLine="480" w:firstLineChars="200"/>
        <w:rPr>
          <w:rFonts w:ascii="宋体" w:hAnsi="宋体"/>
          <w:sz w:val="24"/>
          <w:szCs w:val="24"/>
        </w:rPr>
      </w:pPr>
      <w:r>
        <w:rPr>
          <w:rFonts w:hint="eastAsia" w:ascii="宋体" w:hAnsi="宋体"/>
          <w:sz w:val="24"/>
          <w:szCs w:val="24"/>
        </w:rPr>
        <w:t>法定代表人或被授权人（签字）：</w:t>
      </w:r>
    </w:p>
    <w:p w14:paraId="0F8C9A75">
      <w:pPr>
        <w:spacing w:line="600" w:lineRule="exact"/>
        <w:ind w:firstLine="480" w:firstLineChars="200"/>
        <w:rPr>
          <w:rFonts w:ascii="宋体" w:hAnsi="宋体"/>
          <w:sz w:val="24"/>
          <w:szCs w:val="24"/>
        </w:rPr>
      </w:pPr>
      <w:r>
        <w:rPr>
          <w:rFonts w:hint="eastAsia" w:ascii="宋体" w:hAnsi="宋体"/>
          <w:sz w:val="24"/>
          <w:szCs w:val="24"/>
        </w:rPr>
        <w:t>日期</w:t>
      </w:r>
      <w:r>
        <w:rPr>
          <w:rFonts w:ascii="宋体" w:hAnsi="宋体"/>
          <w:sz w:val="24"/>
          <w:szCs w:val="24"/>
        </w:rPr>
        <w:t>:</w:t>
      </w:r>
    </w:p>
    <w:p w14:paraId="6500C343"/>
    <w:p w14:paraId="40A256E5">
      <w:pPr>
        <w:ind w:firstLine="480" w:firstLineChars="200"/>
        <w:jc w:val="left"/>
        <w:rPr>
          <w:rFonts w:ascii="宋体" w:hAnsi="宋体"/>
          <w:sz w:val="24"/>
          <w:szCs w:val="24"/>
        </w:rPr>
      </w:pPr>
    </w:p>
    <w:p w14:paraId="6391CFCF">
      <w:pPr>
        <w:ind w:firstLine="480" w:firstLineChars="200"/>
        <w:jc w:val="left"/>
        <w:rPr>
          <w:rFonts w:ascii="宋体" w:hAnsi="宋体"/>
          <w:sz w:val="24"/>
          <w:szCs w:val="24"/>
        </w:rPr>
      </w:pPr>
    </w:p>
    <w:p w14:paraId="1351F346">
      <w:pPr>
        <w:ind w:firstLine="480" w:firstLineChars="200"/>
        <w:jc w:val="left"/>
        <w:rPr>
          <w:rFonts w:ascii="宋体" w:hAnsi="宋体"/>
          <w:sz w:val="24"/>
          <w:szCs w:val="24"/>
        </w:rPr>
      </w:pPr>
    </w:p>
    <w:p w14:paraId="24B527B1">
      <w:pPr>
        <w:ind w:firstLine="480" w:firstLineChars="200"/>
        <w:jc w:val="left"/>
        <w:rPr>
          <w:rFonts w:ascii="宋体" w:hAnsi="宋体"/>
          <w:sz w:val="24"/>
          <w:szCs w:val="24"/>
        </w:rPr>
      </w:pPr>
    </w:p>
    <w:p w14:paraId="57BB4CFC">
      <w:pPr>
        <w:ind w:firstLine="480" w:firstLineChars="200"/>
        <w:jc w:val="left"/>
        <w:rPr>
          <w:rFonts w:ascii="宋体" w:hAnsi="宋体"/>
          <w:sz w:val="24"/>
          <w:szCs w:val="24"/>
        </w:rPr>
      </w:pPr>
    </w:p>
    <w:p w14:paraId="1DBBA363">
      <w:pPr>
        <w:ind w:firstLine="480" w:firstLineChars="200"/>
        <w:jc w:val="left"/>
        <w:rPr>
          <w:rFonts w:ascii="宋体" w:hAnsi="宋体"/>
          <w:sz w:val="24"/>
          <w:szCs w:val="24"/>
        </w:rPr>
      </w:pPr>
    </w:p>
    <w:p w14:paraId="594372BA">
      <w:pPr>
        <w:ind w:firstLine="480" w:firstLineChars="200"/>
        <w:jc w:val="left"/>
        <w:rPr>
          <w:rFonts w:ascii="宋体" w:hAnsi="宋体"/>
          <w:sz w:val="24"/>
          <w:szCs w:val="24"/>
        </w:rPr>
      </w:pPr>
    </w:p>
    <w:p w14:paraId="24B90530">
      <w:pPr>
        <w:ind w:firstLine="480" w:firstLineChars="200"/>
        <w:jc w:val="left"/>
        <w:rPr>
          <w:rFonts w:ascii="宋体" w:hAnsi="宋体"/>
          <w:sz w:val="24"/>
          <w:szCs w:val="24"/>
        </w:rPr>
      </w:pPr>
    </w:p>
    <w:p w14:paraId="49FD7D08"/>
    <w:p w14:paraId="76B004AC"/>
    <w:p w14:paraId="7A33C744"/>
    <w:p w14:paraId="7F994E2F">
      <w:pPr>
        <w:rPr>
          <w:rFonts w:ascii="宋体" w:hAnsi="宋体" w:cs="宋体"/>
          <w:kern w:val="0"/>
          <w:sz w:val="30"/>
          <w:szCs w:val="30"/>
        </w:rPr>
      </w:pPr>
    </w:p>
    <w:p w14:paraId="69C4BE66">
      <w:pPr>
        <w:rPr>
          <w:rFonts w:ascii="宋体" w:hAnsi="宋体" w:cs="Arial"/>
          <w:b/>
          <w:bCs/>
          <w:kern w:val="0"/>
          <w:sz w:val="32"/>
          <w:szCs w:val="32"/>
        </w:rPr>
      </w:pPr>
      <w:bookmarkStart w:id="283" w:name="_Toc154755504"/>
      <w:bookmarkStart w:id="284" w:name="_Toc154744460"/>
      <w:r>
        <w:rPr>
          <w:rFonts w:hint="eastAsia" w:ascii="宋体" w:hAnsi="宋体" w:cs="Arial"/>
          <w:b/>
          <w:bCs/>
          <w:kern w:val="0"/>
          <w:sz w:val="32"/>
          <w:szCs w:val="32"/>
        </w:rPr>
        <w:br w:type="page"/>
      </w:r>
    </w:p>
    <w:p w14:paraId="4075EBB8">
      <w:pPr>
        <w:widowControl/>
        <w:spacing w:line="360" w:lineRule="auto"/>
        <w:jc w:val="left"/>
        <w:outlineLvl w:val="1"/>
        <w:rPr>
          <w:rFonts w:hint="eastAsia" w:ascii="宋体" w:hAnsi="宋体" w:cs="Arial"/>
          <w:b/>
          <w:bCs/>
          <w:kern w:val="0"/>
          <w:sz w:val="24"/>
          <w:szCs w:val="24"/>
          <w:lang w:val="en-US" w:eastAsia="zh-CN"/>
        </w:rPr>
      </w:pPr>
      <w:bookmarkStart w:id="285" w:name="_Toc12982"/>
      <w:r>
        <w:rPr>
          <w:rFonts w:hint="eastAsia" w:ascii="宋体" w:hAnsi="宋体" w:cs="Arial"/>
          <w:b/>
          <w:bCs/>
          <w:kern w:val="0"/>
          <w:sz w:val="24"/>
          <w:szCs w:val="24"/>
          <w:lang w:val="en-US" w:eastAsia="zh-CN"/>
        </w:rPr>
        <w:t xml:space="preserve">附 3 </w:t>
      </w:r>
    </w:p>
    <w:p w14:paraId="673964EF">
      <w:pPr>
        <w:widowControl/>
        <w:spacing w:line="360" w:lineRule="auto"/>
        <w:jc w:val="center"/>
        <w:outlineLvl w:val="1"/>
        <w:rPr>
          <w:rFonts w:hint="eastAsia" w:ascii="宋体" w:hAnsi="宋体" w:cs="Arial"/>
          <w:b/>
          <w:bCs/>
          <w:kern w:val="0"/>
          <w:sz w:val="24"/>
          <w:szCs w:val="24"/>
          <w:lang w:val="en-US" w:eastAsia="zh-CN"/>
        </w:rPr>
      </w:pPr>
      <w:r>
        <w:rPr>
          <w:rFonts w:hint="eastAsia" w:ascii="宋体" w:hAnsi="宋体" w:cs="Arial"/>
          <w:b/>
          <w:bCs/>
          <w:kern w:val="0"/>
          <w:sz w:val="24"/>
          <w:szCs w:val="24"/>
          <w:lang w:val="en-US" w:eastAsia="zh-CN"/>
        </w:rPr>
        <w:t xml:space="preserve">中小企业声明函（货物） </w:t>
      </w:r>
    </w:p>
    <w:p w14:paraId="0CAE9B6C">
      <w:pPr>
        <w:widowControl/>
        <w:spacing w:line="360" w:lineRule="auto"/>
        <w:ind w:firstLine="482" w:firstLineChars="200"/>
        <w:jc w:val="left"/>
        <w:outlineLvl w:val="1"/>
        <w:rPr>
          <w:rFonts w:hint="eastAsia" w:ascii="宋体" w:hAnsi="宋体" w:cs="Arial"/>
          <w:b/>
          <w:bCs/>
          <w:kern w:val="0"/>
          <w:sz w:val="24"/>
          <w:szCs w:val="24"/>
          <w:lang w:val="en-US" w:eastAsia="zh-CN"/>
        </w:rPr>
      </w:pPr>
      <w:r>
        <w:rPr>
          <w:rFonts w:hint="eastAsia" w:ascii="宋体" w:hAnsi="宋体" w:cs="Arial"/>
          <w:b/>
          <w:bCs/>
          <w:kern w:val="0"/>
          <w:sz w:val="24"/>
          <w:szCs w:val="24"/>
          <w:lang w:val="en-US" w:eastAsia="zh-CN"/>
        </w:rPr>
        <w:t xml:space="preserve">本公司（联合体）郑重声明，根据《政府采购促进中小企业发展管理办法》（财库﹝2020﹞46 号）的规定，本公司 （联合体）参加（单位名称）的（项目名称）采购活动，提 </w:t>
      </w:r>
    </w:p>
    <w:p w14:paraId="082175D3">
      <w:pPr>
        <w:widowControl/>
        <w:spacing w:line="360" w:lineRule="auto"/>
        <w:jc w:val="left"/>
        <w:outlineLvl w:val="1"/>
        <w:rPr>
          <w:rFonts w:hint="eastAsia" w:ascii="宋体" w:hAnsi="宋体" w:cs="Arial"/>
          <w:b/>
          <w:bCs/>
          <w:kern w:val="0"/>
          <w:sz w:val="24"/>
          <w:szCs w:val="24"/>
          <w:lang w:val="en-US" w:eastAsia="zh-CN"/>
        </w:rPr>
      </w:pPr>
      <w:r>
        <w:rPr>
          <w:rFonts w:hint="eastAsia" w:ascii="宋体" w:hAnsi="宋体" w:cs="Arial"/>
          <w:b/>
          <w:bCs/>
          <w:kern w:val="0"/>
          <w:sz w:val="24"/>
          <w:szCs w:val="24"/>
          <w:lang w:val="en-US" w:eastAsia="zh-CN"/>
        </w:rPr>
        <w:t xml:space="preserve">供的货物全部由符合政策要求的中小企业制造。相关企业（含联合体中的中小企业、签订分包意向协议的中小企业） </w:t>
      </w:r>
    </w:p>
    <w:p w14:paraId="20393247">
      <w:pPr>
        <w:widowControl/>
        <w:spacing w:line="360" w:lineRule="auto"/>
        <w:jc w:val="left"/>
        <w:outlineLvl w:val="1"/>
        <w:rPr>
          <w:rFonts w:hint="eastAsia" w:ascii="宋体" w:hAnsi="宋体" w:cs="Arial"/>
          <w:b/>
          <w:bCs/>
          <w:kern w:val="0"/>
          <w:sz w:val="24"/>
          <w:szCs w:val="24"/>
          <w:lang w:val="en-US" w:eastAsia="zh-CN"/>
        </w:rPr>
      </w:pPr>
      <w:r>
        <w:rPr>
          <w:rFonts w:hint="eastAsia" w:ascii="宋体" w:hAnsi="宋体" w:cs="Arial"/>
          <w:b/>
          <w:bCs/>
          <w:kern w:val="0"/>
          <w:sz w:val="24"/>
          <w:szCs w:val="24"/>
          <w:lang w:val="en-US" w:eastAsia="zh-CN"/>
        </w:rPr>
        <w:t xml:space="preserve">的具体情况如下： </w:t>
      </w:r>
    </w:p>
    <w:p w14:paraId="12AF4A86">
      <w:pPr>
        <w:widowControl/>
        <w:spacing w:line="360" w:lineRule="auto"/>
        <w:jc w:val="left"/>
        <w:outlineLvl w:val="1"/>
        <w:rPr>
          <w:rFonts w:hint="eastAsia" w:ascii="宋体" w:hAnsi="宋体" w:cs="Arial"/>
          <w:b/>
          <w:bCs/>
          <w:kern w:val="0"/>
          <w:sz w:val="24"/>
          <w:szCs w:val="24"/>
          <w:lang w:val="en-US" w:eastAsia="zh-CN"/>
        </w:rPr>
      </w:pPr>
      <w:r>
        <w:rPr>
          <w:rFonts w:hint="eastAsia" w:ascii="宋体" w:hAnsi="宋体" w:cs="Arial"/>
          <w:b/>
          <w:bCs/>
          <w:kern w:val="0"/>
          <w:sz w:val="24"/>
          <w:szCs w:val="24"/>
          <w:lang w:val="en-US" w:eastAsia="zh-CN"/>
        </w:rPr>
        <w:t xml:space="preserve">1. </w:t>
      </w:r>
      <w:r>
        <w:rPr>
          <w:rFonts w:hint="eastAsia" w:ascii="宋体" w:hAnsi="宋体" w:cs="Arial"/>
          <w:b/>
          <w:bCs/>
          <w:kern w:val="0"/>
          <w:sz w:val="24"/>
          <w:szCs w:val="24"/>
          <w:u w:val="single"/>
          <w:lang w:val="en-US" w:eastAsia="zh-CN"/>
        </w:rPr>
        <w:t xml:space="preserve">（标的名称） </w:t>
      </w:r>
      <w:r>
        <w:rPr>
          <w:rFonts w:hint="eastAsia" w:ascii="宋体" w:hAnsi="宋体" w:cs="Arial"/>
          <w:b/>
          <w:bCs/>
          <w:kern w:val="0"/>
          <w:sz w:val="24"/>
          <w:szCs w:val="24"/>
          <w:lang w:val="en-US" w:eastAsia="zh-CN"/>
        </w:rPr>
        <w:t>，属于</w:t>
      </w:r>
      <w:r>
        <w:rPr>
          <w:rFonts w:hint="eastAsia" w:ascii="宋体" w:hAnsi="宋体" w:cs="Arial"/>
          <w:b/>
          <w:bCs/>
          <w:kern w:val="0"/>
          <w:sz w:val="24"/>
          <w:szCs w:val="24"/>
          <w:u w:val="single"/>
          <w:lang w:val="en-US" w:eastAsia="zh-CN"/>
        </w:rPr>
        <w:t>（采购文件中明确的所属行业）</w:t>
      </w:r>
      <w:r>
        <w:rPr>
          <w:rFonts w:hint="eastAsia" w:ascii="宋体" w:hAnsi="宋体" w:cs="Arial"/>
          <w:b/>
          <w:bCs/>
          <w:kern w:val="0"/>
          <w:sz w:val="24"/>
          <w:szCs w:val="24"/>
          <w:lang w:val="en-US" w:eastAsia="zh-CN"/>
        </w:rPr>
        <w:t>行业；制造商为</w:t>
      </w:r>
      <w:r>
        <w:rPr>
          <w:rFonts w:hint="eastAsia" w:ascii="宋体" w:hAnsi="宋体" w:cs="Arial"/>
          <w:b/>
          <w:bCs/>
          <w:kern w:val="0"/>
          <w:sz w:val="24"/>
          <w:szCs w:val="24"/>
          <w:u w:val="single"/>
          <w:lang w:val="en-US" w:eastAsia="zh-CN"/>
        </w:rPr>
        <w:t>（企业名称）</w:t>
      </w:r>
      <w:r>
        <w:rPr>
          <w:rFonts w:hint="eastAsia" w:ascii="宋体" w:hAnsi="宋体" w:cs="Arial"/>
          <w:b/>
          <w:bCs/>
          <w:kern w:val="0"/>
          <w:sz w:val="24"/>
          <w:szCs w:val="24"/>
          <w:lang w:val="en-US" w:eastAsia="zh-CN"/>
        </w:rPr>
        <w:t>，从业人员人，营业收入为</w:t>
      </w:r>
      <w:r>
        <w:rPr>
          <w:rFonts w:hint="eastAsia" w:ascii="宋体" w:hAnsi="宋体" w:cs="Arial"/>
          <w:b/>
          <w:bCs/>
          <w:kern w:val="0"/>
          <w:sz w:val="24"/>
          <w:szCs w:val="24"/>
          <w:u w:val="single"/>
          <w:lang w:val="en-US" w:eastAsia="zh-CN"/>
        </w:rPr>
        <w:t xml:space="preserve">  </w:t>
      </w:r>
      <w:r>
        <w:rPr>
          <w:rFonts w:hint="eastAsia" w:ascii="宋体" w:hAnsi="宋体" w:cs="Arial"/>
          <w:b/>
          <w:bCs/>
          <w:kern w:val="0"/>
          <w:sz w:val="24"/>
          <w:szCs w:val="24"/>
          <w:lang w:val="en-US" w:eastAsia="zh-CN"/>
        </w:rPr>
        <w:t>万元，资产总额为</w:t>
      </w:r>
      <w:r>
        <w:rPr>
          <w:rFonts w:hint="eastAsia" w:ascii="宋体" w:hAnsi="宋体" w:cs="Arial"/>
          <w:b/>
          <w:bCs/>
          <w:kern w:val="0"/>
          <w:sz w:val="24"/>
          <w:szCs w:val="24"/>
          <w:u w:val="single"/>
          <w:lang w:val="en-US" w:eastAsia="zh-CN"/>
        </w:rPr>
        <w:t xml:space="preserve"> </w:t>
      </w:r>
      <w:r>
        <w:rPr>
          <w:rFonts w:hint="eastAsia" w:ascii="宋体" w:hAnsi="宋体" w:cs="Arial"/>
          <w:b/>
          <w:bCs/>
          <w:kern w:val="0"/>
          <w:sz w:val="24"/>
          <w:szCs w:val="24"/>
          <w:lang w:val="en-US" w:eastAsia="zh-CN"/>
        </w:rPr>
        <w:t>万元 ，属于</w:t>
      </w:r>
      <w:r>
        <w:rPr>
          <w:rFonts w:hint="eastAsia" w:ascii="宋体" w:hAnsi="宋体" w:cs="Arial"/>
          <w:b/>
          <w:bCs/>
          <w:kern w:val="0"/>
          <w:sz w:val="24"/>
          <w:szCs w:val="24"/>
          <w:u w:val="single"/>
          <w:lang w:val="en-US" w:eastAsia="zh-CN"/>
        </w:rPr>
        <w:t>（中型企业、小型企业、微型企业）</w:t>
      </w:r>
      <w:r>
        <w:rPr>
          <w:rFonts w:hint="eastAsia" w:ascii="宋体" w:hAnsi="宋体" w:cs="Arial"/>
          <w:b/>
          <w:bCs/>
          <w:kern w:val="0"/>
          <w:sz w:val="24"/>
          <w:szCs w:val="24"/>
          <w:lang w:val="en-US" w:eastAsia="zh-CN"/>
        </w:rPr>
        <w:t xml:space="preserve">； </w:t>
      </w:r>
    </w:p>
    <w:p w14:paraId="094502C4">
      <w:pPr>
        <w:widowControl/>
        <w:spacing w:line="360" w:lineRule="auto"/>
        <w:jc w:val="left"/>
        <w:outlineLvl w:val="1"/>
        <w:rPr>
          <w:rFonts w:hint="eastAsia" w:ascii="宋体" w:hAnsi="宋体" w:cs="Arial"/>
          <w:b/>
          <w:bCs/>
          <w:kern w:val="0"/>
          <w:sz w:val="24"/>
          <w:szCs w:val="24"/>
          <w:u w:val="single"/>
          <w:lang w:val="en-US" w:eastAsia="zh-CN"/>
        </w:rPr>
      </w:pPr>
      <w:r>
        <w:rPr>
          <w:rFonts w:hint="eastAsia" w:ascii="宋体" w:hAnsi="宋体" w:cs="Arial"/>
          <w:b/>
          <w:bCs/>
          <w:kern w:val="0"/>
          <w:sz w:val="24"/>
          <w:szCs w:val="24"/>
          <w:lang w:val="en-US" w:eastAsia="zh-CN"/>
        </w:rPr>
        <w:t xml:space="preserve">2. </w:t>
      </w:r>
      <w:r>
        <w:rPr>
          <w:rFonts w:hint="eastAsia" w:ascii="宋体" w:hAnsi="宋体" w:cs="Arial"/>
          <w:b/>
          <w:bCs/>
          <w:kern w:val="0"/>
          <w:sz w:val="24"/>
          <w:szCs w:val="24"/>
          <w:u w:val="single"/>
          <w:lang w:val="en-US" w:eastAsia="zh-CN"/>
        </w:rPr>
        <w:t>（标的名称）</w:t>
      </w:r>
      <w:r>
        <w:rPr>
          <w:rFonts w:hint="eastAsia" w:ascii="宋体" w:hAnsi="宋体" w:cs="Arial"/>
          <w:b/>
          <w:bCs/>
          <w:kern w:val="0"/>
          <w:sz w:val="24"/>
          <w:szCs w:val="24"/>
          <w:lang w:val="en-US" w:eastAsia="zh-CN"/>
        </w:rPr>
        <w:t xml:space="preserve"> ，属于</w:t>
      </w:r>
      <w:r>
        <w:rPr>
          <w:rFonts w:hint="eastAsia" w:ascii="宋体" w:hAnsi="宋体" w:cs="Arial"/>
          <w:b/>
          <w:bCs/>
          <w:kern w:val="0"/>
          <w:sz w:val="24"/>
          <w:szCs w:val="24"/>
          <w:u w:val="single"/>
          <w:lang w:val="en-US" w:eastAsia="zh-CN"/>
        </w:rPr>
        <w:t>（采购文件中明确的所属行业）</w:t>
      </w:r>
      <w:r>
        <w:rPr>
          <w:rFonts w:hint="eastAsia" w:ascii="宋体" w:hAnsi="宋体" w:cs="Arial"/>
          <w:b/>
          <w:bCs/>
          <w:kern w:val="0"/>
          <w:sz w:val="24"/>
          <w:szCs w:val="24"/>
          <w:lang w:val="en-US" w:eastAsia="zh-CN"/>
        </w:rPr>
        <w:t>行业；制造商为</w:t>
      </w:r>
      <w:r>
        <w:rPr>
          <w:rFonts w:hint="eastAsia" w:ascii="宋体" w:hAnsi="宋体" w:cs="Arial"/>
          <w:b/>
          <w:bCs/>
          <w:kern w:val="0"/>
          <w:sz w:val="24"/>
          <w:szCs w:val="24"/>
          <w:u w:val="single"/>
          <w:lang w:val="en-US" w:eastAsia="zh-CN"/>
        </w:rPr>
        <w:t>（企业名称）</w:t>
      </w:r>
      <w:r>
        <w:rPr>
          <w:rFonts w:hint="eastAsia" w:ascii="宋体" w:hAnsi="宋体" w:cs="Arial"/>
          <w:b/>
          <w:bCs/>
          <w:kern w:val="0"/>
          <w:sz w:val="24"/>
          <w:szCs w:val="24"/>
          <w:lang w:val="en-US" w:eastAsia="zh-CN"/>
        </w:rPr>
        <w:t>，从业人员</w:t>
      </w:r>
      <w:ins w:id="8" w:author="三闲" w:date="2024-07-10T10:56:09Z">
        <w:r>
          <w:rPr>
            <w:rFonts w:hint="eastAsia" w:ascii="宋体" w:hAnsi="宋体" w:cs="Arial"/>
            <w:b/>
            <w:bCs/>
            <w:color w:val="auto"/>
            <w:kern w:val="0"/>
            <w:sz w:val="24"/>
            <w:szCs w:val="24"/>
            <w:u w:val="single"/>
            <w:lang w:val="en-US" w:eastAsia="zh-CN"/>
          </w:rPr>
          <w:t xml:space="preserve"> </w:t>
        </w:r>
      </w:ins>
      <w:ins w:id="9" w:author="三闲" w:date="2024-07-10T10:56:10Z">
        <w:r>
          <w:rPr>
            <w:rFonts w:hint="eastAsia" w:ascii="宋体" w:hAnsi="宋体" w:cs="Arial"/>
            <w:b/>
            <w:bCs/>
            <w:color w:val="auto"/>
            <w:kern w:val="0"/>
            <w:sz w:val="24"/>
            <w:szCs w:val="24"/>
            <w:u w:val="single"/>
            <w:lang w:val="en-US" w:eastAsia="zh-CN"/>
          </w:rPr>
          <w:t xml:space="preserve"> </w:t>
        </w:r>
      </w:ins>
      <w:r>
        <w:rPr>
          <w:rFonts w:hint="eastAsia" w:ascii="宋体" w:hAnsi="宋体" w:cs="Arial"/>
          <w:b/>
          <w:bCs/>
          <w:color w:val="auto"/>
          <w:kern w:val="0"/>
          <w:sz w:val="24"/>
          <w:szCs w:val="24"/>
          <w:lang w:val="en-US" w:eastAsia="zh-CN"/>
        </w:rPr>
        <w:t>人，营业收入为</w:t>
      </w:r>
      <w:r>
        <w:rPr>
          <w:rFonts w:hint="eastAsia" w:ascii="宋体" w:hAnsi="宋体" w:cs="Arial"/>
          <w:b/>
          <w:bCs/>
          <w:color w:val="auto"/>
          <w:kern w:val="0"/>
          <w:sz w:val="24"/>
          <w:szCs w:val="24"/>
          <w:u w:val="single"/>
          <w:lang w:val="en-US" w:eastAsia="zh-CN"/>
        </w:rPr>
        <w:t xml:space="preserve">  </w:t>
      </w:r>
      <w:r>
        <w:rPr>
          <w:rFonts w:hint="eastAsia" w:ascii="宋体" w:hAnsi="宋体" w:cs="Arial"/>
          <w:b/>
          <w:bCs/>
          <w:color w:val="auto"/>
          <w:kern w:val="0"/>
          <w:sz w:val="24"/>
          <w:szCs w:val="24"/>
          <w:lang w:val="en-US" w:eastAsia="zh-CN"/>
        </w:rPr>
        <w:t>万元，资产总额为</w:t>
      </w:r>
      <w:ins w:id="10" w:author="三闲" w:date="2024-07-10T10:56:15Z">
        <w:r>
          <w:rPr>
            <w:rFonts w:hint="eastAsia" w:ascii="宋体" w:hAnsi="宋体" w:cs="Arial"/>
            <w:b/>
            <w:bCs/>
            <w:color w:val="auto"/>
            <w:kern w:val="0"/>
            <w:sz w:val="24"/>
            <w:szCs w:val="24"/>
            <w:u w:val="single"/>
            <w:lang w:val="en-US" w:eastAsia="zh-CN"/>
          </w:rPr>
          <w:t xml:space="preserve"> </w:t>
        </w:r>
      </w:ins>
      <w:ins w:id="11" w:author="三闲" w:date="2024-07-10T10:56:16Z">
        <w:r>
          <w:rPr>
            <w:rFonts w:hint="eastAsia" w:ascii="宋体" w:hAnsi="宋体" w:cs="Arial"/>
            <w:b/>
            <w:bCs/>
            <w:color w:val="auto"/>
            <w:kern w:val="0"/>
            <w:sz w:val="24"/>
            <w:szCs w:val="24"/>
            <w:u w:val="single"/>
            <w:lang w:val="en-US" w:eastAsia="zh-CN"/>
          </w:rPr>
          <w:t xml:space="preserve">  </w:t>
        </w:r>
      </w:ins>
      <w:r>
        <w:rPr>
          <w:rFonts w:hint="eastAsia" w:ascii="宋体" w:hAnsi="宋体" w:cs="Arial"/>
          <w:b/>
          <w:bCs/>
          <w:color w:val="auto"/>
          <w:kern w:val="0"/>
          <w:sz w:val="24"/>
          <w:szCs w:val="24"/>
          <w:lang w:val="en-US" w:eastAsia="zh-CN"/>
        </w:rPr>
        <w:t>万元，属</w:t>
      </w:r>
      <w:r>
        <w:rPr>
          <w:rFonts w:hint="eastAsia" w:ascii="宋体" w:hAnsi="宋体" w:cs="Arial"/>
          <w:b/>
          <w:bCs/>
          <w:kern w:val="0"/>
          <w:sz w:val="24"/>
          <w:szCs w:val="24"/>
          <w:lang w:val="en-US" w:eastAsia="zh-CN"/>
        </w:rPr>
        <w:t>于</w:t>
      </w:r>
      <w:r>
        <w:rPr>
          <w:rFonts w:hint="eastAsia" w:ascii="宋体" w:hAnsi="宋体" w:cs="Arial"/>
          <w:b/>
          <w:bCs/>
          <w:kern w:val="0"/>
          <w:sz w:val="24"/>
          <w:szCs w:val="24"/>
          <w:u w:val="single"/>
          <w:lang w:val="en-US" w:eastAsia="zh-CN"/>
        </w:rPr>
        <w:t xml:space="preserve">（中型企业、小型 </w:t>
      </w:r>
    </w:p>
    <w:p w14:paraId="1ED84036">
      <w:pPr>
        <w:widowControl/>
        <w:spacing w:line="360" w:lineRule="auto"/>
        <w:jc w:val="left"/>
        <w:outlineLvl w:val="1"/>
        <w:rPr>
          <w:rFonts w:hint="eastAsia" w:ascii="宋体" w:hAnsi="宋体" w:cs="Arial"/>
          <w:b/>
          <w:bCs/>
          <w:kern w:val="0"/>
          <w:sz w:val="24"/>
          <w:szCs w:val="24"/>
          <w:lang w:val="en-US" w:eastAsia="zh-CN"/>
        </w:rPr>
      </w:pPr>
      <w:r>
        <w:rPr>
          <w:rFonts w:hint="eastAsia" w:ascii="宋体" w:hAnsi="宋体" w:cs="Arial"/>
          <w:b/>
          <w:bCs/>
          <w:kern w:val="0"/>
          <w:sz w:val="24"/>
          <w:szCs w:val="24"/>
          <w:u w:val="single"/>
          <w:lang w:val="en-US" w:eastAsia="zh-CN"/>
        </w:rPr>
        <w:t>企业、微型企业）</w:t>
      </w:r>
      <w:r>
        <w:rPr>
          <w:rFonts w:hint="eastAsia" w:ascii="宋体" w:hAnsi="宋体" w:cs="Arial"/>
          <w:b/>
          <w:bCs/>
          <w:kern w:val="0"/>
          <w:sz w:val="24"/>
          <w:szCs w:val="24"/>
          <w:lang w:val="en-US" w:eastAsia="zh-CN"/>
        </w:rPr>
        <w:t>；</w:t>
      </w:r>
    </w:p>
    <w:p w14:paraId="6A28D341">
      <w:pPr>
        <w:widowControl/>
        <w:spacing w:line="360" w:lineRule="auto"/>
        <w:jc w:val="left"/>
        <w:outlineLvl w:val="1"/>
        <w:rPr>
          <w:rFonts w:hint="eastAsia" w:ascii="宋体" w:hAnsi="宋体" w:cs="Arial"/>
          <w:b/>
          <w:bCs/>
          <w:kern w:val="0"/>
          <w:sz w:val="24"/>
          <w:szCs w:val="24"/>
          <w:lang w:val="en-US" w:eastAsia="zh-CN"/>
        </w:rPr>
      </w:pPr>
      <w:r>
        <w:rPr>
          <w:rFonts w:hint="eastAsia" w:ascii="宋体" w:hAnsi="宋体" w:cs="Arial"/>
          <w:b/>
          <w:bCs/>
          <w:kern w:val="0"/>
          <w:sz w:val="24"/>
          <w:szCs w:val="24"/>
          <w:lang w:val="en-US" w:eastAsia="zh-CN"/>
        </w:rPr>
        <w:t xml:space="preserve">…… </w:t>
      </w:r>
    </w:p>
    <w:p w14:paraId="1A09D23B">
      <w:pPr>
        <w:widowControl/>
        <w:spacing w:line="360" w:lineRule="auto"/>
        <w:jc w:val="left"/>
        <w:outlineLvl w:val="1"/>
        <w:rPr>
          <w:rFonts w:hint="eastAsia" w:ascii="宋体" w:hAnsi="宋体" w:cs="Arial"/>
          <w:b/>
          <w:bCs/>
          <w:kern w:val="0"/>
          <w:sz w:val="24"/>
          <w:szCs w:val="24"/>
          <w:lang w:val="en-US" w:eastAsia="zh-CN"/>
        </w:rPr>
      </w:pPr>
      <w:r>
        <w:rPr>
          <w:rFonts w:hint="eastAsia" w:ascii="宋体" w:hAnsi="宋体" w:cs="Arial"/>
          <w:b/>
          <w:bCs/>
          <w:kern w:val="0"/>
          <w:sz w:val="24"/>
          <w:szCs w:val="24"/>
          <w:lang w:val="en-US" w:eastAsia="zh-CN"/>
        </w:rPr>
        <w:t xml:space="preserve">以上企业，不属于大企业的分支机构，不存在控股股东为大企业的情形，也不存在与大企业的负责人为同一人的情形。 </w:t>
      </w:r>
    </w:p>
    <w:p w14:paraId="4BFD50D4">
      <w:pPr>
        <w:widowControl/>
        <w:spacing w:line="360" w:lineRule="auto"/>
        <w:jc w:val="left"/>
        <w:outlineLvl w:val="1"/>
        <w:rPr>
          <w:rFonts w:hint="eastAsia" w:ascii="宋体" w:hAnsi="宋体" w:cs="Arial"/>
          <w:b/>
          <w:bCs/>
          <w:kern w:val="0"/>
          <w:sz w:val="24"/>
          <w:szCs w:val="24"/>
          <w:lang w:val="en-US" w:eastAsia="zh-CN"/>
        </w:rPr>
      </w:pPr>
      <w:r>
        <w:rPr>
          <w:rFonts w:hint="eastAsia" w:ascii="宋体" w:hAnsi="宋体" w:cs="Arial"/>
          <w:b/>
          <w:bCs/>
          <w:kern w:val="0"/>
          <w:sz w:val="24"/>
          <w:szCs w:val="24"/>
          <w:lang w:val="en-US" w:eastAsia="zh-CN"/>
        </w:rPr>
        <w:t xml:space="preserve">本企业对上述声明内容的真实性负责。如有虚假，将依法承担相应责任。 </w:t>
      </w:r>
    </w:p>
    <w:p w14:paraId="13D53AAC">
      <w:pPr>
        <w:widowControl/>
        <w:spacing w:line="360" w:lineRule="auto"/>
        <w:jc w:val="right"/>
        <w:outlineLvl w:val="1"/>
        <w:rPr>
          <w:rFonts w:hint="eastAsia" w:ascii="宋体" w:hAnsi="宋体" w:cs="Arial"/>
          <w:b/>
          <w:bCs/>
          <w:kern w:val="0"/>
          <w:sz w:val="24"/>
          <w:szCs w:val="24"/>
          <w:lang w:val="en-US" w:eastAsia="zh-CN"/>
        </w:rPr>
      </w:pPr>
      <w:r>
        <w:rPr>
          <w:rFonts w:hint="eastAsia" w:ascii="宋体" w:hAnsi="宋体" w:cs="Arial"/>
          <w:b/>
          <w:bCs/>
          <w:kern w:val="0"/>
          <w:sz w:val="24"/>
          <w:szCs w:val="24"/>
          <w:lang w:val="en-US" w:eastAsia="zh-CN"/>
        </w:rPr>
        <w:t xml:space="preserve">企业名称（盖章）： </w:t>
      </w:r>
    </w:p>
    <w:p w14:paraId="7E651BF1">
      <w:pPr>
        <w:widowControl/>
        <w:spacing w:line="360" w:lineRule="auto"/>
        <w:jc w:val="right"/>
        <w:outlineLvl w:val="1"/>
        <w:rPr>
          <w:rFonts w:hint="eastAsia" w:ascii="宋体" w:hAnsi="宋体" w:cs="Arial"/>
          <w:b/>
          <w:bCs/>
          <w:kern w:val="0"/>
          <w:sz w:val="24"/>
          <w:szCs w:val="24"/>
          <w:lang w:val="en-US" w:eastAsia="zh-CN"/>
        </w:rPr>
      </w:pPr>
      <w:r>
        <w:rPr>
          <w:rFonts w:hint="eastAsia" w:ascii="宋体" w:hAnsi="宋体" w:cs="Arial"/>
          <w:b/>
          <w:bCs/>
          <w:kern w:val="0"/>
          <w:sz w:val="24"/>
          <w:szCs w:val="24"/>
          <w:lang w:val="en-US" w:eastAsia="zh-CN"/>
        </w:rPr>
        <w:t>日 期：</w:t>
      </w:r>
    </w:p>
    <w:p w14:paraId="763B08F9">
      <w:pPr>
        <w:widowControl/>
        <w:spacing w:line="360" w:lineRule="auto"/>
        <w:jc w:val="right"/>
        <w:outlineLvl w:val="1"/>
        <w:rPr>
          <w:rFonts w:hint="eastAsia" w:ascii="宋体" w:hAnsi="宋体" w:cs="Arial"/>
          <w:b/>
          <w:bCs/>
          <w:kern w:val="0"/>
          <w:sz w:val="24"/>
          <w:szCs w:val="24"/>
          <w:lang w:val="en-US" w:eastAsia="zh-CN"/>
        </w:rPr>
      </w:pPr>
    </w:p>
    <w:p w14:paraId="32E6AA29">
      <w:pPr>
        <w:pStyle w:val="2"/>
        <w:rPr>
          <w:rFonts w:hint="eastAsia" w:ascii="宋体" w:hAnsi="宋体" w:cs="Arial"/>
          <w:b/>
          <w:bCs/>
          <w:kern w:val="0"/>
          <w:sz w:val="24"/>
          <w:szCs w:val="24"/>
          <w:lang w:val="en-US" w:eastAsia="zh-CN"/>
        </w:rPr>
      </w:pPr>
    </w:p>
    <w:p w14:paraId="7F4E1B29">
      <w:pPr>
        <w:rPr>
          <w:rFonts w:hint="eastAsia" w:ascii="宋体" w:hAnsi="宋体" w:cs="Arial"/>
          <w:b/>
          <w:bCs/>
          <w:kern w:val="0"/>
          <w:sz w:val="24"/>
          <w:szCs w:val="24"/>
          <w:lang w:val="en-US" w:eastAsia="zh-CN"/>
        </w:rPr>
      </w:pPr>
    </w:p>
    <w:p w14:paraId="42E51B9D">
      <w:pPr>
        <w:pStyle w:val="2"/>
        <w:rPr>
          <w:rFonts w:hint="eastAsia" w:ascii="宋体" w:hAnsi="宋体" w:cs="Arial"/>
          <w:b/>
          <w:bCs/>
          <w:kern w:val="0"/>
          <w:sz w:val="24"/>
          <w:szCs w:val="24"/>
          <w:lang w:val="en-US" w:eastAsia="zh-CN"/>
        </w:rPr>
      </w:pPr>
    </w:p>
    <w:p w14:paraId="14ECBBD8">
      <w:pPr>
        <w:rPr>
          <w:rFonts w:hint="eastAsia" w:ascii="宋体" w:hAnsi="宋体" w:cs="Arial"/>
          <w:b/>
          <w:bCs/>
          <w:kern w:val="0"/>
          <w:sz w:val="24"/>
          <w:szCs w:val="24"/>
          <w:lang w:val="en-US" w:eastAsia="zh-CN"/>
        </w:rPr>
      </w:pPr>
    </w:p>
    <w:p w14:paraId="5221E424">
      <w:pPr>
        <w:pStyle w:val="2"/>
        <w:rPr>
          <w:rFonts w:hint="eastAsia" w:ascii="宋体" w:hAnsi="宋体" w:cs="Arial"/>
          <w:b/>
          <w:bCs/>
          <w:kern w:val="0"/>
          <w:sz w:val="24"/>
          <w:szCs w:val="24"/>
          <w:lang w:val="en-US" w:eastAsia="zh-CN"/>
        </w:rPr>
      </w:pPr>
    </w:p>
    <w:p w14:paraId="75D3A325">
      <w:pPr>
        <w:rPr>
          <w:rFonts w:hint="eastAsia" w:ascii="宋体" w:hAnsi="宋体" w:cs="Arial"/>
          <w:b/>
          <w:bCs/>
          <w:kern w:val="0"/>
          <w:sz w:val="24"/>
          <w:szCs w:val="24"/>
          <w:lang w:val="en-US" w:eastAsia="zh-CN"/>
        </w:rPr>
      </w:pPr>
    </w:p>
    <w:p w14:paraId="45A580EB">
      <w:pPr>
        <w:pStyle w:val="2"/>
        <w:rPr>
          <w:rFonts w:hint="eastAsia" w:ascii="宋体" w:hAnsi="宋体" w:cs="Arial"/>
          <w:b/>
          <w:bCs/>
          <w:kern w:val="0"/>
          <w:sz w:val="24"/>
          <w:szCs w:val="24"/>
          <w:lang w:val="en-US" w:eastAsia="zh-CN"/>
        </w:rPr>
      </w:pPr>
    </w:p>
    <w:p w14:paraId="71EE83ED">
      <w:pPr>
        <w:rPr>
          <w:rFonts w:hint="eastAsia" w:ascii="宋体" w:hAnsi="宋体" w:cs="Arial"/>
          <w:b/>
          <w:bCs/>
          <w:kern w:val="0"/>
          <w:sz w:val="24"/>
          <w:szCs w:val="24"/>
          <w:lang w:val="en-US" w:eastAsia="zh-CN"/>
        </w:rPr>
      </w:pPr>
    </w:p>
    <w:p w14:paraId="27C7B9C5">
      <w:pPr>
        <w:pStyle w:val="2"/>
        <w:rPr>
          <w:rFonts w:hint="eastAsia" w:ascii="宋体" w:hAnsi="宋体" w:cs="Arial"/>
          <w:b/>
          <w:bCs/>
          <w:kern w:val="0"/>
          <w:sz w:val="24"/>
          <w:szCs w:val="24"/>
          <w:lang w:val="en-US" w:eastAsia="zh-CN"/>
        </w:rPr>
      </w:pPr>
    </w:p>
    <w:p w14:paraId="1AB948B3">
      <w:pPr>
        <w:rPr>
          <w:rFonts w:hint="eastAsia" w:ascii="宋体" w:hAnsi="宋体" w:cs="Arial"/>
          <w:b/>
          <w:bCs/>
          <w:kern w:val="0"/>
          <w:sz w:val="24"/>
          <w:szCs w:val="24"/>
          <w:lang w:val="en-US" w:eastAsia="zh-CN"/>
        </w:rPr>
      </w:pPr>
    </w:p>
    <w:p w14:paraId="7CC60951">
      <w:pPr>
        <w:pStyle w:val="2"/>
        <w:rPr>
          <w:rFonts w:hint="eastAsia" w:ascii="宋体" w:hAnsi="宋体" w:cs="Arial"/>
          <w:b/>
          <w:bCs/>
          <w:kern w:val="0"/>
          <w:sz w:val="24"/>
          <w:szCs w:val="24"/>
          <w:lang w:val="en-US" w:eastAsia="zh-CN"/>
        </w:rPr>
      </w:pPr>
    </w:p>
    <w:p w14:paraId="0FD9158B">
      <w:pPr>
        <w:rPr>
          <w:rFonts w:hint="eastAsia" w:ascii="宋体" w:hAnsi="宋体" w:cs="Arial"/>
          <w:b/>
          <w:bCs/>
          <w:kern w:val="0"/>
          <w:sz w:val="24"/>
          <w:szCs w:val="24"/>
          <w:lang w:val="en-US" w:eastAsia="zh-CN"/>
        </w:rPr>
      </w:pPr>
    </w:p>
    <w:p w14:paraId="13871A05">
      <w:pPr>
        <w:pStyle w:val="2"/>
        <w:rPr>
          <w:rFonts w:hint="eastAsia"/>
          <w:lang w:val="en-US" w:eastAsia="zh-CN"/>
        </w:rPr>
      </w:pPr>
    </w:p>
    <w:p w14:paraId="392D9AF7">
      <w:pPr>
        <w:rPr>
          <w:rFonts w:hint="eastAsia"/>
          <w:lang w:val="en-US" w:eastAsia="zh-CN"/>
        </w:rPr>
      </w:pPr>
    </w:p>
    <w:p w14:paraId="18D13E96">
      <w:pPr>
        <w:widowControl/>
        <w:spacing w:line="360" w:lineRule="auto"/>
        <w:jc w:val="center"/>
        <w:outlineLvl w:val="1"/>
        <w:rPr>
          <w:rFonts w:ascii="宋体" w:hAnsi="宋体" w:cs="Arial"/>
          <w:b/>
          <w:bCs/>
          <w:kern w:val="0"/>
          <w:sz w:val="32"/>
          <w:szCs w:val="32"/>
        </w:rPr>
      </w:pPr>
      <w:r>
        <w:rPr>
          <w:rFonts w:hint="eastAsia" w:ascii="宋体" w:hAnsi="宋体" w:cs="Arial"/>
          <w:b/>
          <w:bCs/>
          <w:kern w:val="0"/>
          <w:sz w:val="32"/>
          <w:szCs w:val="32"/>
          <w:lang w:val="en-US" w:eastAsia="zh-CN"/>
        </w:rPr>
        <w:t>七</w:t>
      </w:r>
      <w:r>
        <w:rPr>
          <w:rFonts w:hint="eastAsia" w:ascii="宋体" w:hAnsi="宋体" w:cs="Arial"/>
          <w:b/>
          <w:bCs/>
          <w:kern w:val="0"/>
          <w:sz w:val="32"/>
          <w:szCs w:val="32"/>
        </w:rPr>
        <w:t>、用户需求响应表</w:t>
      </w:r>
      <w:bookmarkEnd w:id="283"/>
      <w:bookmarkEnd w:id="284"/>
      <w:bookmarkEnd w:id="285"/>
    </w:p>
    <w:p w14:paraId="07D9A518">
      <w:pPr>
        <w:spacing w:line="360" w:lineRule="auto"/>
        <w:rPr>
          <w:rFonts w:hint="eastAsia" w:ascii="宋体" w:hAnsi="宋体" w:cs="宋体"/>
          <w:b/>
          <w:sz w:val="24"/>
          <w:lang w:eastAsia="zh-CN"/>
        </w:rPr>
      </w:pPr>
      <w:r>
        <w:rPr>
          <w:rFonts w:hint="eastAsia" w:ascii="宋体" w:hAnsi="宋体" w:cs="宋体"/>
          <w:b/>
          <w:sz w:val="24"/>
        </w:rPr>
        <w:t>项目名称：</w:t>
      </w:r>
      <w:r>
        <w:rPr>
          <w:rFonts w:hint="eastAsia" w:ascii="宋体" w:hAnsi="宋体" w:cs="宋体"/>
          <w:b/>
          <w:sz w:val="24"/>
          <w:lang w:eastAsia="zh-CN"/>
        </w:rPr>
        <w:t>海南省机电工程学校直播教室设备采购项目</w:t>
      </w:r>
    </w:p>
    <w:p w14:paraId="4C82072B">
      <w:pPr>
        <w:spacing w:line="360" w:lineRule="auto"/>
        <w:rPr>
          <w:rFonts w:hint="eastAsia" w:ascii="宋体" w:hAnsi="宋体" w:eastAsia="宋体" w:cs="宋体"/>
          <w:b/>
          <w:bCs/>
          <w:kern w:val="0"/>
          <w:sz w:val="24"/>
          <w:lang w:eastAsia="zh-CN"/>
        </w:rPr>
      </w:pPr>
      <w:r>
        <w:rPr>
          <w:rFonts w:hint="eastAsia" w:ascii="宋体" w:hAnsi="宋体" w:cs="宋体"/>
          <w:b/>
          <w:sz w:val="24"/>
        </w:rPr>
        <w:t>项目编号：</w:t>
      </w:r>
      <w:r>
        <w:rPr>
          <w:rFonts w:hint="eastAsia" w:ascii="宋体" w:hAnsi="宋体" w:cs="宋体"/>
          <w:b/>
          <w:bCs/>
          <w:kern w:val="0"/>
          <w:sz w:val="24"/>
          <w:lang w:eastAsia="zh-CN"/>
        </w:rPr>
        <w:t>FZJTHN-CG-2024003</w:t>
      </w:r>
    </w:p>
    <w:p w14:paraId="2B2DBFD7">
      <w:pPr>
        <w:spacing w:line="360" w:lineRule="auto"/>
        <w:ind w:firstLine="420" w:firstLineChars="200"/>
        <w:rPr>
          <w:rFonts w:ascii="宋体"/>
          <w:szCs w:val="21"/>
        </w:rPr>
      </w:pPr>
      <w:r>
        <w:rPr>
          <w:rFonts w:hint="eastAsia" w:ascii="宋体"/>
          <w:szCs w:val="21"/>
          <w:lang w:eastAsia="zh-CN"/>
        </w:rPr>
        <w:t>供应商</w:t>
      </w:r>
      <w:r>
        <w:rPr>
          <w:rFonts w:hint="eastAsia" w:ascii="宋体"/>
          <w:szCs w:val="21"/>
        </w:rPr>
        <w:t>应逐条对应招标文件第五章“</w:t>
      </w:r>
      <w:r>
        <w:rPr>
          <w:rFonts w:hint="eastAsia" w:ascii="宋体"/>
          <w:szCs w:val="21"/>
          <w:lang w:eastAsia="zh-CN"/>
        </w:rPr>
        <w:t>采购需求书</w:t>
      </w:r>
      <w:r>
        <w:rPr>
          <w:rFonts w:hint="eastAsia" w:ascii="宋体"/>
          <w:szCs w:val="21"/>
        </w:rPr>
        <w:t>”</w:t>
      </w:r>
      <w:r>
        <w:rPr>
          <w:rFonts w:hint="eastAsia" w:ascii="宋体"/>
          <w:szCs w:val="21"/>
          <w:lang w:val="en-US" w:eastAsia="zh-CN"/>
        </w:rPr>
        <w:t>《直播教室设备采购项目预算审核汇总表》中带有“</w:t>
      </w:r>
      <w:r>
        <w:rPr>
          <w:rFonts w:hint="eastAsia" w:ascii="宋体" w:hAnsi="宋体" w:eastAsia="宋体" w:cs="宋体"/>
          <w:i w:val="0"/>
          <w:iCs w:val="0"/>
          <w:color w:val="000000"/>
          <w:kern w:val="0"/>
          <w:sz w:val="18"/>
          <w:szCs w:val="18"/>
          <w:u w:val="none"/>
          <w:lang w:val="en-US" w:eastAsia="zh-CN" w:bidi="ar"/>
        </w:rPr>
        <w:t>★</w:t>
      </w:r>
      <w:r>
        <w:rPr>
          <w:rFonts w:hint="eastAsia" w:ascii="宋体"/>
          <w:szCs w:val="21"/>
          <w:lang w:val="en-US" w:eastAsia="zh-CN"/>
        </w:rPr>
        <w:t>”和“</w:t>
      </w:r>
      <w:r>
        <w:rPr>
          <w:rFonts w:hint="eastAsia" w:ascii="宋体" w:hAnsi="宋体" w:eastAsia="宋体" w:cs="宋体"/>
          <w:i w:val="0"/>
          <w:iCs w:val="0"/>
          <w:color w:val="000000"/>
          <w:kern w:val="0"/>
          <w:sz w:val="18"/>
          <w:szCs w:val="18"/>
          <w:u w:val="none"/>
          <w:lang w:val="en-US" w:eastAsia="zh-CN" w:bidi="ar"/>
        </w:rPr>
        <w:t>▲</w:t>
      </w:r>
      <w:r>
        <w:rPr>
          <w:rFonts w:hint="eastAsia" w:ascii="宋体"/>
          <w:szCs w:val="21"/>
          <w:lang w:val="en-US" w:eastAsia="zh-CN"/>
        </w:rPr>
        <w:t>”</w:t>
      </w:r>
      <w:r>
        <w:rPr>
          <w:rFonts w:hint="eastAsia" w:ascii="宋体"/>
          <w:szCs w:val="21"/>
        </w:rPr>
        <w:t>，包括服务内容完成时间等内容，并根据实际情况如实填写本表格。</w:t>
      </w:r>
    </w:p>
    <w:p w14:paraId="41781214">
      <w:pPr>
        <w:spacing w:line="360" w:lineRule="auto"/>
        <w:rPr>
          <w:rFonts w:ascii="宋体" w:hAnsi="宋体"/>
          <w:szCs w:val="21"/>
        </w:rPr>
      </w:pPr>
      <w:r>
        <w:rPr>
          <w:szCs w:val="21"/>
        </w:rPr>
        <w:t>A</w:t>
      </w:r>
      <w:r>
        <w:rPr>
          <w:rFonts w:hint="eastAsia" w:ascii="宋体" w:hAnsi="宋体"/>
          <w:szCs w:val="21"/>
        </w:rPr>
        <w:t>、□我公司已详细阅读招标文件中各项商务要求，所有商务要求均无偏离，成交后我公司将</w:t>
      </w:r>
      <w:r>
        <w:rPr>
          <w:rFonts w:hint="eastAsia" w:ascii="宋体"/>
          <w:szCs w:val="21"/>
        </w:rPr>
        <w:t>严格遵照执行。</w:t>
      </w:r>
    </w:p>
    <w:p w14:paraId="423429DE">
      <w:pPr>
        <w:spacing w:line="360" w:lineRule="auto"/>
        <w:rPr>
          <w:rFonts w:ascii="宋体"/>
          <w:szCs w:val="21"/>
          <w:u w:val="single"/>
        </w:rPr>
      </w:pPr>
      <w:r>
        <w:rPr>
          <w:szCs w:val="21"/>
        </w:rPr>
        <w:t>B</w:t>
      </w:r>
      <w:r>
        <w:rPr>
          <w:rFonts w:hint="eastAsia" w:ascii="宋体" w:hAnsi="宋体"/>
          <w:szCs w:val="21"/>
        </w:rPr>
        <w:t>、□我公司已详细阅读招标文件中各项商务要求，</w:t>
      </w:r>
      <w:r>
        <w:rPr>
          <w:rFonts w:hint="eastAsia" w:ascii="宋体"/>
          <w:szCs w:val="21"/>
        </w:rPr>
        <w:t>除下述条款有偏离外，其余条款我公司均予以认可，成交后将严格遵照执行。</w:t>
      </w:r>
    </w:p>
    <w:tbl>
      <w:tblPr>
        <w:tblStyle w:val="29"/>
        <w:tblW w:w="10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2407"/>
        <w:gridCol w:w="2407"/>
        <w:gridCol w:w="2407"/>
        <w:gridCol w:w="2407"/>
      </w:tblGrid>
      <w:tr w14:paraId="2526101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024" w:type="dxa"/>
            <w:vAlign w:val="center"/>
          </w:tcPr>
          <w:p w14:paraId="3F4F488A">
            <w:pPr>
              <w:spacing w:line="360" w:lineRule="auto"/>
              <w:jc w:val="center"/>
              <w:rPr>
                <w:rFonts w:ascii="宋体"/>
                <w:szCs w:val="21"/>
              </w:rPr>
            </w:pPr>
            <w:r>
              <w:rPr>
                <w:rFonts w:hint="eastAsia" w:ascii="宋体"/>
                <w:szCs w:val="21"/>
              </w:rPr>
              <w:t>序号</w:t>
            </w:r>
          </w:p>
        </w:tc>
        <w:tc>
          <w:tcPr>
            <w:tcW w:w="2407" w:type="dxa"/>
            <w:vAlign w:val="center"/>
          </w:tcPr>
          <w:p w14:paraId="24CC5016">
            <w:pPr>
              <w:spacing w:line="360" w:lineRule="auto"/>
              <w:jc w:val="center"/>
              <w:rPr>
                <w:rFonts w:ascii="宋体"/>
                <w:szCs w:val="21"/>
              </w:rPr>
            </w:pPr>
            <w:r>
              <w:rPr>
                <w:rFonts w:hint="eastAsia" w:ascii="宋体"/>
                <w:szCs w:val="21"/>
              </w:rPr>
              <w:t>招标文件的商务条款</w:t>
            </w:r>
          </w:p>
        </w:tc>
        <w:tc>
          <w:tcPr>
            <w:tcW w:w="2407" w:type="dxa"/>
            <w:vAlign w:val="center"/>
          </w:tcPr>
          <w:p w14:paraId="5392F59B">
            <w:pPr>
              <w:jc w:val="center"/>
              <w:rPr>
                <w:rFonts w:ascii="宋体"/>
                <w:szCs w:val="21"/>
              </w:rPr>
            </w:pPr>
            <w:r>
              <w:rPr>
                <w:rFonts w:hint="eastAsia" w:ascii="宋体"/>
                <w:szCs w:val="21"/>
                <w:lang w:eastAsia="zh-CN"/>
              </w:rPr>
              <w:t>响应文件</w:t>
            </w:r>
            <w:r>
              <w:rPr>
                <w:rFonts w:hint="eastAsia" w:ascii="宋体"/>
                <w:szCs w:val="21"/>
              </w:rPr>
              <w:t>的商务条款</w:t>
            </w:r>
          </w:p>
        </w:tc>
        <w:tc>
          <w:tcPr>
            <w:tcW w:w="2407" w:type="dxa"/>
            <w:vAlign w:val="center"/>
          </w:tcPr>
          <w:p w14:paraId="21F4F64C">
            <w:pPr>
              <w:jc w:val="center"/>
              <w:rPr>
                <w:rFonts w:ascii="宋体"/>
                <w:szCs w:val="21"/>
              </w:rPr>
            </w:pPr>
            <w:r>
              <w:rPr>
                <w:rFonts w:hint="eastAsia" w:ascii="宋体"/>
                <w:szCs w:val="21"/>
              </w:rPr>
              <w:t>正偏离/响应/负偏离</w:t>
            </w:r>
          </w:p>
        </w:tc>
        <w:tc>
          <w:tcPr>
            <w:tcW w:w="2407" w:type="dxa"/>
            <w:vAlign w:val="center"/>
          </w:tcPr>
          <w:p w14:paraId="1359908D">
            <w:pPr>
              <w:jc w:val="center"/>
              <w:rPr>
                <w:rFonts w:hint="default" w:ascii="宋体" w:eastAsia="宋体"/>
                <w:szCs w:val="21"/>
                <w:lang w:val="en-US" w:eastAsia="zh-CN"/>
              </w:rPr>
            </w:pPr>
            <w:r>
              <w:rPr>
                <w:rFonts w:hint="eastAsia" w:ascii="宋体"/>
                <w:szCs w:val="21"/>
                <w:lang w:val="en-US" w:eastAsia="zh-CN"/>
              </w:rPr>
              <w:t>索引页码</w:t>
            </w:r>
          </w:p>
        </w:tc>
      </w:tr>
      <w:tr w14:paraId="5A2583E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024" w:type="dxa"/>
            <w:vAlign w:val="center"/>
          </w:tcPr>
          <w:p w14:paraId="1F3614DF">
            <w:pPr>
              <w:spacing w:line="360" w:lineRule="auto"/>
              <w:jc w:val="center"/>
              <w:rPr>
                <w:rFonts w:ascii="宋体"/>
                <w:szCs w:val="21"/>
              </w:rPr>
            </w:pPr>
          </w:p>
        </w:tc>
        <w:tc>
          <w:tcPr>
            <w:tcW w:w="2407" w:type="dxa"/>
            <w:vAlign w:val="center"/>
          </w:tcPr>
          <w:p w14:paraId="34D2B973">
            <w:pPr>
              <w:spacing w:line="360" w:lineRule="auto"/>
              <w:jc w:val="center"/>
              <w:rPr>
                <w:rFonts w:ascii="宋体"/>
                <w:szCs w:val="21"/>
              </w:rPr>
            </w:pPr>
          </w:p>
        </w:tc>
        <w:tc>
          <w:tcPr>
            <w:tcW w:w="2407" w:type="dxa"/>
            <w:vAlign w:val="center"/>
          </w:tcPr>
          <w:p w14:paraId="7461C6FC">
            <w:pPr>
              <w:spacing w:line="360" w:lineRule="auto"/>
              <w:jc w:val="center"/>
              <w:rPr>
                <w:rFonts w:ascii="宋体"/>
                <w:szCs w:val="21"/>
              </w:rPr>
            </w:pPr>
          </w:p>
        </w:tc>
        <w:tc>
          <w:tcPr>
            <w:tcW w:w="2407" w:type="dxa"/>
            <w:vAlign w:val="center"/>
          </w:tcPr>
          <w:p w14:paraId="16D4C3C7">
            <w:pPr>
              <w:spacing w:line="360" w:lineRule="auto"/>
              <w:jc w:val="center"/>
              <w:rPr>
                <w:rFonts w:ascii="宋体"/>
                <w:szCs w:val="21"/>
              </w:rPr>
            </w:pPr>
          </w:p>
        </w:tc>
        <w:tc>
          <w:tcPr>
            <w:tcW w:w="2407" w:type="dxa"/>
            <w:vAlign w:val="center"/>
          </w:tcPr>
          <w:p w14:paraId="2310D142">
            <w:pPr>
              <w:spacing w:line="360" w:lineRule="auto"/>
              <w:jc w:val="center"/>
              <w:rPr>
                <w:rFonts w:ascii="宋体"/>
                <w:szCs w:val="21"/>
              </w:rPr>
            </w:pPr>
          </w:p>
        </w:tc>
      </w:tr>
      <w:tr w14:paraId="4F14055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024" w:type="dxa"/>
            <w:vAlign w:val="center"/>
          </w:tcPr>
          <w:p w14:paraId="25C12C92">
            <w:pPr>
              <w:spacing w:line="360" w:lineRule="auto"/>
              <w:jc w:val="center"/>
              <w:rPr>
                <w:rFonts w:ascii="宋体"/>
                <w:szCs w:val="21"/>
              </w:rPr>
            </w:pPr>
          </w:p>
        </w:tc>
        <w:tc>
          <w:tcPr>
            <w:tcW w:w="2407" w:type="dxa"/>
            <w:vAlign w:val="center"/>
          </w:tcPr>
          <w:p w14:paraId="0D08337D">
            <w:pPr>
              <w:spacing w:line="360" w:lineRule="auto"/>
              <w:jc w:val="center"/>
              <w:rPr>
                <w:rFonts w:ascii="宋体"/>
                <w:szCs w:val="21"/>
              </w:rPr>
            </w:pPr>
          </w:p>
        </w:tc>
        <w:tc>
          <w:tcPr>
            <w:tcW w:w="2407" w:type="dxa"/>
            <w:vAlign w:val="center"/>
          </w:tcPr>
          <w:p w14:paraId="1C6DC61D">
            <w:pPr>
              <w:spacing w:line="360" w:lineRule="auto"/>
              <w:jc w:val="center"/>
              <w:rPr>
                <w:rFonts w:ascii="宋体"/>
                <w:szCs w:val="21"/>
              </w:rPr>
            </w:pPr>
          </w:p>
        </w:tc>
        <w:tc>
          <w:tcPr>
            <w:tcW w:w="2407" w:type="dxa"/>
            <w:vAlign w:val="center"/>
          </w:tcPr>
          <w:p w14:paraId="7CC8A676">
            <w:pPr>
              <w:spacing w:line="360" w:lineRule="auto"/>
              <w:jc w:val="center"/>
              <w:rPr>
                <w:rFonts w:ascii="宋体"/>
                <w:szCs w:val="21"/>
              </w:rPr>
            </w:pPr>
          </w:p>
        </w:tc>
        <w:tc>
          <w:tcPr>
            <w:tcW w:w="2407" w:type="dxa"/>
            <w:vAlign w:val="center"/>
          </w:tcPr>
          <w:p w14:paraId="697AFA11">
            <w:pPr>
              <w:spacing w:line="360" w:lineRule="auto"/>
              <w:jc w:val="center"/>
              <w:rPr>
                <w:rFonts w:ascii="宋体"/>
                <w:szCs w:val="21"/>
              </w:rPr>
            </w:pPr>
          </w:p>
        </w:tc>
      </w:tr>
      <w:tr w14:paraId="469E93C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024" w:type="dxa"/>
            <w:vAlign w:val="center"/>
          </w:tcPr>
          <w:p w14:paraId="39767EFF">
            <w:pPr>
              <w:spacing w:line="360" w:lineRule="auto"/>
              <w:jc w:val="center"/>
              <w:rPr>
                <w:rFonts w:ascii="宋体"/>
                <w:szCs w:val="21"/>
              </w:rPr>
            </w:pPr>
          </w:p>
        </w:tc>
        <w:tc>
          <w:tcPr>
            <w:tcW w:w="2407" w:type="dxa"/>
            <w:vAlign w:val="center"/>
          </w:tcPr>
          <w:p w14:paraId="3A4EB1DA">
            <w:pPr>
              <w:spacing w:line="360" w:lineRule="auto"/>
              <w:jc w:val="center"/>
              <w:rPr>
                <w:rFonts w:ascii="宋体"/>
                <w:szCs w:val="21"/>
              </w:rPr>
            </w:pPr>
          </w:p>
        </w:tc>
        <w:tc>
          <w:tcPr>
            <w:tcW w:w="2407" w:type="dxa"/>
            <w:vAlign w:val="center"/>
          </w:tcPr>
          <w:p w14:paraId="43155AA6">
            <w:pPr>
              <w:spacing w:line="360" w:lineRule="auto"/>
              <w:jc w:val="center"/>
              <w:rPr>
                <w:rFonts w:ascii="宋体"/>
                <w:szCs w:val="21"/>
              </w:rPr>
            </w:pPr>
          </w:p>
        </w:tc>
        <w:tc>
          <w:tcPr>
            <w:tcW w:w="2407" w:type="dxa"/>
            <w:vAlign w:val="center"/>
          </w:tcPr>
          <w:p w14:paraId="3F060FC3">
            <w:pPr>
              <w:spacing w:line="360" w:lineRule="auto"/>
              <w:jc w:val="center"/>
              <w:rPr>
                <w:rFonts w:ascii="宋体"/>
                <w:szCs w:val="21"/>
              </w:rPr>
            </w:pPr>
          </w:p>
        </w:tc>
        <w:tc>
          <w:tcPr>
            <w:tcW w:w="2407" w:type="dxa"/>
            <w:vAlign w:val="center"/>
          </w:tcPr>
          <w:p w14:paraId="1D8AC8B5">
            <w:pPr>
              <w:spacing w:line="360" w:lineRule="auto"/>
              <w:jc w:val="center"/>
              <w:rPr>
                <w:rFonts w:ascii="宋体"/>
                <w:szCs w:val="21"/>
              </w:rPr>
            </w:pPr>
          </w:p>
        </w:tc>
      </w:tr>
    </w:tbl>
    <w:p w14:paraId="48DB260A">
      <w:pPr>
        <w:topLinePunct/>
        <w:snapToGrid w:val="0"/>
        <w:spacing w:before="4" w:line="360" w:lineRule="auto"/>
        <w:rPr>
          <w:rFonts w:ascii="宋体" w:hAnsi="宋体"/>
          <w:b/>
          <w:bCs/>
          <w:sz w:val="28"/>
          <w:szCs w:val="28"/>
        </w:rPr>
      </w:pPr>
    </w:p>
    <w:p w14:paraId="3546005E">
      <w:pPr>
        <w:topLinePunct/>
        <w:snapToGrid w:val="0"/>
        <w:spacing w:before="4" w:line="360" w:lineRule="auto"/>
        <w:rPr>
          <w:rFonts w:ascii="宋体" w:hAnsi="宋体"/>
          <w:b/>
          <w:bCs/>
          <w:sz w:val="28"/>
          <w:szCs w:val="28"/>
          <w:u w:val="single"/>
        </w:rPr>
      </w:pPr>
      <w:r>
        <w:rPr>
          <w:rFonts w:hint="eastAsia" w:ascii="宋体" w:hAnsi="宋体"/>
          <w:b/>
          <w:bCs/>
          <w:sz w:val="28"/>
          <w:szCs w:val="28"/>
          <w:lang w:eastAsia="zh-CN"/>
        </w:rPr>
        <w:t>供应商</w:t>
      </w:r>
      <w:r>
        <w:rPr>
          <w:rFonts w:hint="eastAsia" w:ascii="宋体" w:hAnsi="宋体"/>
          <w:b/>
          <w:bCs/>
          <w:sz w:val="28"/>
          <w:szCs w:val="28"/>
        </w:rPr>
        <w:t>名称：</w:t>
      </w:r>
      <w:r>
        <w:rPr>
          <w:rFonts w:ascii="宋体" w:hAnsi="宋体"/>
          <w:b/>
          <w:bCs/>
          <w:sz w:val="28"/>
          <w:szCs w:val="28"/>
          <w:u w:val="single"/>
        </w:rPr>
        <w:t xml:space="preserve">                 （公章 ）</w:t>
      </w:r>
    </w:p>
    <w:p w14:paraId="46C5A772">
      <w:pPr>
        <w:topLinePunct/>
        <w:snapToGrid w:val="0"/>
        <w:spacing w:before="4" w:line="360" w:lineRule="auto"/>
        <w:rPr>
          <w:rFonts w:ascii="宋体" w:hAnsi="宋体"/>
          <w:b/>
          <w:bCs/>
          <w:sz w:val="28"/>
          <w:szCs w:val="28"/>
        </w:rPr>
      </w:pPr>
    </w:p>
    <w:p w14:paraId="50B618E7">
      <w:pPr>
        <w:topLinePunct/>
        <w:snapToGrid w:val="0"/>
        <w:spacing w:before="4" w:line="360" w:lineRule="auto"/>
        <w:rPr>
          <w:rFonts w:ascii="宋体" w:hAnsi="宋体"/>
          <w:b/>
          <w:bCs/>
          <w:sz w:val="28"/>
          <w:szCs w:val="28"/>
        </w:rPr>
      </w:pPr>
      <w:r>
        <w:rPr>
          <w:rFonts w:hint="eastAsia" w:ascii="宋体" w:hAnsi="宋体"/>
          <w:b/>
          <w:bCs/>
          <w:sz w:val="28"/>
          <w:szCs w:val="28"/>
        </w:rPr>
        <w:t>法定代表人或被授权人：</w:t>
      </w:r>
      <w:r>
        <w:rPr>
          <w:rFonts w:ascii="宋体" w:hAnsi="宋体"/>
          <w:b/>
          <w:bCs/>
          <w:sz w:val="28"/>
          <w:szCs w:val="28"/>
          <w:u w:val="single"/>
        </w:rPr>
        <w:t xml:space="preserve">        （签字</w:t>
      </w:r>
      <w:r>
        <w:rPr>
          <w:rFonts w:hint="eastAsia" w:ascii="宋体" w:hAnsi="宋体"/>
          <w:b/>
          <w:bCs/>
          <w:sz w:val="28"/>
          <w:szCs w:val="28"/>
          <w:u w:val="single"/>
          <w:lang w:val="en-US" w:eastAsia="zh-CN"/>
        </w:rPr>
        <w:t>或盖章</w:t>
      </w:r>
      <w:r>
        <w:rPr>
          <w:rFonts w:ascii="宋体" w:hAnsi="宋体"/>
          <w:b/>
          <w:bCs/>
          <w:sz w:val="28"/>
          <w:szCs w:val="28"/>
          <w:u w:val="single"/>
        </w:rPr>
        <w:t>）</w:t>
      </w:r>
    </w:p>
    <w:p w14:paraId="0A76D4F5">
      <w:pPr>
        <w:pStyle w:val="17"/>
        <w:ind w:firstLine="422"/>
        <w:rPr>
          <w:b/>
          <w:szCs w:val="21"/>
        </w:rPr>
      </w:pPr>
    </w:p>
    <w:p w14:paraId="7875D03C">
      <w:pPr>
        <w:pStyle w:val="17"/>
        <w:ind w:firstLine="422"/>
        <w:rPr>
          <w:b/>
          <w:szCs w:val="21"/>
        </w:rPr>
      </w:pPr>
      <w:r>
        <w:rPr>
          <w:rFonts w:hint="eastAsia"/>
          <w:b/>
          <w:szCs w:val="21"/>
        </w:rPr>
        <w:t>表格填写说明：</w:t>
      </w:r>
    </w:p>
    <w:p w14:paraId="383071B0">
      <w:pPr>
        <w:pStyle w:val="17"/>
        <w:ind w:firstLine="420"/>
        <w:rPr>
          <w:szCs w:val="21"/>
        </w:rPr>
      </w:pPr>
      <w:r>
        <w:rPr>
          <w:rFonts w:ascii="Times New Roman"/>
          <w:szCs w:val="21"/>
        </w:rPr>
        <w:t>1</w:t>
      </w:r>
      <w:r>
        <w:rPr>
          <w:rFonts w:hint="eastAsia"/>
          <w:szCs w:val="21"/>
        </w:rPr>
        <w:t>、</w:t>
      </w:r>
      <w:r>
        <w:rPr>
          <w:rFonts w:hint="eastAsia"/>
          <w:szCs w:val="21"/>
          <w:lang w:eastAsia="zh-CN"/>
        </w:rPr>
        <w:t>供应商</w:t>
      </w:r>
      <w:r>
        <w:rPr>
          <w:rFonts w:hint="eastAsia"/>
          <w:szCs w:val="21"/>
        </w:rPr>
        <w:t>应根据实际情况，填写本表格，若无偏离，则勾选</w:t>
      </w:r>
      <w:r>
        <w:rPr>
          <w:rFonts w:ascii="Times New Roman"/>
          <w:szCs w:val="21"/>
        </w:rPr>
        <w:t>A</w:t>
      </w:r>
      <w:r>
        <w:rPr>
          <w:rFonts w:hint="eastAsia"/>
          <w:szCs w:val="21"/>
        </w:rPr>
        <w:t>项，签字盖章即可。若有偏离，则勾选</w:t>
      </w:r>
      <w:r>
        <w:rPr>
          <w:rFonts w:ascii="Times New Roman"/>
          <w:szCs w:val="21"/>
        </w:rPr>
        <w:t>B</w:t>
      </w:r>
      <w:r>
        <w:rPr>
          <w:rFonts w:hint="eastAsia"/>
          <w:szCs w:val="21"/>
        </w:rPr>
        <w:t>项，按表格要求及实际情况填写后，签字盖章。</w:t>
      </w:r>
    </w:p>
    <w:p w14:paraId="2AD3DB60">
      <w:pPr>
        <w:pStyle w:val="17"/>
        <w:ind w:firstLine="420"/>
        <w:rPr>
          <w:szCs w:val="21"/>
        </w:rPr>
      </w:pPr>
      <w:r>
        <w:rPr>
          <w:rFonts w:ascii="Times New Roman"/>
          <w:szCs w:val="21"/>
        </w:rPr>
        <w:t>2</w:t>
      </w:r>
      <w:r>
        <w:rPr>
          <w:rFonts w:hint="eastAsia"/>
          <w:szCs w:val="21"/>
        </w:rPr>
        <w:t>、表格中“</w:t>
      </w:r>
      <w:r>
        <w:rPr>
          <w:rFonts w:hint="eastAsia"/>
          <w:szCs w:val="21"/>
          <w:lang w:eastAsia="zh-CN"/>
        </w:rPr>
        <w:t>响应文件</w:t>
      </w:r>
      <w:r>
        <w:rPr>
          <w:rFonts w:hint="eastAsia"/>
          <w:szCs w:val="21"/>
        </w:rPr>
        <w:t>的商务条款”请</w:t>
      </w:r>
      <w:r>
        <w:rPr>
          <w:rFonts w:hint="eastAsia"/>
          <w:szCs w:val="21"/>
          <w:lang w:eastAsia="zh-CN"/>
        </w:rPr>
        <w:t>供应商</w:t>
      </w:r>
      <w:r>
        <w:rPr>
          <w:rFonts w:hint="eastAsia"/>
          <w:szCs w:val="21"/>
        </w:rPr>
        <w:t>根据实际情况如实、完整、准确的填写。</w:t>
      </w:r>
    </w:p>
    <w:p w14:paraId="50E75840">
      <w:pPr>
        <w:widowControl/>
        <w:spacing w:line="360" w:lineRule="atLeast"/>
        <w:ind w:firstLine="482" w:firstLineChars="200"/>
        <w:rPr>
          <w:rFonts w:hint="default" w:ascii="宋体" w:hAnsi="宋体"/>
          <w:b/>
          <w:bCs/>
          <w:sz w:val="24"/>
          <w:szCs w:val="22"/>
          <w:lang w:val="en-US" w:eastAsia="zh-CN"/>
        </w:rPr>
      </w:pPr>
      <w:r>
        <w:rPr>
          <w:rFonts w:hint="eastAsia" w:ascii="宋体" w:hAnsi="宋体"/>
          <w:b/>
          <w:bCs/>
          <w:sz w:val="24"/>
          <w:szCs w:val="22"/>
          <w:lang w:val="en-US" w:eastAsia="zh-CN"/>
        </w:rPr>
        <w:t>3、在报告中用方框明显标注相应参数内容。（因参数图片模糊，所导致的后果，由投标人自行负责）</w:t>
      </w:r>
    </w:p>
    <w:p w14:paraId="209B2C47">
      <w:pPr>
        <w:pStyle w:val="2"/>
        <w:jc w:val="both"/>
        <w:rPr>
          <w:rFonts w:hint="default"/>
          <w:lang w:val="en-US" w:eastAsia="zh-CN"/>
        </w:rPr>
      </w:pPr>
    </w:p>
    <w:p w14:paraId="63F00C3F">
      <w:pPr>
        <w:rPr>
          <w:rFonts w:ascii="宋体" w:hAnsi="宋体" w:cs="宋体"/>
          <w:b/>
          <w:bCs/>
          <w:kern w:val="0"/>
          <w:sz w:val="30"/>
          <w:szCs w:val="30"/>
        </w:rPr>
      </w:pPr>
    </w:p>
    <w:p w14:paraId="3CFCCC6F">
      <w:pPr>
        <w:rPr>
          <w:rFonts w:ascii="宋体" w:hAnsi="宋体" w:cs="宋体"/>
          <w:kern w:val="0"/>
          <w:sz w:val="30"/>
          <w:szCs w:val="30"/>
        </w:rPr>
      </w:pPr>
    </w:p>
    <w:p w14:paraId="3B5E3897"/>
    <w:p w14:paraId="32ECBEFF">
      <w:pPr>
        <w:spacing w:afterLines="50" w:line="440" w:lineRule="exact"/>
        <w:jc w:val="center"/>
        <w:rPr>
          <w:rFonts w:ascii="宋体" w:hAnsi="宋体" w:cs="宋体"/>
          <w:b/>
          <w:bCs/>
          <w:kern w:val="0"/>
          <w:sz w:val="30"/>
          <w:szCs w:val="30"/>
        </w:rPr>
      </w:pPr>
    </w:p>
    <w:p w14:paraId="5D2A051D">
      <w:pPr>
        <w:rPr>
          <w:rFonts w:hint="eastAsia" w:ascii="宋体" w:hAnsi="宋体" w:eastAsia="宋体" w:cs="Arial"/>
          <w:b/>
          <w:bCs/>
          <w:kern w:val="0"/>
          <w:sz w:val="32"/>
          <w:szCs w:val="32"/>
          <w:lang w:val="en-US" w:eastAsia="zh-CN"/>
        </w:rPr>
      </w:pPr>
      <w:r>
        <w:rPr>
          <w:rFonts w:hint="eastAsia" w:ascii="宋体" w:hAnsi="宋体" w:cs="Arial"/>
          <w:b/>
          <w:bCs/>
          <w:kern w:val="0"/>
          <w:sz w:val="32"/>
          <w:szCs w:val="32"/>
        </w:rPr>
        <w:br w:type="page"/>
      </w:r>
      <w:r>
        <w:rPr>
          <w:rFonts w:hint="eastAsia" w:ascii="宋体" w:hAnsi="宋体" w:cs="Arial"/>
          <w:b/>
          <w:bCs/>
          <w:kern w:val="0"/>
          <w:sz w:val="32"/>
          <w:szCs w:val="32"/>
          <w:lang w:val="en-US" w:eastAsia="zh-CN"/>
        </w:rPr>
        <w:t>=</w:t>
      </w:r>
    </w:p>
    <w:p w14:paraId="30C375C9">
      <w:pPr>
        <w:widowControl/>
        <w:spacing w:line="360" w:lineRule="auto"/>
        <w:jc w:val="center"/>
        <w:outlineLvl w:val="1"/>
        <w:rPr>
          <w:rFonts w:ascii="宋体" w:hAnsi="宋体" w:cs="Arial"/>
          <w:b/>
          <w:bCs/>
          <w:kern w:val="0"/>
          <w:sz w:val="32"/>
          <w:szCs w:val="32"/>
        </w:rPr>
      </w:pPr>
      <w:bookmarkStart w:id="286" w:name="_Toc9430"/>
      <w:r>
        <w:rPr>
          <w:rFonts w:hint="eastAsia" w:ascii="宋体" w:hAnsi="宋体" w:cs="Arial"/>
          <w:b/>
          <w:bCs/>
          <w:kern w:val="0"/>
          <w:sz w:val="32"/>
          <w:szCs w:val="32"/>
          <w:lang w:val="en-US" w:eastAsia="zh-CN"/>
        </w:rPr>
        <w:t>八</w:t>
      </w:r>
      <w:r>
        <w:rPr>
          <w:rFonts w:hint="eastAsia" w:ascii="宋体" w:hAnsi="宋体" w:cs="Arial"/>
          <w:b/>
          <w:bCs/>
          <w:kern w:val="0"/>
          <w:sz w:val="32"/>
          <w:szCs w:val="32"/>
        </w:rPr>
        <w:t>、</w:t>
      </w:r>
      <w:r>
        <w:rPr>
          <w:rFonts w:hint="eastAsia" w:ascii="宋体" w:hAnsi="宋体" w:cs="Arial"/>
          <w:b/>
          <w:bCs/>
          <w:kern w:val="0"/>
          <w:sz w:val="32"/>
          <w:szCs w:val="32"/>
          <w:lang w:eastAsia="zh-CN"/>
        </w:rPr>
        <w:t>供应商</w:t>
      </w:r>
      <w:r>
        <w:rPr>
          <w:rFonts w:hint="eastAsia" w:ascii="宋体" w:hAnsi="宋体" w:cs="Arial"/>
          <w:b/>
          <w:bCs/>
          <w:kern w:val="0"/>
          <w:sz w:val="32"/>
          <w:szCs w:val="32"/>
        </w:rPr>
        <w:t>简介</w:t>
      </w:r>
      <w:bookmarkEnd w:id="286"/>
    </w:p>
    <w:p w14:paraId="1DC8DAA3">
      <w:pPr>
        <w:rPr>
          <w:rFonts w:cs="宋体"/>
          <w:kern w:val="0"/>
          <w:sz w:val="30"/>
          <w:szCs w:val="30"/>
        </w:rPr>
      </w:pPr>
    </w:p>
    <w:p w14:paraId="6A28A3D2">
      <w:pPr>
        <w:rPr>
          <w:rFonts w:cs="宋体"/>
          <w:kern w:val="0"/>
          <w:sz w:val="30"/>
          <w:szCs w:val="30"/>
        </w:rPr>
      </w:pPr>
    </w:p>
    <w:p w14:paraId="0E4CF895">
      <w:pPr>
        <w:rPr>
          <w:rFonts w:cs="宋体"/>
          <w:kern w:val="0"/>
          <w:sz w:val="30"/>
          <w:szCs w:val="30"/>
        </w:rPr>
      </w:pPr>
    </w:p>
    <w:p w14:paraId="078638E8">
      <w:pPr>
        <w:rPr>
          <w:rFonts w:cs="宋体"/>
          <w:kern w:val="0"/>
          <w:sz w:val="30"/>
          <w:szCs w:val="30"/>
        </w:rPr>
      </w:pPr>
    </w:p>
    <w:p w14:paraId="034CD1DC">
      <w:pPr>
        <w:rPr>
          <w:rFonts w:cs="宋体"/>
          <w:kern w:val="0"/>
          <w:sz w:val="30"/>
          <w:szCs w:val="30"/>
        </w:rPr>
      </w:pPr>
    </w:p>
    <w:p w14:paraId="72DD36C8">
      <w:pPr>
        <w:rPr>
          <w:rFonts w:cs="宋体"/>
          <w:kern w:val="0"/>
          <w:sz w:val="30"/>
          <w:szCs w:val="30"/>
        </w:rPr>
      </w:pPr>
    </w:p>
    <w:p w14:paraId="2F74EDFA">
      <w:pPr>
        <w:rPr>
          <w:rFonts w:cs="宋体"/>
          <w:kern w:val="0"/>
          <w:sz w:val="30"/>
          <w:szCs w:val="30"/>
        </w:rPr>
      </w:pPr>
    </w:p>
    <w:p w14:paraId="51DB57CB">
      <w:pPr>
        <w:rPr>
          <w:rFonts w:cs="宋体"/>
          <w:kern w:val="0"/>
          <w:sz w:val="30"/>
          <w:szCs w:val="30"/>
        </w:rPr>
      </w:pPr>
    </w:p>
    <w:p w14:paraId="5A956DB0">
      <w:pPr>
        <w:rPr>
          <w:rFonts w:cs="宋体"/>
          <w:kern w:val="0"/>
          <w:sz w:val="30"/>
          <w:szCs w:val="30"/>
        </w:rPr>
      </w:pPr>
    </w:p>
    <w:p w14:paraId="420CC04D">
      <w:pPr>
        <w:rPr>
          <w:rFonts w:cs="宋体"/>
          <w:kern w:val="0"/>
          <w:sz w:val="30"/>
          <w:szCs w:val="30"/>
        </w:rPr>
      </w:pPr>
    </w:p>
    <w:p w14:paraId="1BCD4FBB">
      <w:pPr>
        <w:rPr>
          <w:rFonts w:cs="宋体"/>
          <w:kern w:val="0"/>
          <w:sz w:val="30"/>
          <w:szCs w:val="30"/>
        </w:rPr>
      </w:pPr>
    </w:p>
    <w:p w14:paraId="2BF2CB0C">
      <w:pPr>
        <w:rPr>
          <w:rFonts w:cs="宋体"/>
          <w:kern w:val="0"/>
          <w:sz w:val="30"/>
          <w:szCs w:val="30"/>
        </w:rPr>
      </w:pPr>
    </w:p>
    <w:p w14:paraId="648B0B43">
      <w:pPr>
        <w:rPr>
          <w:rFonts w:cs="宋体"/>
          <w:kern w:val="0"/>
          <w:sz w:val="30"/>
          <w:szCs w:val="30"/>
        </w:rPr>
      </w:pPr>
    </w:p>
    <w:p w14:paraId="68BBDA67">
      <w:pPr>
        <w:rPr>
          <w:rFonts w:ascii="宋体" w:hAnsi="宋体" w:cs="宋体"/>
          <w:b/>
          <w:bCs/>
          <w:kern w:val="0"/>
          <w:sz w:val="30"/>
          <w:szCs w:val="30"/>
        </w:rPr>
      </w:pPr>
    </w:p>
    <w:p w14:paraId="30E58137"/>
    <w:p w14:paraId="47C94A01"/>
    <w:p w14:paraId="17741285"/>
    <w:p w14:paraId="3DE2F54A"/>
    <w:p w14:paraId="54379262"/>
    <w:p w14:paraId="34331876">
      <w:pPr>
        <w:rPr>
          <w:rFonts w:cs="宋体"/>
          <w:kern w:val="0"/>
          <w:sz w:val="30"/>
          <w:szCs w:val="30"/>
        </w:rPr>
      </w:pPr>
    </w:p>
    <w:p w14:paraId="419CD073">
      <w:pPr>
        <w:rPr>
          <w:rFonts w:ascii="宋体" w:hAnsi="宋体" w:cs="宋体"/>
          <w:b/>
          <w:bCs/>
          <w:kern w:val="0"/>
          <w:sz w:val="30"/>
          <w:szCs w:val="30"/>
        </w:rPr>
      </w:pPr>
    </w:p>
    <w:p w14:paraId="67FE3A42">
      <w:pPr>
        <w:keepNext/>
        <w:keepLines/>
      </w:pPr>
    </w:p>
    <w:p w14:paraId="0D1AF8F6">
      <w:pPr>
        <w:rPr>
          <w:rFonts w:ascii="宋体" w:hAnsi="宋体" w:cs="宋体"/>
          <w:b/>
          <w:bCs/>
          <w:kern w:val="0"/>
          <w:sz w:val="30"/>
          <w:szCs w:val="30"/>
        </w:rPr>
      </w:pPr>
    </w:p>
    <w:p w14:paraId="26D025E9">
      <w:pPr>
        <w:rPr>
          <w:rFonts w:cs="宋体"/>
          <w:kern w:val="0"/>
          <w:sz w:val="30"/>
          <w:szCs w:val="30"/>
        </w:rPr>
      </w:pPr>
      <w:bookmarkStart w:id="287" w:name="_Toc154755505"/>
      <w:bookmarkStart w:id="288" w:name="_Toc154744461"/>
      <w:r>
        <w:rPr>
          <w:rFonts w:hint="eastAsia" w:cs="宋体"/>
          <w:kern w:val="0"/>
          <w:sz w:val="30"/>
          <w:szCs w:val="30"/>
        </w:rPr>
        <w:br w:type="page"/>
      </w:r>
    </w:p>
    <w:p w14:paraId="1E05A0FD">
      <w:pPr>
        <w:pStyle w:val="2"/>
        <w:ind w:firstLine="0"/>
        <w:rPr>
          <w:rFonts w:cs="宋体"/>
          <w:color w:val="auto"/>
          <w:kern w:val="0"/>
          <w:sz w:val="30"/>
          <w:szCs w:val="30"/>
        </w:rPr>
      </w:pPr>
      <w:bookmarkStart w:id="289" w:name="_Toc28204"/>
      <w:r>
        <w:rPr>
          <w:rFonts w:hint="eastAsia" w:cs="宋体"/>
          <w:color w:val="auto"/>
          <w:kern w:val="0"/>
          <w:sz w:val="30"/>
          <w:szCs w:val="30"/>
          <w:lang w:val="en-US" w:eastAsia="zh-CN"/>
        </w:rPr>
        <w:t>九</w:t>
      </w:r>
      <w:r>
        <w:rPr>
          <w:rFonts w:hint="eastAsia" w:cs="宋体"/>
          <w:color w:val="auto"/>
          <w:kern w:val="0"/>
          <w:sz w:val="30"/>
          <w:szCs w:val="30"/>
        </w:rPr>
        <w:t>、项目业绩一览表</w:t>
      </w:r>
      <w:bookmarkEnd w:id="287"/>
      <w:bookmarkEnd w:id="288"/>
      <w:bookmarkEnd w:id="289"/>
    </w:p>
    <w:p w14:paraId="7EBA8824">
      <w:pPr>
        <w:adjustRightInd w:val="0"/>
        <w:snapToGrid w:val="0"/>
        <w:spacing w:afterLines="50" w:line="440" w:lineRule="exact"/>
        <w:rPr>
          <w:rFonts w:hint="eastAsia" w:ascii="宋体" w:hAnsi="宋体" w:cs="宋体"/>
          <w:b/>
          <w:sz w:val="24"/>
          <w:lang w:eastAsia="zh-CN"/>
        </w:rPr>
      </w:pPr>
      <w:r>
        <w:rPr>
          <w:rFonts w:hint="eastAsia" w:ascii="宋体" w:hAnsi="宋体" w:cs="宋体"/>
          <w:b/>
          <w:sz w:val="24"/>
        </w:rPr>
        <w:t>项目名称：</w:t>
      </w:r>
      <w:r>
        <w:rPr>
          <w:rFonts w:hint="eastAsia" w:ascii="宋体" w:hAnsi="宋体" w:cs="宋体"/>
          <w:b/>
          <w:sz w:val="24"/>
          <w:lang w:eastAsia="zh-CN"/>
        </w:rPr>
        <w:t>海南省机电工程学校直播教室设备采购项目</w:t>
      </w:r>
    </w:p>
    <w:p w14:paraId="6DA54DBD">
      <w:pPr>
        <w:adjustRightInd w:val="0"/>
        <w:snapToGrid w:val="0"/>
        <w:spacing w:afterLines="50" w:line="440" w:lineRule="exact"/>
        <w:rPr>
          <w:rFonts w:hint="eastAsia" w:eastAsia="宋体"/>
          <w:lang w:eastAsia="zh-CN"/>
        </w:rPr>
      </w:pPr>
      <w:r>
        <w:rPr>
          <w:rFonts w:hint="eastAsia" w:ascii="宋体" w:hAnsi="宋体" w:cs="宋体"/>
          <w:b/>
          <w:sz w:val="24"/>
        </w:rPr>
        <w:t>项目编号：</w:t>
      </w:r>
      <w:r>
        <w:rPr>
          <w:rFonts w:hint="eastAsia" w:ascii="宋体" w:hAnsi="宋体" w:cs="宋体"/>
          <w:b/>
          <w:bCs/>
          <w:kern w:val="0"/>
          <w:sz w:val="24"/>
          <w:lang w:eastAsia="zh-CN"/>
        </w:rPr>
        <w:t>FZJTHN-CG-2024003</w:t>
      </w:r>
    </w:p>
    <w:tbl>
      <w:tblPr>
        <w:tblStyle w:val="29"/>
        <w:tblW w:w="925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933"/>
        <w:gridCol w:w="1444"/>
        <w:gridCol w:w="1529"/>
        <w:gridCol w:w="1394"/>
        <w:gridCol w:w="1411"/>
        <w:gridCol w:w="1272"/>
        <w:gridCol w:w="1272"/>
      </w:tblGrid>
      <w:tr w14:paraId="72A6808E">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33" w:type="dxa"/>
            <w:tcBorders>
              <w:top w:val="single" w:color="auto" w:sz="4" w:space="0"/>
              <w:left w:val="single" w:color="auto" w:sz="4" w:space="0"/>
              <w:bottom w:val="single" w:color="auto" w:sz="6" w:space="0"/>
              <w:right w:val="single" w:color="auto" w:sz="6" w:space="0"/>
            </w:tcBorders>
            <w:noWrap/>
            <w:vAlign w:val="center"/>
          </w:tcPr>
          <w:p w14:paraId="5500F1D8">
            <w:pPr>
              <w:spacing w:line="400" w:lineRule="exact"/>
              <w:jc w:val="center"/>
              <w:rPr>
                <w:rFonts w:ascii="宋体"/>
                <w:b/>
              </w:rPr>
            </w:pPr>
            <w:r>
              <w:rPr>
                <w:rFonts w:hint="eastAsia" w:ascii="宋体" w:hAnsi="宋体"/>
                <w:b/>
              </w:rPr>
              <w:t>序号</w:t>
            </w:r>
          </w:p>
        </w:tc>
        <w:tc>
          <w:tcPr>
            <w:tcW w:w="1444" w:type="dxa"/>
            <w:tcBorders>
              <w:top w:val="single" w:color="auto" w:sz="4" w:space="0"/>
              <w:left w:val="single" w:color="auto" w:sz="6" w:space="0"/>
              <w:bottom w:val="single" w:color="auto" w:sz="6" w:space="0"/>
              <w:right w:val="single" w:color="auto" w:sz="6" w:space="0"/>
            </w:tcBorders>
            <w:noWrap/>
            <w:vAlign w:val="center"/>
          </w:tcPr>
          <w:p w14:paraId="26813D71">
            <w:pPr>
              <w:spacing w:line="400" w:lineRule="exact"/>
              <w:ind w:firstLine="105" w:firstLineChars="50"/>
              <w:jc w:val="center"/>
              <w:rPr>
                <w:rFonts w:ascii="宋体"/>
                <w:b/>
              </w:rPr>
            </w:pPr>
            <w:r>
              <w:rPr>
                <w:rFonts w:hint="eastAsia" w:ascii="宋体" w:hAnsi="宋体"/>
                <w:b/>
              </w:rPr>
              <w:t>年份</w:t>
            </w:r>
          </w:p>
        </w:tc>
        <w:tc>
          <w:tcPr>
            <w:tcW w:w="1529" w:type="dxa"/>
            <w:tcBorders>
              <w:top w:val="single" w:color="auto" w:sz="4" w:space="0"/>
              <w:left w:val="single" w:color="auto" w:sz="6" w:space="0"/>
              <w:bottom w:val="single" w:color="auto" w:sz="6" w:space="0"/>
              <w:right w:val="single" w:color="auto" w:sz="6" w:space="0"/>
            </w:tcBorders>
            <w:noWrap/>
            <w:vAlign w:val="center"/>
          </w:tcPr>
          <w:p w14:paraId="053C8FEC">
            <w:pPr>
              <w:spacing w:line="400" w:lineRule="exact"/>
              <w:jc w:val="center"/>
              <w:rPr>
                <w:rFonts w:ascii="宋体"/>
                <w:b/>
              </w:rPr>
            </w:pPr>
            <w:r>
              <w:rPr>
                <w:rFonts w:hint="eastAsia" w:ascii="宋体" w:hAnsi="宋体"/>
                <w:b/>
              </w:rPr>
              <w:t>用户名称</w:t>
            </w:r>
          </w:p>
        </w:tc>
        <w:tc>
          <w:tcPr>
            <w:tcW w:w="1394" w:type="dxa"/>
            <w:tcBorders>
              <w:top w:val="single" w:color="auto" w:sz="4" w:space="0"/>
              <w:left w:val="single" w:color="auto" w:sz="6" w:space="0"/>
              <w:bottom w:val="single" w:color="auto" w:sz="6" w:space="0"/>
              <w:right w:val="single" w:color="auto" w:sz="6" w:space="0"/>
            </w:tcBorders>
            <w:noWrap/>
            <w:vAlign w:val="center"/>
          </w:tcPr>
          <w:p w14:paraId="1CC88825">
            <w:pPr>
              <w:spacing w:line="400" w:lineRule="exact"/>
              <w:jc w:val="center"/>
              <w:rPr>
                <w:rFonts w:ascii="宋体"/>
                <w:b/>
              </w:rPr>
            </w:pPr>
            <w:r>
              <w:rPr>
                <w:rFonts w:hint="eastAsia" w:ascii="宋体" w:hAnsi="宋体"/>
                <w:b/>
              </w:rPr>
              <w:t>项目名称</w:t>
            </w:r>
          </w:p>
        </w:tc>
        <w:tc>
          <w:tcPr>
            <w:tcW w:w="1411" w:type="dxa"/>
            <w:tcBorders>
              <w:top w:val="single" w:color="auto" w:sz="4" w:space="0"/>
              <w:left w:val="single" w:color="auto" w:sz="6" w:space="0"/>
              <w:bottom w:val="single" w:color="auto" w:sz="6" w:space="0"/>
              <w:right w:val="single" w:color="auto" w:sz="6" w:space="0"/>
            </w:tcBorders>
            <w:noWrap/>
            <w:vAlign w:val="center"/>
          </w:tcPr>
          <w:p w14:paraId="3EB1D14E">
            <w:pPr>
              <w:spacing w:line="400" w:lineRule="exact"/>
              <w:jc w:val="center"/>
              <w:rPr>
                <w:rFonts w:ascii="宋体"/>
                <w:b/>
              </w:rPr>
            </w:pPr>
            <w:r>
              <w:rPr>
                <w:rFonts w:hint="eastAsia" w:ascii="宋体" w:hAnsi="宋体"/>
                <w:b/>
              </w:rPr>
              <w:t>项目地址</w:t>
            </w:r>
          </w:p>
        </w:tc>
        <w:tc>
          <w:tcPr>
            <w:tcW w:w="1272" w:type="dxa"/>
            <w:tcBorders>
              <w:top w:val="single" w:color="auto" w:sz="4" w:space="0"/>
              <w:left w:val="single" w:color="auto" w:sz="6" w:space="0"/>
              <w:bottom w:val="single" w:color="auto" w:sz="6" w:space="0"/>
              <w:right w:val="single" w:color="auto" w:sz="6" w:space="0"/>
            </w:tcBorders>
            <w:noWrap/>
            <w:vAlign w:val="center"/>
          </w:tcPr>
          <w:p w14:paraId="399F1D9E">
            <w:pPr>
              <w:spacing w:line="400" w:lineRule="exact"/>
              <w:jc w:val="center"/>
              <w:rPr>
                <w:rFonts w:ascii="宋体" w:hAnsi="宋体"/>
                <w:b/>
              </w:rPr>
            </w:pPr>
            <w:r>
              <w:rPr>
                <w:rFonts w:hint="eastAsia" w:ascii="宋体" w:hAnsi="宋体"/>
                <w:b/>
              </w:rPr>
              <w:t>联系方式</w:t>
            </w:r>
          </w:p>
        </w:tc>
        <w:tc>
          <w:tcPr>
            <w:tcW w:w="1272" w:type="dxa"/>
            <w:tcBorders>
              <w:top w:val="single" w:color="auto" w:sz="4" w:space="0"/>
              <w:left w:val="single" w:color="auto" w:sz="6" w:space="0"/>
              <w:bottom w:val="single" w:color="auto" w:sz="6" w:space="0"/>
              <w:right w:val="single" w:color="auto" w:sz="4" w:space="0"/>
            </w:tcBorders>
            <w:noWrap/>
            <w:vAlign w:val="center"/>
          </w:tcPr>
          <w:p w14:paraId="64F5A2CB">
            <w:pPr>
              <w:spacing w:line="400" w:lineRule="exact"/>
              <w:jc w:val="center"/>
              <w:rPr>
                <w:rFonts w:ascii="宋体"/>
                <w:b/>
              </w:rPr>
            </w:pPr>
            <w:r>
              <w:rPr>
                <w:rFonts w:hint="eastAsia" w:ascii="宋体" w:hAnsi="宋体"/>
                <w:b/>
              </w:rPr>
              <w:t>合同金额</w:t>
            </w:r>
          </w:p>
        </w:tc>
      </w:tr>
      <w:tr w14:paraId="36385771">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33" w:type="dxa"/>
            <w:tcBorders>
              <w:top w:val="single" w:color="auto" w:sz="6" w:space="0"/>
              <w:left w:val="single" w:color="auto" w:sz="4" w:space="0"/>
              <w:bottom w:val="single" w:color="auto" w:sz="6" w:space="0"/>
              <w:right w:val="single" w:color="auto" w:sz="6" w:space="0"/>
            </w:tcBorders>
            <w:noWrap/>
            <w:vAlign w:val="center"/>
          </w:tcPr>
          <w:p w14:paraId="30B99559">
            <w:pPr>
              <w:spacing w:line="400" w:lineRule="exact"/>
              <w:jc w:val="center"/>
              <w:rPr>
                <w:rFonts w:ascii="宋体"/>
              </w:rPr>
            </w:pPr>
          </w:p>
        </w:tc>
        <w:tc>
          <w:tcPr>
            <w:tcW w:w="1444" w:type="dxa"/>
            <w:tcBorders>
              <w:top w:val="single" w:color="auto" w:sz="6" w:space="0"/>
              <w:left w:val="single" w:color="auto" w:sz="6" w:space="0"/>
              <w:bottom w:val="single" w:color="auto" w:sz="6" w:space="0"/>
              <w:right w:val="single" w:color="auto" w:sz="6" w:space="0"/>
            </w:tcBorders>
            <w:noWrap/>
            <w:vAlign w:val="center"/>
          </w:tcPr>
          <w:p w14:paraId="34C1C8E1">
            <w:pPr>
              <w:spacing w:line="400" w:lineRule="exact"/>
              <w:jc w:val="center"/>
              <w:rPr>
                <w:rFonts w:ascii="宋体"/>
              </w:rPr>
            </w:pPr>
          </w:p>
        </w:tc>
        <w:tc>
          <w:tcPr>
            <w:tcW w:w="1529" w:type="dxa"/>
            <w:tcBorders>
              <w:top w:val="single" w:color="auto" w:sz="6" w:space="0"/>
              <w:left w:val="single" w:color="auto" w:sz="6" w:space="0"/>
              <w:bottom w:val="single" w:color="auto" w:sz="6" w:space="0"/>
              <w:right w:val="single" w:color="auto" w:sz="6" w:space="0"/>
            </w:tcBorders>
            <w:noWrap/>
            <w:vAlign w:val="center"/>
          </w:tcPr>
          <w:p w14:paraId="552E75F0">
            <w:pPr>
              <w:spacing w:line="400" w:lineRule="exact"/>
              <w:jc w:val="center"/>
              <w:rPr>
                <w:rFonts w:ascii="宋体"/>
              </w:rPr>
            </w:pPr>
          </w:p>
        </w:tc>
        <w:tc>
          <w:tcPr>
            <w:tcW w:w="1394" w:type="dxa"/>
            <w:tcBorders>
              <w:top w:val="single" w:color="auto" w:sz="6" w:space="0"/>
              <w:left w:val="single" w:color="auto" w:sz="6" w:space="0"/>
              <w:bottom w:val="single" w:color="auto" w:sz="6" w:space="0"/>
              <w:right w:val="single" w:color="auto" w:sz="6" w:space="0"/>
            </w:tcBorders>
            <w:noWrap/>
            <w:vAlign w:val="center"/>
          </w:tcPr>
          <w:p w14:paraId="6C76EEFE">
            <w:pPr>
              <w:spacing w:line="400" w:lineRule="exact"/>
              <w:jc w:val="center"/>
              <w:rPr>
                <w:rFonts w:ascii="宋体"/>
              </w:rPr>
            </w:pPr>
          </w:p>
        </w:tc>
        <w:tc>
          <w:tcPr>
            <w:tcW w:w="1411" w:type="dxa"/>
            <w:tcBorders>
              <w:top w:val="single" w:color="auto" w:sz="6" w:space="0"/>
              <w:left w:val="single" w:color="auto" w:sz="6" w:space="0"/>
              <w:bottom w:val="single" w:color="auto" w:sz="6" w:space="0"/>
              <w:right w:val="single" w:color="auto" w:sz="6" w:space="0"/>
            </w:tcBorders>
            <w:noWrap/>
            <w:vAlign w:val="center"/>
          </w:tcPr>
          <w:p w14:paraId="48F5E56D">
            <w:pPr>
              <w:spacing w:line="400" w:lineRule="exact"/>
              <w:jc w:val="center"/>
              <w:rPr>
                <w:rFonts w:ascii="宋体"/>
              </w:rPr>
            </w:pPr>
          </w:p>
        </w:tc>
        <w:tc>
          <w:tcPr>
            <w:tcW w:w="1272" w:type="dxa"/>
            <w:tcBorders>
              <w:top w:val="single" w:color="auto" w:sz="6" w:space="0"/>
              <w:left w:val="single" w:color="auto" w:sz="6" w:space="0"/>
              <w:bottom w:val="single" w:color="auto" w:sz="6" w:space="0"/>
              <w:right w:val="single" w:color="auto" w:sz="6" w:space="0"/>
            </w:tcBorders>
            <w:noWrap/>
          </w:tcPr>
          <w:p w14:paraId="0D3C52E1">
            <w:pPr>
              <w:spacing w:line="400" w:lineRule="exact"/>
              <w:jc w:val="center"/>
              <w:rPr>
                <w:rFonts w:ascii="宋体"/>
              </w:rPr>
            </w:pPr>
          </w:p>
        </w:tc>
        <w:tc>
          <w:tcPr>
            <w:tcW w:w="1272" w:type="dxa"/>
            <w:tcBorders>
              <w:top w:val="single" w:color="auto" w:sz="6" w:space="0"/>
              <w:left w:val="single" w:color="auto" w:sz="6" w:space="0"/>
              <w:bottom w:val="single" w:color="auto" w:sz="6" w:space="0"/>
              <w:right w:val="single" w:color="auto" w:sz="4" w:space="0"/>
            </w:tcBorders>
            <w:noWrap/>
            <w:vAlign w:val="center"/>
          </w:tcPr>
          <w:p w14:paraId="747A68B1">
            <w:pPr>
              <w:spacing w:line="400" w:lineRule="exact"/>
              <w:jc w:val="center"/>
              <w:rPr>
                <w:rFonts w:ascii="宋体"/>
              </w:rPr>
            </w:pPr>
          </w:p>
        </w:tc>
      </w:tr>
      <w:tr w14:paraId="000E7BEF">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33" w:type="dxa"/>
            <w:tcBorders>
              <w:top w:val="single" w:color="auto" w:sz="6" w:space="0"/>
              <w:left w:val="single" w:color="auto" w:sz="4" w:space="0"/>
              <w:bottom w:val="single" w:color="auto" w:sz="6" w:space="0"/>
              <w:right w:val="single" w:color="auto" w:sz="6" w:space="0"/>
            </w:tcBorders>
            <w:noWrap/>
            <w:vAlign w:val="center"/>
          </w:tcPr>
          <w:p w14:paraId="6485D456">
            <w:pPr>
              <w:spacing w:line="400" w:lineRule="exact"/>
              <w:jc w:val="center"/>
              <w:rPr>
                <w:rFonts w:ascii="宋体"/>
              </w:rPr>
            </w:pPr>
          </w:p>
        </w:tc>
        <w:tc>
          <w:tcPr>
            <w:tcW w:w="1444" w:type="dxa"/>
            <w:tcBorders>
              <w:top w:val="single" w:color="auto" w:sz="6" w:space="0"/>
              <w:left w:val="single" w:color="auto" w:sz="6" w:space="0"/>
              <w:bottom w:val="single" w:color="auto" w:sz="6" w:space="0"/>
              <w:right w:val="single" w:color="auto" w:sz="6" w:space="0"/>
            </w:tcBorders>
            <w:noWrap/>
            <w:vAlign w:val="center"/>
          </w:tcPr>
          <w:p w14:paraId="72B7FC53">
            <w:pPr>
              <w:spacing w:line="400" w:lineRule="exact"/>
              <w:jc w:val="center"/>
              <w:rPr>
                <w:rFonts w:ascii="宋体"/>
              </w:rPr>
            </w:pPr>
          </w:p>
        </w:tc>
        <w:tc>
          <w:tcPr>
            <w:tcW w:w="1529" w:type="dxa"/>
            <w:tcBorders>
              <w:top w:val="single" w:color="auto" w:sz="6" w:space="0"/>
              <w:left w:val="single" w:color="auto" w:sz="6" w:space="0"/>
              <w:bottom w:val="single" w:color="auto" w:sz="6" w:space="0"/>
              <w:right w:val="single" w:color="auto" w:sz="6" w:space="0"/>
            </w:tcBorders>
            <w:noWrap/>
            <w:vAlign w:val="center"/>
          </w:tcPr>
          <w:p w14:paraId="1B51145A">
            <w:pPr>
              <w:spacing w:line="400" w:lineRule="exact"/>
              <w:jc w:val="center"/>
              <w:rPr>
                <w:rFonts w:ascii="宋体"/>
              </w:rPr>
            </w:pPr>
          </w:p>
        </w:tc>
        <w:tc>
          <w:tcPr>
            <w:tcW w:w="1394" w:type="dxa"/>
            <w:tcBorders>
              <w:top w:val="single" w:color="auto" w:sz="6" w:space="0"/>
              <w:left w:val="single" w:color="auto" w:sz="6" w:space="0"/>
              <w:bottom w:val="single" w:color="auto" w:sz="6" w:space="0"/>
              <w:right w:val="single" w:color="auto" w:sz="6" w:space="0"/>
            </w:tcBorders>
            <w:noWrap/>
            <w:vAlign w:val="center"/>
          </w:tcPr>
          <w:p w14:paraId="25E86339">
            <w:pPr>
              <w:spacing w:line="400" w:lineRule="exact"/>
              <w:jc w:val="center"/>
              <w:rPr>
                <w:rFonts w:ascii="宋体"/>
              </w:rPr>
            </w:pPr>
          </w:p>
        </w:tc>
        <w:tc>
          <w:tcPr>
            <w:tcW w:w="1411" w:type="dxa"/>
            <w:tcBorders>
              <w:top w:val="single" w:color="auto" w:sz="6" w:space="0"/>
              <w:left w:val="single" w:color="auto" w:sz="6" w:space="0"/>
              <w:bottom w:val="single" w:color="auto" w:sz="6" w:space="0"/>
              <w:right w:val="single" w:color="auto" w:sz="6" w:space="0"/>
            </w:tcBorders>
            <w:noWrap/>
            <w:vAlign w:val="center"/>
          </w:tcPr>
          <w:p w14:paraId="1DAD128B">
            <w:pPr>
              <w:spacing w:line="400" w:lineRule="exact"/>
              <w:jc w:val="center"/>
              <w:rPr>
                <w:rFonts w:ascii="宋体"/>
              </w:rPr>
            </w:pPr>
          </w:p>
        </w:tc>
        <w:tc>
          <w:tcPr>
            <w:tcW w:w="1272" w:type="dxa"/>
            <w:tcBorders>
              <w:top w:val="single" w:color="auto" w:sz="6" w:space="0"/>
              <w:left w:val="single" w:color="auto" w:sz="6" w:space="0"/>
              <w:bottom w:val="single" w:color="auto" w:sz="6" w:space="0"/>
              <w:right w:val="single" w:color="auto" w:sz="6" w:space="0"/>
            </w:tcBorders>
            <w:noWrap/>
          </w:tcPr>
          <w:p w14:paraId="3BD26A43">
            <w:pPr>
              <w:spacing w:line="400" w:lineRule="exact"/>
              <w:jc w:val="center"/>
              <w:rPr>
                <w:rFonts w:ascii="宋体"/>
              </w:rPr>
            </w:pPr>
          </w:p>
        </w:tc>
        <w:tc>
          <w:tcPr>
            <w:tcW w:w="1272" w:type="dxa"/>
            <w:tcBorders>
              <w:top w:val="single" w:color="auto" w:sz="6" w:space="0"/>
              <w:left w:val="single" w:color="auto" w:sz="6" w:space="0"/>
              <w:bottom w:val="single" w:color="auto" w:sz="6" w:space="0"/>
              <w:right w:val="single" w:color="auto" w:sz="4" w:space="0"/>
            </w:tcBorders>
            <w:noWrap/>
            <w:vAlign w:val="center"/>
          </w:tcPr>
          <w:p w14:paraId="438745EE">
            <w:pPr>
              <w:spacing w:line="400" w:lineRule="exact"/>
              <w:jc w:val="center"/>
              <w:rPr>
                <w:rFonts w:ascii="宋体"/>
              </w:rPr>
            </w:pPr>
          </w:p>
        </w:tc>
      </w:tr>
      <w:tr w14:paraId="71A4A0F0">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33" w:type="dxa"/>
            <w:tcBorders>
              <w:top w:val="single" w:color="auto" w:sz="6" w:space="0"/>
              <w:left w:val="single" w:color="auto" w:sz="4" w:space="0"/>
              <w:bottom w:val="single" w:color="auto" w:sz="6" w:space="0"/>
              <w:right w:val="single" w:color="auto" w:sz="6" w:space="0"/>
            </w:tcBorders>
            <w:noWrap/>
            <w:vAlign w:val="center"/>
          </w:tcPr>
          <w:p w14:paraId="5C6E1EE5">
            <w:pPr>
              <w:spacing w:line="400" w:lineRule="exact"/>
              <w:jc w:val="center"/>
              <w:rPr>
                <w:rFonts w:ascii="宋体"/>
              </w:rPr>
            </w:pPr>
          </w:p>
        </w:tc>
        <w:tc>
          <w:tcPr>
            <w:tcW w:w="1444" w:type="dxa"/>
            <w:tcBorders>
              <w:top w:val="single" w:color="auto" w:sz="6" w:space="0"/>
              <w:left w:val="single" w:color="auto" w:sz="6" w:space="0"/>
              <w:bottom w:val="single" w:color="auto" w:sz="6" w:space="0"/>
              <w:right w:val="single" w:color="auto" w:sz="6" w:space="0"/>
            </w:tcBorders>
            <w:noWrap/>
            <w:vAlign w:val="center"/>
          </w:tcPr>
          <w:p w14:paraId="08D886EA">
            <w:pPr>
              <w:spacing w:line="400" w:lineRule="exact"/>
              <w:jc w:val="center"/>
              <w:rPr>
                <w:rFonts w:ascii="宋体"/>
              </w:rPr>
            </w:pPr>
          </w:p>
        </w:tc>
        <w:tc>
          <w:tcPr>
            <w:tcW w:w="1529" w:type="dxa"/>
            <w:tcBorders>
              <w:top w:val="single" w:color="auto" w:sz="6" w:space="0"/>
              <w:left w:val="single" w:color="auto" w:sz="6" w:space="0"/>
              <w:bottom w:val="single" w:color="auto" w:sz="6" w:space="0"/>
              <w:right w:val="single" w:color="auto" w:sz="6" w:space="0"/>
            </w:tcBorders>
            <w:noWrap/>
            <w:vAlign w:val="center"/>
          </w:tcPr>
          <w:p w14:paraId="5D1026F2">
            <w:pPr>
              <w:spacing w:line="400" w:lineRule="exact"/>
              <w:jc w:val="center"/>
              <w:rPr>
                <w:rFonts w:ascii="宋体"/>
              </w:rPr>
            </w:pPr>
          </w:p>
        </w:tc>
        <w:tc>
          <w:tcPr>
            <w:tcW w:w="1394" w:type="dxa"/>
            <w:tcBorders>
              <w:top w:val="single" w:color="auto" w:sz="6" w:space="0"/>
              <w:left w:val="single" w:color="auto" w:sz="6" w:space="0"/>
              <w:bottom w:val="single" w:color="auto" w:sz="6" w:space="0"/>
              <w:right w:val="single" w:color="auto" w:sz="6" w:space="0"/>
            </w:tcBorders>
            <w:noWrap/>
            <w:vAlign w:val="center"/>
          </w:tcPr>
          <w:p w14:paraId="7A8AD6AB">
            <w:pPr>
              <w:spacing w:line="400" w:lineRule="exact"/>
              <w:jc w:val="center"/>
              <w:rPr>
                <w:rFonts w:ascii="宋体"/>
              </w:rPr>
            </w:pPr>
          </w:p>
        </w:tc>
        <w:tc>
          <w:tcPr>
            <w:tcW w:w="1411" w:type="dxa"/>
            <w:tcBorders>
              <w:top w:val="single" w:color="auto" w:sz="6" w:space="0"/>
              <w:left w:val="single" w:color="auto" w:sz="6" w:space="0"/>
              <w:bottom w:val="single" w:color="auto" w:sz="6" w:space="0"/>
              <w:right w:val="single" w:color="auto" w:sz="6" w:space="0"/>
            </w:tcBorders>
            <w:noWrap/>
            <w:vAlign w:val="center"/>
          </w:tcPr>
          <w:p w14:paraId="49655E92">
            <w:pPr>
              <w:spacing w:line="400" w:lineRule="exact"/>
              <w:jc w:val="center"/>
              <w:rPr>
                <w:rFonts w:ascii="宋体"/>
              </w:rPr>
            </w:pPr>
          </w:p>
        </w:tc>
        <w:tc>
          <w:tcPr>
            <w:tcW w:w="1272" w:type="dxa"/>
            <w:tcBorders>
              <w:top w:val="single" w:color="auto" w:sz="6" w:space="0"/>
              <w:left w:val="single" w:color="auto" w:sz="6" w:space="0"/>
              <w:bottom w:val="single" w:color="auto" w:sz="6" w:space="0"/>
              <w:right w:val="single" w:color="auto" w:sz="6" w:space="0"/>
            </w:tcBorders>
            <w:noWrap/>
          </w:tcPr>
          <w:p w14:paraId="69242BDA">
            <w:pPr>
              <w:spacing w:line="400" w:lineRule="exact"/>
              <w:jc w:val="center"/>
              <w:rPr>
                <w:rFonts w:ascii="宋体"/>
              </w:rPr>
            </w:pPr>
          </w:p>
        </w:tc>
        <w:tc>
          <w:tcPr>
            <w:tcW w:w="1272" w:type="dxa"/>
            <w:tcBorders>
              <w:top w:val="single" w:color="auto" w:sz="6" w:space="0"/>
              <w:left w:val="single" w:color="auto" w:sz="6" w:space="0"/>
              <w:bottom w:val="single" w:color="auto" w:sz="6" w:space="0"/>
              <w:right w:val="single" w:color="auto" w:sz="4" w:space="0"/>
            </w:tcBorders>
            <w:noWrap/>
            <w:vAlign w:val="center"/>
          </w:tcPr>
          <w:p w14:paraId="4645312C">
            <w:pPr>
              <w:spacing w:line="400" w:lineRule="exact"/>
              <w:jc w:val="center"/>
              <w:rPr>
                <w:rFonts w:ascii="宋体"/>
              </w:rPr>
            </w:pPr>
          </w:p>
        </w:tc>
      </w:tr>
      <w:tr w14:paraId="0C06CCE5">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33" w:type="dxa"/>
            <w:tcBorders>
              <w:top w:val="single" w:color="auto" w:sz="6" w:space="0"/>
              <w:left w:val="single" w:color="auto" w:sz="4" w:space="0"/>
              <w:bottom w:val="single" w:color="auto" w:sz="6" w:space="0"/>
              <w:right w:val="single" w:color="auto" w:sz="6" w:space="0"/>
            </w:tcBorders>
            <w:noWrap/>
            <w:vAlign w:val="center"/>
          </w:tcPr>
          <w:p w14:paraId="12D1A337">
            <w:pPr>
              <w:spacing w:line="400" w:lineRule="exact"/>
              <w:jc w:val="center"/>
              <w:rPr>
                <w:rFonts w:ascii="宋体"/>
              </w:rPr>
            </w:pPr>
          </w:p>
        </w:tc>
        <w:tc>
          <w:tcPr>
            <w:tcW w:w="1444" w:type="dxa"/>
            <w:tcBorders>
              <w:top w:val="single" w:color="auto" w:sz="6" w:space="0"/>
              <w:left w:val="single" w:color="auto" w:sz="6" w:space="0"/>
              <w:bottom w:val="single" w:color="auto" w:sz="6" w:space="0"/>
              <w:right w:val="single" w:color="auto" w:sz="6" w:space="0"/>
            </w:tcBorders>
            <w:noWrap/>
            <w:vAlign w:val="center"/>
          </w:tcPr>
          <w:p w14:paraId="618ED84E">
            <w:pPr>
              <w:spacing w:line="400" w:lineRule="exact"/>
              <w:jc w:val="center"/>
              <w:rPr>
                <w:rFonts w:ascii="宋体"/>
              </w:rPr>
            </w:pPr>
          </w:p>
        </w:tc>
        <w:tc>
          <w:tcPr>
            <w:tcW w:w="1529" w:type="dxa"/>
            <w:tcBorders>
              <w:top w:val="single" w:color="auto" w:sz="6" w:space="0"/>
              <w:left w:val="single" w:color="auto" w:sz="6" w:space="0"/>
              <w:bottom w:val="single" w:color="auto" w:sz="6" w:space="0"/>
              <w:right w:val="single" w:color="auto" w:sz="4" w:space="0"/>
            </w:tcBorders>
            <w:noWrap/>
            <w:vAlign w:val="center"/>
          </w:tcPr>
          <w:p w14:paraId="5146C01C">
            <w:pPr>
              <w:spacing w:line="400" w:lineRule="exact"/>
              <w:jc w:val="center"/>
              <w:rPr>
                <w:rFonts w:ascii="宋体"/>
              </w:rPr>
            </w:pPr>
          </w:p>
        </w:tc>
        <w:tc>
          <w:tcPr>
            <w:tcW w:w="1394" w:type="dxa"/>
            <w:tcBorders>
              <w:top w:val="single" w:color="auto" w:sz="6" w:space="0"/>
              <w:left w:val="single" w:color="auto" w:sz="4" w:space="0"/>
              <w:bottom w:val="single" w:color="auto" w:sz="6" w:space="0"/>
              <w:right w:val="single" w:color="auto" w:sz="6" w:space="0"/>
            </w:tcBorders>
            <w:noWrap/>
            <w:vAlign w:val="center"/>
          </w:tcPr>
          <w:p w14:paraId="5E8C532A">
            <w:pPr>
              <w:spacing w:line="400" w:lineRule="exact"/>
              <w:jc w:val="center"/>
              <w:rPr>
                <w:rFonts w:ascii="宋体"/>
              </w:rPr>
            </w:pPr>
          </w:p>
        </w:tc>
        <w:tc>
          <w:tcPr>
            <w:tcW w:w="1411" w:type="dxa"/>
            <w:tcBorders>
              <w:top w:val="single" w:color="auto" w:sz="6" w:space="0"/>
              <w:left w:val="single" w:color="auto" w:sz="6" w:space="0"/>
              <w:bottom w:val="single" w:color="auto" w:sz="6" w:space="0"/>
              <w:right w:val="single" w:color="auto" w:sz="6" w:space="0"/>
            </w:tcBorders>
            <w:noWrap/>
            <w:vAlign w:val="center"/>
          </w:tcPr>
          <w:p w14:paraId="1B076133">
            <w:pPr>
              <w:spacing w:line="400" w:lineRule="exact"/>
              <w:jc w:val="center"/>
              <w:rPr>
                <w:rFonts w:ascii="宋体"/>
              </w:rPr>
            </w:pPr>
          </w:p>
        </w:tc>
        <w:tc>
          <w:tcPr>
            <w:tcW w:w="1272" w:type="dxa"/>
            <w:tcBorders>
              <w:top w:val="single" w:color="auto" w:sz="6" w:space="0"/>
              <w:left w:val="single" w:color="auto" w:sz="6" w:space="0"/>
              <w:bottom w:val="single" w:color="auto" w:sz="6" w:space="0"/>
              <w:right w:val="single" w:color="auto" w:sz="6" w:space="0"/>
            </w:tcBorders>
            <w:noWrap/>
          </w:tcPr>
          <w:p w14:paraId="65E4902F">
            <w:pPr>
              <w:spacing w:line="400" w:lineRule="exact"/>
              <w:jc w:val="center"/>
              <w:rPr>
                <w:rFonts w:ascii="宋体"/>
              </w:rPr>
            </w:pPr>
          </w:p>
        </w:tc>
        <w:tc>
          <w:tcPr>
            <w:tcW w:w="1272" w:type="dxa"/>
            <w:tcBorders>
              <w:top w:val="single" w:color="auto" w:sz="6" w:space="0"/>
              <w:left w:val="single" w:color="auto" w:sz="6" w:space="0"/>
              <w:bottom w:val="single" w:color="auto" w:sz="6" w:space="0"/>
              <w:right w:val="single" w:color="auto" w:sz="4" w:space="0"/>
            </w:tcBorders>
            <w:noWrap/>
            <w:vAlign w:val="center"/>
          </w:tcPr>
          <w:p w14:paraId="3C6DC41F">
            <w:pPr>
              <w:spacing w:line="400" w:lineRule="exact"/>
              <w:jc w:val="center"/>
              <w:rPr>
                <w:rFonts w:ascii="宋体"/>
              </w:rPr>
            </w:pPr>
          </w:p>
        </w:tc>
      </w:tr>
      <w:tr w14:paraId="0D3AC9D9">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33" w:type="dxa"/>
            <w:tcBorders>
              <w:top w:val="single" w:color="auto" w:sz="6" w:space="0"/>
              <w:left w:val="single" w:color="auto" w:sz="4" w:space="0"/>
              <w:bottom w:val="single" w:color="auto" w:sz="6" w:space="0"/>
              <w:right w:val="single" w:color="auto" w:sz="4" w:space="0"/>
            </w:tcBorders>
            <w:noWrap/>
            <w:vAlign w:val="center"/>
          </w:tcPr>
          <w:p w14:paraId="755F472A">
            <w:pPr>
              <w:spacing w:line="400" w:lineRule="exact"/>
              <w:rPr>
                <w:rFonts w:ascii="宋体"/>
              </w:rPr>
            </w:pPr>
          </w:p>
        </w:tc>
        <w:tc>
          <w:tcPr>
            <w:tcW w:w="1444" w:type="dxa"/>
            <w:tcBorders>
              <w:top w:val="single" w:color="auto" w:sz="6" w:space="0"/>
              <w:left w:val="single" w:color="auto" w:sz="6" w:space="0"/>
              <w:bottom w:val="single" w:color="auto" w:sz="6" w:space="0"/>
              <w:right w:val="single" w:color="auto" w:sz="4" w:space="0"/>
            </w:tcBorders>
            <w:noWrap/>
            <w:vAlign w:val="center"/>
          </w:tcPr>
          <w:p w14:paraId="1F788311">
            <w:pPr>
              <w:spacing w:line="400" w:lineRule="exact"/>
              <w:rPr>
                <w:rFonts w:ascii="宋体"/>
              </w:rPr>
            </w:pPr>
          </w:p>
        </w:tc>
        <w:tc>
          <w:tcPr>
            <w:tcW w:w="1529" w:type="dxa"/>
            <w:tcBorders>
              <w:top w:val="single" w:color="auto" w:sz="6" w:space="0"/>
              <w:left w:val="single" w:color="auto" w:sz="4" w:space="0"/>
              <w:bottom w:val="single" w:color="auto" w:sz="6" w:space="0"/>
              <w:right w:val="single" w:color="auto" w:sz="4" w:space="0"/>
            </w:tcBorders>
            <w:noWrap/>
            <w:vAlign w:val="center"/>
          </w:tcPr>
          <w:p w14:paraId="5FF8F93B">
            <w:pPr>
              <w:spacing w:line="400" w:lineRule="exact"/>
              <w:rPr>
                <w:rFonts w:ascii="宋体"/>
              </w:rPr>
            </w:pPr>
          </w:p>
        </w:tc>
        <w:tc>
          <w:tcPr>
            <w:tcW w:w="1394" w:type="dxa"/>
            <w:tcBorders>
              <w:top w:val="single" w:color="auto" w:sz="6" w:space="0"/>
              <w:left w:val="single" w:color="auto" w:sz="4" w:space="0"/>
              <w:bottom w:val="single" w:color="auto" w:sz="6" w:space="0"/>
              <w:right w:val="single" w:color="auto" w:sz="4" w:space="0"/>
            </w:tcBorders>
            <w:noWrap/>
            <w:vAlign w:val="center"/>
          </w:tcPr>
          <w:p w14:paraId="7A7AA5AC">
            <w:pPr>
              <w:spacing w:line="400" w:lineRule="exact"/>
              <w:rPr>
                <w:rFonts w:ascii="宋体"/>
              </w:rPr>
            </w:pPr>
          </w:p>
        </w:tc>
        <w:tc>
          <w:tcPr>
            <w:tcW w:w="1411" w:type="dxa"/>
            <w:tcBorders>
              <w:top w:val="single" w:color="auto" w:sz="6" w:space="0"/>
              <w:left w:val="single" w:color="auto" w:sz="4" w:space="0"/>
              <w:bottom w:val="single" w:color="auto" w:sz="6" w:space="0"/>
              <w:right w:val="single" w:color="auto" w:sz="4" w:space="0"/>
            </w:tcBorders>
            <w:noWrap/>
            <w:vAlign w:val="center"/>
          </w:tcPr>
          <w:p w14:paraId="1ED04525">
            <w:pPr>
              <w:spacing w:line="400" w:lineRule="exact"/>
              <w:rPr>
                <w:rFonts w:ascii="宋体"/>
              </w:rPr>
            </w:pPr>
          </w:p>
        </w:tc>
        <w:tc>
          <w:tcPr>
            <w:tcW w:w="1272" w:type="dxa"/>
            <w:tcBorders>
              <w:top w:val="single" w:color="auto" w:sz="6" w:space="0"/>
              <w:left w:val="single" w:color="auto" w:sz="4" w:space="0"/>
              <w:bottom w:val="single" w:color="auto" w:sz="6" w:space="0"/>
              <w:right w:val="single" w:color="auto" w:sz="4" w:space="0"/>
            </w:tcBorders>
            <w:noWrap/>
          </w:tcPr>
          <w:p w14:paraId="7AD3076B">
            <w:pPr>
              <w:spacing w:line="400" w:lineRule="exact"/>
              <w:rPr>
                <w:rFonts w:ascii="宋体"/>
              </w:rPr>
            </w:pPr>
          </w:p>
        </w:tc>
        <w:tc>
          <w:tcPr>
            <w:tcW w:w="1272" w:type="dxa"/>
            <w:tcBorders>
              <w:top w:val="single" w:color="auto" w:sz="6" w:space="0"/>
              <w:left w:val="single" w:color="auto" w:sz="4" w:space="0"/>
              <w:bottom w:val="single" w:color="auto" w:sz="6" w:space="0"/>
              <w:right w:val="single" w:color="auto" w:sz="4" w:space="0"/>
            </w:tcBorders>
            <w:noWrap/>
            <w:vAlign w:val="center"/>
          </w:tcPr>
          <w:p w14:paraId="10849289">
            <w:pPr>
              <w:spacing w:line="400" w:lineRule="exact"/>
              <w:rPr>
                <w:rFonts w:ascii="宋体"/>
              </w:rPr>
            </w:pPr>
          </w:p>
        </w:tc>
      </w:tr>
      <w:tr w14:paraId="65D0096B">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33" w:type="dxa"/>
            <w:tcBorders>
              <w:top w:val="single" w:color="auto" w:sz="6" w:space="0"/>
              <w:left w:val="single" w:color="auto" w:sz="4" w:space="0"/>
              <w:bottom w:val="single" w:color="auto" w:sz="6" w:space="0"/>
              <w:right w:val="single" w:color="auto" w:sz="6" w:space="0"/>
            </w:tcBorders>
            <w:noWrap/>
            <w:vAlign w:val="center"/>
          </w:tcPr>
          <w:p w14:paraId="183DE7DF">
            <w:pPr>
              <w:spacing w:line="400" w:lineRule="exact"/>
              <w:rPr>
                <w:rFonts w:ascii="宋体"/>
              </w:rPr>
            </w:pPr>
          </w:p>
        </w:tc>
        <w:tc>
          <w:tcPr>
            <w:tcW w:w="1444" w:type="dxa"/>
            <w:tcBorders>
              <w:top w:val="single" w:color="auto" w:sz="6" w:space="0"/>
              <w:left w:val="single" w:color="auto" w:sz="6" w:space="0"/>
              <w:bottom w:val="single" w:color="auto" w:sz="6" w:space="0"/>
              <w:right w:val="single" w:color="auto" w:sz="6" w:space="0"/>
            </w:tcBorders>
            <w:noWrap/>
            <w:vAlign w:val="center"/>
          </w:tcPr>
          <w:p w14:paraId="41758D72">
            <w:pPr>
              <w:spacing w:line="400" w:lineRule="exact"/>
              <w:rPr>
                <w:rFonts w:ascii="宋体"/>
              </w:rPr>
            </w:pPr>
          </w:p>
        </w:tc>
        <w:tc>
          <w:tcPr>
            <w:tcW w:w="1529" w:type="dxa"/>
            <w:tcBorders>
              <w:top w:val="single" w:color="auto" w:sz="6" w:space="0"/>
              <w:left w:val="single" w:color="auto" w:sz="6" w:space="0"/>
              <w:bottom w:val="single" w:color="auto" w:sz="6" w:space="0"/>
              <w:right w:val="single" w:color="auto" w:sz="6" w:space="0"/>
            </w:tcBorders>
            <w:noWrap/>
            <w:vAlign w:val="center"/>
          </w:tcPr>
          <w:p w14:paraId="4F142D64">
            <w:pPr>
              <w:spacing w:line="400" w:lineRule="exact"/>
              <w:rPr>
                <w:rFonts w:ascii="宋体"/>
              </w:rPr>
            </w:pPr>
          </w:p>
        </w:tc>
        <w:tc>
          <w:tcPr>
            <w:tcW w:w="1394" w:type="dxa"/>
            <w:tcBorders>
              <w:top w:val="single" w:color="auto" w:sz="6" w:space="0"/>
              <w:left w:val="single" w:color="auto" w:sz="6" w:space="0"/>
              <w:bottom w:val="single" w:color="auto" w:sz="6" w:space="0"/>
              <w:right w:val="single" w:color="auto" w:sz="6" w:space="0"/>
            </w:tcBorders>
            <w:noWrap/>
            <w:vAlign w:val="center"/>
          </w:tcPr>
          <w:p w14:paraId="4F084369">
            <w:pPr>
              <w:spacing w:line="400" w:lineRule="exact"/>
              <w:rPr>
                <w:rFonts w:ascii="宋体"/>
              </w:rPr>
            </w:pPr>
          </w:p>
        </w:tc>
        <w:tc>
          <w:tcPr>
            <w:tcW w:w="1411" w:type="dxa"/>
            <w:tcBorders>
              <w:top w:val="single" w:color="auto" w:sz="6" w:space="0"/>
              <w:left w:val="single" w:color="auto" w:sz="6" w:space="0"/>
              <w:bottom w:val="single" w:color="auto" w:sz="6" w:space="0"/>
              <w:right w:val="single" w:color="auto" w:sz="6" w:space="0"/>
            </w:tcBorders>
            <w:noWrap/>
            <w:vAlign w:val="center"/>
          </w:tcPr>
          <w:p w14:paraId="3DA49920">
            <w:pPr>
              <w:spacing w:line="400" w:lineRule="exact"/>
              <w:rPr>
                <w:rFonts w:ascii="宋体"/>
              </w:rPr>
            </w:pPr>
          </w:p>
        </w:tc>
        <w:tc>
          <w:tcPr>
            <w:tcW w:w="1272" w:type="dxa"/>
            <w:tcBorders>
              <w:top w:val="single" w:color="auto" w:sz="6" w:space="0"/>
              <w:left w:val="single" w:color="auto" w:sz="6" w:space="0"/>
              <w:bottom w:val="single" w:color="auto" w:sz="6" w:space="0"/>
              <w:right w:val="single" w:color="auto" w:sz="6" w:space="0"/>
            </w:tcBorders>
            <w:noWrap/>
          </w:tcPr>
          <w:p w14:paraId="0A7E1B40">
            <w:pPr>
              <w:spacing w:line="400" w:lineRule="exact"/>
              <w:rPr>
                <w:rFonts w:ascii="宋体"/>
              </w:rPr>
            </w:pPr>
          </w:p>
        </w:tc>
        <w:tc>
          <w:tcPr>
            <w:tcW w:w="1272" w:type="dxa"/>
            <w:tcBorders>
              <w:top w:val="single" w:color="auto" w:sz="6" w:space="0"/>
              <w:left w:val="single" w:color="auto" w:sz="6" w:space="0"/>
              <w:bottom w:val="single" w:color="auto" w:sz="6" w:space="0"/>
              <w:right w:val="single" w:color="auto" w:sz="4" w:space="0"/>
            </w:tcBorders>
            <w:noWrap/>
            <w:vAlign w:val="center"/>
          </w:tcPr>
          <w:p w14:paraId="535C0AA3">
            <w:pPr>
              <w:spacing w:line="400" w:lineRule="exact"/>
              <w:rPr>
                <w:rFonts w:ascii="宋体"/>
              </w:rPr>
            </w:pPr>
          </w:p>
        </w:tc>
      </w:tr>
      <w:tr w14:paraId="564B4F8D">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33" w:type="dxa"/>
            <w:tcBorders>
              <w:top w:val="single" w:color="auto" w:sz="6" w:space="0"/>
              <w:left w:val="single" w:color="auto" w:sz="4" w:space="0"/>
              <w:bottom w:val="single" w:color="auto" w:sz="6" w:space="0"/>
              <w:right w:val="single" w:color="auto" w:sz="6" w:space="0"/>
            </w:tcBorders>
            <w:noWrap/>
            <w:vAlign w:val="center"/>
          </w:tcPr>
          <w:p w14:paraId="1C495E84">
            <w:pPr>
              <w:spacing w:line="400" w:lineRule="exact"/>
              <w:jc w:val="center"/>
              <w:rPr>
                <w:rFonts w:ascii="宋体"/>
              </w:rPr>
            </w:pPr>
          </w:p>
        </w:tc>
        <w:tc>
          <w:tcPr>
            <w:tcW w:w="1444" w:type="dxa"/>
            <w:tcBorders>
              <w:top w:val="single" w:color="auto" w:sz="6" w:space="0"/>
              <w:left w:val="single" w:color="auto" w:sz="6" w:space="0"/>
              <w:bottom w:val="single" w:color="auto" w:sz="6" w:space="0"/>
              <w:right w:val="single" w:color="auto" w:sz="6" w:space="0"/>
            </w:tcBorders>
            <w:noWrap/>
            <w:vAlign w:val="center"/>
          </w:tcPr>
          <w:p w14:paraId="78B1CBB7">
            <w:pPr>
              <w:spacing w:line="400" w:lineRule="exact"/>
              <w:jc w:val="center"/>
              <w:rPr>
                <w:rFonts w:ascii="宋体"/>
              </w:rPr>
            </w:pPr>
          </w:p>
        </w:tc>
        <w:tc>
          <w:tcPr>
            <w:tcW w:w="1529" w:type="dxa"/>
            <w:tcBorders>
              <w:top w:val="single" w:color="auto" w:sz="6" w:space="0"/>
              <w:left w:val="single" w:color="auto" w:sz="6" w:space="0"/>
              <w:bottom w:val="single" w:color="auto" w:sz="6" w:space="0"/>
              <w:right w:val="single" w:color="auto" w:sz="6" w:space="0"/>
            </w:tcBorders>
            <w:noWrap/>
            <w:vAlign w:val="center"/>
          </w:tcPr>
          <w:p w14:paraId="00A2FF69">
            <w:pPr>
              <w:spacing w:line="400" w:lineRule="exact"/>
              <w:jc w:val="center"/>
              <w:rPr>
                <w:rFonts w:ascii="宋体"/>
              </w:rPr>
            </w:pPr>
          </w:p>
        </w:tc>
        <w:tc>
          <w:tcPr>
            <w:tcW w:w="1394" w:type="dxa"/>
            <w:tcBorders>
              <w:top w:val="single" w:color="auto" w:sz="6" w:space="0"/>
              <w:left w:val="single" w:color="auto" w:sz="6" w:space="0"/>
              <w:bottom w:val="single" w:color="auto" w:sz="6" w:space="0"/>
              <w:right w:val="single" w:color="auto" w:sz="6" w:space="0"/>
            </w:tcBorders>
            <w:noWrap/>
            <w:vAlign w:val="center"/>
          </w:tcPr>
          <w:p w14:paraId="121843E6">
            <w:pPr>
              <w:spacing w:line="400" w:lineRule="exact"/>
              <w:jc w:val="center"/>
              <w:rPr>
                <w:rFonts w:ascii="宋体"/>
              </w:rPr>
            </w:pPr>
          </w:p>
        </w:tc>
        <w:tc>
          <w:tcPr>
            <w:tcW w:w="1411" w:type="dxa"/>
            <w:tcBorders>
              <w:top w:val="single" w:color="auto" w:sz="6" w:space="0"/>
              <w:left w:val="single" w:color="auto" w:sz="6" w:space="0"/>
              <w:bottom w:val="single" w:color="auto" w:sz="6" w:space="0"/>
              <w:right w:val="single" w:color="auto" w:sz="6" w:space="0"/>
            </w:tcBorders>
            <w:noWrap/>
            <w:vAlign w:val="center"/>
          </w:tcPr>
          <w:p w14:paraId="2A4AF397">
            <w:pPr>
              <w:spacing w:line="400" w:lineRule="exact"/>
              <w:jc w:val="center"/>
              <w:rPr>
                <w:rFonts w:ascii="宋体"/>
              </w:rPr>
            </w:pPr>
          </w:p>
        </w:tc>
        <w:tc>
          <w:tcPr>
            <w:tcW w:w="1272" w:type="dxa"/>
            <w:tcBorders>
              <w:top w:val="single" w:color="auto" w:sz="6" w:space="0"/>
              <w:left w:val="single" w:color="auto" w:sz="6" w:space="0"/>
              <w:bottom w:val="single" w:color="auto" w:sz="6" w:space="0"/>
              <w:right w:val="single" w:color="auto" w:sz="6" w:space="0"/>
            </w:tcBorders>
            <w:noWrap/>
          </w:tcPr>
          <w:p w14:paraId="4CA6A2A2">
            <w:pPr>
              <w:spacing w:line="400" w:lineRule="exact"/>
              <w:jc w:val="center"/>
              <w:rPr>
                <w:rFonts w:ascii="宋体"/>
              </w:rPr>
            </w:pPr>
          </w:p>
        </w:tc>
        <w:tc>
          <w:tcPr>
            <w:tcW w:w="1272" w:type="dxa"/>
            <w:tcBorders>
              <w:top w:val="single" w:color="auto" w:sz="6" w:space="0"/>
              <w:left w:val="single" w:color="auto" w:sz="6" w:space="0"/>
              <w:bottom w:val="single" w:color="auto" w:sz="6" w:space="0"/>
              <w:right w:val="single" w:color="auto" w:sz="4" w:space="0"/>
            </w:tcBorders>
            <w:noWrap/>
            <w:vAlign w:val="center"/>
          </w:tcPr>
          <w:p w14:paraId="1070F306">
            <w:pPr>
              <w:spacing w:line="400" w:lineRule="exact"/>
              <w:jc w:val="center"/>
              <w:rPr>
                <w:rFonts w:ascii="宋体"/>
              </w:rPr>
            </w:pPr>
          </w:p>
        </w:tc>
      </w:tr>
      <w:tr w14:paraId="39A70DFB">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33" w:type="dxa"/>
            <w:tcBorders>
              <w:top w:val="single" w:color="auto" w:sz="6" w:space="0"/>
              <w:left w:val="single" w:color="auto" w:sz="4" w:space="0"/>
              <w:bottom w:val="single" w:color="auto" w:sz="6" w:space="0"/>
              <w:right w:val="single" w:color="auto" w:sz="6" w:space="0"/>
            </w:tcBorders>
            <w:noWrap/>
            <w:vAlign w:val="center"/>
          </w:tcPr>
          <w:p w14:paraId="5F9ACB9C">
            <w:pPr>
              <w:spacing w:line="400" w:lineRule="exact"/>
              <w:jc w:val="center"/>
              <w:rPr>
                <w:rFonts w:ascii="宋体"/>
              </w:rPr>
            </w:pPr>
          </w:p>
        </w:tc>
        <w:tc>
          <w:tcPr>
            <w:tcW w:w="1444" w:type="dxa"/>
            <w:tcBorders>
              <w:top w:val="single" w:color="auto" w:sz="6" w:space="0"/>
              <w:left w:val="single" w:color="auto" w:sz="6" w:space="0"/>
              <w:bottom w:val="single" w:color="auto" w:sz="6" w:space="0"/>
              <w:right w:val="single" w:color="auto" w:sz="6" w:space="0"/>
            </w:tcBorders>
            <w:noWrap/>
            <w:vAlign w:val="center"/>
          </w:tcPr>
          <w:p w14:paraId="15A1CB4F">
            <w:pPr>
              <w:spacing w:line="400" w:lineRule="exact"/>
              <w:jc w:val="center"/>
              <w:rPr>
                <w:rFonts w:ascii="宋体"/>
              </w:rPr>
            </w:pPr>
          </w:p>
        </w:tc>
        <w:tc>
          <w:tcPr>
            <w:tcW w:w="1529" w:type="dxa"/>
            <w:tcBorders>
              <w:top w:val="single" w:color="auto" w:sz="6" w:space="0"/>
              <w:left w:val="single" w:color="auto" w:sz="6" w:space="0"/>
              <w:bottom w:val="single" w:color="auto" w:sz="6" w:space="0"/>
              <w:right w:val="single" w:color="auto" w:sz="6" w:space="0"/>
            </w:tcBorders>
            <w:noWrap/>
            <w:vAlign w:val="center"/>
          </w:tcPr>
          <w:p w14:paraId="1457D431">
            <w:pPr>
              <w:spacing w:line="400" w:lineRule="exact"/>
              <w:jc w:val="center"/>
              <w:rPr>
                <w:rFonts w:ascii="宋体"/>
              </w:rPr>
            </w:pPr>
          </w:p>
        </w:tc>
        <w:tc>
          <w:tcPr>
            <w:tcW w:w="1394" w:type="dxa"/>
            <w:tcBorders>
              <w:top w:val="single" w:color="auto" w:sz="6" w:space="0"/>
              <w:left w:val="single" w:color="auto" w:sz="6" w:space="0"/>
              <w:bottom w:val="single" w:color="auto" w:sz="6" w:space="0"/>
              <w:right w:val="single" w:color="auto" w:sz="6" w:space="0"/>
            </w:tcBorders>
            <w:noWrap/>
            <w:vAlign w:val="center"/>
          </w:tcPr>
          <w:p w14:paraId="52BE8724">
            <w:pPr>
              <w:spacing w:line="400" w:lineRule="exact"/>
              <w:jc w:val="center"/>
              <w:rPr>
                <w:rFonts w:ascii="宋体"/>
              </w:rPr>
            </w:pPr>
          </w:p>
        </w:tc>
        <w:tc>
          <w:tcPr>
            <w:tcW w:w="1411" w:type="dxa"/>
            <w:tcBorders>
              <w:top w:val="single" w:color="auto" w:sz="6" w:space="0"/>
              <w:left w:val="single" w:color="auto" w:sz="6" w:space="0"/>
              <w:bottom w:val="single" w:color="auto" w:sz="6" w:space="0"/>
              <w:right w:val="single" w:color="auto" w:sz="6" w:space="0"/>
            </w:tcBorders>
            <w:noWrap/>
            <w:vAlign w:val="center"/>
          </w:tcPr>
          <w:p w14:paraId="2B81B356">
            <w:pPr>
              <w:spacing w:line="400" w:lineRule="exact"/>
              <w:jc w:val="center"/>
              <w:rPr>
                <w:rFonts w:ascii="宋体"/>
              </w:rPr>
            </w:pPr>
          </w:p>
        </w:tc>
        <w:tc>
          <w:tcPr>
            <w:tcW w:w="1272" w:type="dxa"/>
            <w:tcBorders>
              <w:top w:val="single" w:color="auto" w:sz="6" w:space="0"/>
              <w:left w:val="single" w:color="auto" w:sz="6" w:space="0"/>
              <w:bottom w:val="single" w:color="auto" w:sz="6" w:space="0"/>
              <w:right w:val="single" w:color="auto" w:sz="6" w:space="0"/>
            </w:tcBorders>
            <w:noWrap/>
          </w:tcPr>
          <w:p w14:paraId="259D46D7">
            <w:pPr>
              <w:spacing w:line="400" w:lineRule="exact"/>
              <w:jc w:val="center"/>
              <w:rPr>
                <w:rFonts w:ascii="宋体"/>
              </w:rPr>
            </w:pPr>
          </w:p>
        </w:tc>
        <w:tc>
          <w:tcPr>
            <w:tcW w:w="1272" w:type="dxa"/>
            <w:tcBorders>
              <w:top w:val="single" w:color="auto" w:sz="6" w:space="0"/>
              <w:left w:val="single" w:color="auto" w:sz="6" w:space="0"/>
              <w:bottom w:val="single" w:color="auto" w:sz="6" w:space="0"/>
              <w:right w:val="single" w:color="auto" w:sz="4" w:space="0"/>
            </w:tcBorders>
            <w:noWrap/>
            <w:vAlign w:val="center"/>
          </w:tcPr>
          <w:p w14:paraId="5084C8D3">
            <w:pPr>
              <w:spacing w:line="400" w:lineRule="exact"/>
              <w:jc w:val="center"/>
              <w:rPr>
                <w:rFonts w:ascii="宋体"/>
              </w:rPr>
            </w:pPr>
          </w:p>
        </w:tc>
      </w:tr>
      <w:tr w14:paraId="724F9FDF">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933" w:type="dxa"/>
            <w:tcBorders>
              <w:top w:val="single" w:color="auto" w:sz="6" w:space="0"/>
              <w:left w:val="single" w:color="auto" w:sz="4" w:space="0"/>
              <w:bottom w:val="single" w:color="auto" w:sz="4" w:space="0"/>
              <w:right w:val="single" w:color="auto" w:sz="6" w:space="0"/>
            </w:tcBorders>
            <w:noWrap/>
            <w:vAlign w:val="center"/>
          </w:tcPr>
          <w:p w14:paraId="0F84FD7C">
            <w:pPr>
              <w:spacing w:line="400" w:lineRule="exact"/>
              <w:jc w:val="center"/>
              <w:rPr>
                <w:rFonts w:ascii="宋体"/>
              </w:rPr>
            </w:pPr>
          </w:p>
        </w:tc>
        <w:tc>
          <w:tcPr>
            <w:tcW w:w="1444" w:type="dxa"/>
            <w:tcBorders>
              <w:top w:val="single" w:color="auto" w:sz="6" w:space="0"/>
              <w:left w:val="single" w:color="auto" w:sz="6" w:space="0"/>
              <w:bottom w:val="single" w:color="auto" w:sz="4" w:space="0"/>
              <w:right w:val="single" w:color="auto" w:sz="6" w:space="0"/>
            </w:tcBorders>
            <w:noWrap/>
            <w:vAlign w:val="center"/>
          </w:tcPr>
          <w:p w14:paraId="184D693B">
            <w:pPr>
              <w:spacing w:line="400" w:lineRule="exact"/>
              <w:jc w:val="center"/>
              <w:rPr>
                <w:rFonts w:ascii="宋体"/>
              </w:rPr>
            </w:pPr>
          </w:p>
        </w:tc>
        <w:tc>
          <w:tcPr>
            <w:tcW w:w="1529" w:type="dxa"/>
            <w:tcBorders>
              <w:top w:val="single" w:color="auto" w:sz="6" w:space="0"/>
              <w:left w:val="single" w:color="auto" w:sz="6" w:space="0"/>
              <w:bottom w:val="single" w:color="auto" w:sz="4" w:space="0"/>
              <w:right w:val="single" w:color="auto" w:sz="6" w:space="0"/>
            </w:tcBorders>
            <w:noWrap/>
            <w:vAlign w:val="center"/>
          </w:tcPr>
          <w:p w14:paraId="4D12953A">
            <w:pPr>
              <w:spacing w:line="400" w:lineRule="exact"/>
              <w:jc w:val="center"/>
              <w:rPr>
                <w:rFonts w:ascii="宋体"/>
              </w:rPr>
            </w:pPr>
          </w:p>
        </w:tc>
        <w:tc>
          <w:tcPr>
            <w:tcW w:w="1394" w:type="dxa"/>
            <w:tcBorders>
              <w:top w:val="single" w:color="auto" w:sz="6" w:space="0"/>
              <w:left w:val="single" w:color="auto" w:sz="6" w:space="0"/>
              <w:bottom w:val="single" w:color="auto" w:sz="4" w:space="0"/>
              <w:right w:val="single" w:color="auto" w:sz="6" w:space="0"/>
            </w:tcBorders>
            <w:noWrap/>
            <w:vAlign w:val="center"/>
          </w:tcPr>
          <w:p w14:paraId="0D701186">
            <w:pPr>
              <w:spacing w:line="400" w:lineRule="exact"/>
              <w:jc w:val="center"/>
              <w:rPr>
                <w:rFonts w:ascii="宋体"/>
              </w:rPr>
            </w:pPr>
          </w:p>
        </w:tc>
        <w:tc>
          <w:tcPr>
            <w:tcW w:w="1411" w:type="dxa"/>
            <w:tcBorders>
              <w:top w:val="single" w:color="auto" w:sz="6" w:space="0"/>
              <w:left w:val="single" w:color="auto" w:sz="6" w:space="0"/>
              <w:bottom w:val="single" w:color="auto" w:sz="4" w:space="0"/>
              <w:right w:val="single" w:color="auto" w:sz="6" w:space="0"/>
            </w:tcBorders>
            <w:noWrap/>
            <w:vAlign w:val="center"/>
          </w:tcPr>
          <w:p w14:paraId="1F7902B6">
            <w:pPr>
              <w:spacing w:line="400" w:lineRule="exact"/>
              <w:jc w:val="center"/>
              <w:rPr>
                <w:rFonts w:ascii="宋体"/>
              </w:rPr>
            </w:pPr>
          </w:p>
        </w:tc>
        <w:tc>
          <w:tcPr>
            <w:tcW w:w="1272" w:type="dxa"/>
            <w:tcBorders>
              <w:top w:val="single" w:color="auto" w:sz="6" w:space="0"/>
              <w:left w:val="single" w:color="auto" w:sz="6" w:space="0"/>
              <w:bottom w:val="single" w:color="auto" w:sz="4" w:space="0"/>
              <w:right w:val="single" w:color="auto" w:sz="6" w:space="0"/>
            </w:tcBorders>
            <w:noWrap/>
          </w:tcPr>
          <w:p w14:paraId="4112780C">
            <w:pPr>
              <w:spacing w:line="400" w:lineRule="exact"/>
              <w:jc w:val="center"/>
              <w:rPr>
                <w:rFonts w:ascii="宋体"/>
              </w:rPr>
            </w:pPr>
          </w:p>
        </w:tc>
        <w:tc>
          <w:tcPr>
            <w:tcW w:w="1272" w:type="dxa"/>
            <w:tcBorders>
              <w:top w:val="single" w:color="auto" w:sz="6" w:space="0"/>
              <w:left w:val="single" w:color="auto" w:sz="6" w:space="0"/>
              <w:bottom w:val="single" w:color="auto" w:sz="4" w:space="0"/>
              <w:right w:val="single" w:color="auto" w:sz="4" w:space="0"/>
            </w:tcBorders>
            <w:noWrap/>
            <w:vAlign w:val="center"/>
          </w:tcPr>
          <w:p w14:paraId="128E56D6">
            <w:pPr>
              <w:spacing w:line="400" w:lineRule="exact"/>
              <w:jc w:val="center"/>
              <w:rPr>
                <w:rFonts w:ascii="宋体"/>
              </w:rPr>
            </w:pPr>
          </w:p>
        </w:tc>
      </w:tr>
    </w:tbl>
    <w:p w14:paraId="52CDF8D1">
      <w:pPr>
        <w:spacing w:line="400" w:lineRule="exact"/>
        <w:ind w:left="360"/>
        <w:jc w:val="center"/>
        <w:rPr>
          <w:rFonts w:ascii="宋体"/>
        </w:rPr>
      </w:pPr>
    </w:p>
    <w:p w14:paraId="661FCEB1">
      <w:pPr>
        <w:shd w:val="solid" w:color="FFFFFF" w:fill="auto"/>
        <w:tabs>
          <w:tab w:val="left" w:pos="555"/>
          <w:tab w:val="left" w:pos="2214"/>
          <w:tab w:val="left" w:pos="3774"/>
          <w:tab w:val="left" w:pos="4854"/>
          <w:tab w:val="left" w:pos="5934"/>
          <w:tab w:val="left" w:pos="7014"/>
          <w:tab w:val="left" w:pos="8214"/>
          <w:tab w:val="left" w:pos="10134"/>
          <w:tab w:val="left" w:pos="11124"/>
        </w:tabs>
        <w:autoSpaceDN w:val="0"/>
        <w:spacing w:line="480" w:lineRule="auto"/>
        <w:rPr>
          <w:rFonts w:ascii="宋体" w:hAnsi="宋体"/>
          <w:szCs w:val="24"/>
          <w:shd w:val="clear" w:color="auto" w:fill="FFFFFF"/>
        </w:rPr>
      </w:pPr>
      <w:r>
        <w:rPr>
          <w:rFonts w:hint="eastAsia" w:ascii="宋体" w:hAnsi="宋体"/>
          <w:shd w:val="clear" w:color="auto" w:fill="FFFFFF"/>
        </w:rPr>
        <w:t>注：提供合同复印件，加盖单位公章。</w:t>
      </w:r>
    </w:p>
    <w:p w14:paraId="3F56C2B1">
      <w:pPr>
        <w:keepNext/>
        <w:keepLines/>
      </w:pPr>
    </w:p>
    <w:p w14:paraId="2206F32D">
      <w:pPr>
        <w:rPr>
          <w:rFonts w:ascii="宋体" w:hAnsi="宋体"/>
          <w:shd w:val="clear" w:color="auto" w:fill="FFFFFF"/>
        </w:rPr>
      </w:pPr>
      <w:bookmarkStart w:id="290" w:name="_Toc154755506"/>
      <w:bookmarkStart w:id="291" w:name="_Toc154744462"/>
      <w:r>
        <w:rPr>
          <w:rFonts w:hint="eastAsia" w:ascii="宋体" w:hAnsi="宋体"/>
          <w:shd w:val="clear" w:color="auto" w:fill="FFFFFF"/>
          <w:lang w:eastAsia="zh-CN"/>
        </w:rPr>
        <w:t>供应商</w:t>
      </w:r>
      <w:r>
        <w:rPr>
          <w:rFonts w:hint="eastAsia" w:ascii="宋体" w:hAnsi="宋体"/>
          <w:shd w:val="clear" w:color="auto" w:fill="FFFFFF"/>
        </w:rPr>
        <w:t>名称：（盖章）</w:t>
      </w:r>
      <w:bookmarkEnd w:id="290"/>
      <w:bookmarkEnd w:id="291"/>
    </w:p>
    <w:p w14:paraId="14378CF3">
      <w:pPr>
        <w:rPr>
          <w:rFonts w:ascii="宋体" w:hAnsi="宋体"/>
          <w:shd w:val="clear" w:color="auto" w:fill="FFFFFF"/>
        </w:rPr>
      </w:pPr>
      <w:bookmarkStart w:id="292" w:name="_Toc154755507"/>
      <w:bookmarkStart w:id="293" w:name="_Toc154744463"/>
      <w:r>
        <w:rPr>
          <w:rFonts w:hint="eastAsia" w:ascii="宋体" w:hAnsi="宋体"/>
          <w:shd w:val="clear" w:color="auto" w:fill="FFFFFF"/>
        </w:rPr>
        <w:t>法定代表人或被授权人（签字</w:t>
      </w:r>
      <w:r>
        <w:rPr>
          <w:rFonts w:hint="eastAsia" w:ascii="宋体" w:hAnsi="宋体"/>
          <w:shd w:val="clear" w:color="auto" w:fill="FFFFFF"/>
          <w:lang w:val="en-US" w:eastAsia="zh-CN"/>
        </w:rPr>
        <w:t>或盖章</w:t>
      </w:r>
      <w:r>
        <w:rPr>
          <w:rFonts w:hint="eastAsia" w:ascii="宋体" w:hAnsi="宋体"/>
          <w:shd w:val="clear" w:color="auto" w:fill="FFFFFF"/>
        </w:rPr>
        <w:t>）：</w:t>
      </w:r>
      <w:bookmarkEnd w:id="292"/>
      <w:bookmarkEnd w:id="293"/>
    </w:p>
    <w:p w14:paraId="5398B521">
      <w:pPr>
        <w:keepNext/>
        <w:keepLines/>
        <w:rPr>
          <w:rFonts w:ascii="宋体" w:hAnsi="宋体"/>
          <w:shd w:val="clear" w:color="auto" w:fill="FFFFFF"/>
        </w:rPr>
      </w:pPr>
      <w:bookmarkStart w:id="294" w:name="_Toc154744464"/>
      <w:bookmarkStart w:id="295" w:name="_Toc154755508"/>
      <w:r>
        <w:rPr>
          <w:rFonts w:hint="eastAsia" w:ascii="宋体" w:hAnsi="宋体"/>
          <w:shd w:val="clear" w:color="auto" w:fill="FFFFFF"/>
        </w:rPr>
        <w:t>日期</w:t>
      </w:r>
      <w:r>
        <w:rPr>
          <w:rFonts w:ascii="宋体" w:hAnsi="宋体"/>
          <w:shd w:val="clear" w:color="auto" w:fill="FFFFFF"/>
        </w:rPr>
        <w:t>:</w:t>
      </w:r>
      <w:bookmarkEnd w:id="294"/>
      <w:bookmarkEnd w:id="295"/>
    </w:p>
    <w:p w14:paraId="666438D8"/>
    <w:p w14:paraId="564D7DFE">
      <w:pPr>
        <w:spacing w:line="320" w:lineRule="exact"/>
        <w:jc w:val="center"/>
        <w:textAlignment w:val="baseline"/>
        <w:rPr>
          <w:rFonts w:ascii="宋体" w:hAnsi="宋体" w:cs="宋体"/>
          <w:b/>
          <w:bCs/>
          <w:kern w:val="0"/>
          <w:sz w:val="30"/>
          <w:szCs w:val="30"/>
        </w:rPr>
      </w:pPr>
    </w:p>
    <w:p w14:paraId="680D5A4D">
      <w:pPr>
        <w:spacing w:line="320" w:lineRule="exact"/>
        <w:jc w:val="center"/>
        <w:textAlignment w:val="baseline"/>
        <w:rPr>
          <w:rFonts w:ascii="宋体" w:hAnsi="宋体" w:cs="宋体"/>
          <w:b/>
          <w:bCs/>
          <w:kern w:val="0"/>
          <w:sz w:val="30"/>
          <w:szCs w:val="30"/>
        </w:rPr>
      </w:pPr>
    </w:p>
    <w:p w14:paraId="4BD7BEEF">
      <w:pPr>
        <w:spacing w:line="320" w:lineRule="exact"/>
        <w:jc w:val="center"/>
        <w:textAlignment w:val="baseline"/>
        <w:rPr>
          <w:rFonts w:ascii="宋体" w:hAnsi="宋体" w:cs="宋体"/>
          <w:b/>
          <w:bCs/>
          <w:kern w:val="0"/>
          <w:sz w:val="30"/>
          <w:szCs w:val="30"/>
        </w:rPr>
      </w:pPr>
    </w:p>
    <w:p w14:paraId="1FC529C5">
      <w:pPr>
        <w:spacing w:line="320" w:lineRule="exact"/>
        <w:jc w:val="center"/>
        <w:textAlignment w:val="baseline"/>
        <w:rPr>
          <w:rFonts w:ascii="宋体" w:hAnsi="宋体" w:cs="宋体"/>
          <w:b/>
          <w:bCs/>
          <w:kern w:val="0"/>
          <w:sz w:val="30"/>
          <w:szCs w:val="30"/>
        </w:rPr>
      </w:pPr>
    </w:p>
    <w:p w14:paraId="0C0CB51F">
      <w:pPr>
        <w:spacing w:line="320" w:lineRule="exact"/>
        <w:jc w:val="center"/>
        <w:textAlignment w:val="baseline"/>
        <w:rPr>
          <w:rFonts w:ascii="宋体" w:hAnsi="宋体" w:cs="宋体"/>
          <w:b/>
          <w:bCs/>
          <w:kern w:val="0"/>
          <w:sz w:val="30"/>
          <w:szCs w:val="30"/>
        </w:rPr>
      </w:pPr>
    </w:p>
    <w:p w14:paraId="5CD16666">
      <w:pPr>
        <w:spacing w:line="320" w:lineRule="exact"/>
        <w:jc w:val="center"/>
        <w:textAlignment w:val="baseline"/>
        <w:rPr>
          <w:rFonts w:ascii="宋体" w:hAnsi="宋体" w:cs="宋体"/>
          <w:b/>
          <w:bCs/>
          <w:kern w:val="0"/>
          <w:sz w:val="30"/>
          <w:szCs w:val="30"/>
        </w:rPr>
      </w:pPr>
    </w:p>
    <w:p w14:paraId="324A7DD5">
      <w:pPr>
        <w:spacing w:line="320" w:lineRule="exact"/>
        <w:jc w:val="center"/>
        <w:textAlignment w:val="baseline"/>
        <w:rPr>
          <w:rFonts w:ascii="宋体" w:hAnsi="宋体" w:cs="宋体"/>
          <w:b/>
          <w:bCs/>
          <w:kern w:val="0"/>
          <w:sz w:val="30"/>
          <w:szCs w:val="30"/>
        </w:rPr>
      </w:pPr>
    </w:p>
    <w:p w14:paraId="7C969FAE">
      <w:pPr>
        <w:rPr>
          <w:rFonts w:ascii="宋体" w:hAnsi="宋体" w:cs="宋体"/>
          <w:b/>
          <w:bCs/>
          <w:kern w:val="0"/>
          <w:sz w:val="30"/>
          <w:szCs w:val="30"/>
        </w:rPr>
      </w:pPr>
      <w:r>
        <w:rPr>
          <w:rFonts w:hint="eastAsia" w:ascii="宋体" w:hAnsi="宋体" w:cs="宋体"/>
          <w:b/>
          <w:bCs/>
          <w:kern w:val="0"/>
          <w:sz w:val="30"/>
          <w:szCs w:val="30"/>
        </w:rPr>
        <w:br w:type="page"/>
      </w:r>
    </w:p>
    <w:p w14:paraId="4E8C3F77">
      <w:pPr>
        <w:pStyle w:val="2"/>
        <w:ind w:firstLine="0"/>
        <w:rPr>
          <w:rFonts w:cs="宋体"/>
          <w:color w:val="auto"/>
          <w:kern w:val="0"/>
          <w:sz w:val="30"/>
          <w:szCs w:val="30"/>
        </w:rPr>
      </w:pPr>
      <w:bookmarkStart w:id="296" w:name="_Toc2809"/>
      <w:r>
        <w:rPr>
          <w:rFonts w:hint="eastAsia" w:cs="宋体"/>
          <w:color w:val="auto"/>
          <w:kern w:val="0"/>
          <w:sz w:val="30"/>
          <w:szCs w:val="30"/>
          <w:lang w:val="en-US" w:eastAsia="zh-CN"/>
        </w:rPr>
        <w:t>十</w:t>
      </w:r>
      <w:r>
        <w:rPr>
          <w:rFonts w:hint="eastAsia" w:cs="宋体"/>
          <w:color w:val="auto"/>
          <w:kern w:val="0"/>
          <w:sz w:val="30"/>
          <w:szCs w:val="30"/>
        </w:rPr>
        <w:t>、项目</w:t>
      </w:r>
      <w:r>
        <w:rPr>
          <w:rFonts w:hint="eastAsia" w:cs="宋体"/>
          <w:color w:val="auto"/>
          <w:kern w:val="0"/>
          <w:sz w:val="30"/>
          <w:szCs w:val="30"/>
          <w:lang w:val="en-US" w:eastAsia="zh-CN"/>
        </w:rPr>
        <w:t>技术</w:t>
      </w:r>
      <w:r>
        <w:rPr>
          <w:rFonts w:hint="eastAsia" w:cs="宋体"/>
          <w:color w:val="auto"/>
          <w:kern w:val="0"/>
          <w:sz w:val="30"/>
          <w:szCs w:val="30"/>
        </w:rPr>
        <w:t>方案</w:t>
      </w:r>
      <w:bookmarkEnd w:id="296"/>
    </w:p>
    <w:p w14:paraId="5424F646"/>
    <w:p w14:paraId="5406D362">
      <w:pPr>
        <w:spacing w:line="320" w:lineRule="exact"/>
        <w:jc w:val="center"/>
        <w:textAlignment w:val="baseline"/>
        <w:rPr>
          <w:rFonts w:hint="eastAsia" w:ascii="宋体" w:hAnsi="宋体" w:eastAsia="宋体" w:cs="宋体"/>
          <w:b/>
          <w:bCs/>
          <w:kern w:val="0"/>
          <w:sz w:val="30"/>
          <w:szCs w:val="30"/>
          <w:lang w:eastAsia="zh-CN"/>
        </w:rPr>
      </w:pPr>
      <w:r>
        <w:rPr>
          <w:rFonts w:hint="eastAsia" w:ascii="宋体" w:hAnsi="宋体" w:cs="宋体"/>
          <w:b/>
          <w:bCs/>
          <w:kern w:val="0"/>
          <w:sz w:val="30"/>
          <w:szCs w:val="30"/>
          <w:lang w:eastAsia="zh-CN"/>
        </w:rPr>
        <w:t>（</w:t>
      </w:r>
      <w:r>
        <w:rPr>
          <w:rFonts w:hint="eastAsia" w:ascii="宋体" w:hAnsi="宋体" w:cs="宋体"/>
          <w:b/>
          <w:bCs/>
          <w:kern w:val="0"/>
          <w:sz w:val="30"/>
          <w:szCs w:val="30"/>
          <w:lang w:val="en-US" w:eastAsia="zh-CN"/>
        </w:rPr>
        <w:t>格式自拟</w:t>
      </w:r>
      <w:r>
        <w:rPr>
          <w:rFonts w:hint="eastAsia" w:ascii="宋体" w:hAnsi="宋体" w:cs="宋体"/>
          <w:b/>
          <w:bCs/>
          <w:kern w:val="0"/>
          <w:sz w:val="30"/>
          <w:szCs w:val="30"/>
          <w:lang w:eastAsia="zh-CN"/>
        </w:rPr>
        <w:t>）</w:t>
      </w:r>
    </w:p>
    <w:p w14:paraId="7B5A809A">
      <w:pPr>
        <w:spacing w:line="440" w:lineRule="exact"/>
        <w:rPr>
          <w:rFonts w:ascii="宋体" w:hAnsi="宋体" w:cs="宋体"/>
          <w:b/>
          <w:sz w:val="30"/>
          <w:szCs w:val="30"/>
        </w:rPr>
      </w:pPr>
    </w:p>
    <w:p w14:paraId="0C7CA790"/>
    <w:p w14:paraId="126516F5">
      <w:pPr>
        <w:rPr>
          <w:rFonts w:cs="宋体"/>
          <w:sz w:val="30"/>
          <w:szCs w:val="30"/>
        </w:rPr>
      </w:pPr>
    </w:p>
    <w:p w14:paraId="15792C64">
      <w:pPr>
        <w:rPr>
          <w:rFonts w:cs="宋体"/>
          <w:sz w:val="30"/>
          <w:szCs w:val="30"/>
        </w:rPr>
      </w:pPr>
    </w:p>
    <w:p w14:paraId="5EFB44E7">
      <w:pPr>
        <w:rPr>
          <w:rFonts w:cs="宋体"/>
          <w:sz w:val="30"/>
          <w:szCs w:val="30"/>
        </w:rPr>
      </w:pPr>
    </w:p>
    <w:p w14:paraId="1710C347">
      <w:pPr>
        <w:rPr>
          <w:rFonts w:cs="宋体"/>
          <w:sz w:val="30"/>
          <w:szCs w:val="30"/>
        </w:rPr>
      </w:pPr>
    </w:p>
    <w:p w14:paraId="5F944C6C">
      <w:pPr>
        <w:rPr>
          <w:rFonts w:cs="宋体"/>
          <w:sz w:val="30"/>
          <w:szCs w:val="30"/>
        </w:rPr>
      </w:pPr>
    </w:p>
    <w:p w14:paraId="546DDE0E">
      <w:pPr>
        <w:rPr>
          <w:rFonts w:cs="宋体"/>
          <w:sz w:val="30"/>
          <w:szCs w:val="30"/>
        </w:rPr>
      </w:pPr>
    </w:p>
    <w:p w14:paraId="492FF751">
      <w:pPr>
        <w:rPr>
          <w:rFonts w:cs="宋体"/>
          <w:sz w:val="30"/>
          <w:szCs w:val="30"/>
        </w:rPr>
      </w:pPr>
    </w:p>
    <w:p w14:paraId="2A1ACA16">
      <w:pPr>
        <w:rPr>
          <w:rFonts w:ascii="宋体" w:hAnsi="宋体" w:cs="宋体"/>
          <w:b/>
          <w:sz w:val="30"/>
          <w:szCs w:val="30"/>
        </w:rPr>
      </w:pPr>
    </w:p>
    <w:p w14:paraId="1B86F9C6">
      <w:pPr>
        <w:jc w:val="center"/>
        <w:rPr>
          <w:rFonts w:ascii="宋体" w:hAnsi="宋体" w:cs="宋体"/>
          <w:b/>
          <w:sz w:val="30"/>
          <w:szCs w:val="30"/>
        </w:rPr>
      </w:pPr>
    </w:p>
    <w:p w14:paraId="424FBE8E">
      <w:pPr>
        <w:jc w:val="center"/>
        <w:rPr>
          <w:rFonts w:ascii="宋体" w:hAnsi="宋体" w:cs="宋体"/>
          <w:b/>
          <w:sz w:val="30"/>
          <w:szCs w:val="30"/>
        </w:rPr>
      </w:pPr>
    </w:p>
    <w:p w14:paraId="3CE0C0B2">
      <w:pPr>
        <w:rPr>
          <w:sz w:val="28"/>
          <w:szCs w:val="28"/>
        </w:rPr>
      </w:pPr>
    </w:p>
    <w:p w14:paraId="432C11AB">
      <w:pPr>
        <w:spacing w:line="440" w:lineRule="exact"/>
        <w:jc w:val="center"/>
        <w:rPr>
          <w:rFonts w:ascii="宋体" w:hAnsi="宋体" w:cs="宋体"/>
          <w:b/>
          <w:sz w:val="30"/>
          <w:szCs w:val="30"/>
        </w:rPr>
      </w:pPr>
    </w:p>
    <w:p w14:paraId="79A503F7">
      <w:pPr>
        <w:spacing w:line="440" w:lineRule="exact"/>
        <w:jc w:val="center"/>
        <w:rPr>
          <w:rFonts w:ascii="宋体" w:hAnsi="宋体" w:cs="宋体"/>
          <w:b/>
          <w:sz w:val="30"/>
          <w:szCs w:val="30"/>
        </w:rPr>
      </w:pPr>
    </w:p>
    <w:p w14:paraId="10EF26AD">
      <w:pPr>
        <w:spacing w:line="440" w:lineRule="exact"/>
        <w:rPr>
          <w:rFonts w:ascii="宋体" w:hAnsi="宋体" w:cs="宋体"/>
          <w:b/>
          <w:bCs/>
          <w:kern w:val="0"/>
          <w:sz w:val="30"/>
          <w:szCs w:val="30"/>
        </w:rPr>
      </w:pPr>
    </w:p>
    <w:p w14:paraId="5E0F1EFB">
      <w:pPr>
        <w:spacing w:line="440" w:lineRule="exact"/>
        <w:rPr>
          <w:rFonts w:ascii="宋体" w:hAnsi="宋体" w:cs="宋体"/>
          <w:b/>
          <w:bCs/>
          <w:kern w:val="0"/>
          <w:sz w:val="30"/>
          <w:szCs w:val="30"/>
        </w:rPr>
      </w:pPr>
    </w:p>
    <w:p w14:paraId="704F82E5">
      <w:pPr>
        <w:spacing w:line="440" w:lineRule="exact"/>
        <w:jc w:val="center"/>
        <w:rPr>
          <w:rFonts w:ascii="宋体" w:hAnsi="宋体" w:cs="宋体"/>
          <w:b/>
          <w:bCs/>
          <w:kern w:val="0"/>
          <w:sz w:val="30"/>
          <w:szCs w:val="30"/>
        </w:rPr>
      </w:pPr>
    </w:p>
    <w:p w14:paraId="404CF703">
      <w:pPr>
        <w:spacing w:line="440" w:lineRule="exact"/>
        <w:jc w:val="center"/>
        <w:rPr>
          <w:rFonts w:ascii="宋体" w:hAnsi="宋体" w:cs="宋体"/>
          <w:b/>
          <w:bCs/>
          <w:kern w:val="0"/>
          <w:sz w:val="30"/>
          <w:szCs w:val="30"/>
        </w:rPr>
      </w:pPr>
    </w:p>
    <w:p w14:paraId="36612EE5">
      <w:pPr>
        <w:spacing w:line="440" w:lineRule="exact"/>
        <w:jc w:val="center"/>
        <w:rPr>
          <w:rFonts w:ascii="宋体" w:hAnsi="宋体" w:cs="宋体"/>
          <w:b/>
          <w:bCs/>
          <w:kern w:val="0"/>
          <w:sz w:val="30"/>
          <w:szCs w:val="30"/>
        </w:rPr>
      </w:pPr>
    </w:p>
    <w:p w14:paraId="5F3001ED">
      <w:pPr>
        <w:spacing w:line="440" w:lineRule="exact"/>
        <w:jc w:val="center"/>
        <w:rPr>
          <w:rFonts w:ascii="宋体" w:hAnsi="宋体" w:cs="宋体"/>
          <w:b/>
          <w:bCs/>
          <w:kern w:val="0"/>
          <w:sz w:val="30"/>
          <w:szCs w:val="30"/>
        </w:rPr>
      </w:pPr>
    </w:p>
    <w:p w14:paraId="7DB7327C">
      <w:pPr>
        <w:spacing w:line="440" w:lineRule="exact"/>
        <w:jc w:val="center"/>
        <w:rPr>
          <w:rFonts w:ascii="宋体" w:hAnsi="宋体" w:cs="宋体"/>
          <w:b/>
          <w:bCs/>
          <w:kern w:val="0"/>
          <w:sz w:val="30"/>
          <w:szCs w:val="30"/>
        </w:rPr>
      </w:pPr>
    </w:p>
    <w:p w14:paraId="20EC9405">
      <w:pPr>
        <w:rPr>
          <w:rFonts w:ascii="宋体" w:hAnsi="宋体" w:cs="宋体"/>
          <w:b/>
          <w:bCs/>
          <w:kern w:val="0"/>
          <w:sz w:val="30"/>
          <w:szCs w:val="30"/>
        </w:rPr>
      </w:pPr>
    </w:p>
    <w:p w14:paraId="1CD3CAD1">
      <w:pPr>
        <w:rPr>
          <w:rFonts w:ascii="宋体" w:hAnsi="宋体" w:cs="宋体"/>
          <w:b/>
          <w:bCs/>
          <w:kern w:val="0"/>
          <w:sz w:val="30"/>
          <w:szCs w:val="30"/>
        </w:rPr>
      </w:pPr>
    </w:p>
    <w:p w14:paraId="2A49BF7F">
      <w:pPr>
        <w:spacing w:line="360" w:lineRule="auto"/>
        <w:jc w:val="center"/>
        <w:rPr>
          <w:rFonts w:hint="eastAsia" w:ascii="宋体"/>
          <w:b w:val="0"/>
          <w:bCs/>
          <w:sz w:val="28"/>
          <w:szCs w:val="21"/>
          <w:lang w:val="en-US" w:eastAsia="zh-CN"/>
        </w:rPr>
      </w:pPr>
      <w:r>
        <w:rPr>
          <w:rFonts w:hint="eastAsia" w:ascii="宋体"/>
          <w:b w:val="0"/>
          <w:bCs/>
          <w:sz w:val="28"/>
          <w:szCs w:val="21"/>
          <w:lang w:val="en-US" w:eastAsia="zh-CN"/>
        </w:rPr>
        <w:t>分项报价明细表</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0"/>
        <w:gridCol w:w="1161"/>
        <w:gridCol w:w="1161"/>
        <w:gridCol w:w="1161"/>
        <w:gridCol w:w="1161"/>
        <w:gridCol w:w="1161"/>
        <w:gridCol w:w="1161"/>
        <w:gridCol w:w="1161"/>
      </w:tblGrid>
      <w:tr w14:paraId="78260DA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14:paraId="408934E4">
            <w:pPr>
              <w:spacing w:line="360" w:lineRule="auto"/>
              <w:jc w:val="center"/>
              <w:rPr>
                <w:rFonts w:hint="default" w:ascii="宋体" w:eastAsia="宋体"/>
                <w:b w:val="0"/>
                <w:bCs/>
                <w:sz w:val="28"/>
                <w:szCs w:val="21"/>
                <w:vertAlign w:val="baseline"/>
                <w:lang w:val="en-US" w:eastAsia="zh-CN"/>
              </w:rPr>
            </w:pPr>
            <w:r>
              <w:rPr>
                <w:rFonts w:hint="eastAsia" w:ascii="宋体"/>
                <w:b w:val="0"/>
                <w:bCs/>
                <w:sz w:val="28"/>
                <w:szCs w:val="21"/>
                <w:vertAlign w:val="baseline"/>
                <w:lang w:val="en-US" w:eastAsia="zh-CN"/>
              </w:rPr>
              <w:t>序号</w:t>
            </w:r>
          </w:p>
        </w:tc>
        <w:tc>
          <w:tcPr>
            <w:tcW w:w="1161" w:type="dxa"/>
          </w:tcPr>
          <w:p w14:paraId="337E3E68">
            <w:pPr>
              <w:spacing w:line="360" w:lineRule="auto"/>
              <w:jc w:val="center"/>
              <w:rPr>
                <w:rFonts w:hint="default" w:ascii="宋体" w:eastAsia="宋体"/>
                <w:b w:val="0"/>
                <w:bCs/>
                <w:sz w:val="28"/>
                <w:szCs w:val="21"/>
                <w:vertAlign w:val="baseline"/>
                <w:lang w:val="en-US" w:eastAsia="zh-CN"/>
              </w:rPr>
            </w:pPr>
            <w:r>
              <w:rPr>
                <w:rFonts w:hint="eastAsia" w:ascii="宋体"/>
                <w:b w:val="0"/>
                <w:bCs/>
                <w:sz w:val="28"/>
                <w:szCs w:val="21"/>
                <w:vertAlign w:val="baseline"/>
                <w:lang w:val="en-US" w:eastAsia="zh-CN"/>
              </w:rPr>
              <w:t>名称</w:t>
            </w:r>
          </w:p>
        </w:tc>
        <w:tc>
          <w:tcPr>
            <w:tcW w:w="1161" w:type="dxa"/>
          </w:tcPr>
          <w:p w14:paraId="781DF3DB">
            <w:pPr>
              <w:spacing w:line="360" w:lineRule="auto"/>
              <w:jc w:val="center"/>
              <w:rPr>
                <w:rFonts w:hint="default" w:ascii="宋体" w:eastAsia="宋体"/>
                <w:b w:val="0"/>
                <w:bCs/>
                <w:sz w:val="28"/>
                <w:szCs w:val="21"/>
                <w:vertAlign w:val="baseline"/>
                <w:lang w:val="en-US" w:eastAsia="zh-CN"/>
              </w:rPr>
            </w:pPr>
            <w:r>
              <w:rPr>
                <w:rFonts w:hint="eastAsia" w:ascii="宋体"/>
                <w:b w:val="0"/>
                <w:bCs/>
                <w:sz w:val="28"/>
                <w:szCs w:val="21"/>
                <w:vertAlign w:val="baseline"/>
                <w:lang w:val="en-US" w:eastAsia="zh-CN"/>
              </w:rPr>
              <w:t>品牌、规格</w:t>
            </w:r>
          </w:p>
        </w:tc>
        <w:tc>
          <w:tcPr>
            <w:tcW w:w="1161" w:type="dxa"/>
          </w:tcPr>
          <w:p w14:paraId="0487DC29">
            <w:pPr>
              <w:spacing w:line="360" w:lineRule="auto"/>
              <w:jc w:val="center"/>
              <w:rPr>
                <w:rFonts w:hint="default" w:ascii="宋体" w:eastAsia="宋体"/>
                <w:b w:val="0"/>
                <w:bCs/>
                <w:sz w:val="28"/>
                <w:szCs w:val="21"/>
                <w:vertAlign w:val="baseline"/>
                <w:lang w:val="en-US" w:eastAsia="zh-CN"/>
              </w:rPr>
            </w:pPr>
            <w:r>
              <w:rPr>
                <w:rFonts w:hint="eastAsia" w:ascii="宋体"/>
                <w:b w:val="0"/>
                <w:bCs/>
                <w:sz w:val="28"/>
                <w:szCs w:val="21"/>
                <w:vertAlign w:val="baseline"/>
                <w:lang w:val="en-US" w:eastAsia="zh-CN"/>
              </w:rPr>
              <w:t>技术参数</w:t>
            </w:r>
          </w:p>
        </w:tc>
        <w:tc>
          <w:tcPr>
            <w:tcW w:w="1161" w:type="dxa"/>
          </w:tcPr>
          <w:p w14:paraId="78089C90">
            <w:pPr>
              <w:spacing w:line="360" w:lineRule="auto"/>
              <w:jc w:val="center"/>
              <w:rPr>
                <w:rFonts w:hint="default" w:ascii="宋体" w:eastAsia="宋体"/>
                <w:b w:val="0"/>
                <w:bCs/>
                <w:sz w:val="28"/>
                <w:szCs w:val="21"/>
                <w:vertAlign w:val="baseline"/>
                <w:lang w:val="en-US" w:eastAsia="zh-CN"/>
              </w:rPr>
            </w:pPr>
            <w:r>
              <w:rPr>
                <w:rFonts w:hint="eastAsia" w:ascii="宋体"/>
                <w:b w:val="0"/>
                <w:bCs/>
                <w:sz w:val="28"/>
                <w:szCs w:val="21"/>
                <w:vertAlign w:val="baseline"/>
                <w:lang w:val="en-US" w:eastAsia="zh-CN"/>
              </w:rPr>
              <w:t>数量</w:t>
            </w:r>
          </w:p>
        </w:tc>
        <w:tc>
          <w:tcPr>
            <w:tcW w:w="1161" w:type="dxa"/>
          </w:tcPr>
          <w:p w14:paraId="47938217">
            <w:pPr>
              <w:spacing w:line="360" w:lineRule="auto"/>
              <w:jc w:val="center"/>
              <w:rPr>
                <w:rFonts w:hint="default" w:ascii="宋体" w:eastAsia="宋体"/>
                <w:b w:val="0"/>
                <w:bCs/>
                <w:sz w:val="28"/>
                <w:szCs w:val="21"/>
                <w:vertAlign w:val="baseline"/>
                <w:lang w:val="en-US" w:eastAsia="zh-CN"/>
              </w:rPr>
            </w:pPr>
            <w:r>
              <w:rPr>
                <w:rFonts w:hint="eastAsia" w:ascii="宋体"/>
                <w:b w:val="0"/>
                <w:bCs/>
                <w:sz w:val="28"/>
                <w:szCs w:val="21"/>
                <w:vertAlign w:val="baseline"/>
                <w:lang w:val="en-US" w:eastAsia="zh-CN"/>
              </w:rPr>
              <w:t>单位</w:t>
            </w:r>
          </w:p>
        </w:tc>
        <w:tc>
          <w:tcPr>
            <w:tcW w:w="1161" w:type="dxa"/>
          </w:tcPr>
          <w:p w14:paraId="5432F1B6">
            <w:pPr>
              <w:spacing w:line="360" w:lineRule="auto"/>
              <w:jc w:val="center"/>
              <w:rPr>
                <w:rFonts w:hint="default" w:ascii="宋体" w:eastAsia="宋体"/>
                <w:b w:val="0"/>
                <w:bCs/>
                <w:sz w:val="28"/>
                <w:szCs w:val="21"/>
                <w:vertAlign w:val="baseline"/>
                <w:lang w:val="en-US" w:eastAsia="zh-CN"/>
              </w:rPr>
            </w:pPr>
            <w:r>
              <w:rPr>
                <w:rFonts w:hint="eastAsia" w:ascii="宋体"/>
                <w:b w:val="0"/>
                <w:bCs/>
                <w:sz w:val="28"/>
                <w:szCs w:val="21"/>
                <w:vertAlign w:val="baseline"/>
                <w:lang w:val="en-US" w:eastAsia="zh-CN"/>
              </w:rPr>
              <w:t>单价（元）</w:t>
            </w:r>
          </w:p>
        </w:tc>
        <w:tc>
          <w:tcPr>
            <w:tcW w:w="1161" w:type="dxa"/>
          </w:tcPr>
          <w:p w14:paraId="587F9FDE">
            <w:pPr>
              <w:spacing w:line="360" w:lineRule="auto"/>
              <w:jc w:val="center"/>
              <w:rPr>
                <w:rFonts w:hint="eastAsia" w:ascii="宋体"/>
                <w:b w:val="0"/>
                <w:bCs/>
                <w:sz w:val="28"/>
                <w:szCs w:val="21"/>
                <w:vertAlign w:val="baseline"/>
                <w:lang w:val="en-US" w:eastAsia="zh-CN"/>
              </w:rPr>
            </w:pPr>
            <w:r>
              <w:rPr>
                <w:rFonts w:hint="eastAsia" w:ascii="宋体"/>
                <w:b w:val="0"/>
                <w:bCs/>
                <w:sz w:val="28"/>
                <w:szCs w:val="21"/>
                <w:vertAlign w:val="baseline"/>
                <w:lang w:val="en-US" w:eastAsia="zh-CN"/>
              </w:rPr>
              <w:t>总价</w:t>
            </w:r>
          </w:p>
          <w:p w14:paraId="31094C98">
            <w:pPr>
              <w:pStyle w:val="2"/>
              <w:rPr>
                <w:rFonts w:hint="default"/>
                <w:lang w:val="en-US" w:eastAsia="zh-CN"/>
              </w:rPr>
            </w:pPr>
            <w:r>
              <w:rPr>
                <w:rFonts w:hint="eastAsia"/>
                <w:b w:val="0"/>
                <w:bCs/>
                <w:sz w:val="28"/>
                <w:szCs w:val="21"/>
                <w:vertAlign w:val="baseline"/>
                <w:lang w:val="en-US" w:eastAsia="zh-CN"/>
              </w:rPr>
              <w:t>（元）</w:t>
            </w:r>
          </w:p>
        </w:tc>
      </w:tr>
      <w:tr w14:paraId="27B1FF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14:paraId="0C9DFD78">
            <w:pPr>
              <w:spacing w:line="360" w:lineRule="auto"/>
              <w:jc w:val="center"/>
              <w:rPr>
                <w:rFonts w:hint="eastAsia" w:ascii="宋体" w:eastAsia="宋体"/>
                <w:b w:val="0"/>
                <w:bCs/>
                <w:sz w:val="28"/>
                <w:szCs w:val="21"/>
                <w:vertAlign w:val="baseline"/>
                <w:lang w:val="en-US" w:eastAsia="zh-CN"/>
              </w:rPr>
            </w:pPr>
          </w:p>
        </w:tc>
        <w:tc>
          <w:tcPr>
            <w:tcW w:w="1161" w:type="dxa"/>
          </w:tcPr>
          <w:p w14:paraId="3D47FC71">
            <w:pPr>
              <w:spacing w:line="360" w:lineRule="auto"/>
              <w:jc w:val="center"/>
              <w:rPr>
                <w:rFonts w:hint="eastAsia" w:ascii="宋体" w:eastAsia="宋体"/>
                <w:b w:val="0"/>
                <w:bCs/>
                <w:sz w:val="28"/>
                <w:szCs w:val="21"/>
                <w:vertAlign w:val="baseline"/>
                <w:lang w:val="en-US" w:eastAsia="zh-CN"/>
              </w:rPr>
            </w:pPr>
          </w:p>
        </w:tc>
        <w:tc>
          <w:tcPr>
            <w:tcW w:w="1161" w:type="dxa"/>
          </w:tcPr>
          <w:p w14:paraId="78E2064D">
            <w:pPr>
              <w:spacing w:line="360" w:lineRule="auto"/>
              <w:jc w:val="center"/>
              <w:rPr>
                <w:rFonts w:hint="eastAsia" w:ascii="宋体" w:eastAsia="宋体"/>
                <w:b w:val="0"/>
                <w:bCs/>
                <w:sz w:val="28"/>
                <w:szCs w:val="21"/>
                <w:vertAlign w:val="baseline"/>
                <w:lang w:val="en-US" w:eastAsia="zh-CN"/>
              </w:rPr>
            </w:pPr>
          </w:p>
        </w:tc>
        <w:tc>
          <w:tcPr>
            <w:tcW w:w="1161" w:type="dxa"/>
          </w:tcPr>
          <w:p w14:paraId="57846CC7">
            <w:pPr>
              <w:spacing w:line="360" w:lineRule="auto"/>
              <w:jc w:val="center"/>
              <w:rPr>
                <w:rFonts w:hint="eastAsia" w:ascii="宋体" w:eastAsia="宋体"/>
                <w:b w:val="0"/>
                <w:bCs/>
                <w:sz w:val="28"/>
                <w:szCs w:val="21"/>
                <w:vertAlign w:val="baseline"/>
                <w:lang w:val="en-US" w:eastAsia="zh-CN"/>
              </w:rPr>
            </w:pPr>
          </w:p>
        </w:tc>
        <w:tc>
          <w:tcPr>
            <w:tcW w:w="1161" w:type="dxa"/>
          </w:tcPr>
          <w:p w14:paraId="4105195E">
            <w:pPr>
              <w:spacing w:line="360" w:lineRule="auto"/>
              <w:jc w:val="center"/>
              <w:rPr>
                <w:rFonts w:hint="eastAsia" w:ascii="宋体" w:eastAsia="宋体"/>
                <w:b w:val="0"/>
                <w:bCs/>
                <w:sz w:val="28"/>
                <w:szCs w:val="21"/>
                <w:vertAlign w:val="baseline"/>
                <w:lang w:val="en-US" w:eastAsia="zh-CN"/>
              </w:rPr>
            </w:pPr>
          </w:p>
        </w:tc>
        <w:tc>
          <w:tcPr>
            <w:tcW w:w="1161" w:type="dxa"/>
          </w:tcPr>
          <w:p w14:paraId="6EE2F6D1">
            <w:pPr>
              <w:spacing w:line="360" w:lineRule="auto"/>
              <w:jc w:val="center"/>
              <w:rPr>
                <w:rFonts w:hint="eastAsia" w:ascii="宋体" w:eastAsia="宋体"/>
                <w:b w:val="0"/>
                <w:bCs/>
                <w:sz w:val="28"/>
                <w:szCs w:val="21"/>
                <w:vertAlign w:val="baseline"/>
                <w:lang w:val="en-US" w:eastAsia="zh-CN"/>
              </w:rPr>
            </w:pPr>
          </w:p>
        </w:tc>
        <w:tc>
          <w:tcPr>
            <w:tcW w:w="1161" w:type="dxa"/>
          </w:tcPr>
          <w:p w14:paraId="41532EA2">
            <w:pPr>
              <w:spacing w:line="360" w:lineRule="auto"/>
              <w:jc w:val="center"/>
              <w:rPr>
                <w:rFonts w:hint="eastAsia" w:ascii="宋体" w:eastAsia="宋体"/>
                <w:b w:val="0"/>
                <w:bCs/>
                <w:sz w:val="28"/>
                <w:szCs w:val="21"/>
                <w:vertAlign w:val="baseline"/>
                <w:lang w:val="en-US" w:eastAsia="zh-CN"/>
              </w:rPr>
            </w:pPr>
          </w:p>
        </w:tc>
        <w:tc>
          <w:tcPr>
            <w:tcW w:w="1161" w:type="dxa"/>
          </w:tcPr>
          <w:p w14:paraId="0DC56606">
            <w:pPr>
              <w:spacing w:line="360" w:lineRule="auto"/>
              <w:jc w:val="center"/>
              <w:rPr>
                <w:rFonts w:hint="eastAsia" w:ascii="宋体" w:eastAsia="宋体"/>
                <w:b w:val="0"/>
                <w:bCs/>
                <w:sz w:val="28"/>
                <w:szCs w:val="21"/>
                <w:vertAlign w:val="baseline"/>
                <w:lang w:val="en-US" w:eastAsia="zh-CN"/>
              </w:rPr>
            </w:pPr>
          </w:p>
        </w:tc>
      </w:tr>
      <w:tr w14:paraId="1ED991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14:paraId="4BAC71DD">
            <w:pPr>
              <w:spacing w:line="360" w:lineRule="auto"/>
              <w:jc w:val="center"/>
              <w:rPr>
                <w:rFonts w:hint="eastAsia" w:ascii="宋体" w:eastAsia="宋体"/>
                <w:b w:val="0"/>
                <w:bCs/>
                <w:sz w:val="28"/>
                <w:szCs w:val="21"/>
                <w:vertAlign w:val="baseline"/>
                <w:lang w:val="en-US" w:eastAsia="zh-CN"/>
              </w:rPr>
            </w:pPr>
          </w:p>
        </w:tc>
        <w:tc>
          <w:tcPr>
            <w:tcW w:w="1161" w:type="dxa"/>
          </w:tcPr>
          <w:p w14:paraId="334F92FE">
            <w:pPr>
              <w:spacing w:line="360" w:lineRule="auto"/>
              <w:jc w:val="center"/>
              <w:rPr>
                <w:rFonts w:hint="eastAsia" w:ascii="宋体" w:eastAsia="宋体"/>
                <w:b w:val="0"/>
                <w:bCs/>
                <w:sz w:val="28"/>
                <w:szCs w:val="21"/>
                <w:vertAlign w:val="baseline"/>
                <w:lang w:val="en-US" w:eastAsia="zh-CN"/>
              </w:rPr>
            </w:pPr>
          </w:p>
        </w:tc>
        <w:tc>
          <w:tcPr>
            <w:tcW w:w="1161" w:type="dxa"/>
          </w:tcPr>
          <w:p w14:paraId="479884B7">
            <w:pPr>
              <w:spacing w:line="360" w:lineRule="auto"/>
              <w:jc w:val="center"/>
              <w:rPr>
                <w:rFonts w:hint="eastAsia" w:ascii="宋体" w:eastAsia="宋体"/>
                <w:b w:val="0"/>
                <w:bCs/>
                <w:sz w:val="28"/>
                <w:szCs w:val="21"/>
                <w:vertAlign w:val="baseline"/>
                <w:lang w:val="en-US" w:eastAsia="zh-CN"/>
              </w:rPr>
            </w:pPr>
          </w:p>
        </w:tc>
        <w:tc>
          <w:tcPr>
            <w:tcW w:w="1161" w:type="dxa"/>
          </w:tcPr>
          <w:p w14:paraId="174D7481">
            <w:pPr>
              <w:spacing w:line="360" w:lineRule="auto"/>
              <w:jc w:val="center"/>
              <w:rPr>
                <w:rFonts w:hint="eastAsia" w:ascii="宋体" w:eastAsia="宋体"/>
                <w:b w:val="0"/>
                <w:bCs/>
                <w:sz w:val="28"/>
                <w:szCs w:val="21"/>
                <w:vertAlign w:val="baseline"/>
                <w:lang w:val="en-US" w:eastAsia="zh-CN"/>
              </w:rPr>
            </w:pPr>
          </w:p>
        </w:tc>
        <w:tc>
          <w:tcPr>
            <w:tcW w:w="1161" w:type="dxa"/>
          </w:tcPr>
          <w:p w14:paraId="2F26ED2D">
            <w:pPr>
              <w:spacing w:line="360" w:lineRule="auto"/>
              <w:jc w:val="center"/>
              <w:rPr>
                <w:rFonts w:hint="eastAsia" w:ascii="宋体" w:eastAsia="宋体"/>
                <w:b w:val="0"/>
                <w:bCs/>
                <w:sz w:val="28"/>
                <w:szCs w:val="21"/>
                <w:vertAlign w:val="baseline"/>
                <w:lang w:val="en-US" w:eastAsia="zh-CN"/>
              </w:rPr>
            </w:pPr>
          </w:p>
        </w:tc>
        <w:tc>
          <w:tcPr>
            <w:tcW w:w="1161" w:type="dxa"/>
          </w:tcPr>
          <w:p w14:paraId="040DF97B">
            <w:pPr>
              <w:spacing w:line="360" w:lineRule="auto"/>
              <w:jc w:val="center"/>
              <w:rPr>
                <w:rFonts w:hint="eastAsia" w:ascii="宋体" w:eastAsia="宋体"/>
                <w:b w:val="0"/>
                <w:bCs/>
                <w:sz w:val="28"/>
                <w:szCs w:val="21"/>
                <w:vertAlign w:val="baseline"/>
                <w:lang w:val="en-US" w:eastAsia="zh-CN"/>
              </w:rPr>
            </w:pPr>
          </w:p>
        </w:tc>
        <w:tc>
          <w:tcPr>
            <w:tcW w:w="1161" w:type="dxa"/>
          </w:tcPr>
          <w:p w14:paraId="7898FA54">
            <w:pPr>
              <w:spacing w:line="360" w:lineRule="auto"/>
              <w:jc w:val="center"/>
              <w:rPr>
                <w:rFonts w:hint="eastAsia" w:ascii="宋体" w:eastAsia="宋体"/>
                <w:b w:val="0"/>
                <w:bCs/>
                <w:sz w:val="28"/>
                <w:szCs w:val="21"/>
                <w:vertAlign w:val="baseline"/>
                <w:lang w:val="en-US" w:eastAsia="zh-CN"/>
              </w:rPr>
            </w:pPr>
          </w:p>
        </w:tc>
        <w:tc>
          <w:tcPr>
            <w:tcW w:w="1161" w:type="dxa"/>
          </w:tcPr>
          <w:p w14:paraId="3888A4FE">
            <w:pPr>
              <w:spacing w:line="360" w:lineRule="auto"/>
              <w:jc w:val="center"/>
              <w:rPr>
                <w:rFonts w:hint="eastAsia" w:ascii="宋体" w:eastAsia="宋体"/>
                <w:b w:val="0"/>
                <w:bCs/>
                <w:sz w:val="28"/>
                <w:szCs w:val="21"/>
                <w:vertAlign w:val="baseline"/>
                <w:lang w:val="en-US" w:eastAsia="zh-CN"/>
              </w:rPr>
            </w:pPr>
          </w:p>
        </w:tc>
      </w:tr>
      <w:tr w14:paraId="48779D3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14:paraId="6225FF94">
            <w:pPr>
              <w:spacing w:line="360" w:lineRule="auto"/>
              <w:jc w:val="center"/>
              <w:rPr>
                <w:rFonts w:hint="eastAsia" w:ascii="宋体" w:eastAsia="宋体"/>
                <w:b w:val="0"/>
                <w:bCs/>
                <w:sz w:val="28"/>
                <w:szCs w:val="21"/>
                <w:vertAlign w:val="baseline"/>
                <w:lang w:val="en-US" w:eastAsia="zh-CN"/>
              </w:rPr>
            </w:pPr>
          </w:p>
        </w:tc>
        <w:tc>
          <w:tcPr>
            <w:tcW w:w="1161" w:type="dxa"/>
          </w:tcPr>
          <w:p w14:paraId="27DB383E">
            <w:pPr>
              <w:spacing w:line="360" w:lineRule="auto"/>
              <w:jc w:val="center"/>
              <w:rPr>
                <w:rFonts w:hint="eastAsia" w:ascii="宋体" w:eastAsia="宋体"/>
                <w:b w:val="0"/>
                <w:bCs/>
                <w:sz w:val="28"/>
                <w:szCs w:val="21"/>
                <w:vertAlign w:val="baseline"/>
                <w:lang w:val="en-US" w:eastAsia="zh-CN"/>
              </w:rPr>
            </w:pPr>
          </w:p>
        </w:tc>
        <w:tc>
          <w:tcPr>
            <w:tcW w:w="1161" w:type="dxa"/>
          </w:tcPr>
          <w:p w14:paraId="50D91F9F">
            <w:pPr>
              <w:spacing w:line="360" w:lineRule="auto"/>
              <w:jc w:val="center"/>
              <w:rPr>
                <w:rFonts w:hint="eastAsia" w:ascii="宋体" w:eastAsia="宋体"/>
                <w:b w:val="0"/>
                <w:bCs/>
                <w:sz w:val="28"/>
                <w:szCs w:val="21"/>
                <w:vertAlign w:val="baseline"/>
                <w:lang w:val="en-US" w:eastAsia="zh-CN"/>
              </w:rPr>
            </w:pPr>
          </w:p>
        </w:tc>
        <w:tc>
          <w:tcPr>
            <w:tcW w:w="1161" w:type="dxa"/>
          </w:tcPr>
          <w:p w14:paraId="600A624F">
            <w:pPr>
              <w:spacing w:line="360" w:lineRule="auto"/>
              <w:jc w:val="center"/>
              <w:rPr>
                <w:rFonts w:hint="eastAsia" w:ascii="宋体" w:eastAsia="宋体"/>
                <w:b w:val="0"/>
                <w:bCs/>
                <w:sz w:val="28"/>
                <w:szCs w:val="21"/>
                <w:vertAlign w:val="baseline"/>
                <w:lang w:val="en-US" w:eastAsia="zh-CN"/>
              </w:rPr>
            </w:pPr>
          </w:p>
        </w:tc>
        <w:tc>
          <w:tcPr>
            <w:tcW w:w="1161" w:type="dxa"/>
          </w:tcPr>
          <w:p w14:paraId="73F3EB3B">
            <w:pPr>
              <w:spacing w:line="360" w:lineRule="auto"/>
              <w:jc w:val="center"/>
              <w:rPr>
                <w:rFonts w:hint="eastAsia" w:ascii="宋体" w:eastAsia="宋体"/>
                <w:b w:val="0"/>
                <w:bCs/>
                <w:sz w:val="28"/>
                <w:szCs w:val="21"/>
                <w:vertAlign w:val="baseline"/>
                <w:lang w:val="en-US" w:eastAsia="zh-CN"/>
              </w:rPr>
            </w:pPr>
          </w:p>
        </w:tc>
        <w:tc>
          <w:tcPr>
            <w:tcW w:w="1161" w:type="dxa"/>
          </w:tcPr>
          <w:p w14:paraId="6B925603">
            <w:pPr>
              <w:spacing w:line="360" w:lineRule="auto"/>
              <w:jc w:val="center"/>
              <w:rPr>
                <w:rFonts w:hint="eastAsia" w:ascii="宋体" w:eastAsia="宋体"/>
                <w:b w:val="0"/>
                <w:bCs/>
                <w:sz w:val="28"/>
                <w:szCs w:val="21"/>
                <w:vertAlign w:val="baseline"/>
                <w:lang w:val="en-US" w:eastAsia="zh-CN"/>
              </w:rPr>
            </w:pPr>
          </w:p>
        </w:tc>
        <w:tc>
          <w:tcPr>
            <w:tcW w:w="1161" w:type="dxa"/>
          </w:tcPr>
          <w:p w14:paraId="619EA95D">
            <w:pPr>
              <w:spacing w:line="360" w:lineRule="auto"/>
              <w:jc w:val="center"/>
              <w:rPr>
                <w:rFonts w:hint="eastAsia" w:ascii="宋体" w:eastAsia="宋体"/>
                <w:b w:val="0"/>
                <w:bCs/>
                <w:sz w:val="28"/>
                <w:szCs w:val="21"/>
                <w:vertAlign w:val="baseline"/>
                <w:lang w:val="en-US" w:eastAsia="zh-CN"/>
              </w:rPr>
            </w:pPr>
          </w:p>
        </w:tc>
        <w:tc>
          <w:tcPr>
            <w:tcW w:w="1161" w:type="dxa"/>
          </w:tcPr>
          <w:p w14:paraId="3A171476">
            <w:pPr>
              <w:spacing w:line="360" w:lineRule="auto"/>
              <w:jc w:val="center"/>
              <w:rPr>
                <w:rFonts w:hint="eastAsia" w:ascii="宋体" w:eastAsia="宋体"/>
                <w:b w:val="0"/>
                <w:bCs/>
                <w:sz w:val="28"/>
                <w:szCs w:val="21"/>
                <w:vertAlign w:val="baseline"/>
                <w:lang w:val="en-US" w:eastAsia="zh-CN"/>
              </w:rPr>
            </w:pPr>
          </w:p>
        </w:tc>
      </w:tr>
      <w:tr w14:paraId="6D81EA7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14:paraId="7E0A0FF5">
            <w:pPr>
              <w:spacing w:line="360" w:lineRule="auto"/>
              <w:jc w:val="center"/>
              <w:rPr>
                <w:rFonts w:hint="eastAsia" w:ascii="宋体" w:eastAsia="宋体"/>
                <w:b w:val="0"/>
                <w:bCs/>
                <w:sz w:val="28"/>
                <w:szCs w:val="21"/>
                <w:vertAlign w:val="baseline"/>
                <w:lang w:val="en-US" w:eastAsia="zh-CN"/>
              </w:rPr>
            </w:pPr>
          </w:p>
        </w:tc>
        <w:tc>
          <w:tcPr>
            <w:tcW w:w="1161" w:type="dxa"/>
          </w:tcPr>
          <w:p w14:paraId="78E0DF62">
            <w:pPr>
              <w:spacing w:line="360" w:lineRule="auto"/>
              <w:jc w:val="center"/>
              <w:rPr>
                <w:rFonts w:hint="eastAsia" w:ascii="宋体" w:eastAsia="宋体"/>
                <w:b w:val="0"/>
                <w:bCs/>
                <w:sz w:val="28"/>
                <w:szCs w:val="21"/>
                <w:vertAlign w:val="baseline"/>
                <w:lang w:val="en-US" w:eastAsia="zh-CN"/>
              </w:rPr>
            </w:pPr>
          </w:p>
        </w:tc>
        <w:tc>
          <w:tcPr>
            <w:tcW w:w="1161" w:type="dxa"/>
          </w:tcPr>
          <w:p w14:paraId="10526155">
            <w:pPr>
              <w:spacing w:line="360" w:lineRule="auto"/>
              <w:jc w:val="center"/>
              <w:rPr>
                <w:rFonts w:hint="eastAsia" w:ascii="宋体" w:eastAsia="宋体"/>
                <w:b w:val="0"/>
                <w:bCs/>
                <w:sz w:val="28"/>
                <w:szCs w:val="21"/>
                <w:vertAlign w:val="baseline"/>
                <w:lang w:val="en-US" w:eastAsia="zh-CN"/>
              </w:rPr>
            </w:pPr>
          </w:p>
        </w:tc>
        <w:tc>
          <w:tcPr>
            <w:tcW w:w="1161" w:type="dxa"/>
          </w:tcPr>
          <w:p w14:paraId="23AD75AD">
            <w:pPr>
              <w:spacing w:line="360" w:lineRule="auto"/>
              <w:jc w:val="center"/>
              <w:rPr>
                <w:rFonts w:hint="eastAsia" w:ascii="宋体" w:eastAsia="宋体"/>
                <w:b w:val="0"/>
                <w:bCs/>
                <w:sz w:val="28"/>
                <w:szCs w:val="21"/>
                <w:vertAlign w:val="baseline"/>
                <w:lang w:val="en-US" w:eastAsia="zh-CN"/>
              </w:rPr>
            </w:pPr>
          </w:p>
        </w:tc>
        <w:tc>
          <w:tcPr>
            <w:tcW w:w="1161" w:type="dxa"/>
          </w:tcPr>
          <w:p w14:paraId="259528AA">
            <w:pPr>
              <w:spacing w:line="360" w:lineRule="auto"/>
              <w:jc w:val="center"/>
              <w:rPr>
                <w:rFonts w:hint="eastAsia" w:ascii="宋体" w:eastAsia="宋体"/>
                <w:b w:val="0"/>
                <w:bCs/>
                <w:sz w:val="28"/>
                <w:szCs w:val="21"/>
                <w:vertAlign w:val="baseline"/>
                <w:lang w:val="en-US" w:eastAsia="zh-CN"/>
              </w:rPr>
            </w:pPr>
          </w:p>
        </w:tc>
        <w:tc>
          <w:tcPr>
            <w:tcW w:w="1161" w:type="dxa"/>
          </w:tcPr>
          <w:p w14:paraId="175CDA1F">
            <w:pPr>
              <w:spacing w:line="360" w:lineRule="auto"/>
              <w:jc w:val="center"/>
              <w:rPr>
                <w:rFonts w:hint="eastAsia" w:ascii="宋体" w:eastAsia="宋体"/>
                <w:b w:val="0"/>
                <w:bCs/>
                <w:sz w:val="28"/>
                <w:szCs w:val="21"/>
                <w:vertAlign w:val="baseline"/>
                <w:lang w:val="en-US" w:eastAsia="zh-CN"/>
              </w:rPr>
            </w:pPr>
          </w:p>
        </w:tc>
        <w:tc>
          <w:tcPr>
            <w:tcW w:w="1161" w:type="dxa"/>
          </w:tcPr>
          <w:p w14:paraId="04E2F1C1">
            <w:pPr>
              <w:spacing w:line="360" w:lineRule="auto"/>
              <w:jc w:val="center"/>
              <w:rPr>
                <w:rFonts w:hint="eastAsia" w:ascii="宋体" w:eastAsia="宋体"/>
                <w:b w:val="0"/>
                <w:bCs/>
                <w:sz w:val="28"/>
                <w:szCs w:val="21"/>
                <w:vertAlign w:val="baseline"/>
                <w:lang w:val="en-US" w:eastAsia="zh-CN"/>
              </w:rPr>
            </w:pPr>
          </w:p>
        </w:tc>
        <w:tc>
          <w:tcPr>
            <w:tcW w:w="1161" w:type="dxa"/>
          </w:tcPr>
          <w:p w14:paraId="5456522D">
            <w:pPr>
              <w:spacing w:line="360" w:lineRule="auto"/>
              <w:jc w:val="center"/>
              <w:rPr>
                <w:rFonts w:hint="eastAsia" w:ascii="宋体" w:eastAsia="宋体"/>
                <w:b w:val="0"/>
                <w:bCs/>
                <w:sz w:val="28"/>
                <w:szCs w:val="21"/>
                <w:vertAlign w:val="baseline"/>
                <w:lang w:val="en-US" w:eastAsia="zh-CN"/>
              </w:rPr>
            </w:pPr>
          </w:p>
        </w:tc>
      </w:tr>
      <w:tr w14:paraId="39ED838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14:paraId="40BF0973">
            <w:pPr>
              <w:spacing w:line="360" w:lineRule="auto"/>
              <w:jc w:val="center"/>
              <w:rPr>
                <w:rFonts w:hint="eastAsia" w:ascii="宋体" w:eastAsia="宋体"/>
                <w:b w:val="0"/>
                <w:bCs/>
                <w:sz w:val="28"/>
                <w:szCs w:val="21"/>
                <w:vertAlign w:val="baseline"/>
                <w:lang w:val="en-US" w:eastAsia="zh-CN"/>
              </w:rPr>
            </w:pPr>
          </w:p>
        </w:tc>
        <w:tc>
          <w:tcPr>
            <w:tcW w:w="1161" w:type="dxa"/>
          </w:tcPr>
          <w:p w14:paraId="07473A96">
            <w:pPr>
              <w:spacing w:line="360" w:lineRule="auto"/>
              <w:jc w:val="center"/>
              <w:rPr>
                <w:rFonts w:hint="eastAsia" w:ascii="宋体" w:eastAsia="宋体"/>
                <w:b w:val="0"/>
                <w:bCs/>
                <w:sz w:val="28"/>
                <w:szCs w:val="21"/>
                <w:vertAlign w:val="baseline"/>
                <w:lang w:val="en-US" w:eastAsia="zh-CN"/>
              </w:rPr>
            </w:pPr>
          </w:p>
        </w:tc>
        <w:tc>
          <w:tcPr>
            <w:tcW w:w="1161" w:type="dxa"/>
          </w:tcPr>
          <w:p w14:paraId="42E387FD">
            <w:pPr>
              <w:spacing w:line="360" w:lineRule="auto"/>
              <w:jc w:val="center"/>
              <w:rPr>
                <w:rFonts w:hint="eastAsia" w:ascii="宋体" w:eastAsia="宋体"/>
                <w:b w:val="0"/>
                <w:bCs/>
                <w:sz w:val="28"/>
                <w:szCs w:val="21"/>
                <w:vertAlign w:val="baseline"/>
                <w:lang w:val="en-US" w:eastAsia="zh-CN"/>
              </w:rPr>
            </w:pPr>
          </w:p>
        </w:tc>
        <w:tc>
          <w:tcPr>
            <w:tcW w:w="1161" w:type="dxa"/>
          </w:tcPr>
          <w:p w14:paraId="0DF8DD8E">
            <w:pPr>
              <w:spacing w:line="360" w:lineRule="auto"/>
              <w:jc w:val="center"/>
              <w:rPr>
                <w:rFonts w:hint="eastAsia" w:ascii="宋体" w:eastAsia="宋体"/>
                <w:b w:val="0"/>
                <w:bCs/>
                <w:sz w:val="28"/>
                <w:szCs w:val="21"/>
                <w:vertAlign w:val="baseline"/>
                <w:lang w:val="en-US" w:eastAsia="zh-CN"/>
              </w:rPr>
            </w:pPr>
          </w:p>
        </w:tc>
        <w:tc>
          <w:tcPr>
            <w:tcW w:w="1161" w:type="dxa"/>
          </w:tcPr>
          <w:p w14:paraId="3990690C">
            <w:pPr>
              <w:spacing w:line="360" w:lineRule="auto"/>
              <w:jc w:val="center"/>
              <w:rPr>
                <w:rFonts w:hint="eastAsia" w:ascii="宋体" w:eastAsia="宋体"/>
                <w:b w:val="0"/>
                <w:bCs/>
                <w:sz w:val="28"/>
                <w:szCs w:val="21"/>
                <w:vertAlign w:val="baseline"/>
                <w:lang w:val="en-US" w:eastAsia="zh-CN"/>
              </w:rPr>
            </w:pPr>
          </w:p>
        </w:tc>
        <w:tc>
          <w:tcPr>
            <w:tcW w:w="1161" w:type="dxa"/>
          </w:tcPr>
          <w:p w14:paraId="0E44BC9C">
            <w:pPr>
              <w:spacing w:line="360" w:lineRule="auto"/>
              <w:jc w:val="center"/>
              <w:rPr>
                <w:rFonts w:hint="eastAsia" w:ascii="宋体" w:eastAsia="宋体"/>
                <w:b w:val="0"/>
                <w:bCs/>
                <w:sz w:val="28"/>
                <w:szCs w:val="21"/>
                <w:vertAlign w:val="baseline"/>
                <w:lang w:val="en-US" w:eastAsia="zh-CN"/>
              </w:rPr>
            </w:pPr>
          </w:p>
        </w:tc>
        <w:tc>
          <w:tcPr>
            <w:tcW w:w="1161" w:type="dxa"/>
          </w:tcPr>
          <w:p w14:paraId="3790485A">
            <w:pPr>
              <w:spacing w:line="360" w:lineRule="auto"/>
              <w:jc w:val="center"/>
              <w:rPr>
                <w:rFonts w:hint="eastAsia" w:ascii="宋体" w:eastAsia="宋体"/>
                <w:b w:val="0"/>
                <w:bCs/>
                <w:sz w:val="28"/>
                <w:szCs w:val="21"/>
                <w:vertAlign w:val="baseline"/>
                <w:lang w:val="en-US" w:eastAsia="zh-CN"/>
              </w:rPr>
            </w:pPr>
          </w:p>
        </w:tc>
        <w:tc>
          <w:tcPr>
            <w:tcW w:w="1161" w:type="dxa"/>
          </w:tcPr>
          <w:p w14:paraId="05C96A9A">
            <w:pPr>
              <w:spacing w:line="360" w:lineRule="auto"/>
              <w:jc w:val="center"/>
              <w:rPr>
                <w:rFonts w:hint="eastAsia" w:ascii="宋体" w:eastAsia="宋体"/>
                <w:b w:val="0"/>
                <w:bCs/>
                <w:sz w:val="28"/>
                <w:szCs w:val="21"/>
                <w:vertAlign w:val="baseline"/>
                <w:lang w:val="en-US" w:eastAsia="zh-CN"/>
              </w:rPr>
            </w:pPr>
          </w:p>
        </w:tc>
      </w:tr>
      <w:tr w14:paraId="5546FED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14:paraId="1F9A84BC">
            <w:pPr>
              <w:spacing w:line="360" w:lineRule="auto"/>
              <w:jc w:val="center"/>
              <w:rPr>
                <w:rFonts w:hint="eastAsia" w:ascii="宋体" w:eastAsia="宋体"/>
                <w:b w:val="0"/>
                <w:bCs/>
                <w:sz w:val="28"/>
                <w:szCs w:val="21"/>
                <w:vertAlign w:val="baseline"/>
                <w:lang w:val="en-US" w:eastAsia="zh-CN"/>
              </w:rPr>
            </w:pPr>
          </w:p>
        </w:tc>
        <w:tc>
          <w:tcPr>
            <w:tcW w:w="1161" w:type="dxa"/>
          </w:tcPr>
          <w:p w14:paraId="2E0CD0DA">
            <w:pPr>
              <w:spacing w:line="360" w:lineRule="auto"/>
              <w:jc w:val="center"/>
              <w:rPr>
                <w:rFonts w:hint="eastAsia" w:ascii="宋体" w:eastAsia="宋体"/>
                <w:b w:val="0"/>
                <w:bCs/>
                <w:sz w:val="28"/>
                <w:szCs w:val="21"/>
                <w:vertAlign w:val="baseline"/>
                <w:lang w:val="en-US" w:eastAsia="zh-CN"/>
              </w:rPr>
            </w:pPr>
          </w:p>
        </w:tc>
        <w:tc>
          <w:tcPr>
            <w:tcW w:w="1161" w:type="dxa"/>
          </w:tcPr>
          <w:p w14:paraId="22D91780">
            <w:pPr>
              <w:spacing w:line="360" w:lineRule="auto"/>
              <w:jc w:val="center"/>
              <w:rPr>
                <w:rFonts w:hint="eastAsia" w:ascii="宋体" w:eastAsia="宋体"/>
                <w:b w:val="0"/>
                <w:bCs/>
                <w:sz w:val="28"/>
                <w:szCs w:val="21"/>
                <w:vertAlign w:val="baseline"/>
                <w:lang w:val="en-US" w:eastAsia="zh-CN"/>
              </w:rPr>
            </w:pPr>
          </w:p>
        </w:tc>
        <w:tc>
          <w:tcPr>
            <w:tcW w:w="1161" w:type="dxa"/>
          </w:tcPr>
          <w:p w14:paraId="1609E81D">
            <w:pPr>
              <w:spacing w:line="360" w:lineRule="auto"/>
              <w:jc w:val="center"/>
              <w:rPr>
                <w:rFonts w:hint="eastAsia" w:ascii="宋体" w:eastAsia="宋体"/>
                <w:b w:val="0"/>
                <w:bCs/>
                <w:sz w:val="28"/>
                <w:szCs w:val="21"/>
                <w:vertAlign w:val="baseline"/>
                <w:lang w:val="en-US" w:eastAsia="zh-CN"/>
              </w:rPr>
            </w:pPr>
          </w:p>
        </w:tc>
        <w:tc>
          <w:tcPr>
            <w:tcW w:w="1161" w:type="dxa"/>
          </w:tcPr>
          <w:p w14:paraId="7EA2F53D">
            <w:pPr>
              <w:spacing w:line="360" w:lineRule="auto"/>
              <w:jc w:val="center"/>
              <w:rPr>
                <w:rFonts w:hint="eastAsia" w:ascii="宋体" w:eastAsia="宋体"/>
                <w:b w:val="0"/>
                <w:bCs/>
                <w:sz w:val="28"/>
                <w:szCs w:val="21"/>
                <w:vertAlign w:val="baseline"/>
                <w:lang w:val="en-US" w:eastAsia="zh-CN"/>
              </w:rPr>
            </w:pPr>
          </w:p>
        </w:tc>
        <w:tc>
          <w:tcPr>
            <w:tcW w:w="1161" w:type="dxa"/>
          </w:tcPr>
          <w:p w14:paraId="1AAF6E17">
            <w:pPr>
              <w:spacing w:line="360" w:lineRule="auto"/>
              <w:jc w:val="center"/>
              <w:rPr>
                <w:rFonts w:hint="eastAsia" w:ascii="宋体" w:eastAsia="宋体"/>
                <w:b w:val="0"/>
                <w:bCs/>
                <w:sz w:val="28"/>
                <w:szCs w:val="21"/>
                <w:vertAlign w:val="baseline"/>
                <w:lang w:val="en-US" w:eastAsia="zh-CN"/>
              </w:rPr>
            </w:pPr>
          </w:p>
        </w:tc>
        <w:tc>
          <w:tcPr>
            <w:tcW w:w="1161" w:type="dxa"/>
          </w:tcPr>
          <w:p w14:paraId="7008B1A2">
            <w:pPr>
              <w:spacing w:line="360" w:lineRule="auto"/>
              <w:jc w:val="center"/>
              <w:rPr>
                <w:rFonts w:hint="eastAsia" w:ascii="宋体" w:eastAsia="宋体"/>
                <w:b w:val="0"/>
                <w:bCs/>
                <w:sz w:val="28"/>
                <w:szCs w:val="21"/>
                <w:vertAlign w:val="baseline"/>
                <w:lang w:val="en-US" w:eastAsia="zh-CN"/>
              </w:rPr>
            </w:pPr>
          </w:p>
        </w:tc>
        <w:tc>
          <w:tcPr>
            <w:tcW w:w="1161" w:type="dxa"/>
          </w:tcPr>
          <w:p w14:paraId="7786DD0F">
            <w:pPr>
              <w:spacing w:line="360" w:lineRule="auto"/>
              <w:jc w:val="center"/>
              <w:rPr>
                <w:rFonts w:hint="eastAsia" w:ascii="宋体" w:eastAsia="宋体"/>
                <w:b w:val="0"/>
                <w:bCs/>
                <w:sz w:val="28"/>
                <w:szCs w:val="21"/>
                <w:vertAlign w:val="baseline"/>
                <w:lang w:val="en-US" w:eastAsia="zh-CN"/>
              </w:rPr>
            </w:pPr>
          </w:p>
        </w:tc>
      </w:tr>
      <w:tr w14:paraId="11B7B3B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14:paraId="36D0A4D7">
            <w:pPr>
              <w:spacing w:line="360" w:lineRule="auto"/>
              <w:jc w:val="center"/>
              <w:rPr>
                <w:rFonts w:hint="eastAsia" w:ascii="宋体" w:eastAsia="宋体"/>
                <w:b w:val="0"/>
                <w:bCs/>
                <w:sz w:val="28"/>
                <w:szCs w:val="21"/>
                <w:vertAlign w:val="baseline"/>
                <w:lang w:val="en-US" w:eastAsia="zh-CN"/>
              </w:rPr>
            </w:pPr>
          </w:p>
        </w:tc>
        <w:tc>
          <w:tcPr>
            <w:tcW w:w="1161" w:type="dxa"/>
          </w:tcPr>
          <w:p w14:paraId="5C8BB89B">
            <w:pPr>
              <w:spacing w:line="360" w:lineRule="auto"/>
              <w:jc w:val="center"/>
              <w:rPr>
                <w:rFonts w:hint="eastAsia" w:ascii="宋体" w:eastAsia="宋体"/>
                <w:b w:val="0"/>
                <w:bCs/>
                <w:sz w:val="28"/>
                <w:szCs w:val="21"/>
                <w:vertAlign w:val="baseline"/>
                <w:lang w:val="en-US" w:eastAsia="zh-CN"/>
              </w:rPr>
            </w:pPr>
          </w:p>
        </w:tc>
        <w:tc>
          <w:tcPr>
            <w:tcW w:w="1161" w:type="dxa"/>
          </w:tcPr>
          <w:p w14:paraId="44EC06AC">
            <w:pPr>
              <w:spacing w:line="360" w:lineRule="auto"/>
              <w:jc w:val="center"/>
              <w:rPr>
                <w:rFonts w:hint="eastAsia" w:ascii="宋体" w:eastAsia="宋体"/>
                <w:b w:val="0"/>
                <w:bCs/>
                <w:sz w:val="28"/>
                <w:szCs w:val="21"/>
                <w:vertAlign w:val="baseline"/>
                <w:lang w:val="en-US" w:eastAsia="zh-CN"/>
              </w:rPr>
            </w:pPr>
          </w:p>
        </w:tc>
        <w:tc>
          <w:tcPr>
            <w:tcW w:w="1161" w:type="dxa"/>
          </w:tcPr>
          <w:p w14:paraId="551ED094">
            <w:pPr>
              <w:spacing w:line="360" w:lineRule="auto"/>
              <w:jc w:val="center"/>
              <w:rPr>
                <w:rFonts w:hint="eastAsia" w:ascii="宋体" w:eastAsia="宋体"/>
                <w:b w:val="0"/>
                <w:bCs/>
                <w:sz w:val="28"/>
                <w:szCs w:val="21"/>
                <w:vertAlign w:val="baseline"/>
                <w:lang w:val="en-US" w:eastAsia="zh-CN"/>
              </w:rPr>
            </w:pPr>
          </w:p>
        </w:tc>
        <w:tc>
          <w:tcPr>
            <w:tcW w:w="1161" w:type="dxa"/>
          </w:tcPr>
          <w:p w14:paraId="16892D81">
            <w:pPr>
              <w:spacing w:line="360" w:lineRule="auto"/>
              <w:jc w:val="center"/>
              <w:rPr>
                <w:rFonts w:hint="eastAsia" w:ascii="宋体" w:eastAsia="宋体"/>
                <w:b w:val="0"/>
                <w:bCs/>
                <w:sz w:val="28"/>
                <w:szCs w:val="21"/>
                <w:vertAlign w:val="baseline"/>
                <w:lang w:val="en-US" w:eastAsia="zh-CN"/>
              </w:rPr>
            </w:pPr>
          </w:p>
        </w:tc>
        <w:tc>
          <w:tcPr>
            <w:tcW w:w="1161" w:type="dxa"/>
          </w:tcPr>
          <w:p w14:paraId="30FC1C82">
            <w:pPr>
              <w:spacing w:line="360" w:lineRule="auto"/>
              <w:jc w:val="center"/>
              <w:rPr>
                <w:rFonts w:hint="eastAsia" w:ascii="宋体" w:eastAsia="宋体"/>
                <w:b w:val="0"/>
                <w:bCs/>
                <w:sz w:val="28"/>
                <w:szCs w:val="21"/>
                <w:vertAlign w:val="baseline"/>
                <w:lang w:val="en-US" w:eastAsia="zh-CN"/>
              </w:rPr>
            </w:pPr>
          </w:p>
        </w:tc>
        <w:tc>
          <w:tcPr>
            <w:tcW w:w="1161" w:type="dxa"/>
          </w:tcPr>
          <w:p w14:paraId="42C31325">
            <w:pPr>
              <w:spacing w:line="360" w:lineRule="auto"/>
              <w:jc w:val="center"/>
              <w:rPr>
                <w:rFonts w:hint="eastAsia" w:ascii="宋体" w:eastAsia="宋体"/>
                <w:b w:val="0"/>
                <w:bCs/>
                <w:sz w:val="28"/>
                <w:szCs w:val="21"/>
                <w:vertAlign w:val="baseline"/>
                <w:lang w:val="en-US" w:eastAsia="zh-CN"/>
              </w:rPr>
            </w:pPr>
          </w:p>
        </w:tc>
        <w:tc>
          <w:tcPr>
            <w:tcW w:w="1161" w:type="dxa"/>
          </w:tcPr>
          <w:p w14:paraId="58B2C3D1">
            <w:pPr>
              <w:spacing w:line="360" w:lineRule="auto"/>
              <w:jc w:val="center"/>
              <w:rPr>
                <w:rFonts w:hint="eastAsia" w:ascii="宋体" w:eastAsia="宋体"/>
                <w:b w:val="0"/>
                <w:bCs/>
                <w:sz w:val="28"/>
                <w:szCs w:val="21"/>
                <w:vertAlign w:val="baseline"/>
                <w:lang w:val="en-US" w:eastAsia="zh-CN"/>
              </w:rPr>
            </w:pPr>
          </w:p>
        </w:tc>
      </w:tr>
      <w:tr w14:paraId="7141A38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14:paraId="31AB5D42">
            <w:pPr>
              <w:spacing w:line="360" w:lineRule="auto"/>
              <w:jc w:val="center"/>
              <w:rPr>
                <w:rFonts w:hint="eastAsia" w:ascii="宋体" w:eastAsia="宋体"/>
                <w:b w:val="0"/>
                <w:bCs/>
                <w:sz w:val="28"/>
                <w:szCs w:val="21"/>
                <w:vertAlign w:val="baseline"/>
                <w:lang w:val="en-US" w:eastAsia="zh-CN"/>
              </w:rPr>
            </w:pPr>
          </w:p>
        </w:tc>
        <w:tc>
          <w:tcPr>
            <w:tcW w:w="1161" w:type="dxa"/>
          </w:tcPr>
          <w:p w14:paraId="16C8A3EF">
            <w:pPr>
              <w:spacing w:line="360" w:lineRule="auto"/>
              <w:jc w:val="center"/>
              <w:rPr>
                <w:rFonts w:hint="eastAsia" w:ascii="宋体" w:eastAsia="宋体"/>
                <w:b w:val="0"/>
                <w:bCs/>
                <w:sz w:val="28"/>
                <w:szCs w:val="21"/>
                <w:vertAlign w:val="baseline"/>
                <w:lang w:val="en-US" w:eastAsia="zh-CN"/>
              </w:rPr>
            </w:pPr>
          </w:p>
        </w:tc>
        <w:tc>
          <w:tcPr>
            <w:tcW w:w="1161" w:type="dxa"/>
          </w:tcPr>
          <w:p w14:paraId="6C593BF3">
            <w:pPr>
              <w:spacing w:line="360" w:lineRule="auto"/>
              <w:jc w:val="center"/>
              <w:rPr>
                <w:rFonts w:hint="eastAsia" w:ascii="宋体" w:eastAsia="宋体"/>
                <w:b w:val="0"/>
                <w:bCs/>
                <w:sz w:val="28"/>
                <w:szCs w:val="21"/>
                <w:vertAlign w:val="baseline"/>
                <w:lang w:val="en-US" w:eastAsia="zh-CN"/>
              </w:rPr>
            </w:pPr>
          </w:p>
        </w:tc>
        <w:tc>
          <w:tcPr>
            <w:tcW w:w="1161" w:type="dxa"/>
          </w:tcPr>
          <w:p w14:paraId="6C123B4D">
            <w:pPr>
              <w:spacing w:line="360" w:lineRule="auto"/>
              <w:jc w:val="center"/>
              <w:rPr>
                <w:rFonts w:hint="eastAsia" w:ascii="宋体" w:eastAsia="宋体"/>
                <w:b w:val="0"/>
                <w:bCs/>
                <w:sz w:val="28"/>
                <w:szCs w:val="21"/>
                <w:vertAlign w:val="baseline"/>
                <w:lang w:val="en-US" w:eastAsia="zh-CN"/>
              </w:rPr>
            </w:pPr>
          </w:p>
        </w:tc>
        <w:tc>
          <w:tcPr>
            <w:tcW w:w="1161" w:type="dxa"/>
          </w:tcPr>
          <w:p w14:paraId="04251EBA">
            <w:pPr>
              <w:spacing w:line="360" w:lineRule="auto"/>
              <w:jc w:val="center"/>
              <w:rPr>
                <w:rFonts w:hint="eastAsia" w:ascii="宋体" w:eastAsia="宋体"/>
                <w:b w:val="0"/>
                <w:bCs/>
                <w:sz w:val="28"/>
                <w:szCs w:val="21"/>
                <w:vertAlign w:val="baseline"/>
                <w:lang w:val="en-US" w:eastAsia="zh-CN"/>
              </w:rPr>
            </w:pPr>
          </w:p>
        </w:tc>
        <w:tc>
          <w:tcPr>
            <w:tcW w:w="1161" w:type="dxa"/>
          </w:tcPr>
          <w:p w14:paraId="3B1B3B1A">
            <w:pPr>
              <w:spacing w:line="360" w:lineRule="auto"/>
              <w:jc w:val="center"/>
              <w:rPr>
                <w:rFonts w:hint="eastAsia" w:ascii="宋体" w:eastAsia="宋体"/>
                <w:b w:val="0"/>
                <w:bCs/>
                <w:sz w:val="28"/>
                <w:szCs w:val="21"/>
                <w:vertAlign w:val="baseline"/>
                <w:lang w:val="en-US" w:eastAsia="zh-CN"/>
              </w:rPr>
            </w:pPr>
          </w:p>
        </w:tc>
        <w:tc>
          <w:tcPr>
            <w:tcW w:w="1161" w:type="dxa"/>
          </w:tcPr>
          <w:p w14:paraId="33D1F148">
            <w:pPr>
              <w:spacing w:line="360" w:lineRule="auto"/>
              <w:jc w:val="center"/>
              <w:rPr>
                <w:rFonts w:hint="eastAsia" w:ascii="宋体" w:eastAsia="宋体"/>
                <w:b w:val="0"/>
                <w:bCs/>
                <w:sz w:val="28"/>
                <w:szCs w:val="21"/>
                <w:vertAlign w:val="baseline"/>
                <w:lang w:val="en-US" w:eastAsia="zh-CN"/>
              </w:rPr>
            </w:pPr>
          </w:p>
        </w:tc>
        <w:tc>
          <w:tcPr>
            <w:tcW w:w="1161" w:type="dxa"/>
          </w:tcPr>
          <w:p w14:paraId="69827CF1">
            <w:pPr>
              <w:spacing w:line="360" w:lineRule="auto"/>
              <w:jc w:val="center"/>
              <w:rPr>
                <w:rFonts w:hint="eastAsia" w:ascii="宋体" w:eastAsia="宋体"/>
                <w:b w:val="0"/>
                <w:bCs/>
                <w:sz w:val="28"/>
                <w:szCs w:val="21"/>
                <w:vertAlign w:val="baseline"/>
                <w:lang w:val="en-US" w:eastAsia="zh-CN"/>
              </w:rPr>
            </w:pPr>
          </w:p>
        </w:tc>
      </w:tr>
      <w:tr w14:paraId="5992955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14:paraId="4E187624">
            <w:pPr>
              <w:spacing w:line="360" w:lineRule="auto"/>
              <w:jc w:val="center"/>
              <w:rPr>
                <w:rFonts w:hint="eastAsia" w:ascii="宋体" w:eastAsia="宋体"/>
                <w:b w:val="0"/>
                <w:bCs/>
                <w:sz w:val="28"/>
                <w:szCs w:val="21"/>
                <w:vertAlign w:val="baseline"/>
                <w:lang w:val="en-US" w:eastAsia="zh-CN"/>
              </w:rPr>
            </w:pPr>
          </w:p>
        </w:tc>
        <w:tc>
          <w:tcPr>
            <w:tcW w:w="1161" w:type="dxa"/>
          </w:tcPr>
          <w:p w14:paraId="64F67718">
            <w:pPr>
              <w:spacing w:line="360" w:lineRule="auto"/>
              <w:jc w:val="center"/>
              <w:rPr>
                <w:rFonts w:hint="eastAsia" w:ascii="宋体" w:eastAsia="宋体"/>
                <w:b w:val="0"/>
                <w:bCs/>
                <w:sz w:val="28"/>
                <w:szCs w:val="21"/>
                <w:vertAlign w:val="baseline"/>
                <w:lang w:val="en-US" w:eastAsia="zh-CN"/>
              </w:rPr>
            </w:pPr>
          </w:p>
        </w:tc>
        <w:tc>
          <w:tcPr>
            <w:tcW w:w="1161" w:type="dxa"/>
          </w:tcPr>
          <w:p w14:paraId="09915520">
            <w:pPr>
              <w:spacing w:line="360" w:lineRule="auto"/>
              <w:jc w:val="center"/>
              <w:rPr>
                <w:rFonts w:hint="eastAsia" w:ascii="宋体" w:eastAsia="宋体"/>
                <w:b w:val="0"/>
                <w:bCs/>
                <w:sz w:val="28"/>
                <w:szCs w:val="21"/>
                <w:vertAlign w:val="baseline"/>
                <w:lang w:val="en-US" w:eastAsia="zh-CN"/>
              </w:rPr>
            </w:pPr>
          </w:p>
        </w:tc>
        <w:tc>
          <w:tcPr>
            <w:tcW w:w="1161" w:type="dxa"/>
          </w:tcPr>
          <w:p w14:paraId="146D8ADD">
            <w:pPr>
              <w:spacing w:line="360" w:lineRule="auto"/>
              <w:jc w:val="center"/>
              <w:rPr>
                <w:rFonts w:hint="eastAsia" w:ascii="宋体" w:eastAsia="宋体"/>
                <w:b w:val="0"/>
                <w:bCs/>
                <w:sz w:val="28"/>
                <w:szCs w:val="21"/>
                <w:vertAlign w:val="baseline"/>
                <w:lang w:val="en-US" w:eastAsia="zh-CN"/>
              </w:rPr>
            </w:pPr>
          </w:p>
        </w:tc>
        <w:tc>
          <w:tcPr>
            <w:tcW w:w="1161" w:type="dxa"/>
          </w:tcPr>
          <w:p w14:paraId="3872DDAF">
            <w:pPr>
              <w:spacing w:line="360" w:lineRule="auto"/>
              <w:jc w:val="center"/>
              <w:rPr>
                <w:rFonts w:hint="eastAsia" w:ascii="宋体" w:eastAsia="宋体"/>
                <w:b w:val="0"/>
                <w:bCs/>
                <w:sz w:val="28"/>
                <w:szCs w:val="21"/>
                <w:vertAlign w:val="baseline"/>
                <w:lang w:val="en-US" w:eastAsia="zh-CN"/>
              </w:rPr>
            </w:pPr>
          </w:p>
        </w:tc>
        <w:tc>
          <w:tcPr>
            <w:tcW w:w="1161" w:type="dxa"/>
          </w:tcPr>
          <w:p w14:paraId="5307C25B">
            <w:pPr>
              <w:spacing w:line="360" w:lineRule="auto"/>
              <w:jc w:val="center"/>
              <w:rPr>
                <w:rFonts w:hint="eastAsia" w:ascii="宋体" w:eastAsia="宋体"/>
                <w:b w:val="0"/>
                <w:bCs/>
                <w:sz w:val="28"/>
                <w:szCs w:val="21"/>
                <w:vertAlign w:val="baseline"/>
                <w:lang w:val="en-US" w:eastAsia="zh-CN"/>
              </w:rPr>
            </w:pPr>
          </w:p>
        </w:tc>
        <w:tc>
          <w:tcPr>
            <w:tcW w:w="1161" w:type="dxa"/>
          </w:tcPr>
          <w:p w14:paraId="32BAB90E">
            <w:pPr>
              <w:spacing w:line="360" w:lineRule="auto"/>
              <w:jc w:val="center"/>
              <w:rPr>
                <w:rFonts w:hint="eastAsia" w:ascii="宋体" w:eastAsia="宋体"/>
                <w:b w:val="0"/>
                <w:bCs/>
                <w:sz w:val="28"/>
                <w:szCs w:val="21"/>
                <w:vertAlign w:val="baseline"/>
                <w:lang w:val="en-US" w:eastAsia="zh-CN"/>
              </w:rPr>
            </w:pPr>
          </w:p>
        </w:tc>
        <w:tc>
          <w:tcPr>
            <w:tcW w:w="1161" w:type="dxa"/>
          </w:tcPr>
          <w:p w14:paraId="36C648F9">
            <w:pPr>
              <w:spacing w:line="360" w:lineRule="auto"/>
              <w:jc w:val="center"/>
              <w:rPr>
                <w:rFonts w:hint="eastAsia" w:ascii="宋体" w:eastAsia="宋体"/>
                <w:b w:val="0"/>
                <w:bCs/>
                <w:sz w:val="28"/>
                <w:szCs w:val="21"/>
                <w:vertAlign w:val="baseline"/>
                <w:lang w:val="en-US" w:eastAsia="zh-CN"/>
              </w:rPr>
            </w:pPr>
          </w:p>
        </w:tc>
      </w:tr>
      <w:tr w14:paraId="069E5EE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14:paraId="0E644831">
            <w:pPr>
              <w:spacing w:line="360" w:lineRule="auto"/>
              <w:jc w:val="center"/>
              <w:rPr>
                <w:rFonts w:hint="eastAsia" w:ascii="宋体" w:eastAsia="宋体"/>
                <w:b w:val="0"/>
                <w:bCs/>
                <w:sz w:val="28"/>
                <w:szCs w:val="21"/>
                <w:vertAlign w:val="baseline"/>
                <w:lang w:val="en-US" w:eastAsia="zh-CN"/>
              </w:rPr>
            </w:pPr>
          </w:p>
        </w:tc>
        <w:tc>
          <w:tcPr>
            <w:tcW w:w="1161" w:type="dxa"/>
          </w:tcPr>
          <w:p w14:paraId="5A2CED70">
            <w:pPr>
              <w:spacing w:line="360" w:lineRule="auto"/>
              <w:jc w:val="center"/>
              <w:rPr>
                <w:rFonts w:hint="eastAsia" w:ascii="宋体" w:eastAsia="宋体"/>
                <w:b w:val="0"/>
                <w:bCs/>
                <w:sz w:val="28"/>
                <w:szCs w:val="21"/>
                <w:vertAlign w:val="baseline"/>
                <w:lang w:val="en-US" w:eastAsia="zh-CN"/>
              </w:rPr>
            </w:pPr>
          </w:p>
        </w:tc>
        <w:tc>
          <w:tcPr>
            <w:tcW w:w="1161" w:type="dxa"/>
          </w:tcPr>
          <w:p w14:paraId="14E81364">
            <w:pPr>
              <w:spacing w:line="360" w:lineRule="auto"/>
              <w:jc w:val="center"/>
              <w:rPr>
                <w:rFonts w:hint="eastAsia" w:ascii="宋体" w:eastAsia="宋体"/>
                <w:b w:val="0"/>
                <w:bCs/>
                <w:sz w:val="28"/>
                <w:szCs w:val="21"/>
                <w:vertAlign w:val="baseline"/>
                <w:lang w:val="en-US" w:eastAsia="zh-CN"/>
              </w:rPr>
            </w:pPr>
          </w:p>
        </w:tc>
        <w:tc>
          <w:tcPr>
            <w:tcW w:w="1161" w:type="dxa"/>
          </w:tcPr>
          <w:p w14:paraId="2852A98D">
            <w:pPr>
              <w:spacing w:line="360" w:lineRule="auto"/>
              <w:jc w:val="center"/>
              <w:rPr>
                <w:rFonts w:hint="eastAsia" w:ascii="宋体" w:eastAsia="宋体"/>
                <w:b w:val="0"/>
                <w:bCs/>
                <w:sz w:val="28"/>
                <w:szCs w:val="21"/>
                <w:vertAlign w:val="baseline"/>
                <w:lang w:val="en-US" w:eastAsia="zh-CN"/>
              </w:rPr>
            </w:pPr>
          </w:p>
        </w:tc>
        <w:tc>
          <w:tcPr>
            <w:tcW w:w="1161" w:type="dxa"/>
          </w:tcPr>
          <w:p w14:paraId="2DFE0387">
            <w:pPr>
              <w:spacing w:line="360" w:lineRule="auto"/>
              <w:jc w:val="center"/>
              <w:rPr>
                <w:rFonts w:hint="eastAsia" w:ascii="宋体" w:eastAsia="宋体"/>
                <w:b w:val="0"/>
                <w:bCs/>
                <w:sz w:val="28"/>
                <w:szCs w:val="21"/>
                <w:vertAlign w:val="baseline"/>
                <w:lang w:val="en-US" w:eastAsia="zh-CN"/>
              </w:rPr>
            </w:pPr>
          </w:p>
        </w:tc>
        <w:tc>
          <w:tcPr>
            <w:tcW w:w="1161" w:type="dxa"/>
          </w:tcPr>
          <w:p w14:paraId="54EDDA6E">
            <w:pPr>
              <w:spacing w:line="360" w:lineRule="auto"/>
              <w:jc w:val="center"/>
              <w:rPr>
                <w:rFonts w:hint="eastAsia" w:ascii="宋体" w:eastAsia="宋体"/>
                <w:b w:val="0"/>
                <w:bCs/>
                <w:sz w:val="28"/>
                <w:szCs w:val="21"/>
                <w:vertAlign w:val="baseline"/>
                <w:lang w:val="en-US" w:eastAsia="zh-CN"/>
              </w:rPr>
            </w:pPr>
          </w:p>
        </w:tc>
        <w:tc>
          <w:tcPr>
            <w:tcW w:w="1161" w:type="dxa"/>
          </w:tcPr>
          <w:p w14:paraId="55DB67CD">
            <w:pPr>
              <w:spacing w:line="360" w:lineRule="auto"/>
              <w:jc w:val="center"/>
              <w:rPr>
                <w:rFonts w:hint="eastAsia" w:ascii="宋体" w:eastAsia="宋体"/>
                <w:b w:val="0"/>
                <w:bCs/>
                <w:sz w:val="28"/>
                <w:szCs w:val="21"/>
                <w:vertAlign w:val="baseline"/>
                <w:lang w:val="en-US" w:eastAsia="zh-CN"/>
              </w:rPr>
            </w:pPr>
          </w:p>
        </w:tc>
        <w:tc>
          <w:tcPr>
            <w:tcW w:w="1161" w:type="dxa"/>
          </w:tcPr>
          <w:p w14:paraId="5C380171">
            <w:pPr>
              <w:spacing w:line="360" w:lineRule="auto"/>
              <w:jc w:val="center"/>
              <w:rPr>
                <w:rFonts w:hint="eastAsia" w:ascii="宋体" w:eastAsia="宋体"/>
                <w:b w:val="0"/>
                <w:bCs/>
                <w:sz w:val="28"/>
                <w:szCs w:val="21"/>
                <w:vertAlign w:val="baseline"/>
                <w:lang w:val="en-US" w:eastAsia="zh-CN"/>
              </w:rPr>
            </w:pPr>
          </w:p>
        </w:tc>
      </w:tr>
      <w:tr w14:paraId="122718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14:paraId="132C39EC">
            <w:pPr>
              <w:spacing w:line="360" w:lineRule="auto"/>
              <w:jc w:val="center"/>
              <w:rPr>
                <w:rFonts w:hint="eastAsia" w:ascii="宋体" w:eastAsia="宋体"/>
                <w:b w:val="0"/>
                <w:bCs/>
                <w:sz w:val="28"/>
                <w:szCs w:val="21"/>
                <w:vertAlign w:val="baseline"/>
                <w:lang w:val="en-US" w:eastAsia="zh-CN"/>
              </w:rPr>
            </w:pPr>
          </w:p>
        </w:tc>
        <w:tc>
          <w:tcPr>
            <w:tcW w:w="1161" w:type="dxa"/>
          </w:tcPr>
          <w:p w14:paraId="6ACDE196">
            <w:pPr>
              <w:spacing w:line="360" w:lineRule="auto"/>
              <w:jc w:val="center"/>
              <w:rPr>
                <w:rFonts w:hint="eastAsia" w:ascii="宋体" w:eastAsia="宋体"/>
                <w:b w:val="0"/>
                <w:bCs/>
                <w:sz w:val="28"/>
                <w:szCs w:val="21"/>
                <w:vertAlign w:val="baseline"/>
                <w:lang w:val="en-US" w:eastAsia="zh-CN"/>
              </w:rPr>
            </w:pPr>
          </w:p>
        </w:tc>
        <w:tc>
          <w:tcPr>
            <w:tcW w:w="1161" w:type="dxa"/>
          </w:tcPr>
          <w:p w14:paraId="79F08698">
            <w:pPr>
              <w:spacing w:line="360" w:lineRule="auto"/>
              <w:jc w:val="center"/>
              <w:rPr>
                <w:rFonts w:hint="eastAsia" w:ascii="宋体" w:eastAsia="宋体"/>
                <w:b w:val="0"/>
                <w:bCs/>
                <w:sz w:val="28"/>
                <w:szCs w:val="21"/>
                <w:vertAlign w:val="baseline"/>
                <w:lang w:val="en-US" w:eastAsia="zh-CN"/>
              </w:rPr>
            </w:pPr>
          </w:p>
        </w:tc>
        <w:tc>
          <w:tcPr>
            <w:tcW w:w="1161" w:type="dxa"/>
          </w:tcPr>
          <w:p w14:paraId="77F9367C">
            <w:pPr>
              <w:spacing w:line="360" w:lineRule="auto"/>
              <w:jc w:val="center"/>
              <w:rPr>
                <w:rFonts w:hint="eastAsia" w:ascii="宋体" w:eastAsia="宋体"/>
                <w:b w:val="0"/>
                <w:bCs/>
                <w:sz w:val="28"/>
                <w:szCs w:val="21"/>
                <w:vertAlign w:val="baseline"/>
                <w:lang w:val="en-US" w:eastAsia="zh-CN"/>
              </w:rPr>
            </w:pPr>
          </w:p>
        </w:tc>
        <w:tc>
          <w:tcPr>
            <w:tcW w:w="1161" w:type="dxa"/>
          </w:tcPr>
          <w:p w14:paraId="71BB56B8">
            <w:pPr>
              <w:spacing w:line="360" w:lineRule="auto"/>
              <w:jc w:val="center"/>
              <w:rPr>
                <w:rFonts w:hint="eastAsia" w:ascii="宋体" w:eastAsia="宋体"/>
                <w:b w:val="0"/>
                <w:bCs/>
                <w:sz w:val="28"/>
                <w:szCs w:val="21"/>
                <w:vertAlign w:val="baseline"/>
                <w:lang w:val="en-US" w:eastAsia="zh-CN"/>
              </w:rPr>
            </w:pPr>
          </w:p>
        </w:tc>
        <w:tc>
          <w:tcPr>
            <w:tcW w:w="1161" w:type="dxa"/>
          </w:tcPr>
          <w:p w14:paraId="47060B24">
            <w:pPr>
              <w:spacing w:line="360" w:lineRule="auto"/>
              <w:jc w:val="center"/>
              <w:rPr>
                <w:rFonts w:hint="eastAsia" w:ascii="宋体" w:eastAsia="宋体"/>
                <w:b w:val="0"/>
                <w:bCs/>
                <w:sz w:val="28"/>
                <w:szCs w:val="21"/>
                <w:vertAlign w:val="baseline"/>
                <w:lang w:val="en-US" w:eastAsia="zh-CN"/>
              </w:rPr>
            </w:pPr>
          </w:p>
        </w:tc>
        <w:tc>
          <w:tcPr>
            <w:tcW w:w="1161" w:type="dxa"/>
          </w:tcPr>
          <w:p w14:paraId="3CE14D01">
            <w:pPr>
              <w:spacing w:line="360" w:lineRule="auto"/>
              <w:jc w:val="center"/>
              <w:rPr>
                <w:rFonts w:hint="eastAsia" w:ascii="宋体" w:eastAsia="宋体"/>
                <w:b w:val="0"/>
                <w:bCs/>
                <w:sz w:val="28"/>
                <w:szCs w:val="21"/>
                <w:vertAlign w:val="baseline"/>
                <w:lang w:val="en-US" w:eastAsia="zh-CN"/>
              </w:rPr>
            </w:pPr>
          </w:p>
        </w:tc>
        <w:tc>
          <w:tcPr>
            <w:tcW w:w="1161" w:type="dxa"/>
          </w:tcPr>
          <w:p w14:paraId="19EB107E">
            <w:pPr>
              <w:spacing w:line="360" w:lineRule="auto"/>
              <w:jc w:val="center"/>
              <w:rPr>
                <w:rFonts w:hint="eastAsia" w:ascii="宋体" w:eastAsia="宋体"/>
                <w:b w:val="0"/>
                <w:bCs/>
                <w:sz w:val="28"/>
                <w:szCs w:val="21"/>
                <w:vertAlign w:val="baseline"/>
                <w:lang w:val="en-US" w:eastAsia="zh-CN"/>
              </w:rPr>
            </w:pPr>
          </w:p>
        </w:tc>
      </w:tr>
      <w:tr w14:paraId="2998D8B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14:paraId="2AC7A52B">
            <w:pPr>
              <w:spacing w:line="360" w:lineRule="auto"/>
              <w:jc w:val="center"/>
              <w:rPr>
                <w:rFonts w:hint="eastAsia" w:ascii="宋体" w:eastAsia="宋体"/>
                <w:b w:val="0"/>
                <w:bCs/>
                <w:sz w:val="28"/>
                <w:szCs w:val="21"/>
                <w:vertAlign w:val="baseline"/>
                <w:lang w:val="en-US" w:eastAsia="zh-CN"/>
              </w:rPr>
            </w:pPr>
          </w:p>
        </w:tc>
        <w:tc>
          <w:tcPr>
            <w:tcW w:w="1161" w:type="dxa"/>
          </w:tcPr>
          <w:p w14:paraId="4E228BC2">
            <w:pPr>
              <w:spacing w:line="360" w:lineRule="auto"/>
              <w:jc w:val="center"/>
              <w:rPr>
                <w:rFonts w:hint="eastAsia" w:ascii="宋体" w:eastAsia="宋体"/>
                <w:b w:val="0"/>
                <w:bCs/>
                <w:sz w:val="28"/>
                <w:szCs w:val="21"/>
                <w:vertAlign w:val="baseline"/>
                <w:lang w:val="en-US" w:eastAsia="zh-CN"/>
              </w:rPr>
            </w:pPr>
          </w:p>
        </w:tc>
        <w:tc>
          <w:tcPr>
            <w:tcW w:w="1161" w:type="dxa"/>
          </w:tcPr>
          <w:p w14:paraId="56D4B28C">
            <w:pPr>
              <w:spacing w:line="360" w:lineRule="auto"/>
              <w:jc w:val="center"/>
              <w:rPr>
                <w:rFonts w:hint="eastAsia" w:ascii="宋体" w:eastAsia="宋体"/>
                <w:b w:val="0"/>
                <w:bCs/>
                <w:sz w:val="28"/>
                <w:szCs w:val="21"/>
                <w:vertAlign w:val="baseline"/>
                <w:lang w:val="en-US" w:eastAsia="zh-CN"/>
              </w:rPr>
            </w:pPr>
          </w:p>
        </w:tc>
        <w:tc>
          <w:tcPr>
            <w:tcW w:w="1161" w:type="dxa"/>
          </w:tcPr>
          <w:p w14:paraId="22D8A30C">
            <w:pPr>
              <w:spacing w:line="360" w:lineRule="auto"/>
              <w:jc w:val="center"/>
              <w:rPr>
                <w:rFonts w:hint="eastAsia" w:ascii="宋体" w:eastAsia="宋体"/>
                <w:b w:val="0"/>
                <w:bCs/>
                <w:sz w:val="28"/>
                <w:szCs w:val="21"/>
                <w:vertAlign w:val="baseline"/>
                <w:lang w:val="en-US" w:eastAsia="zh-CN"/>
              </w:rPr>
            </w:pPr>
          </w:p>
        </w:tc>
        <w:tc>
          <w:tcPr>
            <w:tcW w:w="1161" w:type="dxa"/>
          </w:tcPr>
          <w:p w14:paraId="6DB85C7E">
            <w:pPr>
              <w:spacing w:line="360" w:lineRule="auto"/>
              <w:jc w:val="center"/>
              <w:rPr>
                <w:rFonts w:hint="eastAsia" w:ascii="宋体" w:eastAsia="宋体"/>
                <w:b w:val="0"/>
                <w:bCs/>
                <w:sz w:val="28"/>
                <w:szCs w:val="21"/>
                <w:vertAlign w:val="baseline"/>
                <w:lang w:val="en-US" w:eastAsia="zh-CN"/>
              </w:rPr>
            </w:pPr>
          </w:p>
        </w:tc>
        <w:tc>
          <w:tcPr>
            <w:tcW w:w="1161" w:type="dxa"/>
          </w:tcPr>
          <w:p w14:paraId="0B40466C">
            <w:pPr>
              <w:spacing w:line="360" w:lineRule="auto"/>
              <w:jc w:val="center"/>
              <w:rPr>
                <w:rFonts w:hint="eastAsia" w:ascii="宋体" w:eastAsia="宋体"/>
                <w:b w:val="0"/>
                <w:bCs/>
                <w:sz w:val="28"/>
                <w:szCs w:val="21"/>
                <w:vertAlign w:val="baseline"/>
                <w:lang w:val="en-US" w:eastAsia="zh-CN"/>
              </w:rPr>
            </w:pPr>
          </w:p>
        </w:tc>
        <w:tc>
          <w:tcPr>
            <w:tcW w:w="1161" w:type="dxa"/>
          </w:tcPr>
          <w:p w14:paraId="53841B34">
            <w:pPr>
              <w:spacing w:line="360" w:lineRule="auto"/>
              <w:jc w:val="center"/>
              <w:rPr>
                <w:rFonts w:hint="eastAsia" w:ascii="宋体" w:eastAsia="宋体"/>
                <w:b w:val="0"/>
                <w:bCs/>
                <w:sz w:val="28"/>
                <w:szCs w:val="21"/>
                <w:vertAlign w:val="baseline"/>
                <w:lang w:val="en-US" w:eastAsia="zh-CN"/>
              </w:rPr>
            </w:pPr>
          </w:p>
        </w:tc>
        <w:tc>
          <w:tcPr>
            <w:tcW w:w="1161" w:type="dxa"/>
          </w:tcPr>
          <w:p w14:paraId="423A88DE">
            <w:pPr>
              <w:spacing w:line="360" w:lineRule="auto"/>
              <w:jc w:val="center"/>
              <w:rPr>
                <w:rFonts w:hint="eastAsia" w:ascii="宋体" w:eastAsia="宋体"/>
                <w:b w:val="0"/>
                <w:bCs/>
                <w:sz w:val="28"/>
                <w:szCs w:val="21"/>
                <w:vertAlign w:val="baseline"/>
                <w:lang w:val="en-US" w:eastAsia="zh-CN"/>
              </w:rPr>
            </w:pPr>
          </w:p>
        </w:tc>
      </w:tr>
      <w:tr w14:paraId="6B37A55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14:paraId="5DEC24A9">
            <w:pPr>
              <w:spacing w:line="360" w:lineRule="auto"/>
              <w:jc w:val="center"/>
              <w:rPr>
                <w:rFonts w:hint="eastAsia" w:ascii="宋体" w:eastAsia="宋体"/>
                <w:b w:val="0"/>
                <w:bCs/>
                <w:sz w:val="28"/>
                <w:szCs w:val="21"/>
                <w:vertAlign w:val="baseline"/>
                <w:lang w:val="en-US" w:eastAsia="zh-CN"/>
              </w:rPr>
            </w:pPr>
          </w:p>
        </w:tc>
        <w:tc>
          <w:tcPr>
            <w:tcW w:w="1161" w:type="dxa"/>
          </w:tcPr>
          <w:p w14:paraId="0F30B7FA">
            <w:pPr>
              <w:spacing w:line="360" w:lineRule="auto"/>
              <w:jc w:val="center"/>
              <w:rPr>
                <w:rFonts w:hint="eastAsia" w:ascii="宋体" w:eastAsia="宋体"/>
                <w:b w:val="0"/>
                <w:bCs/>
                <w:sz w:val="28"/>
                <w:szCs w:val="21"/>
                <w:vertAlign w:val="baseline"/>
                <w:lang w:val="en-US" w:eastAsia="zh-CN"/>
              </w:rPr>
            </w:pPr>
          </w:p>
        </w:tc>
        <w:tc>
          <w:tcPr>
            <w:tcW w:w="1161" w:type="dxa"/>
          </w:tcPr>
          <w:p w14:paraId="40D01409">
            <w:pPr>
              <w:spacing w:line="360" w:lineRule="auto"/>
              <w:jc w:val="center"/>
              <w:rPr>
                <w:rFonts w:hint="eastAsia" w:ascii="宋体" w:eastAsia="宋体"/>
                <w:b w:val="0"/>
                <w:bCs/>
                <w:sz w:val="28"/>
                <w:szCs w:val="21"/>
                <w:vertAlign w:val="baseline"/>
                <w:lang w:val="en-US" w:eastAsia="zh-CN"/>
              </w:rPr>
            </w:pPr>
          </w:p>
        </w:tc>
        <w:tc>
          <w:tcPr>
            <w:tcW w:w="1161" w:type="dxa"/>
          </w:tcPr>
          <w:p w14:paraId="57D053A1">
            <w:pPr>
              <w:spacing w:line="360" w:lineRule="auto"/>
              <w:jc w:val="center"/>
              <w:rPr>
                <w:rFonts w:hint="eastAsia" w:ascii="宋体" w:eastAsia="宋体"/>
                <w:b w:val="0"/>
                <w:bCs/>
                <w:sz w:val="28"/>
                <w:szCs w:val="21"/>
                <w:vertAlign w:val="baseline"/>
                <w:lang w:val="en-US" w:eastAsia="zh-CN"/>
              </w:rPr>
            </w:pPr>
          </w:p>
        </w:tc>
        <w:tc>
          <w:tcPr>
            <w:tcW w:w="1161" w:type="dxa"/>
          </w:tcPr>
          <w:p w14:paraId="3423D803">
            <w:pPr>
              <w:spacing w:line="360" w:lineRule="auto"/>
              <w:jc w:val="center"/>
              <w:rPr>
                <w:rFonts w:hint="eastAsia" w:ascii="宋体" w:eastAsia="宋体"/>
                <w:b w:val="0"/>
                <w:bCs/>
                <w:sz w:val="28"/>
                <w:szCs w:val="21"/>
                <w:vertAlign w:val="baseline"/>
                <w:lang w:val="en-US" w:eastAsia="zh-CN"/>
              </w:rPr>
            </w:pPr>
          </w:p>
        </w:tc>
        <w:tc>
          <w:tcPr>
            <w:tcW w:w="1161" w:type="dxa"/>
          </w:tcPr>
          <w:p w14:paraId="0D9A8678">
            <w:pPr>
              <w:spacing w:line="360" w:lineRule="auto"/>
              <w:jc w:val="center"/>
              <w:rPr>
                <w:rFonts w:hint="eastAsia" w:ascii="宋体" w:eastAsia="宋体"/>
                <w:b w:val="0"/>
                <w:bCs/>
                <w:sz w:val="28"/>
                <w:szCs w:val="21"/>
                <w:vertAlign w:val="baseline"/>
                <w:lang w:val="en-US" w:eastAsia="zh-CN"/>
              </w:rPr>
            </w:pPr>
          </w:p>
        </w:tc>
        <w:tc>
          <w:tcPr>
            <w:tcW w:w="1161" w:type="dxa"/>
          </w:tcPr>
          <w:p w14:paraId="3A5E6C3B">
            <w:pPr>
              <w:spacing w:line="360" w:lineRule="auto"/>
              <w:jc w:val="center"/>
              <w:rPr>
                <w:rFonts w:hint="eastAsia" w:ascii="宋体" w:eastAsia="宋体"/>
                <w:b w:val="0"/>
                <w:bCs/>
                <w:sz w:val="28"/>
                <w:szCs w:val="21"/>
                <w:vertAlign w:val="baseline"/>
                <w:lang w:val="en-US" w:eastAsia="zh-CN"/>
              </w:rPr>
            </w:pPr>
          </w:p>
        </w:tc>
        <w:tc>
          <w:tcPr>
            <w:tcW w:w="1161" w:type="dxa"/>
          </w:tcPr>
          <w:p w14:paraId="7EF574AD">
            <w:pPr>
              <w:spacing w:line="360" w:lineRule="auto"/>
              <w:jc w:val="center"/>
              <w:rPr>
                <w:rFonts w:hint="eastAsia" w:ascii="宋体" w:eastAsia="宋体"/>
                <w:b w:val="0"/>
                <w:bCs/>
                <w:sz w:val="28"/>
                <w:szCs w:val="21"/>
                <w:vertAlign w:val="baseline"/>
                <w:lang w:val="en-US" w:eastAsia="zh-CN"/>
              </w:rPr>
            </w:pPr>
          </w:p>
        </w:tc>
      </w:tr>
      <w:tr w14:paraId="0FCF09F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14:paraId="72001262">
            <w:pPr>
              <w:spacing w:line="360" w:lineRule="auto"/>
              <w:jc w:val="center"/>
              <w:rPr>
                <w:rFonts w:hint="eastAsia" w:ascii="宋体" w:eastAsia="宋体"/>
                <w:b w:val="0"/>
                <w:bCs/>
                <w:sz w:val="28"/>
                <w:szCs w:val="21"/>
                <w:vertAlign w:val="baseline"/>
                <w:lang w:val="en-US" w:eastAsia="zh-CN"/>
              </w:rPr>
            </w:pPr>
          </w:p>
        </w:tc>
        <w:tc>
          <w:tcPr>
            <w:tcW w:w="1161" w:type="dxa"/>
          </w:tcPr>
          <w:p w14:paraId="68B4BF42">
            <w:pPr>
              <w:spacing w:line="360" w:lineRule="auto"/>
              <w:jc w:val="center"/>
              <w:rPr>
                <w:rFonts w:hint="eastAsia" w:ascii="宋体" w:eastAsia="宋体"/>
                <w:b w:val="0"/>
                <w:bCs/>
                <w:sz w:val="28"/>
                <w:szCs w:val="21"/>
                <w:vertAlign w:val="baseline"/>
                <w:lang w:val="en-US" w:eastAsia="zh-CN"/>
              </w:rPr>
            </w:pPr>
          </w:p>
        </w:tc>
        <w:tc>
          <w:tcPr>
            <w:tcW w:w="1161" w:type="dxa"/>
          </w:tcPr>
          <w:p w14:paraId="0E158521">
            <w:pPr>
              <w:spacing w:line="360" w:lineRule="auto"/>
              <w:jc w:val="center"/>
              <w:rPr>
                <w:rFonts w:hint="eastAsia" w:ascii="宋体" w:eastAsia="宋体"/>
                <w:b w:val="0"/>
                <w:bCs/>
                <w:sz w:val="28"/>
                <w:szCs w:val="21"/>
                <w:vertAlign w:val="baseline"/>
                <w:lang w:val="en-US" w:eastAsia="zh-CN"/>
              </w:rPr>
            </w:pPr>
          </w:p>
        </w:tc>
        <w:tc>
          <w:tcPr>
            <w:tcW w:w="1161" w:type="dxa"/>
          </w:tcPr>
          <w:p w14:paraId="1E7B4EF1">
            <w:pPr>
              <w:spacing w:line="360" w:lineRule="auto"/>
              <w:jc w:val="center"/>
              <w:rPr>
                <w:rFonts w:hint="eastAsia" w:ascii="宋体" w:eastAsia="宋体"/>
                <w:b w:val="0"/>
                <w:bCs/>
                <w:sz w:val="28"/>
                <w:szCs w:val="21"/>
                <w:vertAlign w:val="baseline"/>
                <w:lang w:val="en-US" w:eastAsia="zh-CN"/>
              </w:rPr>
            </w:pPr>
          </w:p>
        </w:tc>
        <w:tc>
          <w:tcPr>
            <w:tcW w:w="1161" w:type="dxa"/>
          </w:tcPr>
          <w:p w14:paraId="2CA50AA1">
            <w:pPr>
              <w:spacing w:line="360" w:lineRule="auto"/>
              <w:jc w:val="center"/>
              <w:rPr>
                <w:rFonts w:hint="eastAsia" w:ascii="宋体" w:eastAsia="宋体"/>
                <w:b w:val="0"/>
                <w:bCs/>
                <w:sz w:val="28"/>
                <w:szCs w:val="21"/>
                <w:vertAlign w:val="baseline"/>
                <w:lang w:val="en-US" w:eastAsia="zh-CN"/>
              </w:rPr>
            </w:pPr>
          </w:p>
        </w:tc>
        <w:tc>
          <w:tcPr>
            <w:tcW w:w="1161" w:type="dxa"/>
          </w:tcPr>
          <w:p w14:paraId="426B0CC7">
            <w:pPr>
              <w:spacing w:line="360" w:lineRule="auto"/>
              <w:jc w:val="center"/>
              <w:rPr>
                <w:rFonts w:hint="eastAsia" w:ascii="宋体" w:eastAsia="宋体"/>
                <w:b w:val="0"/>
                <w:bCs/>
                <w:sz w:val="28"/>
                <w:szCs w:val="21"/>
                <w:vertAlign w:val="baseline"/>
                <w:lang w:val="en-US" w:eastAsia="zh-CN"/>
              </w:rPr>
            </w:pPr>
          </w:p>
        </w:tc>
        <w:tc>
          <w:tcPr>
            <w:tcW w:w="1161" w:type="dxa"/>
          </w:tcPr>
          <w:p w14:paraId="3CEB33A2">
            <w:pPr>
              <w:spacing w:line="360" w:lineRule="auto"/>
              <w:jc w:val="center"/>
              <w:rPr>
                <w:rFonts w:hint="eastAsia" w:ascii="宋体" w:eastAsia="宋体"/>
                <w:b w:val="0"/>
                <w:bCs/>
                <w:sz w:val="28"/>
                <w:szCs w:val="21"/>
                <w:vertAlign w:val="baseline"/>
                <w:lang w:val="en-US" w:eastAsia="zh-CN"/>
              </w:rPr>
            </w:pPr>
          </w:p>
        </w:tc>
        <w:tc>
          <w:tcPr>
            <w:tcW w:w="1161" w:type="dxa"/>
          </w:tcPr>
          <w:p w14:paraId="346580E4">
            <w:pPr>
              <w:spacing w:line="360" w:lineRule="auto"/>
              <w:jc w:val="center"/>
              <w:rPr>
                <w:rFonts w:hint="eastAsia" w:ascii="宋体" w:eastAsia="宋体"/>
                <w:b w:val="0"/>
                <w:bCs/>
                <w:sz w:val="28"/>
                <w:szCs w:val="21"/>
                <w:vertAlign w:val="baseline"/>
                <w:lang w:val="en-US" w:eastAsia="zh-CN"/>
              </w:rPr>
            </w:pPr>
          </w:p>
        </w:tc>
      </w:tr>
      <w:tr w14:paraId="516C7FC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14:paraId="3E23C843">
            <w:pPr>
              <w:spacing w:line="360" w:lineRule="auto"/>
              <w:jc w:val="center"/>
              <w:rPr>
                <w:rFonts w:hint="eastAsia" w:ascii="宋体" w:eastAsia="宋体"/>
                <w:b w:val="0"/>
                <w:bCs/>
                <w:sz w:val="28"/>
                <w:szCs w:val="21"/>
                <w:vertAlign w:val="baseline"/>
                <w:lang w:val="en-US" w:eastAsia="zh-CN"/>
              </w:rPr>
            </w:pPr>
          </w:p>
        </w:tc>
        <w:tc>
          <w:tcPr>
            <w:tcW w:w="1161" w:type="dxa"/>
          </w:tcPr>
          <w:p w14:paraId="7B484074">
            <w:pPr>
              <w:spacing w:line="360" w:lineRule="auto"/>
              <w:jc w:val="center"/>
              <w:rPr>
                <w:rFonts w:hint="eastAsia" w:ascii="宋体" w:eastAsia="宋体"/>
                <w:b w:val="0"/>
                <w:bCs/>
                <w:sz w:val="28"/>
                <w:szCs w:val="21"/>
                <w:vertAlign w:val="baseline"/>
                <w:lang w:val="en-US" w:eastAsia="zh-CN"/>
              </w:rPr>
            </w:pPr>
          </w:p>
        </w:tc>
        <w:tc>
          <w:tcPr>
            <w:tcW w:w="1161" w:type="dxa"/>
          </w:tcPr>
          <w:p w14:paraId="3D4013CF">
            <w:pPr>
              <w:spacing w:line="360" w:lineRule="auto"/>
              <w:jc w:val="center"/>
              <w:rPr>
                <w:rFonts w:hint="eastAsia" w:ascii="宋体" w:eastAsia="宋体"/>
                <w:b w:val="0"/>
                <w:bCs/>
                <w:sz w:val="28"/>
                <w:szCs w:val="21"/>
                <w:vertAlign w:val="baseline"/>
                <w:lang w:val="en-US" w:eastAsia="zh-CN"/>
              </w:rPr>
            </w:pPr>
          </w:p>
        </w:tc>
        <w:tc>
          <w:tcPr>
            <w:tcW w:w="1161" w:type="dxa"/>
          </w:tcPr>
          <w:p w14:paraId="796B86DA">
            <w:pPr>
              <w:spacing w:line="360" w:lineRule="auto"/>
              <w:jc w:val="center"/>
              <w:rPr>
                <w:rFonts w:hint="eastAsia" w:ascii="宋体" w:eastAsia="宋体"/>
                <w:b w:val="0"/>
                <w:bCs/>
                <w:sz w:val="28"/>
                <w:szCs w:val="21"/>
                <w:vertAlign w:val="baseline"/>
                <w:lang w:val="en-US" w:eastAsia="zh-CN"/>
              </w:rPr>
            </w:pPr>
          </w:p>
        </w:tc>
        <w:tc>
          <w:tcPr>
            <w:tcW w:w="1161" w:type="dxa"/>
          </w:tcPr>
          <w:p w14:paraId="45D5F59D">
            <w:pPr>
              <w:spacing w:line="360" w:lineRule="auto"/>
              <w:jc w:val="center"/>
              <w:rPr>
                <w:rFonts w:hint="eastAsia" w:ascii="宋体" w:eastAsia="宋体"/>
                <w:b w:val="0"/>
                <w:bCs/>
                <w:sz w:val="28"/>
                <w:szCs w:val="21"/>
                <w:vertAlign w:val="baseline"/>
                <w:lang w:val="en-US" w:eastAsia="zh-CN"/>
              </w:rPr>
            </w:pPr>
          </w:p>
        </w:tc>
        <w:tc>
          <w:tcPr>
            <w:tcW w:w="1161" w:type="dxa"/>
          </w:tcPr>
          <w:p w14:paraId="26623769">
            <w:pPr>
              <w:spacing w:line="360" w:lineRule="auto"/>
              <w:jc w:val="center"/>
              <w:rPr>
                <w:rFonts w:hint="eastAsia" w:ascii="宋体" w:eastAsia="宋体"/>
                <w:b w:val="0"/>
                <w:bCs/>
                <w:sz w:val="28"/>
                <w:szCs w:val="21"/>
                <w:vertAlign w:val="baseline"/>
                <w:lang w:val="en-US" w:eastAsia="zh-CN"/>
              </w:rPr>
            </w:pPr>
          </w:p>
        </w:tc>
        <w:tc>
          <w:tcPr>
            <w:tcW w:w="1161" w:type="dxa"/>
          </w:tcPr>
          <w:p w14:paraId="489AAB25">
            <w:pPr>
              <w:spacing w:line="360" w:lineRule="auto"/>
              <w:jc w:val="center"/>
              <w:rPr>
                <w:rFonts w:hint="eastAsia" w:ascii="宋体" w:eastAsia="宋体"/>
                <w:b w:val="0"/>
                <w:bCs/>
                <w:sz w:val="28"/>
                <w:szCs w:val="21"/>
                <w:vertAlign w:val="baseline"/>
                <w:lang w:val="en-US" w:eastAsia="zh-CN"/>
              </w:rPr>
            </w:pPr>
          </w:p>
        </w:tc>
        <w:tc>
          <w:tcPr>
            <w:tcW w:w="1161" w:type="dxa"/>
          </w:tcPr>
          <w:p w14:paraId="309EA093">
            <w:pPr>
              <w:spacing w:line="360" w:lineRule="auto"/>
              <w:jc w:val="center"/>
              <w:rPr>
                <w:rFonts w:hint="eastAsia" w:ascii="宋体" w:eastAsia="宋体"/>
                <w:b w:val="0"/>
                <w:bCs/>
                <w:sz w:val="28"/>
                <w:szCs w:val="21"/>
                <w:vertAlign w:val="baseline"/>
                <w:lang w:val="en-US" w:eastAsia="zh-CN"/>
              </w:rPr>
            </w:pPr>
          </w:p>
        </w:tc>
      </w:tr>
      <w:tr w14:paraId="16DF78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14:paraId="05051835">
            <w:pPr>
              <w:spacing w:line="360" w:lineRule="auto"/>
              <w:jc w:val="center"/>
              <w:rPr>
                <w:rFonts w:hint="eastAsia" w:ascii="宋体" w:eastAsia="宋体"/>
                <w:b w:val="0"/>
                <w:bCs/>
                <w:sz w:val="28"/>
                <w:szCs w:val="21"/>
                <w:vertAlign w:val="baseline"/>
                <w:lang w:val="en-US" w:eastAsia="zh-CN"/>
              </w:rPr>
            </w:pPr>
          </w:p>
        </w:tc>
        <w:tc>
          <w:tcPr>
            <w:tcW w:w="1161" w:type="dxa"/>
          </w:tcPr>
          <w:p w14:paraId="76990930">
            <w:pPr>
              <w:spacing w:line="360" w:lineRule="auto"/>
              <w:jc w:val="center"/>
              <w:rPr>
                <w:rFonts w:hint="eastAsia" w:ascii="宋体" w:eastAsia="宋体"/>
                <w:b w:val="0"/>
                <w:bCs/>
                <w:sz w:val="28"/>
                <w:szCs w:val="21"/>
                <w:vertAlign w:val="baseline"/>
                <w:lang w:val="en-US" w:eastAsia="zh-CN"/>
              </w:rPr>
            </w:pPr>
          </w:p>
        </w:tc>
        <w:tc>
          <w:tcPr>
            <w:tcW w:w="1161" w:type="dxa"/>
          </w:tcPr>
          <w:p w14:paraId="41347ACD">
            <w:pPr>
              <w:spacing w:line="360" w:lineRule="auto"/>
              <w:jc w:val="center"/>
              <w:rPr>
                <w:rFonts w:hint="eastAsia" w:ascii="宋体" w:eastAsia="宋体"/>
                <w:b w:val="0"/>
                <w:bCs/>
                <w:sz w:val="28"/>
                <w:szCs w:val="21"/>
                <w:vertAlign w:val="baseline"/>
                <w:lang w:val="en-US" w:eastAsia="zh-CN"/>
              </w:rPr>
            </w:pPr>
          </w:p>
        </w:tc>
        <w:tc>
          <w:tcPr>
            <w:tcW w:w="1161" w:type="dxa"/>
          </w:tcPr>
          <w:p w14:paraId="10E4B7F6">
            <w:pPr>
              <w:spacing w:line="360" w:lineRule="auto"/>
              <w:jc w:val="center"/>
              <w:rPr>
                <w:rFonts w:hint="eastAsia" w:ascii="宋体" w:eastAsia="宋体"/>
                <w:b w:val="0"/>
                <w:bCs/>
                <w:sz w:val="28"/>
                <w:szCs w:val="21"/>
                <w:vertAlign w:val="baseline"/>
                <w:lang w:val="en-US" w:eastAsia="zh-CN"/>
              </w:rPr>
            </w:pPr>
          </w:p>
        </w:tc>
        <w:tc>
          <w:tcPr>
            <w:tcW w:w="1161" w:type="dxa"/>
          </w:tcPr>
          <w:p w14:paraId="4D49DABE">
            <w:pPr>
              <w:spacing w:line="360" w:lineRule="auto"/>
              <w:jc w:val="center"/>
              <w:rPr>
                <w:rFonts w:hint="eastAsia" w:ascii="宋体" w:eastAsia="宋体"/>
                <w:b w:val="0"/>
                <w:bCs/>
                <w:sz w:val="28"/>
                <w:szCs w:val="21"/>
                <w:vertAlign w:val="baseline"/>
                <w:lang w:val="en-US" w:eastAsia="zh-CN"/>
              </w:rPr>
            </w:pPr>
          </w:p>
        </w:tc>
        <w:tc>
          <w:tcPr>
            <w:tcW w:w="1161" w:type="dxa"/>
          </w:tcPr>
          <w:p w14:paraId="56D617FA">
            <w:pPr>
              <w:spacing w:line="360" w:lineRule="auto"/>
              <w:jc w:val="center"/>
              <w:rPr>
                <w:rFonts w:hint="eastAsia" w:ascii="宋体" w:eastAsia="宋体"/>
                <w:b w:val="0"/>
                <w:bCs/>
                <w:sz w:val="28"/>
                <w:szCs w:val="21"/>
                <w:vertAlign w:val="baseline"/>
                <w:lang w:val="en-US" w:eastAsia="zh-CN"/>
              </w:rPr>
            </w:pPr>
          </w:p>
        </w:tc>
        <w:tc>
          <w:tcPr>
            <w:tcW w:w="1161" w:type="dxa"/>
          </w:tcPr>
          <w:p w14:paraId="140C7F85">
            <w:pPr>
              <w:spacing w:line="360" w:lineRule="auto"/>
              <w:jc w:val="center"/>
              <w:rPr>
                <w:rFonts w:hint="eastAsia" w:ascii="宋体" w:eastAsia="宋体"/>
                <w:b w:val="0"/>
                <w:bCs/>
                <w:sz w:val="28"/>
                <w:szCs w:val="21"/>
                <w:vertAlign w:val="baseline"/>
                <w:lang w:val="en-US" w:eastAsia="zh-CN"/>
              </w:rPr>
            </w:pPr>
          </w:p>
        </w:tc>
        <w:tc>
          <w:tcPr>
            <w:tcW w:w="1161" w:type="dxa"/>
          </w:tcPr>
          <w:p w14:paraId="09955D8E">
            <w:pPr>
              <w:spacing w:line="360" w:lineRule="auto"/>
              <w:jc w:val="center"/>
              <w:rPr>
                <w:rFonts w:hint="eastAsia" w:ascii="宋体" w:eastAsia="宋体"/>
                <w:b w:val="0"/>
                <w:bCs/>
                <w:sz w:val="28"/>
                <w:szCs w:val="21"/>
                <w:vertAlign w:val="baseline"/>
                <w:lang w:val="en-US" w:eastAsia="zh-CN"/>
              </w:rPr>
            </w:pPr>
          </w:p>
        </w:tc>
      </w:tr>
      <w:tr w14:paraId="3E2A64D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14:paraId="067B3A19">
            <w:pPr>
              <w:spacing w:line="360" w:lineRule="auto"/>
              <w:jc w:val="center"/>
              <w:rPr>
                <w:rFonts w:hint="eastAsia" w:ascii="宋体" w:eastAsia="宋体"/>
                <w:b w:val="0"/>
                <w:bCs/>
                <w:sz w:val="28"/>
                <w:szCs w:val="21"/>
                <w:vertAlign w:val="baseline"/>
                <w:lang w:val="en-US" w:eastAsia="zh-CN"/>
              </w:rPr>
            </w:pPr>
          </w:p>
        </w:tc>
        <w:tc>
          <w:tcPr>
            <w:tcW w:w="1161" w:type="dxa"/>
          </w:tcPr>
          <w:p w14:paraId="7FCF8771">
            <w:pPr>
              <w:spacing w:line="360" w:lineRule="auto"/>
              <w:jc w:val="center"/>
              <w:rPr>
                <w:rFonts w:hint="eastAsia" w:ascii="宋体" w:eastAsia="宋体"/>
                <w:b w:val="0"/>
                <w:bCs/>
                <w:sz w:val="28"/>
                <w:szCs w:val="21"/>
                <w:vertAlign w:val="baseline"/>
                <w:lang w:val="en-US" w:eastAsia="zh-CN"/>
              </w:rPr>
            </w:pPr>
          </w:p>
        </w:tc>
        <w:tc>
          <w:tcPr>
            <w:tcW w:w="1161" w:type="dxa"/>
          </w:tcPr>
          <w:p w14:paraId="62DF492B">
            <w:pPr>
              <w:spacing w:line="360" w:lineRule="auto"/>
              <w:jc w:val="center"/>
              <w:rPr>
                <w:rFonts w:hint="eastAsia" w:ascii="宋体" w:eastAsia="宋体"/>
                <w:b w:val="0"/>
                <w:bCs/>
                <w:sz w:val="28"/>
                <w:szCs w:val="21"/>
                <w:vertAlign w:val="baseline"/>
                <w:lang w:val="en-US" w:eastAsia="zh-CN"/>
              </w:rPr>
            </w:pPr>
          </w:p>
        </w:tc>
        <w:tc>
          <w:tcPr>
            <w:tcW w:w="1161" w:type="dxa"/>
          </w:tcPr>
          <w:p w14:paraId="1A37A6AA">
            <w:pPr>
              <w:spacing w:line="360" w:lineRule="auto"/>
              <w:jc w:val="center"/>
              <w:rPr>
                <w:rFonts w:hint="eastAsia" w:ascii="宋体" w:eastAsia="宋体"/>
                <w:b w:val="0"/>
                <w:bCs/>
                <w:sz w:val="28"/>
                <w:szCs w:val="21"/>
                <w:vertAlign w:val="baseline"/>
                <w:lang w:val="en-US" w:eastAsia="zh-CN"/>
              </w:rPr>
            </w:pPr>
          </w:p>
        </w:tc>
        <w:tc>
          <w:tcPr>
            <w:tcW w:w="1161" w:type="dxa"/>
          </w:tcPr>
          <w:p w14:paraId="601953C8">
            <w:pPr>
              <w:spacing w:line="360" w:lineRule="auto"/>
              <w:jc w:val="center"/>
              <w:rPr>
                <w:rFonts w:hint="eastAsia" w:ascii="宋体" w:eastAsia="宋体"/>
                <w:b w:val="0"/>
                <w:bCs/>
                <w:sz w:val="28"/>
                <w:szCs w:val="21"/>
                <w:vertAlign w:val="baseline"/>
                <w:lang w:val="en-US" w:eastAsia="zh-CN"/>
              </w:rPr>
            </w:pPr>
          </w:p>
        </w:tc>
        <w:tc>
          <w:tcPr>
            <w:tcW w:w="1161" w:type="dxa"/>
          </w:tcPr>
          <w:p w14:paraId="3AB9743C">
            <w:pPr>
              <w:spacing w:line="360" w:lineRule="auto"/>
              <w:jc w:val="center"/>
              <w:rPr>
                <w:rFonts w:hint="eastAsia" w:ascii="宋体" w:eastAsia="宋体"/>
                <w:b w:val="0"/>
                <w:bCs/>
                <w:sz w:val="28"/>
                <w:szCs w:val="21"/>
                <w:vertAlign w:val="baseline"/>
                <w:lang w:val="en-US" w:eastAsia="zh-CN"/>
              </w:rPr>
            </w:pPr>
          </w:p>
        </w:tc>
        <w:tc>
          <w:tcPr>
            <w:tcW w:w="1161" w:type="dxa"/>
          </w:tcPr>
          <w:p w14:paraId="2DBF4750">
            <w:pPr>
              <w:spacing w:line="360" w:lineRule="auto"/>
              <w:jc w:val="center"/>
              <w:rPr>
                <w:rFonts w:hint="eastAsia" w:ascii="宋体" w:eastAsia="宋体"/>
                <w:b w:val="0"/>
                <w:bCs/>
                <w:sz w:val="28"/>
                <w:szCs w:val="21"/>
                <w:vertAlign w:val="baseline"/>
                <w:lang w:val="en-US" w:eastAsia="zh-CN"/>
              </w:rPr>
            </w:pPr>
          </w:p>
        </w:tc>
        <w:tc>
          <w:tcPr>
            <w:tcW w:w="1161" w:type="dxa"/>
          </w:tcPr>
          <w:p w14:paraId="4EDFFAB7">
            <w:pPr>
              <w:spacing w:line="360" w:lineRule="auto"/>
              <w:jc w:val="center"/>
              <w:rPr>
                <w:rFonts w:hint="eastAsia" w:ascii="宋体" w:eastAsia="宋体"/>
                <w:b w:val="0"/>
                <w:bCs/>
                <w:sz w:val="28"/>
                <w:szCs w:val="21"/>
                <w:vertAlign w:val="baseline"/>
                <w:lang w:val="en-US" w:eastAsia="zh-CN"/>
              </w:rPr>
            </w:pPr>
          </w:p>
        </w:tc>
      </w:tr>
      <w:tr w14:paraId="7D03B59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14:paraId="14B827E2">
            <w:pPr>
              <w:spacing w:line="360" w:lineRule="auto"/>
              <w:jc w:val="center"/>
              <w:rPr>
                <w:rFonts w:hint="eastAsia" w:ascii="宋体" w:eastAsia="宋体"/>
                <w:b w:val="0"/>
                <w:bCs/>
                <w:sz w:val="28"/>
                <w:szCs w:val="21"/>
                <w:vertAlign w:val="baseline"/>
                <w:lang w:val="en-US" w:eastAsia="zh-CN"/>
              </w:rPr>
            </w:pPr>
          </w:p>
        </w:tc>
        <w:tc>
          <w:tcPr>
            <w:tcW w:w="1161" w:type="dxa"/>
          </w:tcPr>
          <w:p w14:paraId="7CCA32AD">
            <w:pPr>
              <w:spacing w:line="360" w:lineRule="auto"/>
              <w:jc w:val="center"/>
              <w:rPr>
                <w:rFonts w:hint="eastAsia" w:ascii="宋体" w:eastAsia="宋体"/>
                <w:b w:val="0"/>
                <w:bCs/>
                <w:sz w:val="28"/>
                <w:szCs w:val="21"/>
                <w:vertAlign w:val="baseline"/>
                <w:lang w:val="en-US" w:eastAsia="zh-CN"/>
              </w:rPr>
            </w:pPr>
          </w:p>
        </w:tc>
        <w:tc>
          <w:tcPr>
            <w:tcW w:w="1161" w:type="dxa"/>
          </w:tcPr>
          <w:p w14:paraId="15D29EF8">
            <w:pPr>
              <w:spacing w:line="360" w:lineRule="auto"/>
              <w:jc w:val="center"/>
              <w:rPr>
                <w:rFonts w:hint="eastAsia" w:ascii="宋体" w:eastAsia="宋体"/>
                <w:b w:val="0"/>
                <w:bCs/>
                <w:sz w:val="28"/>
                <w:szCs w:val="21"/>
                <w:vertAlign w:val="baseline"/>
                <w:lang w:val="en-US" w:eastAsia="zh-CN"/>
              </w:rPr>
            </w:pPr>
          </w:p>
        </w:tc>
        <w:tc>
          <w:tcPr>
            <w:tcW w:w="1161" w:type="dxa"/>
          </w:tcPr>
          <w:p w14:paraId="6B6949DB">
            <w:pPr>
              <w:spacing w:line="360" w:lineRule="auto"/>
              <w:jc w:val="center"/>
              <w:rPr>
                <w:rFonts w:hint="eastAsia" w:ascii="宋体" w:eastAsia="宋体"/>
                <w:b w:val="0"/>
                <w:bCs/>
                <w:sz w:val="28"/>
                <w:szCs w:val="21"/>
                <w:vertAlign w:val="baseline"/>
                <w:lang w:val="en-US" w:eastAsia="zh-CN"/>
              </w:rPr>
            </w:pPr>
          </w:p>
        </w:tc>
        <w:tc>
          <w:tcPr>
            <w:tcW w:w="1161" w:type="dxa"/>
          </w:tcPr>
          <w:p w14:paraId="0FB4C573">
            <w:pPr>
              <w:spacing w:line="360" w:lineRule="auto"/>
              <w:jc w:val="center"/>
              <w:rPr>
                <w:rFonts w:hint="eastAsia" w:ascii="宋体" w:eastAsia="宋体"/>
                <w:b w:val="0"/>
                <w:bCs/>
                <w:sz w:val="28"/>
                <w:szCs w:val="21"/>
                <w:vertAlign w:val="baseline"/>
                <w:lang w:val="en-US" w:eastAsia="zh-CN"/>
              </w:rPr>
            </w:pPr>
          </w:p>
        </w:tc>
        <w:tc>
          <w:tcPr>
            <w:tcW w:w="1161" w:type="dxa"/>
          </w:tcPr>
          <w:p w14:paraId="2955B480">
            <w:pPr>
              <w:spacing w:line="360" w:lineRule="auto"/>
              <w:jc w:val="center"/>
              <w:rPr>
                <w:rFonts w:hint="eastAsia" w:ascii="宋体" w:eastAsia="宋体"/>
                <w:b w:val="0"/>
                <w:bCs/>
                <w:sz w:val="28"/>
                <w:szCs w:val="21"/>
                <w:vertAlign w:val="baseline"/>
                <w:lang w:val="en-US" w:eastAsia="zh-CN"/>
              </w:rPr>
            </w:pPr>
          </w:p>
        </w:tc>
        <w:tc>
          <w:tcPr>
            <w:tcW w:w="1161" w:type="dxa"/>
          </w:tcPr>
          <w:p w14:paraId="74F75BFE">
            <w:pPr>
              <w:spacing w:line="360" w:lineRule="auto"/>
              <w:jc w:val="center"/>
              <w:rPr>
                <w:rFonts w:hint="eastAsia" w:ascii="宋体" w:eastAsia="宋体"/>
                <w:b w:val="0"/>
                <w:bCs/>
                <w:sz w:val="28"/>
                <w:szCs w:val="21"/>
                <w:vertAlign w:val="baseline"/>
                <w:lang w:val="en-US" w:eastAsia="zh-CN"/>
              </w:rPr>
            </w:pPr>
          </w:p>
        </w:tc>
        <w:tc>
          <w:tcPr>
            <w:tcW w:w="1161" w:type="dxa"/>
          </w:tcPr>
          <w:p w14:paraId="70ADF1F4">
            <w:pPr>
              <w:spacing w:line="360" w:lineRule="auto"/>
              <w:jc w:val="center"/>
              <w:rPr>
                <w:rFonts w:hint="eastAsia" w:ascii="宋体" w:eastAsia="宋体"/>
                <w:b w:val="0"/>
                <w:bCs/>
                <w:sz w:val="28"/>
                <w:szCs w:val="21"/>
                <w:vertAlign w:val="baseline"/>
                <w:lang w:val="en-US" w:eastAsia="zh-CN"/>
              </w:rPr>
            </w:pPr>
          </w:p>
        </w:tc>
      </w:tr>
      <w:tr w14:paraId="425781C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14:paraId="424D68E3">
            <w:pPr>
              <w:spacing w:line="360" w:lineRule="auto"/>
              <w:jc w:val="center"/>
              <w:rPr>
                <w:rFonts w:hint="eastAsia" w:ascii="宋体" w:eastAsia="宋体"/>
                <w:b w:val="0"/>
                <w:bCs/>
                <w:sz w:val="28"/>
                <w:szCs w:val="21"/>
                <w:vertAlign w:val="baseline"/>
                <w:lang w:val="en-US" w:eastAsia="zh-CN"/>
              </w:rPr>
            </w:pPr>
          </w:p>
        </w:tc>
        <w:tc>
          <w:tcPr>
            <w:tcW w:w="1161" w:type="dxa"/>
          </w:tcPr>
          <w:p w14:paraId="2ED19287">
            <w:pPr>
              <w:spacing w:line="360" w:lineRule="auto"/>
              <w:jc w:val="center"/>
              <w:rPr>
                <w:rFonts w:hint="eastAsia" w:ascii="宋体" w:eastAsia="宋体"/>
                <w:b w:val="0"/>
                <w:bCs/>
                <w:sz w:val="28"/>
                <w:szCs w:val="21"/>
                <w:vertAlign w:val="baseline"/>
                <w:lang w:val="en-US" w:eastAsia="zh-CN"/>
              </w:rPr>
            </w:pPr>
          </w:p>
        </w:tc>
        <w:tc>
          <w:tcPr>
            <w:tcW w:w="1161" w:type="dxa"/>
          </w:tcPr>
          <w:p w14:paraId="3A7159D3">
            <w:pPr>
              <w:spacing w:line="360" w:lineRule="auto"/>
              <w:jc w:val="center"/>
              <w:rPr>
                <w:rFonts w:hint="eastAsia" w:ascii="宋体" w:eastAsia="宋体"/>
                <w:b w:val="0"/>
                <w:bCs/>
                <w:sz w:val="28"/>
                <w:szCs w:val="21"/>
                <w:vertAlign w:val="baseline"/>
                <w:lang w:val="en-US" w:eastAsia="zh-CN"/>
              </w:rPr>
            </w:pPr>
          </w:p>
        </w:tc>
        <w:tc>
          <w:tcPr>
            <w:tcW w:w="1161" w:type="dxa"/>
          </w:tcPr>
          <w:p w14:paraId="7F91D841">
            <w:pPr>
              <w:spacing w:line="360" w:lineRule="auto"/>
              <w:jc w:val="center"/>
              <w:rPr>
                <w:rFonts w:hint="eastAsia" w:ascii="宋体" w:eastAsia="宋体"/>
                <w:b w:val="0"/>
                <w:bCs/>
                <w:sz w:val="28"/>
                <w:szCs w:val="21"/>
                <w:vertAlign w:val="baseline"/>
                <w:lang w:val="en-US" w:eastAsia="zh-CN"/>
              </w:rPr>
            </w:pPr>
          </w:p>
        </w:tc>
        <w:tc>
          <w:tcPr>
            <w:tcW w:w="1161" w:type="dxa"/>
          </w:tcPr>
          <w:p w14:paraId="1092F09D">
            <w:pPr>
              <w:spacing w:line="360" w:lineRule="auto"/>
              <w:jc w:val="center"/>
              <w:rPr>
                <w:rFonts w:hint="eastAsia" w:ascii="宋体" w:eastAsia="宋体"/>
                <w:b w:val="0"/>
                <w:bCs/>
                <w:sz w:val="28"/>
                <w:szCs w:val="21"/>
                <w:vertAlign w:val="baseline"/>
                <w:lang w:val="en-US" w:eastAsia="zh-CN"/>
              </w:rPr>
            </w:pPr>
          </w:p>
        </w:tc>
        <w:tc>
          <w:tcPr>
            <w:tcW w:w="1161" w:type="dxa"/>
          </w:tcPr>
          <w:p w14:paraId="6248373F">
            <w:pPr>
              <w:spacing w:line="360" w:lineRule="auto"/>
              <w:jc w:val="center"/>
              <w:rPr>
                <w:rFonts w:hint="eastAsia" w:ascii="宋体" w:eastAsia="宋体"/>
                <w:b w:val="0"/>
                <w:bCs/>
                <w:sz w:val="28"/>
                <w:szCs w:val="21"/>
                <w:vertAlign w:val="baseline"/>
                <w:lang w:val="en-US" w:eastAsia="zh-CN"/>
              </w:rPr>
            </w:pPr>
          </w:p>
        </w:tc>
        <w:tc>
          <w:tcPr>
            <w:tcW w:w="1161" w:type="dxa"/>
          </w:tcPr>
          <w:p w14:paraId="51250E53">
            <w:pPr>
              <w:spacing w:line="360" w:lineRule="auto"/>
              <w:jc w:val="center"/>
              <w:rPr>
                <w:rFonts w:hint="eastAsia" w:ascii="宋体" w:eastAsia="宋体"/>
                <w:b w:val="0"/>
                <w:bCs/>
                <w:sz w:val="28"/>
                <w:szCs w:val="21"/>
                <w:vertAlign w:val="baseline"/>
                <w:lang w:val="en-US" w:eastAsia="zh-CN"/>
              </w:rPr>
            </w:pPr>
          </w:p>
        </w:tc>
        <w:tc>
          <w:tcPr>
            <w:tcW w:w="1161" w:type="dxa"/>
          </w:tcPr>
          <w:p w14:paraId="65890A27">
            <w:pPr>
              <w:spacing w:line="360" w:lineRule="auto"/>
              <w:jc w:val="center"/>
              <w:rPr>
                <w:rFonts w:hint="eastAsia" w:ascii="宋体" w:eastAsia="宋体"/>
                <w:b w:val="0"/>
                <w:bCs/>
                <w:sz w:val="28"/>
                <w:szCs w:val="21"/>
                <w:vertAlign w:val="baseline"/>
                <w:lang w:val="en-US" w:eastAsia="zh-CN"/>
              </w:rPr>
            </w:pPr>
          </w:p>
        </w:tc>
      </w:tr>
    </w:tbl>
    <w:p w14:paraId="00BEB797">
      <w:pPr>
        <w:tabs>
          <w:tab w:val="left" w:pos="827"/>
        </w:tabs>
        <w:jc w:val="left"/>
        <w:rPr>
          <w:lang w:val="en-US" w:eastAsia="zh-CN"/>
        </w:rPr>
      </w:pPr>
    </w:p>
    <w:p w14:paraId="13F698B1">
      <w:pPr>
        <w:pStyle w:val="2"/>
      </w:pPr>
    </w:p>
    <w:p w14:paraId="406CFD99">
      <w:pPr>
        <w:spacing w:line="440" w:lineRule="exact"/>
        <w:jc w:val="center"/>
        <w:outlineLvl w:val="1"/>
        <w:rPr>
          <w:rFonts w:ascii="宋体" w:hAnsi="宋体" w:cs="宋体"/>
          <w:b/>
          <w:sz w:val="30"/>
          <w:szCs w:val="30"/>
        </w:rPr>
      </w:pPr>
      <w:bookmarkStart w:id="297" w:name="_Toc594"/>
      <w:r>
        <w:rPr>
          <w:rFonts w:hint="eastAsia" w:ascii="宋体" w:hAnsi="宋体" w:cs="宋体"/>
          <w:b/>
          <w:bCs/>
          <w:kern w:val="0"/>
          <w:sz w:val="30"/>
          <w:szCs w:val="30"/>
        </w:rPr>
        <w:t>十</w:t>
      </w:r>
      <w:r>
        <w:rPr>
          <w:rFonts w:hint="eastAsia" w:ascii="宋体" w:hAnsi="宋体" w:cs="宋体"/>
          <w:b/>
          <w:bCs/>
          <w:kern w:val="0"/>
          <w:sz w:val="30"/>
          <w:szCs w:val="30"/>
          <w:lang w:val="en-US" w:eastAsia="zh-CN"/>
        </w:rPr>
        <w:t>一</w:t>
      </w:r>
      <w:r>
        <w:rPr>
          <w:rFonts w:hint="eastAsia" w:ascii="宋体" w:hAnsi="宋体" w:cs="宋体"/>
          <w:b/>
          <w:bCs/>
          <w:kern w:val="0"/>
          <w:sz w:val="30"/>
          <w:szCs w:val="30"/>
        </w:rPr>
        <w:t>、</w:t>
      </w:r>
      <w:r>
        <w:rPr>
          <w:rFonts w:hint="eastAsia" w:ascii="宋体" w:hAnsi="宋体" w:cs="宋体"/>
          <w:b/>
          <w:sz w:val="30"/>
          <w:szCs w:val="30"/>
        </w:rPr>
        <w:t>其他材料</w:t>
      </w:r>
      <w:bookmarkEnd w:id="297"/>
    </w:p>
    <w:p w14:paraId="3FEF5A56">
      <w:pPr>
        <w:spacing w:line="440" w:lineRule="exact"/>
        <w:jc w:val="center"/>
        <w:rPr>
          <w:sz w:val="24"/>
        </w:rPr>
      </w:pPr>
    </w:p>
    <w:p w14:paraId="1920C150">
      <w:pPr>
        <w:spacing w:line="500" w:lineRule="exact"/>
        <w:ind w:firstLine="480" w:firstLineChars="200"/>
        <w:jc w:val="left"/>
        <w:rPr>
          <w:rStyle w:val="35"/>
          <w:sz w:val="24"/>
          <w:szCs w:val="24"/>
        </w:rPr>
      </w:pPr>
      <w:r>
        <w:rPr>
          <w:rStyle w:val="35"/>
          <w:rFonts w:hAnsi="宋体"/>
          <w:sz w:val="24"/>
          <w:szCs w:val="24"/>
        </w:rPr>
        <w:t>本项目招标文件要求的其他材料和</w:t>
      </w:r>
      <w:r>
        <w:rPr>
          <w:rStyle w:val="35"/>
          <w:rFonts w:hint="eastAsia" w:hAnsi="宋体"/>
          <w:sz w:val="24"/>
          <w:szCs w:val="24"/>
          <w:lang w:eastAsia="zh-CN"/>
        </w:rPr>
        <w:t>供应商</w:t>
      </w:r>
      <w:r>
        <w:rPr>
          <w:rStyle w:val="35"/>
          <w:rFonts w:hAnsi="宋体"/>
          <w:sz w:val="24"/>
          <w:szCs w:val="24"/>
        </w:rPr>
        <w:t>认为有助于本次投标的其他资料</w:t>
      </w:r>
      <w:r>
        <w:rPr>
          <w:rStyle w:val="35"/>
          <w:rFonts w:hint="eastAsia" w:hAnsi="宋体"/>
          <w:sz w:val="24"/>
          <w:szCs w:val="24"/>
        </w:rPr>
        <w:t>(如授权书</w:t>
      </w:r>
      <w:r>
        <w:rPr>
          <w:rStyle w:val="35"/>
          <w:rFonts w:hAnsi="宋体"/>
          <w:sz w:val="24"/>
          <w:szCs w:val="24"/>
        </w:rPr>
        <w:t>，</w:t>
      </w:r>
      <w:r>
        <w:rPr>
          <w:rFonts w:ascii="宋体" w:hAnsi="宋体"/>
          <w:sz w:val="24"/>
          <w:szCs w:val="24"/>
        </w:rPr>
        <w:t>投标产品</w:t>
      </w:r>
      <w:r>
        <w:rPr>
          <w:rStyle w:val="35"/>
          <w:rFonts w:hint="eastAsia" w:hAnsi="宋体"/>
          <w:sz w:val="24"/>
          <w:szCs w:val="24"/>
        </w:rPr>
        <w:t>生产安全生产许可证)，</w:t>
      </w:r>
      <w:r>
        <w:rPr>
          <w:rStyle w:val="35"/>
          <w:rFonts w:hAnsi="宋体"/>
          <w:sz w:val="24"/>
          <w:szCs w:val="24"/>
        </w:rPr>
        <w:t>格式自拟。</w:t>
      </w:r>
    </w:p>
    <w:p w14:paraId="0290386C">
      <w:pPr>
        <w:spacing w:line="440" w:lineRule="exact"/>
        <w:jc w:val="center"/>
        <w:rPr>
          <w:sz w:val="24"/>
        </w:rPr>
      </w:pPr>
    </w:p>
    <w:p w14:paraId="080A77C0">
      <w:pPr>
        <w:spacing w:line="440" w:lineRule="exact"/>
        <w:jc w:val="center"/>
        <w:rPr>
          <w:rFonts w:ascii="宋体" w:hAnsi="宋体" w:cs="宋体"/>
          <w:b/>
          <w:kern w:val="0"/>
          <w:sz w:val="30"/>
          <w:szCs w:val="30"/>
        </w:rPr>
      </w:pPr>
    </w:p>
    <w:p w14:paraId="5D34D681">
      <w:pPr>
        <w:tabs>
          <w:tab w:val="left" w:pos="720"/>
        </w:tabs>
        <w:autoSpaceDE w:val="0"/>
        <w:autoSpaceDN w:val="0"/>
        <w:adjustRightInd w:val="0"/>
        <w:spacing w:line="440" w:lineRule="exact"/>
        <w:rPr>
          <w:rFonts w:ascii="宋体" w:hAnsi="宋体" w:cs="宋体"/>
          <w:sz w:val="24"/>
        </w:rPr>
      </w:pPr>
    </w:p>
    <w:p w14:paraId="4385FCDA">
      <w:pPr>
        <w:adjustRightInd w:val="0"/>
        <w:snapToGrid w:val="0"/>
        <w:spacing w:line="440" w:lineRule="exact"/>
        <w:jc w:val="left"/>
        <w:rPr>
          <w:rFonts w:ascii="宋体" w:hAnsi="宋体" w:cs="宋体"/>
          <w:bCs/>
          <w:sz w:val="24"/>
        </w:rPr>
      </w:pPr>
    </w:p>
    <w:p w14:paraId="5B6757C1">
      <w:pPr>
        <w:tabs>
          <w:tab w:val="left" w:pos="540"/>
        </w:tabs>
        <w:spacing w:line="440" w:lineRule="exact"/>
        <w:ind w:firstLine="480" w:firstLineChars="200"/>
        <w:rPr>
          <w:rFonts w:ascii="宋体" w:hAnsi="宋体" w:cs="宋体"/>
          <w:kern w:val="0"/>
          <w:sz w:val="24"/>
        </w:rPr>
      </w:pPr>
    </w:p>
    <w:p w14:paraId="3E781F33">
      <w:pPr>
        <w:pStyle w:val="28"/>
        <w:ind w:firstLine="482"/>
        <w:rPr>
          <w:rFonts w:hint="default" w:ascii="宋体" w:hAnsi="宋体" w:cs="宋体"/>
          <w:kern w:val="0"/>
        </w:rPr>
      </w:pPr>
    </w:p>
    <w:p w14:paraId="62767B82">
      <w:pPr>
        <w:pStyle w:val="28"/>
        <w:ind w:firstLine="482"/>
        <w:rPr>
          <w:rFonts w:hint="default" w:ascii="宋体" w:hAnsi="宋体" w:cs="宋体"/>
          <w:kern w:val="0"/>
        </w:rPr>
      </w:pPr>
    </w:p>
    <w:p w14:paraId="3E60B9A2">
      <w:pPr>
        <w:pStyle w:val="28"/>
        <w:ind w:firstLine="482"/>
        <w:rPr>
          <w:rFonts w:hint="default" w:ascii="宋体" w:hAnsi="宋体" w:cs="宋体"/>
          <w:kern w:val="0"/>
        </w:rPr>
      </w:pPr>
    </w:p>
    <w:p w14:paraId="0D2EB642">
      <w:pPr>
        <w:pStyle w:val="28"/>
        <w:ind w:firstLine="482"/>
        <w:rPr>
          <w:rFonts w:hint="default" w:ascii="宋体" w:hAnsi="宋体" w:cs="宋体"/>
          <w:kern w:val="0"/>
        </w:rPr>
      </w:pPr>
    </w:p>
    <w:p w14:paraId="2A8A767F">
      <w:pPr>
        <w:pStyle w:val="28"/>
        <w:ind w:firstLine="482"/>
        <w:rPr>
          <w:rFonts w:hint="default" w:ascii="宋体" w:hAnsi="宋体" w:cs="宋体"/>
          <w:kern w:val="0"/>
        </w:rPr>
      </w:pPr>
    </w:p>
    <w:p w14:paraId="01BD9D74">
      <w:pPr>
        <w:pStyle w:val="28"/>
        <w:ind w:firstLine="482"/>
        <w:rPr>
          <w:rFonts w:hint="default" w:ascii="宋体" w:hAnsi="宋体" w:cs="宋体"/>
          <w:kern w:val="0"/>
        </w:rPr>
      </w:pPr>
    </w:p>
    <w:p w14:paraId="7074E662">
      <w:pPr>
        <w:spacing w:line="440" w:lineRule="exact"/>
        <w:jc w:val="center"/>
        <w:rPr>
          <w:rFonts w:ascii="宋体" w:hAnsi="宋体" w:cs="宋体"/>
          <w:b/>
          <w:kern w:val="0"/>
          <w:sz w:val="30"/>
          <w:szCs w:val="30"/>
        </w:rPr>
      </w:pPr>
    </w:p>
    <w:p w14:paraId="4A2B3927">
      <w:pPr>
        <w:spacing w:line="440" w:lineRule="exact"/>
        <w:jc w:val="center"/>
        <w:rPr>
          <w:rFonts w:ascii="宋体" w:hAnsi="宋体" w:cs="宋体"/>
          <w:b/>
          <w:kern w:val="0"/>
          <w:sz w:val="30"/>
          <w:szCs w:val="30"/>
        </w:rPr>
      </w:pPr>
    </w:p>
    <w:p w14:paraId="03AE47FD">
      <w:pPr>
        <w:spacing w:line="440" w:lineRule="exact"/>
        <w:jc w:val="center"/>
        <w:rPr>
          <w:rFonts w:ascii="宋体" w:hAnsi="宋体" w:cs="宋体"/>
          <w:b/>
          <w:kern w:val="0"/>
          <w:sz w:val="30"/>
          <w:szCs w:val="30"/>
        </w:rPr>
      </w:pPr>
    </w:p>
    <w:p w14:paraId="54F75251">
      <w:pPr>
        <w:spacing w:line="440" w:lineRule="exact"/>
        <w:jc w:val="center"/>
        <w:rPr>
          <w:rFonts w:ascii="宋体" w:hAnsi="宋体" w:cs="宋体"/>
          <w:b/>
          <w:kern w:val="0"/>
          <w:sz w:val="30"/>
          <w:szCs w:val="30"/>
        </w:rPr>
      </w:pPr>
    </w:p>
    <w:p w14:paraId="3486EBAD">
      <w:pPr>
        <w:spacing w:line="440" w:lineRule="exact"/>
        <w:jc w:val="center"/>
        <w:rPr>
          <w:rFonts w:ascii="宋体" w:hAnsi="宋体" w:cs="宋体"/>
          <w:b/>
          <w:kern w:val="0"/>
          <w:sz w:val="30"/>
          <w:szCs w:val="30"/>
        </w:rPr>
      </w:pPr>
    </w:p>
    <w:p w14:paraId="5A1B1A88">
      <w:pPr>
        <w:spacing w:line="440" w:lineRule="exact"/>
        <w:jc w:val="center"/>
        <w:rPr>
          <w:rFonts w:ascii="宋体" w:hAnsi="宋体" w:cs="宋体"/>
          <w:b/>
          <w:kern w:val="0"/>
          <w:sz w:val="30"/>
          <w:szCs w:val="30"/>
        </w:rPr>
      </w:pPr>
    </w:p>
    <w:p w14:paraId="5416944C">
      <w:pPr>
        <w:spacing w:line="440" w:lineRule="exact"/>
        <w:jc w:val="center"/>
        <w:rPr>
          <w:rFonts w:ascii="宋体" w:hAnsi="宋体" w:cs="宋体"/>
          <w:b/>
          <w:kern w:val="0"/>
          <w:sz w:val="30"/>
          <w:szCs w:val="30"/>
        </w:rPr>
      </w:pPr>
    </w:p>
    <w:p w14:paraId="1F0F56EB">
      <w:pPr>
        <w:spacing w:line="440" w:lineRule="exact"/>
        <w:jc w:val="center"/>
        <w:rPr>
          <w:rFonts w:ascii="宋体" w:hAnsi="宋体" w:cs="宋体"/>
          <w:b/>
          <w:kern w:val="0"/>
          <w:sz w:val="30"/>
          <w:szCs w:val="30"/>
        </w:rPr>
      </w:pPr>
    </w:p>
    <w:p w14:paraId="240F4CC5">
      <w:pPr>
        <w:spacing w:line="440" w:lineRule="exact"/>
        <w:jc w:val="center"/>
        <w:rPr>
          <w:rFonts w:ascii="宋体" w:hAnsi="宋体" w:cs="宋体"/>
          <w:b/>
          <w:kern w:val="0"/>
          <w:sz w:val="30"/>
          <w:szCs w:val="30"/>
        </w:rPr>
      </w:pPr>
    </w:p>
    <w:p w14:paraId="48579775">
      <w:pPr>
        <w:spacing w:line="440" w:lineRule="exact"/>
        <w:jc w:val="center"/>
        <w:rPr>
          <w:rFonts w:ascii="宋体" w:hAnsi="宋体" w:cs="宋体"/>
          <w:b/>
          <w:kern w:val="0"/>
          <w:sz w:val="30"/>
          <w:szCs w:val="30"/>
        </w:rPr>
      </w:pPr>
    </w:p>
    <w:p w14:paraId="29E24A8F">
      <w:pPr>
        <w:spacing w:line="440" w:lineRule="exact"/>
        <w:jc w:val="center"/>
        <w:rPr>
          <w:rFonts w:ascii="宋体" w:hAnsi="宋体" w:cs="宋体"/>
          <w:b/>
          <w:kern w:val="0"/>
          <w:sz w:val="30"/>
          <w:szCs w:val="30"/>
        </w:rPr>
      </w:pPr>
    </w:p>
    <w:p w14:paraId="31EA9B33">
      <w:pPr>
        <w:spacing w:line="440" w:lineRule="exact"/>
        <w:jc w:val="center"/>
        <w:rPr>
          <w:rFonts w:ascii="宋体" w:hAnsi="宋体" w:cs="宋体"/>
          <w:b/>
          <w:kern w:val="0"/>
          <w:sz w:val="30"/>
          <w:szCs w:val="30"/>
        </w:rPr>
      </w:pPr>
    </w:p>
    <w:p w14:paraId="0B5429D6">
      <w:pPr>
        <w:spacing w:line="440" w:lineRule="exact"/>
        <w:jc w:val="center"/>
        <w:rPr>
          <w:rFonts w:ascii="宋体" w:hAnsi="宋体" w:cs="宋体"/>
          <w:b/>
          <w:kern w:val="0"/>
          <w:sz w:val="30"/>
          <w:szCs w:val="30"/>
        </w:rPr>
      </w:pPr>
    </w:p>
    <w:p w14:paraId="14446EBF">
      <w:pPr>
        <w:spacing w:line="440" w:lineRule="exact"/>
        <w:jc w:val="center"/>
        <w:rPr>
          <w:rFonts w:ascii="宋体" w:hAnsi="宋体" w:cs="宋体"/>
          <w:b/>
          <w:kern w:val="0"/>
          <w:sz w:val="30"/>
          <w:szCs w:val="30"/>
        </w:rPr>
      </w:pPr>
    </w:p>
    <w:p w14:paraId="188BAA37">
      <w:pPr>
        <w:spacing w:line="440" w:lineRule="exact"/>
        <w:rPr>
          <w:rFonts w:ascii="宋体" w:hAnsi="宋体" w:cs="宋体"/>
          <w:b/>
          <w:kern w:val="0"/>
          <w:sz w:val="30"/>
          <w:szCs w:val="30"/>
        </w:rPr>
      </w:pPr>
    </w:p>
    <w:bookmarkEnd w:id="251"/>
    <w:bookmarkEnd w:id="252"/>
    <w:bookmarkEnd w:id="253"/>
    <w:bookmarkEnd w:id="254"/>
    <w:bookmarkEnd w:id="255"/>
    <w:p w14:paraId="3055D4F4">
      <w:pPr>
        <w:spacing w:line="440" w:lineRule="exact"/>
        <w:rPr>
          <w:rFonts w:ascii="宋体" w:hAnsi="宋体" w:cs="宋体"/>
          <w:b/>
          <w:kern w:val="0"/>
          <w:sz w:val="30"/>
          <w:szCs w:val="30"/>
        </w:rPr>
      </w:pPr>
    </w:p>
    <w:p w14:paraId="19E3284B"/>
    <w:p w14:paraId="1B076213"/>
    <w:sectPr>
      <w:footerReference r:id="rId9" w:type="default"/>
      <w:pgSz w:w="11906" w:h="16838"/>
      <w:pgMar w:top="1134" w:right="1417" w:bottom="1134"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Regular">
    <w:altName w:val="微软雅黑"/>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E23DF3C">
    <w:pPr>
      <w:pStyle w:val="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6D64B44">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279828B">
    <w:pPr>
      <w:pStyle w:val="2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84729B9">
    <w:pPr>
      <w:pStyle w:val="20"/>
      <w:ind w:firstLine="3960" w:firstLineChars="220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3386AF6">
                          <w:pPr>
                            <w:pStyle w:val="20"/>
                          </w:pPr>
                          <w:r>
                            <w:fldChar w:fldCharType="begin"/>
                          </w:r>
                          <w:r>
                            <w:instrText xml:space="preserve"> PAGE  \* MERGEFORMAT </w:instrText>
                          </w:r>
                          <w:r>
                            <w:fldChar w:fldCharType="separate"/>
                          </w:r>
                          <w:r>
                            <w:t>54</w:t>
                          </w:r>
                          <w:r>
                            <w:fldChar w:fldCharType="end"/>
                          </w: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lhGss4BAACo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rzlzwtKDX75/u/z4dfn5lS1X&#10;SZ8+YEVlD4EK43DnB9qaOY4UTLSHFmz6EiFGeVL3fFVXDZHJdGm9Wq9LSknKzQ7hF4/XA2B8q7xl&#10;yag50PNlVcXpPcaxdC5J3Zy/18bkJzTurwBhjhGVd2C6nZiMEycrDvthorf3zZnY9bQHNXe09pyZ&#10;d45kTiszGzAb+9k4BtCHjgZd5ikx3B4jjZQnTR1GWGKYHHrAzHVatrQhf/q56vEH2/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I5YRrLOAQAAqAMAAA4AAAAAAAAAAQAgAAAAHgEAAGRycy9l&#10;Mm9Eb2MueG1sUEsFBgAAAAAGAAYAWQEAAF4FAAAAAA==&#10;">
              <v:fill on="f" focussize="0,0"/>
              <v:stroke on="f"/>
              <v:imagedata o:title=""/>
              <o:lock v:ext="edit" aspectratio="f"/>
              <v:textbox inset="0mm,0mm,0mm,0mm" style="mso-fit-shape-to-text:t;">
                <w:txbxContent>
                  <w:p w14:paraId="53386AF6">
                    <w:pPr>
                      <w:pStyle w:val="20"/>
                    </w:pPr>
                    <w:r>
                      <w:fldChar w:fldCharType="begin"/>
                    </w:r>
                    <w:r>
                      <w:instrText xml:space="preserve"> PAGE  \* MERGEFORMAT </w:instrText>
                    </w:r>
                    <w:r>
                      <w:fldChar w:fldCharType="separate"/>
                    </w:r>
                    <w:r>
                      <w:t>54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6F226FB">
    <w:pPr>
      <w:pStyle w:val="21"/>
      <w:tabs>
        <w:tab w:val="right" w:pos="9072"/>
      </w:tabs>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A260E16">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D52C0BF">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7B4F3B"/>
    <w:multiLevelType w:val="singleLevel"/>
    <w:tmpl w:val="907B4F3B"/>
    <w:lvl w:ilvl="0" w:tentative="0">
      <w:start w:val="1"/>
      <w:numFmt w:val="decimal"/>
      <w:suff w:val="nothing"/>
      <w:lvlText w:val="%1、"/>
      <w:lvlJc w:val="left"/>
    </w:lvl>
  </w:abstractNum>
  <w:abstractNum w:abstractNumId="1">
    <w:nsid w:val="F95EA304"/>
    <w:multiLevelType w:val="singleLevel"/>
    <w:tmpl w:val="F95EA304"/>
    <w:lvl w:ilvl="0" w:tentative="0">
      <w:start w:val="5"/>
      <w:numFmt w:val="decimal"/>
      <w:suff w:val="nothing"/>
      <w:lvlText w:val="%1．"/>
      <w:lvlJc w:val="left"/>
    </w:lvl>
  </w:abstractNum>
  <w:abstractNum w:abstractNumId="2">
    <w:nsid w:val="55CF1DC3"/>
    <w:multiLevelType w:val="multilevel"/>
    <w:tmpl w:val="55CF1DC3"/>
    <w:lvl w:ilvl="0" w:tentative="0">
      <w:start w:val="1"/>
      <w:numFmt w:val="decimal"/>
      <w:lvlText w:val="%1、"/>
      <w:lvlJc w:val="left"/>
      <w:pPr>
        <w:ind w:left="78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6C79B09B"/>
    <w:multiLevelType w:val="singleLevel"/>
    <w:tmpl w:val="6C79B09B"/>
    <w:lvl w:ilvl="0" w:tentative="0">
      <w:start w:val="2"/>
      <w:numFmt w:val="decimal"/>
      <w:suff w:val="nothing"/>
      <w:lvlText w:val="%1．"/>
      <w:lvlJc w:val="left"/>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三闲">
    <w15:presenceInfo w15:providerId="WPS Office" w15:userId="4031179309"/>
  </w15:person>
  <w15:person w15:author="ㅤ">
    <w15:presenceInfo w15:providerId="WPS Office" w15:userId="942545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hideSpellingErrors/>
  <w:trackRevisions w:val="1"/>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2MzY1YTE0ZWE2ZWYyMzFiYmRjZDcyMTc2ZWRkM2IifQ=="/>
  </w:docVars>
  <w:rsids>
    <w:rsidRoot w:val="00172A27"/>
    <w:rsid w:val="000006C4"/>
    <w:rsid w:val="000007E5"/>
    <w:rsid w:val="000023FC"/>
    <w:rsid w:val="00002EC1"/>
    <w:rsid w:val="00003832"/>
    <w:rsid w:val="00005E08"/>
    <w:rsid w:val="00006620"/>
    <w:rsid w:val="000075DB"/>
    <w:rsid w:val="000148AF"/>
    <w:rsid w:val="0001502B"/>
    <w:rsid w:val="000152A3"/>
    <w:rsid w:val="0001575C"/>
    <w:rsid w:val="00017A0B"/>
    <w:rsid w:val="000208AE"/>
    <w:rsid w:val="000241FD"/>
    <w:rsid w:val="00025361"/>
    <w:rsid w:val="00025F38"/>
    <w:rsid w:val="00026A35"/>
    <w:rsid w:val="00031A9B"/>
    <w:rsid w:val="00031B94"/>
    <w:rsid w:val="00032B0A"/>
    <w:rsid w:val="00032EBF"/>
    <w:rsid w:val="000343B2"/>
    <w:rsid w:val="000349B3"/>
    <w:rsid w:val="00036785"/>
    <w:rsid w:val="000405F0"/>
    <w:rsid w:val="00040875"/>
    <w:rsid w:val="000417F3"/>
    <w:rsid w:val="00042E86"/>
    <w:rsid w:val="000464B5"/>
    <w:rsid w:val="000503DA"/>
    <w:rsid w:val="00050A9D"/>
    <w:rsid w:val="00050C67"/>
    <w:rsid w:val="00051C8F"/>
    <w:rsid w:val="0005268F"/>
    <w:rsid w:val="000529F7"/>
    <w:rsid w:val="00052FAF"/>
    <w:rsid w:val="00054F93"/>
    <w:rsid w:val="00055BCB"/>
    <w:rsid w:val="00056C98"/>
    <w:rsid w:val="00061E21"/>
    <w:rsid w:val="000625BC"/>
    <w:rsid w:val="000626F4"/>
    <w:rsid w:val="0006500F"/>
    <w:rsid w:val="00067211"/>
    <w:rsid w:val="0006765C"/>
    <w:rsid w:val="0007087D"/>
    <w:rsid w:val="000716F1"/>
    <w:rsid w:val="00072C34"/>
    <w:rsid w:val="0007363D"/>
    <w:rsid w:val="0007468A"/>
    <w:rsid w:val="000749E3"/>
    <w:rsid w:val="00074F86"/>
    <w:rsid w:val="0007553D"/>
    <w:rsid w:val="00075E5B"/>
    <w:rsid w:val="0007611D"/>
    <w:rsid w:val="00080FFB"/>
    <w:rsid w:val="00081A6C"/>
    <w:rsid w:val="00081FA5"/>
    <w:rsid w:val="0008213B"/>
    <w:rsid w:val="000822B5"/>
    <w:rsid w:val="00083461"/>
    <w:rsid w:val="00083E23"/>
    <w:rsid w:val="0008401E"/>
    <w:rsid w:val="00084588"/>
    <w:rsid w:val="00085B94"/>
    <w:rsid w:val="0008664C"/>
    <w:rsid w:val="0008696E"/>
    <w:rsid w:val="00092610"/>
    <w:rsid w:val="0009380E"/>
    <w:rsid w:val="00094BFD"/>
    <w:rsid w:val="00095F5A"/>
    <w:rsid w:val="00096D7B"/>
    <w:rsid w:val="0009711B"/>
    <w:rsid w:val="000973DF"/>
    <w:rsid w:val="000A0863"/>
    <w:rsid w:val="000A119B"/>
    <w:rsid w:val="000A3094"/>
    <w:rsid w:val="000A3A6A"/>
    <w:rsid w:val="000A5577"/>
    <w:rsid w:val="000A6175"/>
    <w:rsid w:val="000A696B"/>
    <w:rsid w:val="000A7766"/>
    <w:rsid w:val="000B09F8"/>
    <w:rsid w:val="000B2275"/>
    <w:rsid w:val="000B307C"/>
    <w:rsid w:val="000B644A"/>
    <w:rsid w:val="000B6498"/>
    <w:rsid w:val="000C227D"/>
    <w:rsid w:val="000C4849"/>
    <w:rsid w:val="000C6543"/>
    <w:rsid w:val="000D009C"/>
    <w:rsid w:val="000D0F28"/>
    <w:rsid w:val="000D18F0"/>
    <w:rsid w:val="000D1C42"/>
    <w:rsid w:val="000D2664"/>
    <w:rsid w:val="000D2C5C"/>
    <w:rsid w:val="000D4C77"/>
    <w:rsid w:val="000D6487"/>
    <w:rsid w:val="000D66FD"/>
    <w:rsid w:val="000D7517"/>
    <w:rsid w:val="000E1735"/>
    <w:rsid w:val="000E1DB8"/>
    <w:rsid w:val="000E3270"/>
    <w:rsid w:val="000E3357"/>
    <w:rsid w:val="000E371C"/>
    <w:rsid w:val="000E3C2B"/>
    <w:rsid w:val="000E6FEB"/>
    <w:rsid w:val="000F0CB8"/>
    <w:rsid w:val="000F1730"/>
    <w:rsid w:val="000F339F"/>
    <w:rsid w:val="000F57D8"/>
    <w:rsid w:val="000F5FA1"/>
    <w:rsid w:val="000F70DC"/>
    <w:rsid w:val="00100179"/>
    <w:rsid w:val="0010191B"/>
    <w:rsid w:val="00101FD9"/>
    <w:rsid w:val="00104497"/>
    <w:rsid w:val="001059FF"/>
    <w:rsid w:val="00105F55"/>
    <w:rsid w:val="001078A7"/>
    <w:rsid w:val="0011234D"/>
    <w:rsid w:val="001123CF"/>
    <w:rsid w:val="00112768"/>
    <w:rsid w:val="00113044"/>
    <w:rsid w:val="00113A75"/>
    <w:rsid w:val="00114CB2"/>
    <w:rsid w:val="00117348"/>
    <w:rsid w:val="00120004"/>
    <w:rsid w:val="001219D6"/>
    <w:rsid w:val="00121EFA"/>
    <w:rsid w:val="001225F6"/>
    <w:rsid w:val="00122948"/>
    <w:rsid w:val="00124CFE"/>
    <w:rsid w:val="00126B5F"/>
    <w:rsid w:val="001311F9"/>
    <w:rsid w:val="00131253"/>
    <w:rsid w:val="0013327A"/>
    <w:rsid w:val="00133A67"/>
    <w:rsid w:val="0013495B"/>
    <w:rsid w:val="0013625B"/>
    <w:rsid w:val="00136299"/>
    <w:rsid w:val="00137429"/>
    <w:rsid w:val="00140D03"/>
    <w:rsid w:val="00140D97"/>
    <w:rsid w:val="001411CB"/>
    <w:rsid w:val="0014147C"/>
    <w:rsid w:val="00144400"/>
    <w:rsid w:val="00144B0F"/>
    <w:rsid w:val="00144F06"/>
    <w:rsid w:val="00146A8C"/>
    <w:rsid w:val="001505D1"/>
    <w:rsid w:val="001507F0"/>
    <w:rsid w:val="0015270E"/>
    <w:rsid w:val="00154D4C"/>
    <w:rsid w:val="00155DFD"/>
    <w:rsid w:val="0015657E"/>
    <w:rsid w:val="00156F5B"/>
    <w:rsid w:val="0015708B"/>
    <w:rsid w:val="00157AAF"/>
    <w:rsid w:val="001604F7"/>
    <w:rsid w:val="00160DAE"/>
    <w:rsid w:val="00161163"/>
    <w:rsid w:val="00162EA7"/>
    <w:rsid w:val="001632AC"/>
    <w:rsid w:val="00163F0E"/>
    <w:rsid w:val="001661E8"/>
    <w:rsid w:val="00166466"/>
    <w:rsid w:val="00166649"/>
    <w:rsid w:val="00166C1B"/>
    <w:rsid w:val="00166EBB"/>
    <w:rsid w:val="001677E1"/>
    <w:rsid w:val="00167DD7"/>
    <w:rsid w:val="00170686"/>
    <w:rsid w:val="00170A2F"/>
    <w:rsid w:val="00171E71"/>
    <w:rsid w:val="00172A27"/>
    <w:rsid w:val="00172E78"/>
    <w:rsid w:val="00173914"/>
    <w:rsid w:val="00174B10"/>
    <w:rsid w:val="001752A1"/>
    <w:rsid w:val="00175428"/>
    <w:rsid w:val="00177AE9"/>
    <w:rsid w:val="00180036"/>
    <w:rsid w:val="0018099E"/>
    <w:rsid w:val="00180EE5"/>
    <w:rsid w:val="00180F90"/>
    <w:rsid w:val="00182421"/>
    <w:rsid w:val="0018242C"/>
    <w:rsid w:val="001834AE"/>
    <w:rsid w:val="001869FB"/>
    <w:rsid w:val="00186BF0"/>
    <w:rsid w:val="00186D5B"/>
    <w:rsid w:val="00190E9C"/>
    <w:rsid w:val="00192308"/>
    <w:rsid w:val="00192C14"/>
    <w:rsid w:val="00192FEF"/>
    <w:rsid w:val="001951BD"/>
    <w:rsid w:val="00195695"/>
    <w:rsid w:val="001957E0"/>
    <w:rsid w:val="00195C56"/>
    <w:rsid w:val="00196A46"/>
    <w:rsid w:val="00197AD4"/>
    <w:rsid w:val="00197CBB"/>
    <w:rsid w:val="001A02D7"/>
    <w:rsid w:val="001A125E"/>
    <w:rsid w:val="001A13D0"/>
    <w:rsid w:val="001A16EC"/>
    <w:rsid w:val="001A4A6C"/>
    <w:rsid w:val="001A4E36"/>
    <w:rsid w:val="001B12B1"/>
    <w:rsid w:val="001B196E"/>
    <w:rsid w:val="001B3634"/>
    <w:rsid w:val="001B439C"/>
    <w:rsid w:val="001B56B5"/>
    <w:rsid w:val="001B5860"/>
    <w:rsid w:val="001B5A03"/>
    <w:rsid w:val="001B61DA"/>
    <w:rsid w:val="001C054A"/>
    <w:rsid w:val="001C060E"/>
    <w:rsid w:val="001C15BF"/>
    <w:rsid w:val="001C3544"/>
    <w:rsid w:val="001C3D48"/>
    <w:rsid w:val="001C4F56"/>
    <w:rsid w:val="001C6B45"/>
    <w:rsid w:val="001C7B47"/>
    <w:rsid w:val="001D21AC"/>
    <w:rsid w:val="001D37B1"/>
    <w:rsid w:val="001D4206"/>
    <w:rsid w:val="001D5B71"/>
    <w:rsid w:val="001D67FC"/>
    <w:rsid w:val="001D7017"/>
    <w:rsid w:val="001E1647"/>
    <w:rsid w:val="001E1CA1"/>
    <w:rsid w:val="001E2994"/>
    <w:rsid w:val="001E388D"/>
    <w:rsid w:val="001E72A9"/>
    <w:rsid w:val="001F028C"/>
    <w:rsid w:val="001F069C"/>
    <w:rsid w:val="001F0746"/>
    <w:rsid w:val="001F3ADA"/>
    <w:rsid w:val="001F4298"/>
    <w:rsid w:val="001F5954"/>
    <w:rsid w:val="001F6279"/>
    <w:rsid w:val="001F77A9"/>
    <w:rsid w:val="00202121"/>
    <w:rsid w:val="0020224F"/>
    <w:rsid w:val="0020232B"/>
    <w:rsid w:val="0020311C"/>
    <w:rsid w:val="00204A58"/>
    <w:rsid w:val="002056E7"/>
    <w:rsid w:val="00205D7D"/>
    <w:rsid w:val="002062F2"/>
    <w:rsid w:val="00207076"/>
    <w:rsid w:val="002071EE"/>
    <w:rsid w:val="00210FCF"/>
    <w:rsid w:val="0021310C"/>
    <w:rsid w:val="0021389B"/>
    <w:rsid w:val="0021512D"/>
    <w:rsid w:val="00215583"/>
    <w:rsid w:val="00221530"/>
    <w:rsid w:val="00221578"/>
    <w:rsid w:val="00222531"/>
    <w:rsid w:val="00222744"/>
    <w:rsid w:val="00227363"/>
    <w:rsid w:val="00231965"/>
    <w:rsid w:val="002327F9"/>
    <w:rsid w:val="00233B8D"/>
    <w:rsid w:val="00235F8C"/>
    <w:rsid w:val="0023693D"/>
    <w:rsid w:val="002369C0"/>
    <w:rsid w:val="002369EA"/>
    <w:rsid w:val="002377B2"/>
    <w:rsid w:val="00237EF8"/>
    <w:rsid w:val="00240048"/>
    <w:rsid w:val="0024100F"/>
    <w:rsid w:val="002454AD"/>
    <w:rsid w:val="00246B0E"/>
    <w:rsid w:val="0025066F"/>
    <w:rsid w:val="002565CC"/>
    <w:rsid w:val="00262039"/>
    <w:rsid w:val="00262855"/>
    <w:rsid w:val="00270454"/>
    <w:rsid w:val="002705E3"/>
    <w:rsid w:val="00272057"/>
    <w:rsid w:val="002732A3"/>
    <w:rsid w:val="002736D1"/>
    <w:rsid w:val="00273803"/>
    <w:rsid w:val="002808E9"/>
    <w:rsid w:val="0028155D"/>
    <w:rsid w:val="0028301A"/>
    <w:rsid w:val="00283182"/>
    <w:rsid w:val="002839FD"/>
    <w:rsid w:val="002842AA"/>
    <w:rsid w:val="00284DAB"/>
    <w:rsid w:val="00284E07"/>
    <w:rsid w:val="0028546A"/>
    <w:rsid w:val="00285FA5"/>
    <w:rsid w:val="0028679B"/>
    <w:rsid w:val="00286D08"/>
    <w:rsid w:val="00287D94"/>
    <w:rsid w:val="0029054A"/>
    <w:rsid w:val="00291BDF"/>
    <w:rsid w:val="0029212C"/>
    <w:rsid w:val="00293B1E"/>
    <w:rsid w:val="00293C83"/>
    <w:rsid w:val="0029563D"/>
    <w:rsid w:val="0029578C"/>
    <w:rsid w:val="00297756"/>
    <w:rsid w:val="00297DD8"/>
    <w:rsid w:val="002A10A4"/>
    <w:rsid w:val="002A1EC1"/>
    <w:rsid w:val="002A3A99"/>
    <w:rsid w:val="002A4B86"/>
    <w:rsid w:val="002A6FEE"/>
    <w:rsid w:val="002A7361"/>
    <w:rsid w:val="002A7DA0"/>
    <w:rsid w:val="002B0D48"/>
    <w:rsid w:val="002B23AC"/>
    <w:rsid w:val="002B3FC6"/>
    <w:rsid w:val="002B4A7F"/>
    <w:rsid w:val="002B65C6"/>
    <w:rsid w:val="002B76D5"/>
    <w:rsid w:val="002C0456"/>
    <w:rsid w:val="002C1005"/>
    <w:rsid w:val="002C25A2"/>
    <w:rsid w:val="002C3C9E"/>
    <w:rsid w:val="002C465E"/>
    <w:rsid w:val="002C786A"/>
    <w:rsid w:val="002D0653"/>
    <w:rsid w:val="002D1B1F"/>
    <w:rsid w:val="002D1DC4"/>
    <w:rsid w:val="002E10B1"/>
    <w:rsid w:val="002E2A5F"/>
    <w:rsid w:val="002E2AFA"/>
    <w:rsid w:val="002E2D80"/>
    <w:rsid w:val="002E37B6"/>
    <w:rsid w:val="002E4499"/>
    <w:rsid w:val="002E60A4"/>
    <w:rsid w:val="002E7174"/>
    <w:rsid w:val="002E7A0D"/>
    <w:rsid w:val="002F2055"/>
    <w:rsid w:val="002F37F2"/>
    <w:rsid w:val="002F46DA"/>
    <w:rsid w:val="002F556A"/>
    <w:rsid w:val="002F5C28"/>
    <w:rsid w:val="002F6DDE"/>
    <w:rsid w:val="002F753A"/>
    <w:rsid w:val="00300C14"/>
    <w:rsid w:val="00301C83"/>
    <w:rsid w:val="00302A22"/>
    <w:rsid w:val="00302FDD"/>
    <w:rsid w:val="003031A5"/>
    <w:rsid w:val="0030498E"/>
    <w:rsid w:val="003053BD"/>
    <w:rsid w:val="00310C1F"/>
    <w:rsid w:val="003111D3"/>
    <w:rsid w:val="00311667"/>
    <w:rsid w:val="00313BAE"/>
    <w:rsid w:val="003148D9"/>
    <w:rsid w:val="00314D83"/>
    <w:rsid w:val="003179BC"/>
    <w:rsid w:val="00320F23"/>
    <w:rsid w:val="003263A3"/>
    <w:rsid w:val="00326F2B"/>
    <w:rsid w:val="0033172A"/>
    <w:rsid w:val="003317D3"/>
    <w:rsid w:val="00332B34"/>
    <w:rsid w:val="00332FE3"/>
    <w:rsid w:val="003357D8"/>
    <w:rsid w:val="00336000"/>
    <w:rsid w:val="00336F83"/>
    <w:rsid w:val="00337C64"/>
    <w:rsid w:val="00340AFE"/>
    <w:rsid w:val="00342FAA"/>
    <w:rsid w:val="00344198"/>
    <w:rsid w:val="0034431C"/>
    <w:rsid w:val="0034466C"/>
    <w:rsid w:val="003461D2"/>
    <w:rsid w:val="00352AF0"/>
    <w:rsid w:val="003534B7"/>
    <w:rsid w:val="003566E1"/>
    <w:rsid w:val="003608F7"/>
    <w:rsid w:val="00361CD6"/>
    <w:rsid w:val="003624D1"/>
    <w:rsid w:val="00363D5A"/>
    <w:rsid w:val="00365605"/>
    <w:rsid w:val="00370C18"/>
    <w:rsid w:val="0037166D"/>
    <w:rsid w:val="00371D5B"/>
    <w:rsid w:val="0037227A"/>
    <w:rsid w:val="003722D8"/>
    <w:rsid w:val="00372DB4"/>
    <w:rsid w:val="0037438D"/>
    <w:rsid w:val="00375883"/>
    <w:rsid w:val="00376792"/>
    <w:rsid w:val="0038062F"/>
    <w:rsid w:val="003825D7"/>
    <w:rsid w:val="0038290B"/>
    <w:rsid w:val="003833AA"/>
    <w:rsid w:val="0038420F"/>
    <w:rsid w:val="0038533D"/>
    <w:rsid w:val="00390AC8"/>
    <w:rsid w:val="00391775"/>
    <w:rsid w:val="003923A1"/>
    <w:rsid w:val="0039302C"/>
    <w:rsid w:val="00393746"/>
    <w:rsid w:val="00393884"/>
    <w:rsid w:val="00395CAD"/>
    <w:rsid w:val="003A0881"/>
    <w:rsid w:val="003A0914"/>
    <w:rsid w:val="003A444B"/>
    <w:rsid w:val="003A4ED6"/>
    <w:rsid w:val="003A6217"/>
    <w:rsid w:val="003A6AD6"/>
    <w:rsid w:val="003A6B97"/>
    <w:rsid w:val="003A7B52"/>
    <w:rsid w:val="003B0C1E"/>
    <w:rsid w:val="003B1263"/>
    <w:rsid w:val="003B3252"/>
    <w:rsid w:val="003B4028"/>
    <w:rsid w:val="003B58E9"/>
    <w:rsid w:val="003B5A9A"/>
    <w:rsid w:val="003B5D78"/>
    <w:rsid w:val="003B5E3C"/>
    <w:rsid w:val="003B712C"/>
    <w:rsid w:val="003B7504"/>
    <w:rsid w:val="003C0A70"/>
    <w:rsid w:val="003C40C7"/>
    <w:rsid w:val="003C46D2"/>
    <w:rsid w:val="003C4DF2"/>
    <w:rsid w:val="003C6386"/>
    <w:rsid w:val="003C6781"/>
    <w:rsid w:val="003C78FF"/>
    <w:rsid w:val="003C7C6C"/>
    <w:rsid w:val="003C7C8F"/>
    <w:rsid w:val="003D285C"/>
    <w:rsid w:val="003D5001"/>
    <w:rsid w:val="003D69D5"/>
    <w:rsid w:val="003D6B71"/>
    <w:rsid w:val="003D7A10"/>
    <w:rsid w:val="003E13A3"/>
    <w:rsid w:val="003E23FE"/>
    <w:rsid w:val="003E42FC"/>
    <w:rsid w:val="003E4919"/>
    <w:rsid w:val="003E5D73"/>
    <w:rsid w:val="003E63F2"/>
    <w:rsid w:val="003E69E1"/>
    <w:rsid w:val="003E78CB"/>
    <w:rsid w:val="003F1C53"/>
    <w:rsid w:val="003F57C6"/>
    <w:rsid w:val="00402A61"/>
    <w:rsid w:val="00404608"/>
    <w:rsid w:val="004064A3"/>
    <w:rsid w:val="00407B61"/>
    <w:rsid w:val="00414078"/>
    <w:rsid w:val="00414679"/>
    <w:rsid w:val="00415121"/>
    <w:rsid w:val="004155DB"/>
    <w:rsid w:val="00416646"/>
    <w:rsid w:val="0042119E"/>
    <w:rsid w:val="00421B3B"/>
    <w:rsid w:val="00422CAD"/>
    <w:rsid w:val="0042337A"/>
    <w:rsid w:val="00423749"/>
    <w:rsid w:val="00423C2C"/>
    <w:rsid w:val="0042515E"/>
    <w:rsid w:val="00426705"/>
    <w:rsid w:val="00426A25"/>
    <w:rsid w:val="0042786D"/>
    <w:rsid w:val="00427EBD"/>
    <w:rsid w:val="00431676"/>
    <w:rsid w:val="00433A03"/>
    <w:rsid w:val="0043470A"/>
    <w:rsid w:val="00434AA7"/>
    <w:rsid w:val="004354DE"/>
    <w:rsid w:val="00435D0C"/>
    <w:rsid w:val="00435DB8"/>
    <w:rsid w:val="00440E72"/>
    <w:rsid w:val="004437F8"/>
    <w:rsid w:val="0044552C"/>
    <w:rsid w:val="00446B2A"/>
    <w:rsid w:val="004507D3"/>
    <w:rsid w:val="00451038"/>
    <w:rsid w:val="0045105D"/>
    <w:rsid w:val="00453208"/>
    <w:rsid w:val="004554C7"/>
    <w:rsid w:val="00457F4A"/>
    <w:rsid w:val="004603DE"/>
    <w:rsid w:val="00463FC7"/>
    <w:rsid w:val="004654C6"/>
    <w:rsid w:val="00465FE9"/>
    <w:rsid w:val="00466D37"/>
    <w:rsid w:val="004717D8"/>
    <w:rsid w:val="004729BD"/>
    <w:rsid w:val="00473031"/>
    <w:rsid w:val="004732BF"/>
    <w:rsid w:val="0047378E"/>
    <w:rsid w:val="00474368"/>
    <w:rsid w:val="00474985"/>
    <w:rsid w:val="004749B2"/>
    <w:rsid w:val="00474DCB"/>
    <w:rsid w:val="00476689"/>
    <w:rsid w:val="0047697F"/>
    <w:rsid w:val="00477786"/>
    <w:rsid w:val="00480424"/>
    <w:rsid w:val="00480449"/>
    <w:rsid w:val="00482977"/>
    <w:rsid w:val="004843CB"/>
    <w:rsid w:val="00485919"/>
    <w:rsid w:val="0048700A"/>
    <w:rsid w:val="004873B4"/>
    <w:rsid w:val="004873C7"/>
    <w:rsid w:val="0049224C"/>
    <w:rsid w:val="0049267F"/>
    <w:rsid w:val="0049290A"/>
    <w:rsid w:val="00493A3D"/>
    <w:rsid w:val="00494258"/>
    <w:rsid w:val="00496704"/>
    <w:rsid w:val="00496B31"/>
    <w:rsid w:val="00496C12"/>
    <w:rsid w:val="00497A4A"/>
    <w:rsid w:val="004A06AA"/>
    <w:rsid w:val="004A0C44"/>
    <w:rsid w:val="004A116D"/>
    <w:rsid w:val="004A173B"/>
    <w:rsid w:val="004A2D18"/>
    <w:rsid w:val="004A36BE"/>
    <w:rsid w:val="004A6D5D"/>
    <w:rsid w:val="004A7744"/>
    <w:rsid w:val="004A7777"/>
    <w:rsid w:val="004A7816"/>
    <w:rsid w:val="004B0895"/>
    <w:rsid w:val="004B3D96"/>
    <w:rsid w:val="004B459B"/>
    <w:rsid w:val="004B48CF"/>
    <w:rsid w:val="004B4A74"/>
    <w:rsid w:val="004B67FF"/>
    <w:rsid w:val="004C0D86"/>
    <w:rsid w:val="004C1223"/>
    <w:rsid w:val="004C18C2"/>
    <w:rsid w:val="004C1DF4"/>
    <w:rsid w:val="004C37A2"/>
    <w:rsid w:val="004C4285"/>
    <w:rsid w:val="004C517E"/>
    <w:rsid w:val="004C7F55"/>
    <w:rsid w:val="004D07E7"/>
    <w:rsid w:val="004D126B"/>
    <w:rsid w:val="004D143F"/>
    <w:rsid w:val="004D23D2"/>
    <w:rsid w:val="004D3584"/>
    <w:rsid w:val="004D4329"/>
    <w:rsid w:val="004D48AB"/>
    <w:rsid w:val="004D6279"/>
    <w:rsid w:val="004E1410"/>
    <w:rsid w:val="004E2119"/>
    <w:rsid w:val="004E2B52"/>
    <w:rsid w:val="004E2F86"/>
    <w:rsid w:val="004E3E31"/>
    <w:rsid w:val="004E4B31"/>
    <w:rsid w:val="004E56E2"/>
    <w:rsid w:val="004E5F54"/>
    <w:rsid w:val="004E68B1"/>
    <w:rsid w:val="004F1E1E"/>
    <w:rsid w:val="004F404F"/>
    <w:rsid w:val="004F509F"/>
    <w:rsid w:val="004F51D7"/>
    <w:rsid w:val="00500874"/>
    <w:rsid w:val="00500D28"/>
    <w:rsid w:val="00501638"/>
    <w:rsid w:val="00502643"/>
    <w:rsid w:val="00503E33"/>
    <w:rsid w:val="00505533"/>
    <w:rsid w:val="00507757"/>
    <w:rsid w:val="00511AC9"/>
    <w:rsid w:val="00511AFC"/>
    <w:rsid w:val="00511B71"/>
    <w:rsid w:val="0051348F"/>
    <w:rsid w:val="0051517D"/>
    <w:rsid w:val="005158BA"/>
    <w:rsid w:val="00517CAF"/>
    <w:rsid w:val="00521A8E"/>
    <w:rsid w:val="00524E36"/>
    <w:rsid w:val="0052501D"/>
    <w:rsid w:val="0052546A"/>
    <w:rsid w:val="005255C3"/>
    <w:rsid w:val="00525793"/>
    <w:rsid w:val="00525AE8"/>
    <w:rsid w:val="00525DDA"/>
    <w:rsid w:val="0052737C"/>
    <w:rsid w:val="005309D1"/>
    <w:rsid w:val="00531825"/>
    <w:rsid w:val="00533E96"/>
    <w:rsid w:val="00534A88"/>
    <w:rsid w:val="00535E7A"/>
    <w:rsid w:val="00535F92"/>
    <w:rsid w:val="005365AB"/>
    <w:rsid w:val="0053691F"/>
    <w:rsid w:val="00537AAB"/>
    <w:rsid w:val="0054224A"/>
    <w:rsid w:val="0054346B"/>
    <w:rsid w:val="005441FE"/>
    <w:rsid w:val="0054548A"/>
    <w:rsid w:val="00547E2D"/>
    <w:rsid w:val="005513FF"/>
    <w:rsid w:val="005526DB"/>
    <w:rsid w:val="005557F3"/>
    <w:rsid w:val="0055580D"/>
    <w:rsid w:val="005565FA"/>
    <w:rsid w:val="00557483"/>
    <w:rsid w:val="00560CAD"/>
    <w:rsid w:val="00562181"/>
    <w:rsid w:val="00564F8F"/>
    <w:rsid w:val="0056509C"/>
    <w:rsid w:val="005662BB"/>
    <w:rsid w:val="00566583"/>
    <w:rsid w:val="00566AE7"/>
    <w:rsid w:val="00567797"/>
    <w:rsid w:val="005678D7"/>
    <w:rsid w:val="0057064B"/>
    <w:rsid w:val="00570AD4"/>
    <w:rsid w:val="00571BB8"/>
    <w:rsid w:val="00571BF9"/>
    <w:rsid w:val="0057230A"/>
    <w:rsid w:val="00572524"/>
    <w:rsid w:val="0057312B"/>
    <w:rsid w:val="00573C3F"/>
    <w:rsid w:val="00573CCB"/>
    <w:rsid w:val="005742C9"/>
    <w:rsid w:val="0057438D"/>
    <w:rsid w:val="00575085"/>
    <w:rsid w:val="0057550F"/>
    <w:rsid w:val="005775EB"/>
    <w:rsid w:val="005806B3"/>
    <w:rsid w:val="005808E0"/>
    <w:rsid w:val="00581956"/>
    <w:rsid w:val="0058303C"/>
    <w:rsid w:val="005838EE"/>
    <w:rsid w:val="00585EAD"/>
    <w:rsid w:val="005868E9"/>
    <w:rsid w:val="00591CE9"/>
    <w:rsid w:val="00592B36"/>
    <w:rsid w:val="00593437"/>
    <w:rsid w:val="00593C01"/>
    <w:rsid w:val="00594E4E"/>
    <w:rsid w:val="005953F3"/>
    <w:rsid w:val="005A018A"/>
    <w:rsid w:val="005A063F"/>
    <w:rsid w:val="005A0BEA"/>
    <w:rsid w:val="005A1BB5"/>
    <w:rsid w:val="005A26F4"/>
    <w:rsid w:val="005A2B39"/>
    <w:rsid w:val="005A4D95"/>
    <w:rsid w:val="005A4E92"/>
    <w:rsid w:val="005A5371"/>
    <w:rsid w:val="005A54C7"/>
    <w:rsid w:val="005B042A"/>
    <w:rsid w:val="005B3752"/>
    <w:rsid w:val="005B3E10"/>
    <w:rsid w:val="005B4B67"/>
    <w:rsid w:val="005B4F92"/>
    <w:rsid w:val="005B6904"/>
    <w:rsid w:val="005C075F"/>
    <w:rsid w:val="005C4C62"/>
    <w:rsid w:val="005C4CDF"/>
    <w:rsid w:val="005C4F5D"/>
    <w:rsid w:val="005C5891"/>
    <w:rsid w:val="005C657F"/>
    <w:rsid w:val="005C79C8"/>
    <w:rsid w:val="005D1D6A"/>
    <w:rsid w:val="005D218A"/>
    <w:rsid w:val="005D28BB"/>
    <w:rsid w:val="005D30C0"/>
    <w:rsid w:val="005D39D8"/>
    <w:rsid w:val="005D40BC"/>
    <w:rsid w:val="005D60CF"/>
    <w:rsid w:val="005D6E23"/>
    <w:rsid w:val="005D739A"/>
    <w:rsid w:val="005E29B2"/>
    <w:rsid w:val="005E3915"/>
    <w:rsid w:val="005E472E"/>
    <w:rsid w:val="005E4CB6"/>
    <w:rsid w:val="005E5B37"/>
    <w:rsid w:val="005E66DB"/>
    <w:rsid w:val="005E7DAE"/>
    <w:rsid w:val="005F037B"/>
    <w:rsid w:val="005F16D5"/>
    <w:rsid w:val="005F20FC"/>
    <w:rsid w:val="005F350B"/>
    <w:rsid w:val="005F605E"/>
    <w:rsid w:val="005F6E43"/>
    <w:rsid w:val="005F7E68"/>
    <w:rsid w:val="0060030D"/>
    <w:rsid w:val="006017A6"/>
    <w:rsid w:val="00601BEE"/>
    <w:rsid w:val="00601ED3"/>
    <w:rsid w:val="00602C5B"/>
    <w:rsid w:val="00603022"/>
    <w:rsid w:val="00604510"/>
    <w:rsid w:val="006063E0"/>
    <w:rsid w:val="0060663A"/>
    <w:rsid w:val="0061032C"/>
    <w:rsid w:val="0061120D"/>
    <w:rsid w:val="00612232"/>
    <w:rsid w:val="006124FA"/>
    <w:rsid w:val="00612F3A"/>
    <w:rsid w:val="006135D2"/>
    <w:rsid w:val="00615FFB"/>
    <w:rsid w:val="00617245"/>
    <w:rsid w:val="00620EE6"/>
    <w:rsid w:val="00622E4E"/>
    <w:rsid w:val="0062341D"/>
    <w:rsid w:val="00625861"/>
    <w:rsid w:val="00630D72"/>
    <w:rsid w:val="006318F8"/>
    <w:rsid w:val="006320FA"/>
    <w:rsid w:val="00632395"/>
    <w:rsid w:val="00632C0C"/>
    <w:rsid w:val="00632E21"/>
    <w:rsid w:val="00633851"/>
    <w:rsid w:val="006373FB"/>
    <w:rsid w:val="006374FA"/>
    <w:rsid w:val="00643B72"/>
    <w:rsid w:val="00644B99"/>
    <w:rsid w:val="00645991"/>
    <w:rsid w:val="00645AC4"/>
    <w:rsid w:val="00646A39"/>
    <w:rsid w:val="006479A6"/>
    <w:rsid w:val="00654FBB"/>
    <w:rsid w:val="006566FF"/>
    <w:rsid w:val="00656C08"/>
    <w:rsid w:val="0065703C"/>
    <w:rsid w:val="00660E91"/>
    <w:rsid w:val="00661493"/>
    <w:rsid w:val="00661709"/>
    <w:rsid w:val="0066265B"/>
    <w:rsid w:val="006639CC"/>
    <w:rsid w:val="00664EC7"/>
    <w:rsid w:val="006654D8"/>
    <w:rsid w:val="0066583F"/>
    <w:rsid w:val="006665D0"/>
    <w:rsid w:val="0066714D"/>
    <w:rsid w:val="0067053D"/>
    <w:rsid w:val="00672B7A"/>
    <w:rsid w:val="00672EF7"/>
    <w:rsid w:val="0067495E"/>
    <w:rsid w:val="00674C0E"/>
    <w:rsid w:val="0068298D"/>
    <w:rsid w:val="00683670"/>
    <w:rsid w:val="00683977"/>
    <w:rsid w:val="0068464D"/>
    <w:rsid w:val="00685222"/>
    <w:rsid w:val="00691F59"/>
    <w:rsid w:val="006930A9"/>
    <w:rsid w:val="006944B4"/>
    <w:rsid w:val="00694675"/>
    <w:rsid w:val="006975A2"/>
    <w:rsid w:val="006A18B5"/>
    <w:rsid w:val="006A3CF1"/>
    <w:rsid w:val="006A4559"/>
    <w:rsid w:val="006A502E"/>
    <w:rsid w:val="006A5600"/>
    <w:rsid w:val="006A5A02"/>
    <w:rsid w:val="006A62AF"/>
    <w:rsid w:val="006A6B55"/>
    <w:rsid w:val="006B1553"/>
    <w:rsid w:val="006B1940"/>
    <w:rsid w:val="006B1951"/>
    <w:rsid w:val="006B19CC"/>
    <w:rsid w:val="006B2BBF"/>
    <w:rsid w:val="006B3FBB"/>
    <w:rsid w:val="006B43E5"/>
    <w:rsid w:val="006B76F6"/>
    <w:rsid w:val="006B793C"/>
    <w:rsid w:val="006C05E7"/>
    <w:rsid w:val="006C2770"/>
    <w:rsid w:val="006C5057"/>
    <w:rsid w:val="006C6B85"/>
    <w:rsid w:val="006D2FD1"/>
    <w:rsid w:val="006D328D"/>
    <w:rsid w:val="006D4D9F"/>
    <w:rsid w:val="006D5279"/>
    <w:rsid w:val="006D625E"/>
    <w:rsid w:val="006D6C7A"/>
    <w:rsid w:val="006D6D16"/>
    <w:rsid w:val="006E1458"/>
    <w:rsid w:val="006E2A94"/>
    <w:rsid w:val="006E2EAE"/>
    <w:rsid w:val="006E3118"/>
    <w:rsid w:val="006E4E4E"/>
    <w:rsid w:val="006E5185"/>
    <w:rsid w:val="006F0DA4"/>
    <w:rsid w:val="006F21C9"/>
    <w:rsid w:val="006F48BB"/>
    <w:rsid w:val="006F6D7E"/>
    <w:rsid w:val="006F7805"/>
    <w:rsid w:val="006F7B86"/>
    <w:rsid w:val="00701EB4"/>
    <w:rsid w:val="0070214B"/>
    <w:rsid w:val="007029E6"/>
    <w:rsid w:val="007030BF"/>
    <w:rsid w:val="00703EB4"/>
    <w:rsid w:val="00705C15"/>
    <w:rsid w:val="00705C9A"/>
    <w:rsid w:val="00706988"/>
    <w:rsid w:val="00710B91"/>
    <w:rsid w:val="0071118C"/>
    <w:rsid w:val="00711B4B"/>
    <w:rsid w:val="00711CBF"/>
    <w:rsid w:val="00712A10"/>
    <w:rsid w:val="00714526"/>
    <w:rsid w:val="0071478B"/>
    <w:rsid w:val="00715A87"/>
    <w:rsid w:val="00715C5D"/>
    <w:rsid w:val="00715FC7"/>
    <w:rsid w:val="007160A5"/>
    <w:rsid w:val="0071662D"/>
    <w:rsid w:val="007174E5"/>
    <w:rsid w:val="00720E07"/>
    <w:rsid w:val="00721549"/>
    <w:rsid w:val="00722601"/>
    <w:rsid w:val="00724F50"/>
    <w:rsid w:val="00725711"/>
    <w:rsid w:val="007262EA"/>
    <w:rsid w:val="007266E0"/>
    <w:rsid w:val="0073104B"/>
    <w:rsid w:val="00731B58"/>
    <w:rsid w:val="0073371E"/>
    <w:rsid w:val="00734792"/>
    <w:rsid w:val="00735388"/>
    <w:rsid w:val="00735708"/>
    <w:rsid w:val="00736ADE"/>
    <w:rsid w:val="00737012"/>
    <w:rsid w:val="00741055"/>
    <w:rsid w:val="0074164E"/>
    <w:rsid w:val="0074227B"/>
    <w:rsid w:val="007428A1"/>
    <w:rsid w:val="00743739"/>
    <w:rsid w:val="00745576"/>
    <w:rsid w:val="00753031"/>
    <w:rsid w:val="00753070"/>
    <w:rsid w:val="00753C4C"/>
    <w:rsid w:val="00754234"/>
    <w:rsid w:val="00754252"/>
    <w:rsid w:val="00754716"/>
    <w:rsid w:val="007547BC"/>
    <w:rsid w:val="00754D44"/>
    <w:rsid w:val="0075765A"/>
    <w:rsid w:val="00761C0C"/>
    <w:rsid w:val="00761F29"/>
    <w:rsid w:val="00762B5E"/>
    <w:rsid w:val="00765C8E"/>
    <w:rsid w:val="00771DC3"/>
    <w:rsid w:val="0077294A"/>
    <w:rsid w:val="007738B6"/>
    <w:rsid w:val="00773963"/>
    <w:rsid w:val="00773F89"/>
    <w:rsid w:val="007752B1"/>
    <w:rsid w:val="007765EA"/>
    <w:rsid w:val="00780657"/>
    <w:rsid w:val="00787A0A"/>
    <w:rsid w:val="007903F9"/>
    <w:rsid w:val="0079101A"/>
    <w:rsid w:val="00791186"/>
    <w:rsid w:val="007927FD"/>
    <w:rsid w:val="00794533"/>
    <w:rsid w:val="007948AD"/>
    <w:rsid w:val="0079529F"/>
    <w:rsid w:val="007953BE"/>
    <w:rsid w:val="00796512"/>
    <w:rsid w:val="00797F2C"/>
    <w:rsid w:val="00797F53"/>
    <w:rsid w:val="007A0A79"/>
    <w:rsid w:val="007A1A6F"/>
    <w:rsid w:val="007A2392"/>
    <w:rsid w:val="007A2DEE"/>
    <w:rsid w:val="007A58CC"/>
    <w:rsid w:val="007A6F63"/>
    <w:rsid w:val="007A7D59"/>
    <w:rsid w:val="007B3CEC"/>
    <w:rsid w:val="007B3F6E"/>
    <w:rsid w:val="007B48F9"/>
    <w:rsid w:val="007B5848"/>
    <w:rsid w:val="007B6273"/>
    <w:rsid w:val="007B72AC"/>
    <w:rsid w:val="007C1DE5"/>
    <w:rsid w:val="007C26A1"/>
    <w:rsid w:val="007C6A66"/>
    <w:rsid w:val="007C7E8B"/>
    <w:rsid w:val="007D10A3"/>
    <w:rsid w:val="007D3EBB"/>
    <w:rsid w:val="007D40CF"/>
    <w:rsid w:val="007E1419"/>
    <w:rsid w:val="007E17E2"/>
    <w:rsid w:val="007E2423"/>
    <w:rsid w:val="007E2547"/>
    <w:rsid w:val="007E2BC1"/>
    <w:rsid w:val="007E521C"/>
    <w:rsid w:val="007F02CF"/>
    <w:rsid w:val="007F0932"/>
    <w:rsid w:val="007F155B"/>
    <w:rsid w:val="007F34E8"/>
    <w:rsid w:val="007F5A35"/>
    <w:rsid w:val="007F6A3F"/>
    <w:rsid w:val="007F6E9B"/>
    <w:rsid w:val="007F7FD3"/>
    <w:rsid w:val="008008DD"/>
    <w:rsid w:val="008015F2"/>
    <w:rsid w:val="008028D2"/>
    <w:rsid w:val="00802ED5"/>
    <w:rsid w:val="00803626"/>
    <w:rsid w:val="0080439E"/>
    <w:rsid w:val="008043A4"/>
    <w:rsid w:val="00805BDA"/>
    <w:rsid w:val="008119BE"/>
    <w:rsid w:val="008139A0"/>
    <w:rsid w:val="00813CD9"/>
    <w:rsid w:val="00813F8D"/>
    <w:rsid w:val="0081532B"/>
    <w:rsid w:val="00815C8E"/>
    <w:rsid w:val="0081731F"/>
    <w:rsid w:val="00817655"/>
    <w:rsid w:val="008203B2"/>
    <w:rsid w:val="00820F95"/>
    <w:rsid w:val="0082132C"/>
    <w:rsid w:val="008219F8"/>
    <w:rsid w:val="00821D1B"/>
    <w:rsid w:val="008222F3"/>
    <w:rsid w:val="00822713"/>
    <w:rsid w:val="00822B06"/>
    <w:rsid w:val="0082321D"/>
    <w:rsid w:val="008243A4"/>
    <w:rsid w:val="0082454C"/>
    <w:rsid w:val="00824EB4"/>
    <w:rsid w:val="00825517"/>
    <w:rsid w:val="0082571A"/>
    <w:rsid w:val="008265FF"/>
    <w:rsid w:val="00826B3E"/>
    <w:rsid w:val="00830C98"/>
    <w:rsid w:val="00831E6F"/>
    <w:rsid w:val="008335D5"/>
    <w:rsid w:val="00834EDC"/>
    <w:rsid w:val="00834FBD"/>
    <w:rsid w:val="00835392"/>
    <w:rsid w:val="00836AEB"/>
    <w:rsid w:val="00840935"/>
    <w:rsid w:val="00841886"/>
    <w:rsid w:val="00842BEF"/>
    <w:rsid w:val="00843254"/>
    <w:rsid w:val="008455B1"/>
    <w:rsid w:val="00845916"/>
    <w:rsid w:val="008464CB"/>
    <w:rsid w:val="00847AEC"/>
    <w:rsid w:val="00850077"/>
    <w:rsid w:val="00851BF2"/>
    <w:rsid w:val="008532C2"/>
    <w:rsid w:val="00854F2B"/>
    <w:rsid w:val="00856160"/>
    <w:rsid w:val="00860C5D"/>
    <w:rsid w:val="00863221"/>
    <w:rsid w:val="0086383B"/>
    <w:rsid w:val="00863924"/>
    <w:rsid w:val="0086526D"/>
    <w:rsid w:val="0086629C"/>
    <w:rsid w:val="0086740D"/>
    <w:rsid w:val="00872480"/>
    <w:rsid w:val="00873C50"/>
    <w:rsid w:val="008740F8"/>
    <w:rsid w:val="00874131"/>
    <w:rsid w:val="0087513E"/>
    <w:rsid w:val="008756C6"/>
    <w:rsid w:val="008757C3"/>
    <w:rsid w:val="00877BDA"/>
    <w:rsid w:val="008805B7"/>
    <w:rsid w:val="00881F17"/>
    <w:rsid w:val="00882F2E"/>
    <w:rsid w:val="0088396B"/>
    <w:rsid w:val="008851F6"/>
    <w:rsid w:val="008855B6"/>
    <w:rsid w:val="00885FA8"/>
    <w:rsid w:val="00887084"/>
    <w:rsid w:val="00887EC0"/>
    <w:rsid w:val="00891BBF"/>
    <w:rsid w:val="00891F3A"/>
    <w:rsid w:val="0089209D"/>
    <w:rsid w:val="00894026"/>
    <w:rsid w:val="00894DA7"/>
    <w:rsid w:val="00896613"/>
    <w:rsid w:val="00897E5E"/>
    <w:rsid w:val="008A1E01"/>
    <w:rsid w:val="008A2F17"/>
    <w:rsid w:val="008A404A"/>
    <w:rsid w:val="008A4831"/>
    <w:rsid w:val="008A50EF"/>
    <w:rsid w:val="008A581A"/>
    <w:rsid w:val="008A70AF"/>
    <w:rsid w:val="008B0D22"/>
    <w:rsid w:val="008B15EC"/>
    <w:rsid w:val="008B44F4"/>
    <w:rsid w:val="008B52D7"/>
    <w:rsid w:val="008B68C2"/>
    <w:rsid w:val="008C54B9"/>
    <w:rsid w:val="008C55C6"/>
    <w:rsid w:val="008D0403"/>
    <w:rsid w:val="008D3FA9"/>
    <w:rsid w:val="008D4EB8"/>
    <w:rsid w:val="008D5278"/>
    <w:rsid w:val="008E0C25"/>
    <w:rsid w:val="008E1068"/>
    <w:rsid w:val="008E2DE6"/>
    <w:rsid w:val="008E68EF"/>
    <w:rsid w:val="008E69D2"/>
    <w:rsid w:val="008F0AF0"/>
    <w:rsid w:val="008F0CA5"/>
    <w:rsid w:val="008F0EA1"/>
    <w:rsid w:val="008F1C58"/>
    <w:rsid w:val="008F2866"/>
    <w:rsid w:val="008F336E"/>
    <w:rsid w:val="008F48D3"/>
    <w:rsid w:val="008F4D8A"/>
    <w:rsid w:val="008F527A"/>
    <w:rsid w:val="008F5E7B"/>
    <w:rsid w:val="008F6221"/>
    <w:rsid w:val="008F7399"/>
    <w:rsid w:val="00900A87"/>
    <w:rsid w:val="009016CC"/>
    <w:rsid w:val="00902024"/>
    <w:rsid w:val="00902DA0"/>
    <w:rsid w:val="00904B07"/>
    <w:rsid w:val="0090513B"/>
    <w:rsid w:val="00905FDB"/>
    <w:rsid w:val="00907A1E"/>
    <w:rsid w:val="0091081E"/>
    <w:rsid w:val="00911E28"/>
    <w:rsid w:val="00912357"/>
    <w:rsid w:val="00917FE5"/>
    <w:rsid w:val="009224FE"/>
    <w:rsid w:val="0092349A"/>
    <w:rsid w:val="009257C9"/>
    <w:rsid w:val="00926393"/>
    <w:rsid w:val="00927277"/>
    <w:rsid w:val="009273B4"/>
    <w:rsid w:val="00930A27"/>
    <w:rsid w:val="00930F59"/>
    <w:rsid w:val="00931AEB"/>
    <w:rsid w:val="0093448B"/>
    <w:rsid w:val="00934575"/>
    <w:rsid w:val="00936276"/>
    <w:rsid w:val="009379B1"/>
    <w:rsid w:val="00940BD7"/>
    <w:rsid w:val="00944188"/>
    <w:rsid w:val="00945237"/>
    <w:rsid w:val="00945B42"/>
    <w:rsid w:val="00946367"/>
    <w:rsid w:val="0094657F"/>
    <w:rsid w:val="00947C48"/>
    <w:rsid w:val="00947CCE"/>
    <w:rsid w:val="00950C23"/>
    <w:rsid w:val="00952F58"/>
    <w:rsid w:val="009539FE"/>
    <w:rsid w:val="00960E22"/>
    <w:rsid w:val="00961CAE"/>
    <w:rsid w:val="0096301B"/>
    <w:rsid w:val="00963C5F"/>
    <w:rsid w:val="0096417F"/>
    <w:rsid w:val="00966426"/>
    <w:rsid w:val="009668A8"/>
    <w:rsid w:val="00966B2A"/>
    <w:rsid w:val="0096797F"/>
    <w:rsid w:val="009722D2"/>
    <w:rsid w:val="009725D5"/>
    <w:rsid w:val="00972ECE"/>
    <w:rsid w:val="00974658"/>
    <w:rsid w:val="009749C4"/>
    <w:rsid w:val="00977324"/>
    <w:rsid w:val="009800DD"/>
    <w:rsid w:val="009803EB"/>
    <w:rsid w:val="00981944"/>
    <w:rsid w:val="009830E3"/>
    <w:rsid w:val="00983851"/>
    <w:rsid w:val="009845A4"/>
    <w:rsid w:val="00990682"/>
    <w:rsid w:val="009916E6"/>
    <w:rsid w:val="00992134"/>
    <w:rsid w:val="0099246B"/>
    <w:rsid w:val="00992D5C"/>
    <w:rsid w:val="0099436F"/>
    <w:rsid w:val="0099500C"/>
    <w:rsid w:val="0099656F"/>
    <w:rsid w:val="00996867"/>
    <w:rsid w:val="00997D30"/>
    <w:rsid w:val="009A07F2"/>
    <w:rsid w:val="009A0D41"/>
    <w:rsid w:val="009A19EA"/>
    <w:rsid w:val="009A20C0"/>
    <w:rsid w:val="009A30B4"/>
    <w:rsid w:val="009A3240"/>
    <w:rsid w:val="009A3B3A"/>
    <w:rsid w:val="009A64C5"/>
    <w:rsid w:val="009A6955"/>
    <w:rsid w:val="009A6F7D"/>
    <w:rsid w:val="009A78E2"/>
    <w:rsid w:val="009B082B"/>
    <w:rsid w:val="009B0BDF"/>
    <w:rsid w:val="009B0C81"/>
    <w:rsid w:val="009B10FA"/>
    <w:rsid w:val="009B21D6"/>
    <w:rsid w:val="009C0D8A"/>
    <w:rsid w:val="009C270A"/>
    <w:rsid w:val="009C3AB1"/>
    <w:rsid w:val="009C47CF"/>
    <w:rsid w:val="009C493F"/>
    <w:rsid w:val="009C4C1B"/>
    <w:rsid w:val="009C4DF0"/>
    <w:rsid w:val="009C68FF"/>
    <w:rsid w:val="009C77BA"/>
    <w:rsid w:val="009C79D8"/>
    <w:rsid w:val="009C7AC1"/>
    <w:rsid w:val="009D0DFF"/>
    <w:rsid w:val="009D46D3"/>
    <w:rsid w:val="009D5252"/>
    <w:rsid w:val="009D5CB9"/>
    <w:rsid w:val="009D6534"/>
    <w:rsid w:val="009D7FA8"/>
    <w:rsid w:val="009E0C5E"/>
    <w:rsid w:val="009E1BB9"/>
    <w:rsid w:val="009E3892"/>
    <w:rsid w:val="009E52D9"/>
    <w:rsid w:val="009E5347"/>
    <w:rsid w:val="009F1199"/>
    <w:rsid w:val="009F15C4"/>
    <w:rsid w:val="009F175F"/>
    <w:rsid w:val="009F2D13"/>
    <w:rsid w:val="009F3186"/>
    <w:rsid w:val="009F5493"/>
    <w:rsid w:val="00A00E58"/>
    <w:rsid w:val="00A011ED"/>
    <w:rsid w:val="00A01A27"/>
    <w:rsid w:val="00A02DA7"/>
    <w:rsid w:val="00A05853"/>
    <w:rsid w:val="00A076B0"/>
    <w:rsid w:val="00A10710"/>
    <w:rsid w:val="00A11D31"/>
    <w:rsid w:val="00A14B2F"/>
    <w:rsid w:val="00A16FD6"/>
    <w:rsid w:val="00A17713"/>
    <w:rsid w:val="00A20C52"/>
    <w:rsid w:val="00A216B3"/>
    <w:rsid w:val="00A21787"/>
    <w:rsid w:val="00A23347"/>
    <w:rsid w:val="00A23622"/>
    <w:rsid w:val="00A236FA"/>
    <w:rsid w:val="00A24738"/>
    <w:rsid w:val="00A270E0"/>
    <w:rsid w:val="00A277DF"/>
    <w:rsid w:val="00A27E6A"/>
    <w:rsid w:val="00A32FE4"/>
    <w:rsid w:val="00A353EA"/>
    <w:rsid w:val="00A35D2F"/>
    <w:rsid w:val="00A364AF"/>
    <w:rsid w:val="00A40669"/>
    <w:rsid w:val="00A446AB"/>
    <w:rsid w:val="00A44B1C"/>
    <w:rsid w:val="00A465AF"/>
    <w:rsid w:val="00A51285"/>
    <w:rsid w:val="00A54745"/>
    <w:rsid w:val="00A55160"/>
    <w:rsid w:val="00A56B27"/>
    <w:rsid w:val="00A57598"/>
    <w:rsid w:val="00A60BB2"/>
    <w:rsid w:val="00A6141F"/>
    <w:rsid w:val="00A628CF"/>
    <w:rsid w:val="00A63363"/>
    <w:rsid w:val="00A63C14"/>
    <w:rsid w:val="00A641FB"/>
    <w:rsid w:val="00A642E0"/>
    <w:rsid w:val="00A65C87"/>
    <w:rsid w:val="00A661D0"/>
    <w:rsid w:val="00A66D66"/>
    <w:rsid w:val="00A71ACD"/>
    <w:rsid w:val="00A71C58"/>
    <w:rsid w:val="00A7295C"/>
    <w:rsid w:val="00A72B50"/>
    <w:rsid w:val="00A735DD"/>
    <w:rsid w:val="00A737B4"/>
    <w:rsid w:val="00A761ED"/>
    <w:rsid w:val="00A766DE"/>
    <w:rsid w:val="00A76F3F"/>
    <w:rsid w:val="00A778CE"/>
    <w:rsid w:val="00A77A0B"/>
    <w:rsid w:val="00A803CD"/>
    <w:rsid w:val="00A814CB"/>
    <w:rsid w:val="00A83747"/>
    <w:rsid w:val="00A839C4"/>
    <w:rsid w:val="00A83B14"/>
    <w:rsid w:val="00A84326"/>
    <w:rsid w:val="00A860D8"/>
    <w:rsid w:val="00A868CE"/>
    <w:rsid w:val="00A871DB"/>
    <w:rsid w:val="00A87BCA"/>
    <w:rsid w:val="00A94D9F"/>
    <w:rsid w:val="00A95B82"/>
    <w:rsid w:val="00A971FE"/>
    <w:rsid w:val="00AA096A"/>
    <w:rsid w:val="00AA0D18"/>
    <w:rsid w:val="00AA154F"/>
    <w:rsid w:val="00AA2779"/>
    <w:rsid w:val="00AA39A4"/>
    <w:rsid w:val="00AA537C"/>
    <w:rsid w:val="00AB2B86"/>
    <w:rsid w:val="00AB3767"/>
    <w:rsid w:val="00AD0A02"/>
    <w:rsid w:val="00AD0A38"/>
    <w:rsid w:val="00AD2FF0"/>
    <w:rsid w:val="00AD384D"/>
    <w:rsid w:val="00AD39A1"/>
    <w:rsid w:val="00AD49CB"/>
    <w:rsid w:val="00AD4F16"/>
    <w:rsid w:val="00AD6343"/>
    <w:rsid w:val="00AD74F2"/>
    <w:rsid w:val="00AE463E"/>
    <w:rsid w:val="00AE486B"/>
    <w:rsid w:val="00AE6831"/>
    <w:rsid w:val="00AE6E01"/>
    <w:rsid w:val="00AE7165"/>
    <w:rsid w:val="00AF2D75"/>
    <w:rsid w:val="00AF475C"/>
    <w:rsid w:val="00AF4A31"/>
    <w:rsid w:val="00AF579E"/>
    <w:rsid w:val="00B018B0"/>
    <w:rsid w:val="00B02BAE"/>
    <w:rsid w:val="00B02E31"/>
    <w:rsid w:val="00B031EE"/>
    <w:rsid w:val="00B043B4"/>
    <w:rsid w:val="00B04D0A"/>
    <w:rsid w:val="00B0667D"/>
    <w:rsid w:val="00B07208"/>
    <w:rsid w:val="00B0787A"/>
    <w:rsid w:val="00B121B8"/>
    <w:rsid w:val="00B125F6"/>
    <w:rsid w:val="00B134A2"/>
    <w:rsid w:val="00B15467"/>
    <w:rsid w:val="00B15F60"/>
    <w:rsid w:val="00B166C9"/>
    <w:rsid w:val="00B17736"/>
    <w:rsid w:val="00B179AB"/>
    <w:rsid w:val="00B17C07"/>
    <w:rsid w:val="00B17E42"/>
    <w:rsid w:val="00B22ADC"/>
    <w:rsid w:val="00B23971"/>
    <w:rsid w:val="00B2494B"/>
    <w:rsid w:val="00B25F22"/>
    <w:rsid w:val="00B272A8"/>
    <w:rsid w:val="00B31570"/>
    <w:rsid w:val="00B33F10"/>
    <w:rsid w:val="00B35C45"/>
    <w:rsid w:val="00B40465"/>
    <w:rsid w:val="00B415BC"/>
    <w:rsid w:val="00B435B0"/>
    <w:rsid w:val="00B4365B"/>
    <w:rsid w:val="00B43D67"/>
    <w:rsid w:val="00B45AA4"/>
    <w:rsid w:val="00B4681B"/>
    <w:rsid w:val="00B47C90"/>
    <w:rsid w:val="00B47DAD"/>
    <w:rsid w:val="00B519F8"/>
    <w:rsid w:val="00B5298E"/>
    <w:rsid w:val="00B5443F"/>
    <w:rsid w:val="00B54E77"/>
    <w:rsid w:val="00B55444"/>
    <w:rsid w:val="00B558FD"/>
    <w:rsid w:val="00B5635C"/>
    <w:rsid w:val="00B64D7D"/>
    <w:rsid w:val="00B6533C"/>
    <w:rsid w:val="00B722CC"/>
    <w:rsid w:val="00B72EBB"/>
    <w:rsid w:val="00B75C59"/>
    <w:rsid w:val="00B76EA5"/>
    <w:rsid w:val="00B80164"/>
    <w:rsid w:val="00B8046E"/>
    <w:rsid w:val="00B82E48"/>
    <w:rsid w:val="00B83237"/>
    <w:rsid w:val="00B84799"/>
    <w:rsid w:val="00B847E9"/>
    <w:rsid w:val="00B852BC"/>
    <w:rsid w:val="00B90FB1"/>
    <w:rsid w:val="00B919DD"/>
    <w:rsid w:val="00B91A19"/>
    <w:rsid w:val="00B92793"/>
    <w:rsid w:val="00B94B58"/>
    <w:rsid w:val="00B95983"/>
    <w:rsid w:val="00B96439"/>
    <w:rsid w:val="00BA06F1"/>
    <w:rsid w:val="00BA1760"/>
    <w:rsid w:val="00BA3B3F"/>
    <w:rsid w:val="00BA3F5D"/>
    <w:rsid w:val="00BA4B6B"/>
    <w:rsid w:val="00BA5272"/>
    <w:rsid w:val="00BA75EC"/>
    <w:rsid w:val="00BB0B54"/>
    <w:rsid w:val="00BB1A5A"/>
    <w:rsid w:val="00BB3757"/>
    <w:rsid w:val="00BB3CBF"/>
    <w:rsid w:val="00BB4400"/>
    <w:rsid w:val="00BB51F0"/>
    <w:rsid w:val="00BB5244"/>
    <w:rsid w:val="00BC0DC3"/>
    <w:rsid w:val="00BC10AA"/>
    <w:rsid w:val="00BC2739"/>
    <w:rsid w:val="00BC73F3"/>
    <w:rsid w:val="00BC76F5"/>
    <w:rsid w:val="00BC7D72"/>
    <w:rsid w:val="00BD04E4"/>
    <w:rsid w:val="00BD09AD"/>
    <w:rsid w:val="00BD3DC5"/>
    <w:rsid w:val="00BD4484"/>
    <w:rsid w:val="00BD4B1B"/>
    <w:rsid w:val="00BD5F0E"/>
    <w:rsid w:val="00BD779E"/>
    <w:rsid w:val="00BD7B76"/>
    <w:rsid w:val="00BE0191"/>
    <w:rsid w:val="00BE14B3"/>
    <w:rsid w:val="00BE2AC9"/>
    <w:rsid w:val="00BE3831"/>
    <w:rsid w:val="00BE3CE5"/>
    <w:rsid w:val="00BE4686"/>
    <w:rsid w:val="00BE5F25"/>
    <w:rsid w:val="00BE6041"/>
    <w:rsid w:val="00BE65B4"/>
    <w:rsid w:val="00BE65EB"/>
    <w:rsid w:val="00BE7139"/>
    <w:rsid w:val="00BE7D26"/>
    <w:rsid w:val="00BF08AD"/>
    <w:rsid w:val="00BF182A"/>
    <w:rsid w:val="00BF2610"/>
    <w:rsid w:val="00BF3681"/>
    <w:rsid w:val="00BF373E"/>
    <w:rsid w:val="00BF49A0"/>
    <w:rsid w:val="00C00939"/>
    <w:rsid w:val="00C02C35"/>
    <w:rsid w:val="00C04F71"/>
    <w:rsid w:val="00C05742"/>
    <w:rsid w:val="00C06FE1"/>
    <w:rsid w:val="00C108C9"/>
    <w:rsid w:val="00C113F0"/>
    <w:rsid w:val="00C117E5"/>
    <w:rsid w:val="00C124DA"/>
    <w:rsid w:val="00C12B4F"/>
    <w:rsid w:val="00C152E9"/>
    <w:rsid w:val="00C16BEF"/>
    <w:rsid w:val="00C171CD"/>
    <w:rsid w:val="00C20B32"/>
    <w:rsid w:val="00C228C0"/>
    <w:rsid w:val="00C23CDD"/>
    <w:rsid w:val="00C24907"/>
    <w:rsid w:val="00C25260"/>
    <w:rsid w:val="00C27F72"/>
    <w:rsid w:val="00C30909"/>
    <w:rsid w:val="00C34077"/>
    <w:rsid w:val="00C341C8"/>
    <w:rsid w:val="00C34A79"/>
    <w:rsid w:val="00C34F2A"/>
    <w:rsid w:val="00C35322"/>
    <w:rsid w:val="00C3751D"/>
    <w:rsid w:val="00C379DC"/>
    <w:rsid w:val="00C37C3C"/>
    <w:rsid w:val="00C41CF6"/>
    <w:rsid w:val="00C429FB"/>
    <w:rsid w:val="00C447D4"/>
    <w:rsid w:val="00C4524A"/>
    <w:rsid w:val="00C45C58"/>
    <w:rsid w:val="00C47757"/>
    <w:rsid w:val="00C509E3"/>
    <w:rsid w:val="00C528F7"/>
    <w:rsid w:val="00C54862"/>
    <w:rsid w:val="00C56FBB"/>
    <w:rsid w:val="00C61EBC"/>
    <w:rsid w:val="00C63FF5"/>
    <w:rsid w:val="00C662A9"/>
    <w:rsid w:val="00C6641F"/>
    <w:rsid w:val="00C6749E"/>
    <w:rsid w:val="00C674D6"/>
    <w:rsid w:val="00C709A3"/>
    <w:rsid w:val="00C713AE"/>
    <w:rsid w:val="00C7347B"/>
    <w:rsid w:val="00C737C9"/>
    <w:rsid w:val="00C7588F"/>
    <w:rsid w:val="00C75D0C"/>
    <w:rsid w:val="00C76CED"/>
    <w:rsid w:val="00C7798C"/>
    <w:rsid w:val="00C77B30"/>
    <w:rsid w:val="00C80754"/>
    <w:rsid w:val="00C81339"/>
    <w:rsid w:val="00C81920"/>
    <w:rsid w:val="00C82BEE"/>
    <w:rsid w:val="00C8422C"/>
    <w:rsid w:val="00C852BD"/>
    <w:rsid w:val="00C854DD"/>
    <w:rsid w:val="00C85E1C"/>
    <w:rsid w:val="00C864CF"/>
    <w:rsid w:val="00C8726B"/>
    <w:rsid w:val="00C9006B"/>
    <w:rsid w:val="00C91A3A"/>
    <w:rsid w:val="00C925F8"/>
    <w:rsid w:val="00C965B9"/>
    <w:rsid w:val="00C97FDE"/>
    <w:rsid w:val="00CA1549"/>
    <w:rsid w:val="00CA24CA"/>
    <w:rsid w:val="00CA2BB7"/>
    <w:rsid w:val="00CA2E05"/>
    <w:rsid w:val="00CA590B"/>
    <w:rsid w:val="00CA613C"/>
    <w:rsid w:val="00CA6F03"/>
    <w:rsid w:val="00CB04E6"/>
    <w:rsid w:val="00CB0904"/>
    <w:rsid w:val="00CB0C2C"/>
    <w:rsid w:val="00CB24F1"/>
    <w:rsid w:val="00CB28AA"/>
    <w:rsid w:val="00CB3C1B"/>
    <w:rsid w:val="00CB443F"/>
    <w:rsid w:val="00CB483E"/>
    <w:rsid w:val="00CB4B21"/>
    <w:rsid w:val="00CB5291"/>
    <w:rsid w:val="00CB5EE7"/>
    <w:rsid w:val="00CB7707"/>
    <w:rsid w:val="00CC203A"/>
    <w:rsid w:val="00CC3386"/>
    <w:rsid w:val="00CC4B0C"/>
    <w:rsid w:val="00CC7D78"/>
    <w:rsid w:val="00CD082F"/>
    <w:rsid w:val="00CD13AC"/>
    <w:rsid w:val="00CD1AAA"/>
    <w:rsid w:val="00CD3F36"/>
    <w:rsid w:val="00CD40BB"/>
    <w:rsid w:val="00CD4776"/>
    <w:rsid w:val="00CD7DDD"/>
    <w:rsid w:val="00CE3D78"/>
    <w:rsid w:val="00CE5DD1"/>
    <w:rsid w:val="00CE77B0"/>
    <w:rsid w:val="00CF31A3"/>
    <w:rsid w:val="00CF495D"/>
    <w:rsid w:val="00CF6250"/>
    <w:rsid w:val="00CF6BF1"/>
    <w:rsid w:val="00CF72E7"/>
    <w:rsid w:val="00D00D9B"/>
    <w:rsid w:val="00D0114A"/>
    <w:rsid w:val="00D01CE3"/>
    <w:rsid w:val="00D02034"/>
    <w:rsid w:val="00D02BDA"/>
    <w:rsid w:val="00D036B9"/>
    <w:rsid w:val="00D03C2D"/>
    <w:rsid w:val="00D03FC1"/>
    <w:rsid w:val="00D04970"/>
    <w:rsid w:val="00D05880"/>
    <w:rsid w:val="00D07FE5"/>
    <w:rsid w:val="00D149FF"/>
    <w:rsid w:val="00D15579"/>
    <w:rsid w:val="00D15ED5"/>
    <w:rsid w:val="00D17D56"/>
    <w:rsid w:val="00D23117"/>
    <w:rsid w:val="00D2346D"/>
    <w:rsid w:val="00D239E9"/>
    <w:rsid w:val="00D24D95"/>
    <w:rsid w:val="00D269D5"/>
    <w:rsid w:val="00D3033F"/>
    <w:rsid w:val="00D309AE"/>
    <w:rsid w:val="00D31084"/>
    <w:rsid w:val="00D3198C"/>
    <w:rsid w:val="00D3356A"/>
    <w:rsid w:val="00D338F7"/>
    <w:rsid w:val="00D33B88"/>
    <w:rsid w:val="00D34A8C"/>
    <w:rsid w:val="00D37D52"/>
    <w:rsid w:val="00D403C9"/>
    <w:rsid w:val="00D4064D"/>
    <w:rsid w:val="00D425B6"/>
    <w:rsid w:val="00D44342"/>
    <w:rsid w:val="00D4498E"/>
    <w:rsid w:val="00D50144"/>
    <w:rsid w:val="00D5044E"/>
    <w:rsid w:val="00D50E73"/>
    <w:rsid w:val="00D53C10"/>
    <w:rsid w:val="00D5554D"/>
    <w:rsid w:val="00D55929"/>
    <w:rsid w:val="00D55DB2"/>
    <w:rsid w:val="00D5698B"/>
    <w:rsid w:val="00D60835"/>
    <w:rsid w:val="00D6274B"/>
    <w:rsid w:val="00D646F3"/>
    <w:rsid w:val="00D66C05"/>
    <w:rsid w:val="00D7129D"/>
    <w:rsid w:val="00D74170"/>
    <w:rsid w:val="00D743B5"/>
    <w:rsid w:val="00D746C0"/>
    <w:rsid w:val="00D74821"/>
    <w:rsid w:val="00D76627"/>
    <w:rsid w:val="00D7666B"/>
    <w:rsid w:val="00D80375"/>
    <w:rsid w:val="00D81103"/>
    <w:rsid w:val="00D83207"/>
    <w:rsid w:val="00D849A2"/>
    <w:rsid w:val="00D85CB4"/>
    <w:rsid w:val="00D8631B"/>
    <w:rsid w:val="00D86DA7"/>
    <w:rsid w:val="00D874DC"/>
    <w:rsid w:val="00D87707"/>
    <w:rsid w:val="00D92708"/>
    <w:rsid w:val="00D9291B"/>
    <w:rsid w:val="00D92976"/>
    <w:rsid w:val="00D92DDD"/>
    <w:rsid w:val="00D949A9"/>
    <w:rsid w:val="00D94F85"/>
    <w:rsid w:val="00D9704B"/>
    <w:rsid w:val="00D977D0"/>
    <w:rsid w:val="00D9797D"/>
    <w:rsid w:val="00DA0FE6"/>
    <w:rsid w:val="00DA1B15"/>
    <w:rsid w:val="00DA3890"/>
    <w:rsid w:val="00DA3CCF"/>
    <w:rsid w:val="00DA5331"/>
    <w:rsid w:val="00DB04DF"/>
    <w:rsid w:val="00DB322D"/>
    <w:rsid w:val="00DB3E6D"/>
    <w:rsid w:val="00DB79A7"/>
    <w:rsid w:val="00DC18A4"/>
    <w:rsid w:val="00DC1A60"/>
    <w:rsid w:val="00DC1D1D"/>
    <w:rsid w:val="00DC3E24"/>
    <w:rsid w:val="00DC43FF"/>
    <w:rsid w:val="00DC4EEE"/>
    <w:rsid w:val="00DC54F6"/>
    <w:rsid w:val="00DC5E6F"/>
    <w:rsid w:val="00DC7301"/>
    <w:rsid w:val="00DC7A71"/>
    <w:rsid w:val="00DD403C"/>
    <w:rsid w:val="00DD5F13"/>
    <w:rsid w:val="00DD6A9E"/>
    <w:rsid w:val="00DD7582"/>
    <w:rsid w:val="00DE0B96"/>
    <w:rsid w:val="00DE1D3E"/>
    <w:rsid w:val="00DE4697"/>
    <w:rsid w:val="00DE50EE"/>
    <w:rsid w:val="00DF0378"/>
    <w:rsid w:val="00DF124F"/>
    <w:rsid w:val="00DF1614"/>
    <w:rsid w:val="00DF1B0D"/>
    <w:rsid w:val="00DF1E14"/>
    <w:rsid w:val="00DF2DCB"/>
    <w:rsid w:val="00DF3158"/>
    <w:rsid w:val="00DF45E6"/>
    <w:rsid w:val="00DF5748"/>
    <w:rsid w:val="00DF6146"/>
    <w:rsid w:val="00E036DB"/>
    <w:rsid w:val="00E04422"/>
    <w:rsid w:val="00E047C0"/>
    <w:rsid w:val="00E12E4A"/>
    <w:rsid w:val="00E13B18"/>
    <w:rsid w:val="00E13BD9"/>
    <w:rsid w:val="00E149FD"/>
    <w:rsid w:val="00E158F3"/>
    <w:rsid w:val="00E20A23"/>
    <w:rsid w:val="00E217B2"/>
    <w:rsid w:val="00E22C69"/>
    <w:rsid w:val="00E26C26"/>
    <w:rsid w:val="00E26C31"/>
    <w:rsid w:val="00E27367"/>
    <w:rsid w:val="00E27743"/>
    <w:rsid w:val="00E320A2"/>
    <w:rsid w:val="00E35745"/>
    <w:rsid w:val="00E36E74"/>
    <w:rsid w:val="00E37250"/>
    <w:rsid w:val="00E37B01"/>
    <w:rsid w:val="00E40ECE"/>
    <w:rsid w:val="00E43333"/>
    <w:rsid w:val="00E43F2B"/>
    <w:rsid w:val="00E51077"/>
    <w:rsid w:val="00E5139F"/>
    <w:rsid w:val="00E53C88"/>
    <w:rsid w:val="00E55E90"/>
    <w:rsid w:val="00E5764E"/>
    <w:rsid w:val="00E57DCE"/>
    <w:rsid w:val="00E57F3D"/>
    <w:rsid w:val="00E619BE"/>
    <w:rsid w:val="00E63F0F"/>
    <w:rsid w:val="00E657F0"/>
    <w:rsid w:val="00E659A4"/>
    <w:rsid w:val="00E66715"/>
    <w:rsid w:val="00E70489"/>
    <w:rsid w:val="00E74BE3"/>
    <w:rsid w:val="00E74ECE"/>
    <w:rsid w:val="00E755F1"/>
    <w:rsid w:val="00E76E03"/>
    <w:rsid w:val="00E85E7F"/>
    <w:rsid w:val="00E878BD"/>
    <w:rsid w:val="00E87987"/>
    <w:rsid w:val="00E87C70"/>
    <w:rsid w:val="00E9199C"/>
    <w:rsid w:val="00E930BE"/>
    <w:rsid w:val="00E94D8C"/>
    <w:rsid w:val="00E9601D"/>
    <w:rsid w:val="00E96095"/>
    <w:rsid w:val="00E96364"/>
    <w:rsid w:val="00E964F2"/>
    <w:rsid w:val="00EA0093"/>
    <w:rsid w:val="00EA1FE9"/>
    <w:rsid w:val="00EA408C"/>
    <w:rsid w:val="00EA47A6"/>
    <w:rsid w:val="00EA4F04"/>
    <w:rsid w:val="00EA4F59"/>
    <w:rsid w:val="00EA5030"/>
    <w:rsid w:val="00EA5BF6"/>
    <w:rsid w:val="00EA6D91"/>
    <w:rsid w:val="00EA7D9C"/>
    <w:rsid w:val="00EA7EBE"/>
    <w:rsid w:val="00EB0060"/>
    <w:rsid w:val="00EB04E2"/>
    <w:rsid w:val="00EB08FB"/>
    <w:rsid w:val="00EB2C0B"/>
    <w:rsid w:val="00EB3E4D"/>
    <w:rsid w:val="00EB4772"/>
    <w:rsid w:val="00EB51D0"/>
    <w:rsid w:val="00EB665B"/>
    <w:rsid w:val="00EB68C3"/>
    <w:rsid w:val="00EC1A25"/>
    <w:rsid w:val="00EC30D5"/>
    <w:rsid w:val="00EC4447"/>
    <w:rsid w:val="00EC4764"/>
    <w:rsid w:val="00EC6D11"/>
    <w:rsid w:val="00EC7238"/>
    <w:rsid w:val="00EC73DE"/>
    <w:rsid w:val="00ED0E97"/>
    <w:rsid w:val="00ED18C8"/>
    <w:rsid w:val="00ED2BCA"/>
    <w:rsid w:val="00ED3043"/>
    <w:rsid w:val="00ED3EB8"/>
    <w:rsid w:val="00ED51CB"/>
    <w:rsid w:val="00ED5D98"/>
    <w:rsid w:val="00ED7B45"/>
    <w:rsid w:val="00ED7C3D"/>
    <w:rsid w:val="00EE095A"/>
    <w:rsid w:val="00EE27CA"/>
    <w:rsid w:val="00EE507E"/>
    <w:rsid w:val="00EE5EC4"/>
    <w:rsid w:val="00EE72F1"/>
    <w:rsid w:val="00EE7CE0"/>
    <w:rsid w:val="00EF144F"/>
    <w:rsid w:val="00EF2D77"/>
    <w:rsid w:val="00EF4320"/>
    <w:rsid w:val="00EF4902"/>
    <w:rsid w:val="00EF4D65"/>
    <w:rsid w:val="00EF4DA3"/>
    <w:rsid w:val="00EF5323"/>
    <w:rsid w:val="00EF59A7"/>
    <w:rsid w:val="00EF622A"/>
    <w:rsid w:val="00EF728F"/>
    <w:rsid w:val="00F00394"/>
    <w:rsid w:val="00F00411"/>
    <w:rsid w:val="00F005AA"/>
    <w:rsid w:val="00F00CA1"/>
    <w:rsid w:val="00F00FEC"/>
    <w:rsid w:val="00F01739"/>
    <w:rsid w:val="00F01774"/>
    <w:rsid w:val="00F02F3A"/>
    <w:rsid w:val="00F030FA"/>
    <w:rsid w:val="00F03183"/>
    <w:rsid w:val="00F03689"/>
    <w:rsid w:val="00F07C4C"/>
    <w:rsid w:val="00F106DE"/>
    <w:rsid w:val="00F11C49"/>
    <w:rsid w:val="00F13F4F"/>
    <w:rsid w:val="00F1420F"/>
    <w:rsid w:val="00F16AA9"/>
    <w:rsid w:val="00F16B2D"/>
    <w:rsid w:val="00F1739D"/>
    <w:rsid w:val="00F2053F"/>
    <w:rsid w:val="00F2193C"/>
    <w:rsid w:val="00F21D50"/>
    <w:rsid w:val="00F23030"/>
    <w:rsid w:val="00F23049"/>
    <w:rsid w:val="00F23A90"/>
    <w:rsid w:val="00F242F5"/>
    <w:rsid w:val="00F2532A"/>
    <w:rsid w:val="00F254BF"/>
    <w:rsid w:val="00F25615"/>
    <w:rsid w:val="00F2655E"/>
    <w:rsid w:val="00F30729"/>
    <w:rsid w:val="00F31C50"/>
    <w:rsid w:val="00F35258"/>
    <w:rsid w:val="00F353C7"/>
    <w:rsid w:val="00F3676A"/>
    <w:rsid w:val="00F3759D"/>
    <w:rsid w:val="00F3774C"/>
    <w:rsid w:val="00F379F9"/>
    <w:rsid w:val="00F41FC0"/>
    <w:rsid w:val="00F440EE"/>
    <w:rsid w:val="00F4544A"/>
    <w:rsid w:val="00F47108"/>
    <w:rsid w:val="00F477E8"/>
    <w:rsid w:val="00F47CFC"/>
    <w:rsid w:val="00F50C10"/>
    <w:rsid w:val="00F51500"/>
    <w:rsid w:val="00F51E22"/>
    <w:rsid w:val="00F521BC"/>
    <w:rsid w:val="00F5361F"/>
    <w:rsid w:val="00F537C9"/>
    <w:rsid w:val="00F55FE0"/>
    <w:rsid w:val="00F56088"/>
    <w:rsid w:val="00F56B87"/>
    <w:rsid w:val="00F56E16"/>
    <w:rsid w:val="00F56EBC"/>
    <w:rsid w:val="00F6022F"/>
    <w:rsid w:val="00F60C5B"/>
    <w:rsid w:val="00F61FD0"/>
    <w:rsid w:val="00F62005"/>
    <w:rsid w:val="00F62067"/>
    <w:rsid w:val="00F62EED"/>
    <w:rsid w:val="00F63E86"/>
    <w:rsid w:val="00F63FF5"/>
    <w:rsid w:val="00F7131D"/>
    <w:rsid w:val="00F71718"/>
    <w:rsid w:val="00F7218F"/>
    <w:rsid w:val="00F742C1"/>
    <w:rsid w:val="00F770A3"/>
    <w:rsid w:val="00F77857"/>
    <w:rsid w:val="00F77AD9"/>
    <w:rsid w:val="00F80614"/>
    <w:rsid w:val="00F82B42"/>
    <w:rsid w:val="00F831FF"/>
    <w:rsid w:val="00F838E1"/>
    <w:rsid w:val="00F83E77"/>
    <w:rsid w:val="00F84096"/>
    <w:rsid w:val="00F85237"/>
    <w:rsid w:val="00F85384"/>
    <w:rsid w:val="00F85CCD"/>
    <w:rsid w:val="00F8691C"/>
    <w:rsid w:val="00F8787C"/>
    <w:rsid w:val="00F87EBD"/>
    <w:rsid w:val="00F90068"/>
    <w:rsid w:val="00F9096C"/>
    <w:rsid w:val="00F93575"/>
    <w:rsid w:val="00FA00A3"/>
    <w:rsid w:val="00FA1026"/>
    <w:rsid w:val="00FA1295"/>
    <w:rsid w:val="00FA1694"/>
    <w:rsid w:val="00FA1E2A"/>
    <w:rsid w:val="00FA28CA"/>
    <w:rsid w:val="00FA3F6D"/>
    <w:rsid w:val="00FB0267"/>
    <w:rsid w:val="00FB048F"/>
    <w:rsid w:val="00FB0E92"/>
    <w:rsid w:val="00FB17F5"/>
    <w:rsid w:val="00FB1D54"/>
    <w:rsid w:val="00FB42CC"/>
    <w:rsid w:val="00FB4ACF"/>
    <w:rsid w:val="00FB4B02"/>
    <w:rsid w:val="00FB6DE0"/>
    <w:rsid w:val="00FC125E"/>
    <w:rsid w:val="00FC1D8B"/>
    <w:rsid w:val="00FC33C1"/>
    <w:rsid w:val="00FC4256"/>
    <w:rsid w:val="00FC51C9"/>
    <w:rsid w:val="00FC6C5D"/>
    <w:rsid w:val="00FC74C0"/>
    <w:rsid w:val="00FD1B51"/>
    <w:rsid w:val="00FD40B4"/>
    <w:rsid w:val="00FD4D3A"/>
    <w:rsid w:val="00FD5DB1"/>
    <w:rsid w:val="00FD65B9"/>
    <w:rsid w:val="00FE1880"/>
    <w:rsid w:val="00FE1D65"/>
    <w:rsid w:val="00FE205B"/>
    <w:rsid w:val="00FE21C7"/>
    <w:rsid w:val="00FE23C8"/>
    <w:rsid w:val="00FE2ACA"/>
    <w:rsid w:val="00FE2E64"/>
    <w:rsid w:val="00FE61BF"/>
    <w:rsid w:val="00FE6E10"/>
    <w:rsid w:val="00FF03FA"/>
    <w:rsid w:val="00FF0DDB"/>
    <w:rsid w:val="00FF1B6A"/>
    <w:rsid w:val="00FF28FD"/>
    <w:rsid w:val="00FF3DFD"/>
    <w:rsid w:val="00FF4CD0"/>
    <w:rsid w:val="00FF52BA"/>
    <w:rsid w:val="00FF6BFF"/>
    <w:rsid w:val="01011432"/>
    <w:rsid w:val="01064C9A"/>
    <w:rsid w:val="01094D29"/>
    <w:rsid w:val="01213882"/>
    <w:rsid w:val="01253372"/>
    <w:rsid w:val="01303AC5"/>
    <w:rsid w:val="01374E54"/>
    <w:rsid w:val="0139423D"/>
    <w:rsid w:val="0147153B"/>
    <w:rsid w:val="014C4DA3"/>
    <w:rsid w:val="015570E6"/>
    <w:rsid w:val="01675C56"/>
    <w:rsid w:val="01695955"/>
    <w:rsid w:val="016C0FA1"/>
    <w:rsid w:val="016C2BF6"/>
    <w:rsid w:val="017B108E"/>
    <w:rsid w:val="01812BD0"/>
    <w:rsid w:val="01826A17"/>
    <w:rsid w:val="01882613"/>
    <w:rsid w:val="018F2EE2"/>
    <w:rsid w:val="019B1886"/>
    <w:rsid w:val="01AA1AC9"/>
    <w:rsid w:val="01AE1649"/>
    <w:rsid w:val="01B14C06"/>
    <w:rsid w:val="01B73C4E"/>
    <w:rsid w:val="01DD1E9F"/>
    <w:rsid w:val="01DF5C17"/>
    <w:rsid w:val="01DF79C5"/>
    <w:rsid w:val="01E943A0"/>
    <w:rsid w:val="01F66ABD"/>
    <w:rsid w:val="01FF3BC3"/>
    <w:rsid w:val="01FF7191"/>
    <w:rsid w:val="02007F2B"/>
    <w:rsid w:val="02025461"/>
    <w:rsid w:val="02072A78"/>
    <w:rsid w:val="020C2385"/>
    <w:rsid w:val="0216715F"/>
    <w:rsid w:val="02240EC5"/>
    <w:rsid w:val="02266CB0"/>
    <w:rsid w:val="022E26FA"/>
    <w:rsid w:val="02313647"/>
    <w:rsid w:val="024102D7"/>
    <w:rsid w:val="02445F5B"/>
    <w:rsid w:val="02453380"/>
    <w:rsid w:val="024737BC"/>
    <w:rsid w:val="02551A35"/>
    <w:rsid w:val="02603985"/>
    <w:rsid w:val="02624152"/>
    <w:rsid w:val="02685C0C"/>
    <w:rsid w:val="027A149C"/>
    <w:rsid w:val="028642E4"/>
    <w:rsid w:val="028751FF"/>
    <w:rsid w:val="02A824AD"/>
    <w:rsid w:val="02B40E52"/>
    <w:rsid w:val="02B726F0"/>
    <w:rsid w:val="02B762A3"/>
    <w:rsid w:val="02BF746D"/>
    <w:rsid w:val="02C1531D"/>
    <w:rsid w:val="02C32E43"/>
    <w:rsid w:val="02C47CF5"/>
    <w:rsid w:val="02D25F9A"/>
    <w:rsid w:val="02DD60D0"/>
    <w:rsid w:val="02DE2C55"/>
    <w:rsid w:val="02E07918"/>
    <w:rsid w:val="02E91610"/>
    <w:rsid w:val="02F720BD"/>
    <w:rsid w:val="0305345B"/>
    <w:rsid w:val="03065425"/>
    <w:rsid w:val="030A11F3"/>
    <w:rsid w:val="030B6598"/>
    <w:rsid w:val="0317318F"/>
    <w:rsid w:val="031E62CB"/>
    <w:rsid w:val="0321400D"/>
    <w:rsid w:val="03272D29"/>
    <w:rsid w:val="0328539C"/>
    <w:rsid w:val="0329529C"/>
    <w:rsid w:val="032B79FA"/>
    <w:rsid w:val="03317B05"/>
    <w:rsid w:val="033E4BBF"/>
    <w:rsid w:val="03487EB0"/>
    <w:rsid w:val="03632993"/>
    <w:rsid w:val="036F5B4A"/>
    <w:rsid w:val="03796841"/>
    <w:rsid w:val="037979A5"/>
    <w:rsid w:val="037C7496"/>
    <w:rsid w:val="03836A76"/>
    <w:rsid w:val="038720C2"/>
    <w:rsid w:val="038D51FF"/>
    <w:rsid w:val="039504BE"/>
    <w:rsid w:val="03962305"/>
    <w:rsid w:val="039667A9"/>
    <w:rsid w:val="039E11BA"/>
    <w:rsid w:val="03A23C50"/>
    <w:rsid w:val="03B92498"/>
    <w:rsid w:val="03BE360A"/>
    <w:rsid w:val="03C46DB3"/>
    <w:rsid w:val="03D47663"/>
    <w:rsid w:val="03D746CC"/>
    <w:rsid w:val="03D96696"/>
    <w:rsid w:val="03E37F54"/>
    <w:rsid w:val="03E42E9A"/>
    <w:rsid w:val="03EC0177"/>
    <w:rsid w:val="03F018C4"/>
    <w:rsid w:val="03F17514"/>
    <w:rsid w:val="04043713"/>
    <w:rsid w:val="0405280F"/>
    <w:rsid w:val="04137DFA"/>
    <w:rsid w:val="041871BE"/>
    <w:rsid w:val="041A1188"/>
    <w:rsid w:val="041F679F"/>
    <w:rsid w:val="042A6EF2"/>
    <w:rsid w:val="043D5579"/>
    <w:rsid w:val="044B34E3"/>
    <w:rsid w:val="044D6514"/>
    <w:rsid w:val="04575F38"/>
    <w:rsid w:val="045B70AB"/>
    <w:rsid w:val="045D2E23"/>
    <w:rsid w:val="045F6B9B"/>
    <w:rsid w:val="046202C4"/>
    <w:rsid w:val="04681240"/>
    <w:rsid w:val="046873CE"/>
    <w:rsid w:val="04714380"/>
    <w:rsid w:val="04714B20"/>
    <w:rsid w:val="047B14FB"/>
    <w:rsid w:val="047B492E"/>
    <w:rsid w:val="04837BF7"/>
    <w:rsid w:val="048B5BE2"/>
    <w:rsid w:val="048D72E4"/>
    <w:rsid w:val="049B71E8"/>
    <w:rsid w:val="049D3B67"/>
    <w:rsid w:val="04A24CDA"/>
    <w:rsid w:val="04BC3FEE"/>
    <w:rsid w:val="04C42EA2"/>
    <w:rsid w:val="04DA4BA7"/>
    <w:rsid w:val="04DF1A8A"/>
    <w:rsid w:val="04E04265"/>
    <w:rsid w:val="04E46A45"/>
    <w:rsid w:val="04F25C61"/>
    <w:rsid w:val="04F419D9"/>
    <w:rsid w:val="05080FE1"/>
    <w:rsid w:val="05123C0E"/>
    <w:rsid w:val="05151950"/>
    <w:rsid w:val="051E0804"/>
    <w:rsid w:val="051E6A56"/>
    <w:rsid w:val="051F632A"/>
    <w:rsid w:val="05263B5D"/>
    <w:rsid w:val="05290F57"/>
    <w:rsid w:val="054162A1"/>
    <w:rsid w:val="0549357E"/>
    <w:rsid w:val="054C5B85"/>
    <w:rsid w:val="05526700"/>
    <w:rsid w:val="05592B09"/>
    <w:rsid w:val="055B3806"/>
    <w:rsid w:val="055C7D73"/>
    <w:rsid w:val="055E32F7"/>
    <w:rsid w:val="05614B95"/>
    <w:rsid w:val="056A3A4A"/>
    <w:rsid w:val="056F1060"/>
    <w:rsid w:val="057523EE"/>
    <w:rsid w:val="058C1C12"/>
    <w:rsid w:val="05926700"/>
    <w:rsid w:val="05AA2098"/>
    <w:rsid w:val="05C173E2"/>
    <w:rsid w:val="05C70E9C"/>
    <w:rsid w:val="05C76455"/>
    <w:rsid w:val="05CA44E8"/>
    <w:rsid w:val="05D84E57"/>
    <w:rsid w:val="05DC3679"/>
    <w:rsid w:val="05DD06BF"/>
    <w:rsid w:val="05E01F5E"/>
    <w:rsid w:val="060519C4"/>
    <w:rsid w:val="060C2D53"/>
    <w:rsid w:val="060D0156"/>
    <w:rsid w:val="061271C5"/>
    <w:rsid w:val="06141C07"/>
    <w:rsid w:val="0614316D"/>
    <w:rsid w:val="061B11E8"/>
    <w:rsid w:val="0622640F"/>
    <w:rsid w:val="063302DF"/>
    <w:rsid w:val="063522A9"/>
    <w:rsid w:val="063F4ED6"/>
    <w:rsid w:val="06450847"/>
    <w:rsid w:val="06514C09"/>
    <w:rsid w:val="06712BB6"/>
    <w:rsid w:val="06782196"/>
    <w:rsid w:val="06787951"/>
    <w:rsid w:val="06815892"/>
    <w:rsid w:val="06824DC3"/>
    <w:rsid w:val="068648B3"/>
    <w:rsid w:val="06897EFF"/>
    <w:rsid w:val="068B7C0B"/>
    <w:rsid w:val="0694228E"/>
    <w:rsid w:val="069845E6"/>
    <w:rsid w:val="06A149E4"/>
    <w:rsid w:val="06AC1CDB"/>
    <w:rsid w:val="06B50CF4"/>
    <w:rsid w:val="06B86675"/>
    <w:rsid w:val="06BC6527"/>
    <w:rsid w:val="06BF7DC5"/>
    <w:rsid w:val="06C74ECC"/>
    <w:rsid w:val="06CA7C4D"/>
    <w:rsid w:val="06CD24E2"/>
    <w:rsid w:val="06D16194"/>
    <w:rsid w:val="06D7510F"/>
    <w:rsid w:val="06EA1D6F"/>
    <w:rsid w:val="06F7130D"/>
    <w:rsid w:val="07031735"/>
    <w:rsid w:val="07077D65"/>
    <w:rsid w:val="070F56F9"/>
    <w:rsid w:val="07183FBD"/>
    <w:rsid w:val="07195727"/>
    <w:rsid w:val="071F685B"/>
    <w:rsid w:val="0728596A"/>
    <w:rsid w:val="072A7934"/>
    <w:rsid w:val="0730481F"/>
    <w:rsid w:val="073A744C"/>
    <w:rsid w:val="074278B5"/>
    <w:rsid w:val="07464042"/>
    <w:rsid w:val="074B1659"/>
    <w:rsid w:val="075514AC"/>
    <w:rsid w:val="077741FC"/>
    <w:rsid w:val="07797F74"/>
    <w:rsid w:val="077D51BA"/>
    <w:rsid w:val="077E558A"/>
    <w:rsid w:val="07894D94"/>
    <w:rsid w:val="078D72D2"/>
    <w:rsid w:val="07A1396F"/>
    <w:rsid w:val="07A1571D"/>
    <w:rsid w:val="07AA2823"/>
    <w:rsid w:val="07AD2313"/>
    <w:rsid w:val="07B43BCE"/>
    <w:rsid w:val="07B635D8"/>
    <w:rsid w:val="07BA233A"/>
    <w:rsid w:val="07C05BA3"/>
    <w:rsid w:val="07C0729B"/>
    <w:rsid w:val="07CE0EBD"/>
    <w:rsid w:val="07D45829"/>
    <w:rsid w:val="07D57174"/>
    <w:rsid w:val="07DE36ED"/>
    <w:rsid w:val="07E55609"/>
    <w:rsid w:val="07E775D3"/>
    <w:rsid w:val="07EF6488"/>
    <w:rsid w:val="07F3673F"/>
    <w:rsid w:val="07F6403D"/>
    <w:rsid w:val="07FB307F"/>
    <w:rsid w:val="07FC1AEC"/>
    <w:rsid w:val="080737D2"/>
    <w:rsid w:val="08122176"/>
    <w:rsid w:val="08145EEF"/>
    <w:rsid w:val="08220DAD"/>
    <w:rsid w:val="082B0571"/>
    <w:rsid w:val="083B1575"/>
    <w:rsid w:val="084762C4"/>
    <w:rsid w:val="084A7B62"/>
    <w:rsid w:val="08514A4D"/>
    <w:rsid w:val="085525B3"/>
    <w:rsid w:val="086A3D60"/>
    <w:rsid w:val="086C210C"/>
    <w:rsid w:val="087B5F6E"/>
    <w:rsid w:val="0889068B"/>
    <w:rsid w:val="089D0152"/>
    <w:rsid w:val="08A37526"/>
    <w:rsid w:val="08A96FD2"/>
    <w:rsid w:val="08AE00F1"/>
    <w:rsid w:val="08B1373D"/>
    <w:rsid w:val="08B33959"/>
    <w:rsid w:val="08C43471"/>
    <w:rsid w:val="08C473DE"/>
    <w:rsid w:val="08D538D0"/>
    <w:rsid w:val="08D613F6"/>
    <w:rsid w:val="08E21B49"/>
    <w:rsid w:val="08E36F76"/>
    <w:rsid w:val="08E7428A"/>
    <w:rsid w:val="08EC29C7"/>
    <w:rsid w:val="08FA6812"/>
    <w:rsid w:val="08FE0E83"/>
    <w:rsid w:val="090917CB"/>
    <w:rsid w:val="090B72F2"/>
    <w:rsid w:val="090C060C"/>
    <w:rsid w:val="09175C96"/>
    <w:rsid w:val="092263E9"/>
    <w:rsid w:val="09242161"/>
    <w:rsid w:val="093D3B2C"/>
    <w:rsid w:val="0970184A"/>
    <w:rsid w:val="097053A7"/>
    <w:rsid w:val="09756E61"/>
    <w:rsid w:val="097F55EA"/>
    <w:rsid w:val="098175B4"/>
    <w:rsid w:val="098248CD"/>
    <w:rsid w:val="09850426"/>
    <w:rsid w:val="098A46BA"/>
    <w:rsid w:val="098F2B9C"/>
    <w:rsid w:val="099077F7"/>
    <w:rsid w:val="0996794B"/>
    <w:rsid w:val="099D3F60"/>
    <w:rsid w:val="09AA4D5C"/>
    <w:rsid w:val="09AB4631"/>
    <w:rsid w:val="09AF4121"/>
    <w:rsid w:val="09B2776D"/>
    <w:rsid w:val="09BC683E"/>
    <w:rsid w:val="09D122E9"/>
    <w:rsid w:val="09D45935"/>
    <w:rsid w:val="09D826CE"/>
    <w:rsid w:val="09EF5A28"/>
    <w:rsid w:val="09F23BC2"/>
    <w:rsid w:val="09F558AC"/>
    <w:rsid w:val="09FB1114"/>
    <w:rsid w:val="09FE0C04"/>
    <w:rsid w:val="0A015976"/>
    <w:rsid w:val="0A0B0ECC"/>
    <w:rsid w:val="0A0C1573"/>
    <w:rsid w:val="0A0F10E8"/>
    <w:rsid w:val="0A12645E"/>
    <w:rsid w:val="0A1E3055"/>
    <w:rsid w:val="0A232419"/>
    <w:rsid w:val="0A280EDB"/>
    <w:rsid w:val="0A2A7C4B"/>
    <w:rsid w:val="0A2C5771"/>
    <w:rsid w:val="0A375EC4"/>
    <w:rsid w:val="0A3E7253"/>
    <w:rsid w:val="0A3F5610"/>
    <w:rsid w:val="0A432ABB"/>
    <w:rsid w:val="0A434241"/>
    <w:rsid w:val="0A481E7F"/>
    <w:rsid w:val="0A4C7BC2"/>
    <w:rsid w:val="0A5139AF"/>
    <w:rsid w:val="0A540824"/>
    <w:rsid w:val="0A5645F3"/>
    <w:rsid w:val="0A5B4EC9"/>
    <w:rsid w:val="0A64315D"/>
    <w:rsid w:val="0A6B73BC"/>
    <w:rsid w:val="0A8E1F88"/>
    <w:rsid w:val="0A960E3D"/>
    <w:rsid w:val="0AB2725C"/>
    <w:rsid w:val="0AB539B9"/>
    <w:rsid w:val="0AC260D6"/>
    <w:rsid w:val="0AD025A1"/>
    <w:rsid w:val="0AD100C7"/>
    <w:rsid w:val="0AD33E3F"/>
    <w:rsid w:val="0AD976F9"/>
    <w:rsid w:val="0AE467A1"/>
    <w:rsid w:val="0AEF054D"/>
    <w:rsid w:val="0AF0571B"/>
    <w:rsid w:val="0AFA5870"/>
    <w:rsid w:val="0B1A15D9"/>
    <w:rsid w:val="0B1C57E6"/>
    <w:rsid w:val="0B1D330C"/>
    <w:rsid w:val="0B1D50BA"/>
    <w:rsid w:val="0B224DC6"/>
    <w:rsid w:val="0B2621C1"/>
    <w:rsid w:val="0B2C17A1"/>
    <w:rsid w:val="0B354AFA"/>
    <w:rsid w:val="0B372620"/>
    <w:rsid w:val="0B381EF4"/>
    <w:rsid w:val="0B3B3792"/>
    <w:rsid w:val="0B401F84"/>
    <w:rsid w:val="0B4B60CB"/>
    <w:rsid w:val="0B4D19FD"/>
    <w:rsid w:val="0B52745A"/>
    <w:rsid w:val="0B536D2E"/>
    <w:rsid w:val="0B595B83"/>
    <w:rsid w:val="0B5F3925"/>
    <w:rsid w:val="0B5F3B76"/>
    <w:rsid w:val="0B61144B"/>
    <w:rsid w:val="0B633415"/>
    <w:rsid w:val="0B7218AA"/>
    <w:rsid w:val="0B723658"/>
    <w:rsid w:val="0B772A1C"/>
    <w:rsid w:val="0B7D1FFD"/>
    <w:rsid w:val="0B8119AE"/>
    <w:rsid w:val="0B84338B"/>
    <w:rsid w:val="0B8909A2"/>
    <w:rsid w:val="0B967CED"/>
    <w:rsid w:val="0B980BE5"/>
    <w:rsid w:val="0B9A670B"/>
    <w:rsid w:val="0B9C2483"/>
    <w:rsid w:val="0B9F6417"/>
    <w:rsid w:val="0BA20793"/>
    <w:rsid w:val="0BA472A0"/>
    <w:rsid w:val="0BAB4DBC"/>
    <w:rsid w:val="0BAE0408"/>
    <w:rsid w:val="0BBA4FFF"/>
    <w:rsid w:val="0BC55E7E"/>
    <w:rsid w:val="0BD25EA5"/>
    <w:rsid w:val="0BEC5BDC"/>
    <w:rsid w:val="0BEF2EFA"/>
    <w:rsid w:val="0BF36A19"/>
    <w:rsid w:val="0C0358C8"/>
    <w:rsid w:val="0C0544CC"/>
    <w:rsid w:val="0C0C5502"/>
    <w:rsid w:val="0C123C69"/>
    <w:rsid w:val="0C281F69"/>
    <w:rsid w:val="0C3A39BF"/>
    <w:rsid w:val="0C3B6140"/>
    <w:rsid w:val="0C403756"/>
    <w:rsid w:val="0C4360FE"/>
    <w:rsid w:val="0C464E95"/>
    <w:rsid w:val="0C607954"/>
    <w:rsid w:val="0C654F6B"/>
    <w:rsid w:val="0C6F1945"/>
    <w:rsid w:val="0C732416"/>
    <w:rsid w:val="0C7336ED"/>
    <w:rsid w:val="0C7B478E"/>
    <w:rsid w:val="0C811679"/>
    <w:rsid w:val="0C8530E6"/>
    <w:rsid w:val="0C880C59"/>
    <w:rsid w:val="0C992E66"/>
    <w:rsid w:val="0C9C3500"/>
    <w:rsid w:val="0C9E0066"/>
    <w:rsid w:val="0CA57A5D"/>
    <w:rsid w:val="0CA86033"/>
    <w:rsid w:val="0CB8153E"/>
    <w:rsid w:val="0CB93232"/>
    <w:rsid w:val="0CC51EAD"/>
    <w:rsid w:val="0CCC510A"/>
    <w:rsid w:val="0CD45C4C"/>
    <w:rsid w:val="0CD60E40"/>
    <w:rsid w:val="0CD7348F"/>
    <w:rsid w:val="0CDA7707"/>
    <w:rsid w:val="0CE2480D"/>
    <w:rsid w:val="0CE53A6F"/>
    <w:rsid w:val="0CEE4F60"/>
    <w:rsid w:val="0CF14A50"/>
    <w:rsid w:val="0CF21E70"/>
    <w:rsid w:val="0CFA1B57"/>
    <w:rsid w:val="0CFD51A3"/>
    <w:rsid w:val="0D1A5D55"/>
    <w:rsid w:val="0D1B0D11"/>
    <w:rsid w:val="0D1F3589"/>
    <w:rsid w:val="0D2440BE"/>
    <w:rsid w:val="0D26294C"/>
    <w:rsid w:val="0D2B2899"/>
    <w:rsid w:val="0D30650C"/>
    <w:rsid w:val="0D3112F1"/>
    <w:rsid w:val="0D3861DB"/>
    <w:rsid w:val="0D3D1A44"/>
    <w:rsid w:val="0D4340F4"/>
    <w:rsid w:val="0D444B80"/>
    <w:rsid w:val="0D4903E8"/>
    <w:rsid w:val="0D49488C"/>
    <w:rsid w:val="0D556D8D"/>
    <w:rsid w:val="0D5F19BA"/>
    <w:rsid w:val="0D605732"/>
    <w:rsid w:val="0D613984"/>
    <w:rsid w:val="0D6D0A77"/>
    <w:rsid w:val="0D7A7818"/>
    <w:rsid w:val="0D7D417C"/>
    <w:rsid w:val="0D826312"/>
    <w:rsid w:val="0D837D9E"/>
    <w:rsid w:val="0D8633EB"/>
    <w:rsid w:val="0D863F7F"/>
    <w:rsid w:val="0D892EDB"/>
    <w:rsid w:val="0D913B3D"/>
    <w:rsid w:val="0D9553DC"/>
    <w:rsid w:val="0D9C49BC"/>
    <w:rsid w:val="0DA27AF9"/>
    <w:rsid w:val="0DA70991"/>
    <w:rsid w:val="0DA815B3"/>
    <w:rsid w:val="0DB00467"/>
    <w:rsid w:val="0DB77A48"/>
    <w:rsid w:val="0DBE0DD6"/>
    <w:rsid w:val="0DC12218"/>
    <w:rsid w:val="0DC363ED"/>
    <w:rsid w:val="0DD47E0A"/>
    <w:rsid w:val="0DFC18FF"/>
    <w:rsid w:val="0E002C49"/>
    <w:rsid w:val="0E0A234B"/>
    <w:rsid w:val="0E15651D"/>
    <w:rsid w:val="0E172295"/>
    <w:rsid w:val="0E236E8B"/>
    <w:rsid w:val="0E26072A"/>
    <w:rsid w:val="0E2766B1"/>
    <w:rsid w:val="0E4050B2"/>
    <w:rsid w:val="0E4137B5"/>
    <w:rsid w:val="0E427F39"/>
    <w:rsid w:val="0E5E4367"/>
    <w:rsid w:val="0E6172C8"/>
    <w:rsid w:val="0E63197E"/>
    <w:rsid w:val="0E6666D4"/>
    <w:rsid w:val="0E6A2D0C"/>
    <w:rsid w:val="0E6B25E0"/>
    <w:rsid w:val="0E76345F"/>
    <w:rsid w:val="0E7D2A40"/>
    <w:rsid w:val="0E7F4AFC"/>
    <w:rsid w:val="0E884F40"/>
    <w:rsid w:val="0EA0228A"/>
    <w:rsid w:val="0EA0672E"/>
    <w:rsid w:val="0EA55AF2"/>
    <w:rsid w:val="0EAD2BF9"/>
    <w:rsid w:val="0EB36B78"/>
    <w:rsid w:val="0EB421D9"/>
    <w:rsid w:val="0EB43F87"/>
    <w:rsid w:val="0EBC2A42"/>
    <w:rsid w:val="0ECA7307"/>
    <w:rsid w:val="0ED168E7"/>
    <w:rsid w:val="0ED82521"/>
    <w:rsid w:val="0EDF467E"/>
    <w:rsid w:val="0EE228A3"/>
    <w:rsid w:val="0EF05C4B"/>
    <w:rsid w:val="0EF10D38"/>
    <w:rsid w:val="0EF12AE6"/>
    <w:rsid w:val="0EFC26D1"/>
    <w:rsid w:val="0F0547E3"/>
    <w:rsid w:val="0F0F7410"/>
    <w:rsid w:val="0F135152"/>
    <w:rsid w:val="0F1B4006"/>
    <w:rsid w:val="0F2F360E"/>
    <w:rsid w:val="0F3155D8"/>
    <w:rsid w:val="0F317386"/>
    <w:rsid w:val="0F3F1AA3"/>
    <w:rsid w:val="0F421593"/>
    <w:rsid w:val="0F557518"/>
    <w:rsid w:val="0F5B2655"/>
    <w:rsid w:val="0F5C3D8C"/>
    <w:rsid w:val="0F5F3EF3"/>
    <w:rsid w:val="0F602E66"/>
    <w:rsid w:val="0F672DA8"/>
    <w:rsid w:val="0F696B20"/>
    <w:rsid w:val="0F6A2898"/>
    <w:rsid w:val="0F805648"/>
    <w:rsid w:val="0F87344A"/>
    <w:rsid w:val="0F891FFF"/>
    <w:rsid w:val="0F8B4CE8"/>
    <w:rsid w:val="0F96368D"/>
    <w:rsid w:val="0F997572"/>
    <w:rsid w:val="0FBA5F39"/>
    <w:rsid w:val="0FBC30F4"/>
    <w:rsid w:val="0FC14BAE"/>
    <w:rsid w:val="0FCD5301"/>
    <w:rsid w:val="0FCD552D"/>
    <w:rsid w:val="0FCE2E27"/>
    <w:rsid w:val="0FD23D30"/>
    <w:rsid w:val="0FD3668F"/>
    <w:rsid w:val="0FDA7A1E"/>
    <w:rsid w:val="0FE35E19"/>
    <w:rsid w:val="0FE73EE9"/>
    <w:rsid w:val="1010343F"/>
    <w:rsid w:val="1017657C"/>
    <w:rsid w:val="101A711A"/>
    <w:rsid w:val="102B41B1"/>
    <w:rsid w:val="1041184B"/>
    <w:rsid w:val="104A4BA3"/>
    <w:rsid w:val="1057106E"/>
    <w:rsid w:val="105E064F"/>
    <w:rsid w:val="106F0D27"/>
    <w:rsid w:val="10705E54"/>
    <w:rsid w:val="10727C56"/>
    <w:rsid w:val="10771710"/>
    <w:rsid w:val="107B4206"/>
    <w:rsid w:val="1080089B"/>
    <w:rsid w:val="10814943"/>
    <w:rsid w:val="108A31F2"/>
    <w:rsid w:val="108B5E2B"/>
    <w:rsid w:val="10907EC0"/>
    <w:rsid w:val="10914580"/>
    <w:rsid w:val="10945E1E"/>
    <w:rsid w:val="109E0770"/>
    <w:rsid w:val="10C1473A"/>
    <w:rsid w:val="10C55FD8"/>
    <w:rsid w:val="10C77FA2"/>
    <w:rsid w:val="10CE6264"/>
    <w:rsid w:val="10D217DF"/>
    <w:rsid w:val="10D601E5"/>
    <w:rsid w:val="10D60AFB"/>
    <w:rsid w:val="10E36DA6"/>
    <w:rsid w:val="10E4453C"/>
    <w:rsid w:val="10E85689"/>
    <w:rsid w:val="10EB19A6"/>
    <w:rsid w:val="10EF12A7"/>
    <w:rsid w:val="10F40568"/>
    <w:rsid w:val="10F4154D"/>
    <w:rsid w:val="10F468BD"/>
    <w:rsid w:val="10F62635"/>
    <w:rsid w:val="10FB5E9E"/>
    <w:rsid w:val="11011C76"/>
    <w:rsid w:val="11072A94"/>
    <w:rsid w:val="11160F29"/>
    <w:rsid w:val="11171912"/>
    <w:rsid w:val="11203B56"/>
    <w:rsid w:val="112278CE"/>
    <w:rsid w:val="11276C93"/>
    <w:rsid w:val="112A22DF"/>
    <w:rsid w:val="1138470C"/>
    <w:rsid w:val="11401D0B"/>
    <w:rsid w:val="114F1D45"/>
    <w:rsid w:val="115309BB"/>
    <w:rsid w:val="11531CE1"/>
    <w:rsid w:val="115E0079"/>
    <w:rsid w:val="115F14ED"/>
    <w:rsid w:val="11621A79"/>
    <w:rsid w:val="116758D8"/>
    <w:rsid w:val="116A6B7F"/>
    <w:rsid w:val="116C6D9B"/>
    <w:rsid w:val="1173012A"/>
    <w:rsid w:val="11731ED8"/>
    <w:rsid w:val="117417AC"/>
    <w:rsid w:val="1175763F"/>
    <w:rsid w:val="117B0D8C"/>
    <w:rsid w:val="117F6ACF"/>
    <w:rsid w:val="118155B2"/>
    <w:rsid w:val="118B5473"/>
    <w:rsid w:val="118C4BD8"/>
    <w:rsid w:val="118F5426"/>
    <w:rsid w:val="11995D1F"/>
    <w:rsid w:val="11A2456B"/>
    <w:rsid w:val="11AB1672"/>
    <w:rsid w:val="11B276DC"/>
    <w:rsid w:val="11B62E9E"/>
    <w:rsid w:val="11C07F30"/>
    <w:rsid w:val="11CB3AC2"/>
    <w:rsid w:val="11CC783A"/>
    <w:rsid w:val="11CF51B5"/>
    <w:rsid w:val="11E76422"/>
    <w:rsid w:val="11EE5A02"/>
    <w:rsid w:val="11FA7F03"/>
    <w:rsid w:val="1202500A"/>
    <w:rsid w:val="12042B30"/>
    <w:rsid w:val="121A67F7"/>
    <w:rsid w:val="121A6FEE"/>
    <w:rsid w:val="121F2D08"/>
    <w:rsid w:val="122B630F"/>
    <w:rsid w:val="122D2087"/>
    <w:rsid w:val="123258EF"/>
    <w:rsid w:val="12344D54"/>
    <w:rsid w:val="12346837"/>
    <w:rsid w:val="123553DF"/>
    <w:rsid w:val="12384967"/>
    <w:rsid w:val="12477C5B"/>
    <w:rsid w:val="12483364"/>
    <w:rsid w:val="124B075F"/>
    <w:rsid w:val="12551EFE"/>
    <w:rsid w:val="1255782F"/>
    <w:rsid w:val="125A3873"/>
    <w:rsid w:val="125C471A"/>
    <w:rsid w:val="126161D4"/>
    <w:rsid w:val="126902C0"/>
    <w:rsid w:val="12695089"/>
    <w:rsid w:val="126B4115"/>
    <w:rsid w:val="126E2D03"/>
    <w:rsid w:val="12744159"/>
    <w:rsid w:val="127754F6"/>
    <w:rsid w:val="12786073"/>
    <w:rsid w:val="127E28E2"/>
    <w:rsid w:val="129739A4"/>
    <w:rsid w:val="129E336B"/>
    <w:rsid w:val="12AA4E95"/>
    <w:rsid w:val="12AD766B"/>
    <w:rsid w:val="12B02CB8"/>
    <w:rsid w:val="12B43F1D"/>
    <w:rsid w:val="12B72298"/>
    <w:rsid w:val="12C0114D"/>
    <w:rsid w:val="12C0739F"/>
    <w:rsid w:val="12C52545"/>
    <w:rsid w:val="12CD1ABC"/>
    <w:rsid w:val="12CF35A1"/>
    <w:rsid w:val="12E017EF"/>
    <w:rsid w:val="12ED1816"/>
    <w:rsid w:val="13023513"/>
    <w:rsid w:val="13180F89"/>
    <w:rsid w:val="132564F0"/>
    <w:rsid w:val="132F3BA9"/>
    <w:rsid w:val="1331204B"/>
    <w:rsid w:val="13390EFF"/>
    <w:rsid w:val="133B07D3"/>
    <w:rsid w:val="13405DEA"/>
    <w:rsid w:val="134358DA"/>
    <w:rsid w:val="13491142"/>
    <w:rsid w:val="134A0A16"/>
    <w:rsid w:val="13531204"/>
    <w:rsid w:val="1360023A"/>
    <w:rsid w:val="136715C8"/>
    <w:rsid w:val="136A524D"/>
    <w:rsid w:val="137D2B9A"/>
    <w:rsid w:val="138E7181"/>
    <w:rsid w:val="138F28CD"/>
    <w:rsid w:val="13912AE9"/>
    <w:rsid w:val="13916645"/>
    <w:rsid w:val="13963C5C"/>
    <w:rsid w:val="139F2B28"/>
    <w:rsid w:val="13AB3BAB"/>
    <w:rsid w:val="13CB7DA9"/>
    <w:rsid w:val="13D50C28"/>
    <w:rsid w:val="13E240A5"/>
    <w:rsid w:val="13EA4DDE"/>
    <w:rsid w:val="13EB044B"/>
    <w:rsid w:val="13F56BD4"/>
    <w:rsid w:val="13F76DF0"/>
    <w:rsid w:val="13FB6FA3"/>
    <w:rsid w:val="1404150D"/>
    <w:rsid w:val="140B464A"/>
    <w:rsid w:val="141A0400"/>
    <w:rsid w:val="142B51F0"/>
    <w:rsid w:val="142C45C0"/>
    <w:rsid w:val="14364B2C"/>
    <w:rsid w:val="144025B4"/>
    <w:rsid w:val="144933C4"/>
    <w:rsid w:val="144B2C98"/>
    <w:rsid w:val="144B713C"/>
    <w:rsid w:val="144F6DE0"/>
    <w:rsid w:val="14522278"/>
    <w:rsid w:val="1457163D"/>
    <w:rsid w:val="146124BC"/>
    <w:rsid w:val="1465710F"/>
    <w:rsid w:val="14681948"/>
    <w:rsid w:val="146D7FB2"/>
    <w:rsid w:val="146E785A"/>
    <w:rsid w:val="147026FF"/>
    <w:rsid w:val="14771CDF"/>
    <w:rsid w:val="147817D6"/>
    <w:rsid w:val="14853268"/>
    <w:rsid w:val="14882BC9"/>
    <w:rsid w:val="14885C9A"/>
    <w:rsid w:val="14AA66AD"/>
    <w:rsid w:val="14AF11DA"/>
    <w:rsid w:val="14AF1479"/>
    <w:rsid w:val="14B7281E"/>
    <w:rsid w:val="14CF1FF5"/>
    <w:rsid w:val="14D00800"/>
    <w:rsid w:val="14D47131"/>
    <w:rsid w:val="14D6355B"/>
    <w:rsid w:val="14E54E9B"/>
    <w:rsid w:val="14E629C1"/>
    <w:rsid w:val="14F615A9"/>
    <w:rsid w:val="14F61D8B"/>
    <w:rsid w:val="15121A08"/>
    <w:rsid w:val="151B08BC"/>
    <w:rsid w:val="151B4D60"/>
    <w:rsid w:val="151D519D"/>
    <w:rsid w:val="15267261"/>
    <w:rsid w:val="152C35F8"/>
    <w:rsid w:val="15400323"/>
    <w:rsid w:val="15480B65"/>
    <w:rsid w:val="154C3B6B"/>
    <w:rsid w:val="154F4A0A"/>
    <w:rsid w:val="1562081C"/>
    <w:rsid w:val="156D4E90"/>
    <w:rsid w:val="157224A6"/>
    <w:rsid w:val="15783F61"/>
    <w:rsid w:val="15806971"/>
    <w:rsid w:val="15877243"/>
    <w:rsid w:val="158A3C94"/>
    <w:rsid w:val="158F12AA"/>
    <w:rsid w:val="15943841"/>
    <w:rsid w:val="159C3429"/>
    <w:rsid w:val="15A07014"/>
    <w:rsid w:val="15A14C47"/>
    <w:rsid w:val="15A474B0"/>
    <w:rsid w:val="15AD32BE"/>
    <w:rsid w:val="15BC2C96"/>
    <w:rsid w:val="15CD61F7"/>
    <w:rsid w:val="15ED4AE2"/>
    <w:rsid w:val="15EE4223"/>
    <w:rsid w:val="15F01D49"/>
    <w:rsid w:val="15F13D38"/>
    <w:rsid w:val="15F31839"/>
    <w:rsid w:val="15F630D7"/>
    <w:rsid w:val="15FA6724"/>
    <w:rsid w:val="15FE270B"/>
    <w:rsid w:val="15FF1F8C"/>
    <w:rsid w:val="16024413"/>
    <w:rsid w:val="16041350"/>
    <w:rsid w:val="16077093"/>
    <w:rsid w:val="16084AA3"/>
    <w:rsid w:val="161054D3"/>
    <w:rsid w:val="163065E9"/>
    <w:rsid w:val="16337E88"/>
    <w:rsid w:val="16421E79"/>
    <w:rsid w:val="16491459"/>
    <w:rsid w:val="16493207"/>
    <w:rsid w:val="164B3423"/>
    <w:rsid w:val="164D4BF0"/>
    <w:rsid w:val="164E6A70"/>
    <w:rsid w:val="1651496F"/>
    <w:rsid w:val="16534086"/>
    <w:rsid w:val="16573B00"/>
    <w:rsid w:val="165B0183"/>
    <w:rsid w:val="165C2036"/>
    <w:rsid w:val="165D4F05"/>
    <w:rsid w:val="16674B8C"/>
    <w:rsid w:val="167479DA"/>
    <w:rsid w:val="16807EB3"/>
    <w:rsid w:val="16881F81"/>
    <w:rsid w:val="16AC6388"/>
    <w:rsid w:val="16B65ACB"/>
    <w:rsid w:val="16C16E52"/>
    <w:rsid w:val="16CC1E35"/>
    <w:rsid w:val="16D90A2F"/>
    <w:rsid w:val="16DC407B"/>
    <w:rsid w:val="16E143B6"/>
    <w:rsid w:val="16EF0253"/>
    <w:rsid w:val="16F72C63"/>
    <w:rsid w:val="17034CBD"/>
    <w:rsid w:val="1706734A"/>
    <w:rsid w:val="17067B69"/>
    <w:rsid w:val="170A6E3A"/>
    <w:rsid w:val="170E6D07"/>
    <w:rsid w:val="17137D16"/>
    <w:rsid w:val="171952CF"/>
    <w:rsid w:val="171A2AD9"/>
    <w:rsid w:val="172350E1"/>
    <w:rsid w:val="1723614E"/>
    <w:rsid w:val="17253C74"/>
    <w:rsid w:val="17330923"/>
    <w:rsid w:val="173B3498"/>
    <w:rsid w:val="173D4D65"/>
    <w:rsid w:val="17471E3D"/>
    <w:rsid w:val="174C7453"/>
    <w:rsid w:val="174D4499"/>
    <w:rsid w:val="175207E1"/>
    <w:rsid w:val="1754249A"/>
    <w:rsid w:val="175553A0"/>
    <w:rsid w:val="17577BA6"/>
    <w:rsid w:val="17604CAC"/>
    <w:rsid w:val="17667DE9"/>
    <w:rsid w:val="176C18A3"/>
    <w:rsid w:val="1776002C"/>
    <w:rsid w:val="177673A2"/>
    <w:rsid w:val="177979BB"/>
    <w:rsid w:val="177B3894"/>
    <w:rsid w:val="177E3384"/>
    <w:rsid w:val="178C1AA1"/>
    <w:rsid w:val="179B622F"/>
    <w:rsid w:val="17A0154D"/>
    <w:rsid w:val="17B057BA"/>
    <w:rsid w:val="17B943BD"/>
    <w:rsid w:val="17BB0135"/>
    <w:rsid w:val="17C044DC"/>
    <w:rsid w:val="17C769F6"/>
    <w:rsid w:val="17CA481C"/>
    <w:rsid w:val="17CB19C5"/>
    <w:rsid w:val="17D2191F"/>
    <w:rsid w:val="17D905BB"/>
    <w:rsid w:val="17DF4454"/>
    <w:rsid w:val="17EE22B8"/>
    <w:rsid w:val="17F5177A"/>
    <w:rsid w:val="17F83137"/>
    <w:rsid w:val="17F84EE5"/>
    <w:rsid w:val="17FD074D"/>
    <w:rsid w:val="18316649"/>
    <w:rsid w:val="18396B01"/>
    <w:rsid w:val="183D4CE2"/>
    <w:rsid w:val="18512847"/>
    <w:rsid w:val="1853036D"/>
    <w:rsid w:val="18534811"/>
    <w:rsid w:val="186C68CF"/>
    <w:rsid w:val="18743D16"/>
    <w:rsid w:val="188624F1"/>
    <w:rsid w:val="1888270D"/>
    <w:rsid w:val="188D7D23"/>
    <w:rsid w:val="18932E60"/>
    <w:rsid w:val="18982867"/>
    <w:rsid w:val="18A60DE5"/>
    <w:rsid w:val="18A65F09"/>
    <w:rsid w:val="18AD3F21"/>
    <w:rsid w:val="18B057C0"/>
    <w:rsid w:val="18B200FD"/>
    <w:rsid w:val="18B3705E"/>
    <w:rsid w:val="18B66808"/>
    <w:rsid w:val="18B90B18"/>
    <w:rsid w:val="18BD228D"/>
    <w:rsid w:val="18BF1EA7"/>
    <w:rsid w:val="18C34EEF"/>
    <w:rsid w:val="18CA309F"/>
    <w:rsid w:val="18CD0120"/>
    <w:rsid w:val="18D314AE"/>
    <w:rsid w:val="18E67433"/>
    <w:rsid w:val="18E93604"/>
    <w:rsid w:val="18EB4081"/>
    <w:rsid w:val="18ED3FB5"/>
    <w:rsid w:val="18FA176A"/>
    <w:rsid w:val="18FF04F5"/>
    <w:rsid w:val="19017DC9"/>
    <w:rsid w:val="19021BAC"/>
    <w:rsid w:val="19037FE5"/>
    <w:rsid w:val="1904741C"/>
    <w:rsid w:val="190F0F2B"/>
    <w:rsid w:val="19102702"/>
    <w:rsid w:val="19120228"/>
    <w:rsid w:val="191B2592"/>
    <w:rsid w:val="192A5572"/>
    <w:rsid w:val="192B12EA"/>
    <w:rsid w:val="192B2810"/>
    <w:rsid w:val="1931360E"/>
    <w:rsid w:val="19335A91"/>
    <w:rsid w:val="19376402"/>
    <w:rsid w:val="193957B5"/>
    <w:rsid w:val="193B3E40"/>
    <w:rsid w:val="193E101D"/>
    <w:rsid w:val="194849D3"/>
    <w:rsid w:val="194B79BB"/>
    <w:rsid w:val="194E4683"/>
    <w:rsid w:val="19612B19"/>
    <w:rsid w:val="19620AEB"/>
    <w:rsid w:val="196A3BC0"/>
    <w:rsid w:val="196A4CC6"/>
    <w:rsid w:val="198253AE"/>
    <w:rsid w:val="198A4263"/>
    <w:rsid w:val="198D5B01"/>
    <w:rsid w:val="199649B5"/>
    <w:rsid w:val="19996F7E"/>
    <w:rsid w:val="199D21E8"/>
    <w:rsid w:val="19A31CEF"/>
    <w:rsid w:val="19A456B3"/>
    <w:rsid w:val="19A61ED8"/>
    <w:rsid w:val="19B22E09"/>
    <w:rsid w:val="19CD414F"/>
    <w:rsid w:val="19D13C3F"/>
    <w:rsid w:val="19F3005A"/>
    <w:rsid w:val="19F44ED5"/>
    <w:rsid w:val="19FB0CBC"/>
    <w:rsid w:val="19FD67E3"/>
    <w:rsid w:val="1A044015"/>
    <w:rsid w:val="1A0710CC"/>
    <w:rsid w:val="1A0B2018"/>
    <w:rsid w:val="1A116732"/>
    <w:rsid w:val="1A143722"/>
    <w:rsid w:val="1A143B2C"/>
    <w:rsid w:val="1A18186E"/>
    <w:rsid w:val="1A18361C"/>
    <w:rsid w:val="1A1E4C4B"/>
    <w:rsid w:val="1A2C356C"/>
    <w:rsid w:val="1A2C531A"/>
    <w:rsid w:val="1A300F8F"/>
    <w:rsid w:val="1A3441CE"/>
    <w:rsid w:val="1A3B5E14"/>
    <w:rsid w:val="1A495ECC"/>
    <w:rsid w:val="1A4A4375"/>
    <w:rsid w:val="1A4B6B49"/>
    <w:rsid w:val="1A516B2E"/>
    <w:rsid w:val="1A582CB1"/>
    <w:rsid w:val="1A641AD5"/>
    <w:rsid w:val="1A6927D3"/>
    <w:rsid w:val="1A6B5E42"/>
    <w:rsid w:val="1A7040BC"/>
    <w:rsid w:val="1A7052C0"/>
    <w:rsid w:val="1A725422"/>
    <w:rsid w:val="1A742769"/>
    <w:rsid w:val="1A857C07"/>
    <w:rsid w:val="1A8F72EF"/>
    <w:rsid w:val="1A9C424D"/>
    <w:rsid w:val="1AAA4480"/>
    <w:rsid w:val="1AB26BF2"/>
    <w:rsid w:val="1ABD5F72"/>
    <w:rsid w:val="1ACE017F"/>
    <w:rsid w:val="1AD05CA5"/>
    <w:rsid w:val="1AD31C39"/>
    <w:rsid w:val="1ADC289C"/>
    <w:rsid w:val="1AEF38DF"/>
    <w:rsid w:val="1AF57E02"/>
    <w:rsid w:val="1AFA71C6"/>
    <w:rsid w:val="1B041DF3"/>
    <w:rsid w:val="1B0A0940"/>
    <w:rsid w:val="1B1464DA"/>
    <w:rsid w:val="1B1A33C4"/>
    <w:rsid w:val="1B265808"/>
    <w:rsid w:val="1B2B737F"/>
    <w:rsid w:val="1B32070E"/>
    <w:rsid w:val="1B326960"/>
    <w:rsid w:val="1B3E0E77"/>
    <w:rsid w:val="1B4158A6"/>
    <w:rsid w:val="1B4548E5"/>
    <w:rsid w:val="1B463CB8"/>
    <w:rsid w:val="1B466A8E"/>
    <w:rsid w:val="1B4B5C73"/>
    <w:rsid w:val="1B4E306E"/>
    <w:rsid w:val="1B5B38B2"/>
    <w:rsid w:val="1B60171F"/>
    <w:rsid w:val="1B724FAE"/>
    <w:rsid w:val="1B7725C5"/>
    <w:rsid w:val="1B886580"/>
    <w:rsid w:val="1B8A679C"/>
    <w:rsid w:val="1B9F38C9"/>
    <w:rsid w:val="1BA31C4A"/>
    <w:rsid w:val="1BAA0BEC"/>
    <w:rsid w:val="1BAA4748"/>
    <w:rsid w:val="1BB11F7A"/>
    <w:rsid w:val="1BB83309"/>
    <w:rsid w:val="1BC81072"/>
    <w:rsid w:val="1BC872C4"/>
    <w:rsid w:val="1BD87507"/>
    <w:rsid w:val="1BDE2644"/>
    <w:rsid w:val="1BE0016A"/>
    <w:rsid w:val="1BE0460E"/>
    <w:rsid w:val="1BE17422"/>
    <w:rsid w:val="1BEC6B0F"/>
    <w:rsid w:val="1BFD51C0"/>
    <w:rsid w:val="1C0A00B2"/>
    <w:rsid w:val="1C0A0ECF"/>
    <w:rsid w:val="1C0D4CD7"/>
    <w:rsid w:val="1C1147C7"/>
    <w:rsid w:val="1C156098"/>
    <w:rsid w:val="1C216B2F"/>
    <w:rsid w:val="1C2A7637"/>
    <w:rsid w:val="1C314E69"/>
    <w:rsid w:val="1C395ACC"/>
    <w:rsid w:val="1C3E30E2"/>
    <w:rsid w:val="1C420E24"/>
    <w:rsid w:val="1C4B1323"/>
    <w:rsid w:val="1C507D50"/>
    <w:rsid w:val="1C511068"/>
    <w:rsid w:val="1C5B3C94"/>
    <w:rsid w:val="1C7A76D5"/>
    <w:rsid w:val="1C821221"/>
    <w:rsid w:val="1C866D90"/>
    <w:rsid w:val="1C8F393E"/>
    <w:rsid w:val="1C99656B"/>
    <w:rsid w:val="1CC61A56"/>
    <w:rsid w:val="1CC950A2"/>
    <w:rsid w:val="1CCC06EE"/>
    <w:rsid w:val="1CD17324"/>
    <w:rsid w:val="1CD37CCF"/>
    <w:rsid w:val="1CE210D9"/>
    <w:rsid w:val="1CEA5582"/>
    <w:rsid w:val="1CEB14BC"/>
    <w:rsid w:val="1CF739BD"/>
    <w:rsid w:val="1D01483C"/>
    <w:rsid w:val="1D0B56BA"/>
    <w:rsid w:val="1D0D1432"/>
    <w:rsid w:val="1D131991"/>
    <w:rsid w:val="1D161F4E"/>
    <w:rsid w:val="1D1A76AB"/>
    <w:rsid w:val="1D1C78C7"/>
    <w:rsid w:val="1D28414B"/>
    <w:rsid w:val="1D2B3667"/>
    <w:rsid w:val="1D2D5631"/>
    <w:rsid w:val="1D3249F5"/>
    <w:rsid w:val="1D3329FD"/>
    <w:rsid w:val="1D392227"/>
    <w:rsid w:val="1D440BCC"/>
    <w:rsid w:val="1D47582D"/>
    <w:rsid w:val="1D484219"/>
    <w:rsid w:val="1D497F91"/>
    <w:rsid w:val="1D57745A"/>
    <w:rsid w:val="1D5E3A3C"/>
    <w:rsid w:val="1D617D45"/>
    <w:rsid w:val="1D631EFF"/>
    <w:rsid w:val="1D694F9E"/>
    <w:rsid w:val="1D6C511E"/>
    <w:rsid w:val="1D6D1ED1"/>
    <w:rsid w:val="1D7C76CB"/>
    <w:rsid w:val="1D7F1C04"/>
    <w:rsid w:val="1D8D4321"/>
    <w:rsid w:val="1D8D60CF"/>
    <w:rsid w:val="1D9A72A7"/>
    <w:rsid w:val="1DA744A3"/>
    <w:rsid w:val="1DAF24EA"/>
    <w:rsid w:val="1DB01DBE"/>
    <w:rsid w:val="1DB21FDA"/>
    <w:rsid w:val="1DB37E6F"/>
    <w:rsid w:val="1DB45D52"/>
    <w:rsid w:val="1DC87107"/>
    <w:rsid w:val="1DCA7323"/>
    <w:rsid w:val="1DCB3D2C"/>
    <w:rsid w:val="1DCD2970"/>
    <w:rsid w:val="1DD43CFE"/>
    <w:rsid w:val="1DDA043A"/>
    <w:rsid w:val="1DE1641B"/>
    <w:rsid w:val="1DE56E67"/>
    <w:rsid w:val="1DE87E05"/>
    <w:rsid w:val="1DF00599"/>
    <w:rsid w:val="1DF223D6"/>
    <w:rsid w:val="1DF60118"/>
    <w:rsid w:val="1E0C72E7"/>
    <w:rsid w:val="1E0E6FB0"/>
    <w:rsid w:val="1E112E38"/>
    <w:rsid w:val="1E21051B"/>
    <w:rsid w:val="1E236A34"/>
    <w:rsid w:val="1E26063C"/>
    <w:rsid w:val="1E510621"/>
    <w:rsid w:val="1E5B441F"/>
    <w:rsid w:val="1E5B590F"/>
    <w:rsid w:val="1E605592"/>
    <w:rsid w:val="1E756685"/>
    <w:rsid w:val="1E8C45D9"/>
    <w:rsid w:val="1E8E0351"/>
    <w:rsid w:val="1E9E60BA"/>
    <w:rsid w:val="1EA57449"/>
    <w:rsid w:val="1EB37DB8"/>
    <w:rsid w:val="1EC10C16"/>
    <w:rsid w:val="1EC21956"/>
    <w:rsid w:val="1EE2244B"/>
    <w:rsid w:val="1EED305E"/>
    <w:rsid w:val="1EF81C6E"/>
    <w:rsid w:val="1EF822E9"/>
    <w:rsid w:val="1EF97453"/>
    <w:rsid w:val="1EFB4C4D"/>
    <w:rsid w:val="1F002522"/>
    <w:rsid w:val="1F0722BB"/>
    <w:rsid w:val="1F0C1276"/>
    <w:rsid w:val="1F151663"/>
    <w:rsid w:val="1F200E45"/>
    <w:rsid w:val="1F233431"/>
    <w:rsid w:val="1F34517D"/>
    <w:rsid w:val="1F3C7DAD"/>
    <w:rsid w:val="1F531AA7"/>
    <w:rsid w:val="1F552C1D"/>
    <w:rsid w:val="1F647304"/>
    <w:rsid w:val="1F6D30E1"/>
    <w:rsid w:val="1F6F3D57"/>
    <w:rsid w:val="1F707A57"/>
    <w:rsid w:val="1F720223"/>
    <w:rsid w:val="1F784B5D"/>
    <w:rsid w:val="1F7E03C6"/>
    <w:rsid w:val="1F86727A"/>
    <w:rsid w:val="1F9A4F0B"/>
    <w:rsid w:val="1F9E4511"/>
    <w:rsid w:val="1FB22DE4"/>
    <w:rsid w:val="1FBF453A"/>
    <w:rsid w:val="1FC87FA1"/>
    <w:rsid w:val="1FD46237"/>
    <w:rsid w:val="1FE10954"/>
    <w:rsid w:val="201725C8"/>
    <w:rsid w:val="20191E9C"/>
    <w:rsid w:val="201C3240"/>
    <w:rsid w:val="202B1BD0"/>
    <w:rsid w:val="202D5948"/>
    <w:rsid w:val="20311FF9"/>
    <w:rsid w:val="20362A4E"/>
    <w:rsid w:val="2043516B"/>
    <w:rsid w:val="20450EE3"/>
    <w:rsid w:val="204D1B46"/>
    <w:rsid w:val="204F3B10"/>
    <w:rsid w:val="20517888"/>
    <w:rsid w:val="20621A95"/>
    <w:rsid w:val="206414AA"/>
    <w:rsid w:val="20656C10"/>
    <w:rsid w:val="206F41B2"/>
    <w:rsid w:val="20722891"/>
    <w:rsid w:val="207277FE"/>
    <w:rsid w:val="20743577"/>
    <w:rsid w:val="20850BCE"/>
    <w:rsid w:val="20855A40"/>
    <w:rsid w:val="208732AA"/>
    <w:rsid w:val="208C266E"/>
    <w:rsid w:val="208F6602"/>
    <w:rsid w:val="2091237A"/>
    <w:rsid w:val="20914128"/>
    <w:rsid w:val="20937EA1"/>
    <w:rsid w:val="20971013"/>
    <w:rsid w:val="2099768C"/>
    <w:rsid w:val="20A0611A"/>
    <w:rsid w:val="20A273C8"/>
    <w:rsid w:val="20B322F1"/>
    <w:rsid w:val="20B41BC5"/>
    <w:rsid w:val="20B5364B"/>
    <w:rsid w:val="20BA367F"/>
    <w:rsid w:val="20BD6BF5"/>
    <w:rsid w:val="20C22534"/>
    <w:rsid w:val="20C277BF"/>
    <w:rsid w:val="20CE0ED9"/>
    <w:rsid w:val="20CE2C87"/>
    <w:rsid w:val="20D340FD"/>
    <w:rsid w:val="20DA21E5"/>
    <w:rsid w:val="20DD111C"/>
    <w:rsid w:val="20DD6C03"/>
    <w:rsid w:val="20DD736E"/>
    <w:rsid w:val="20E00C0C"/>
    <w:rsid w:val="20EC135F"/>
    <w:rsid w:val="20EE157B"/>
    <w:rsid w:val="20F546B7"/>
    <w:rsid w:val="20FF1092"/>
    <w:rsid w:val="2107253D"/>
    <w:rsid w:val="21076199"/>
    <w:rsid w:val="210F504D"/>
    <w:rsid w:val="21115269"/>
    <w:rsid w:val="2126105B"/>
    <w:rsid w:val="21290A58"/>
    <w:rsid w:val="214178FD"/>
    <w:rsid w:val="21430308"/>
    <w:rsid w:val="2144119B"/>
    <w:rsid w:val="214C3644"/>
    <w:rsid w:val="2150000C"/>
    <w:rsid w:val="21555156"/>
    <w:rsid w:val="21562C7C"/>
    <w:rsid w:val="21642431"/>
    <w:rsid w:val="21645399"/>
    <w:rsid w:val="216B2BCB"/>
    <w:rsid w:val="217A4BBD"/>
    <w:rsid w:val="217B4A22"/>
    <w:rsid w:val="218B501C"/>
    <w:rsid w:val="21933F65"/>
    <w:rsid w:val="219D08AB"/>
    <w:rsid w:val="219F63D1"/>
    <w:rsid w:val="21A0622B"/>
    <w:rsid w:val="21A7080E"/>
    <w:rsid w:val="21AF0D0A"/>
    <w:rsid w:val="21B207FA"/>
    <w:rsid w:val="21B93E31"/>
    <w:rsid w:val="21BA320B"/>
    <w:rsid w:val="21C422DC"/>
    <w:rsid w:val="21D10D15"/>
    <w:rsid w:val="21F506E7"/>
    <w:rsid w:val="21F726B1"/>
    <w:rsid w:val="21FC3824"/>
    <w:rsid w:val="2208666C"/>
    <w:rsid w:val="220A5F40"/>
    <w:rsid w:val="220B7F0B"/>
    <w:rsid w:val="221206B1"/>
    <w:rsid w:val="2219033B"/>
    <w:rsid w:val="221E379A"/>
    <w:rsid w:val="22244B28"/>
    <w:rsid w:val="22284619"/>
    <w:rsid w:val="2229615D"/>
    <w:rsid w:val="2236598B"/>
    <w:rsid w:val="22370D00"/>
    <w:rsid w:val="2240037C"/>
    <w:rsid w:val="22431452"/>
    <w:rsid w:val="2245532A"/>
    <w:rsid w:val="22482F0D"/>
    <w:rsid w:val="2252379C"/>
    <w:rsid w:val="22525B39"/>
    <w:rsid w:val="2254540E"/>
    <w:rsid w:val="225B7B9B"/>
    <w:rsid w:val="22623FCE"/>
    <w:rsid w:val="22655D1C"/>
    <w:rsid w:val="22673393"/>
    <w:rsid w:val="22680EB9"/>
    <w:rsid w:val="226D6F8A"/>
    <w:rsid w:val="2277734E"/>
    <w:rsid w:val="227B5090"/>
    <w:rsid w:val="22801E34"/>
    <w:rsid w:val="22833F45"/>
    <w:rsid w:val="228C2DF9"/>
    <w:rsid w:val="228D6669"/>
    <w:rsid w:val="228E4DC3"/>
    <w:rsid w:val="22A00653"/>
    <w:rsid w:val="22A02967"/>
    <w:rsid w:val="22A16179"/>
    <w:rsid w:val="22A52966"/>
    <w:rsid w:val="22BD2FB3"/>
    <w:rsid w:val="22BE6D2B"/>
    <w:rsid w:val="22BF0CBD"/>
    <w:rsid w:val="22C252A7"/>
    <w:rsid w:val="22C2681B"/>
    <w:rsid w:val="22C500B9"/>
    <w:rsid w:val="22C81958"/>
    <w:rsid w:val="22CA3770"/>
    <w:rsid w:val="22D14CB0"/>
    <w:rsid w:val="22D41F83"/>
    <w:rsid w:val="22D622C7"/>
    <w:rsid w:val="22DB78DD"/>
    <w:rsid w:val="22E73E2D"/>
    <w:rsid w:val="22EC6C1F"/>
    <w:rsid w:val="22EF441E"/>
    <w:rsid w:val="22FE5379"/>
    <w:rsid w:val="23056708"/>
    <w:rsid w:val="23072480"/>
    <w:rsid w:val="23137077"/>
    <w:rsid w:val="23183E37"/>
    <w:rsid w:val="232079E6"/>
    <w:rsid w:val="232E2103"/>
    <w:rsid w:val="23307C29"/>
    <w:rsid w:val="2331574F"/>
    <w:rsid w:val="23362521"/>
    <w:rsid w:val="23377053"/>
    <w:rsid w:val="23515DF1"/>
    <w:rsid w:val="23551C37"/>
    <w:rsid w:val="23595DC1"/>
    <w:rsid w:val="235E054E"/>
    <w:rsid w:val="236E0751"/>
    <w:rsid w:val="236E69A3"/>
    <w:rsid w:val="237F470C"/>
    <w:rsid w:val="23806D91"/>
    <w:rsid w:val="238356C0"/>
    <w:rsid w:val="23841D23"/>
    <w:rsid w:val="238B5E9E"/>
    <w:rsid w:val="239301B8"/>
    <w:rsid w:val="23973DC6"/>
    <w:rsid w:val="23A61C69"/>
    <w:rsid w:val="23A6613D"/>
    <w:rsid w:val="23B4085A"/>
    <w:rsid w:val="23B73EA6"/>
    <w:rsid w:val="23BA5744"/>
    <w:rsid w:val="23BC00FE"/>
    <w:rsid w:val="23BD2739"/>
    <w:rsid w:val="23BD6FE3"/>
    <w:rsid w:val="23BF71FF"/>
    <w:rsid w:val="23C40371"/>
    <w:rsid w:val="23C93BD9"/>
    <w:rsid w:val="23CE155A"/>
    <w:rsid w:val="23CE2F9E"/>
    <w:rsid w:val="23CE3663"/>
    <w:rsid w:val="23CF5548"/>
    <w:rsid w:val="23D021ED"/>
    <w:rsid w:val="23D031BA"/>
    <w:rsid w:val="23D06D16"/>
    <w:rsid w:val="23D34A58"/>
    <w:rsid w:val="23E629DD"/>
    <w:rsid w:val="23EB3B50"/>
    <w:rsid w:val="23FB6A9C"/>
    <w:rsid w:val="24015121"/>
    <w:rsid w:val="24082954"/>
    <w:rsid w:val="24084702"/>
    <w:rsid w:val="240923B7"/>
    <w:rsid w:val="240F3CE2"/>
    <w:rsid w:val="2412732E"/>
    <w:rsid w:val="241412F8"/>
    <w:rsid w:val="24207C9D"/>
    <w:rsid w:val="24213A15"/>
    <w:rsid w:val="2423153B"/>
    <w:rsid w:val="242D4168"/>
    <w:rsid w:val="24374F2B"/>
    <w:rsid w:val="243A0EE4"/>
    <w:rsid w:val="245B6F27"/>
    <w:rsid w:val="245E4322"/>
    <w:rsid w:val="24617CAD"/>
    <w:rsid w:val="246833F2"/>
    <w:rsid w:val="24737546"/>
    <w:rsid w:val="248034CA"/>
    <w:rsid w:val="24810502"/>
    <w:rsid w:val="248144B4"/>
    <w:rsid w:val="2483022C"/>
    <w:rsid w:val="248F4E23"/>
    <w:rsid w:val="24912949"/>
    <w:rsid w:val="24AE34FB"/>
    <w:rsid w:val="24B317F3"/>
    <w:rsid w:val="24B330F8"/>
    <w:rsid w:val="24BB1774"/>
    <w:rsid w:val="24CF6A2D"/>
    <w:rsid w:val="24DE36B4"/>
    <w:rsid w:val="24F9229C"/>
    <w:rsid w:val="24FC5476"/>
    <w:rsid w:val="24FD02F0"/>
    <w:rsid w:val="25096983"/>
    <w:rsid w:val="250A6257"/>
    <w:rsid w:val="252217F3"/>
    <w:rsid w:val="25292B82"/>
    <w:rsid w:val="25387269"/>
    <w:rsid w:val="253908EB"/>
    <w:rsid w:val="253E5DCC"/>
    <w:rsid w:val="254F6EC6"/>
    <w:rsid w:val="255816B9"/>
    <w:rsid w:val="256775CE"/>
    <w:rsid w:val="256B319A"/>
    <w:rsid w:val="256C1D19"/>
    <w:rsid w:val="256E4A38"/>
    <w:rsid w:val="25761B3F"/>
    <w:rsid w:val="257B0F03"/>
    <w:rsid w:val="25823277"/>
    <w:rsid w:val="258C5B68"/>
    <w:rsid w:val="258F441D"/>
    <w:rsid w:val="25916979"/>
    <w:rsid w:val="25A0096A"/>
    <w:rsid w:val="25A034AF"/>
    <w:rsid w:val="25AE39AF"/>
    <w:rsid w:val="25B2502E"/>
    <w:rsid w:val="25BD6E3C"/>
    <w:rsid w:val="25BE1903"/>
    <w:rsid w:val="25C12DBA"/>
    <w:rsid w:val="25C40AFC"/>
    <w:rsid w:val="25C63835"/>
    <w:rsid w:val="25C663BA"/>
    <w:rsid w:val="25CC44D1"/>
    <w:rsid w:val="25CD79B1"/>
    <w:rsid w:val="25D02AA9"/>
    <w:rsid w:val="25F0369F"/>
    <w:rsid w:val="25F73030"/>
    <w:rsid w:val="25FB6AD2"/>
    <w:rsid w:val="2602467A"/>
    <w:rsid w:val="260814E8"/>
    <w:rsid w:val="2609650F"/>
    <w:rsid w:val="260D24A3"/>
    <w:rsid w:val="262E41C8"/>
    <w:rsid w:val="263A491A"/>
    <w:rsid w:val="264659B5"/>
    <w:rsid w:val="264B4D7A"/>
    <w:rsid w:val="26502390"/>
    <w:rsid w:val="26674B5E"/>
    <w:rsid w:val="26692BB6"/>
    <w:rsid w:val="2675734C"/>
    <w:rsid w:val="26760B8B"/>
    <w:rsid w:val="26776A60"/>
    <w:rsid w:val="26834513"/>
    <w:rsid w:val="26881B2A"/>
    <w:rsid w:val="26920BFA"/>
    <w:rsid w:val="2694227D"/>
    <w:rsid w:val="26946721"/>
    <w:rsid w:val="26995AE5"/>
    <w:rsid w:val="26A36964"/>
    <w:rsid w:val="26C64400"/>
    <w:rsid w:val="26CA0A80"/>
    <w:rsid w:val="26E80B9F"/>
    <w:rsid w:val="26EB3E67"/>
    <w:rsid w:val="26F31699"/>
    <w:rsid w:val="26F64CE5"/>
    <w:rsid w:val="26F73072"/>
    <w:rsid w:val="270C4509"/>
    <w:rsid w:val="27192021"/>
    <w:rsid w:val="271A640C"/>
    <w:rsid w:val="27253308"/>
    <w:rsid w:val="27271343"/>
    <w:rsid w:val="273A0005"/>
    <w:rsid w:val="2742617D"/>
    <w:rsid w:val="274569AA"/>
    <w:rsid w:val="2751016E"/>
    <w:rsid w:val="275F0ADD"/>
    <w:rsid w:val="275F6D2E"/>
    <w:rsid w:val="2769195B"/>
    <w:rsid w:val="277A3B68"/>
    <w:rsid w:val="278A4F8F"/>
    <w:rsid w:val="278F660F"/>
    <w:rsid w:val="27932A7B"/>
    <w:rsid w:val="27951507"/>
    <w:rsid w:val="279B588D"/>
    <w:rsid w:val="279D7857"/>
    <w:rsid w:val="27A26C1B"/>
    <w:rsid w:val="27AC1848"/>
    <w:rsid w:val="27AC7A9A"/>
    <w:rsid w:val="27B0758A"/>
    <w:rsid w:val="27B8012A"/>
    <w:rsid w:val="27C052F3"/>
    <w:rsid w:val="27CD2FC6"/>
    <w:rsid w:val="27CF6253"/>
    <w:rsid w:val="27DB3EDB"/>
    <w:rsid w:val="27E234BC"/>
    <w:rsid w:val="27E9484A"/>
    <w:rsid w:val="27E965F8"/>
    <w:rsid w:val="280926D2"/>
    <w:rsid w:val="28092D77"/>
    <w:rsid w:val="28125B4F"/>
    <w:rsid w:val="28133675"/>
    <w:rsid w:val="281523B6"/>
    <w:rsid w:val="281A37BE"/>
    <w:rsid w:val="281B7FF5"/>
    <w:rsid w:val="28235F68"/>
    <w:rsid w:val="282B09BF"/>
    <w:rsid w:val="282D0BDB"/>
    <w:rsid w:val="28302479"/>
    <w:rsid w:val="28355CE1"/>
    <w:rsid w:val="28377363"/>
    <w:rsid w:val="28497097"/>
    <w:rsid w:val="28546167"/>
    <w:rsid w:val="285E6FE6"/>
    <w:rsid w:val="28612632"/>
    <w:rsid w:val="2862727C"/>
    <w:rsid w:val="28683AFD"/>
    <w:rsid w:val="288602EB"/>
    <w:rsid w:val="289522DC"/>
    <w:rsid w:val="28981009"/>
    <w:rsid w:val="28991DCC"/>
    <w:rsid w:val="28AB1AFF"/>
    <w:rsid w:val="28AB44A5"/>
    <w:rsid w:val="28C12D1F"/>
    <w:rsid w:val="28C1718A"/>
    <w:rsid w:val="28D752E9"/>
    <w:rsid w:val="28DB045C"/>
    <w:rsid w:val="28DC43AF"/>
    <w:rsid w:val="28E1153D"/>
    <w:rsid w:val="28EF5E90"/>
    <w:rsid w:val="28F039B6"/>
    <w:rsid w:val="28F11C08"/>
    <w:rsid w:val="28F1286B"/>
    <w:rsid w:val="28F33A4D"/>
    <w:rsid w:val="29003BF9"/>
    <w:rsid w:val="291678C1"/>
    <w:rsid w:val="291B096B"/>
    <w:rsid w:val="2927562A"/>
    <w:rsid w:val="292875D3"/>
    <w:rsid w:val="292D7574"/>
    <w:rsid w:val="293D309F"/>
    <w:rsid w:val="29453D02"/>
    <w:rsid w:val="295F615C"/>
    <w:rsid w:val="29600B3C"/>
    <w:rsid w:val="296C1C1E"/>
    <w:rsid w:val="296D5007"/>
    <w:rsid w:val="296E1870"/>
    <w:rsid w:val="29746395"/>
    <w:rsid w:val="297665B1"/>
    <w:rsid w:val="297A35A4"/>
    <w:rsid w:val="298420F9"/>
    <w:rsid w:val="298505A2"/>
    <w:rsid w:val="2996630C"/>
    <w:rsid w:val="299A22A0"/>
    <w:rsid w:val="299B069C"/>
    <w:rsid w:val="29A053DC"/>
    <w:rsid w:val="29A749BD"/>
    <w:rsid w:val="29A7676B"/>
    <w:rsid w:val="29AC5B2F"/>
    <w:rsid w:val="29B17E15"/>
    <w:rsid w:val="29B57709"/>
    <w:rsid w:val="29B80978"/>
    <w:rsid w:val="29BF5862"/>
    <w:rsid w:val="29DA6B40"/>
    <w:rsid w:val="29E17ECF"/>
    <w:rsid w:val="29E85185"/>
    <w:rsid w:val="29F64CB6"/>
    <w:rsid w:val="2A047AF2"/>
    <w:rsid w:val="2A0774CA"/>
    <w:rsid w:val="2A104310"/>
    <w:rsid w:val="2A135BAE"/>
    <w:rsid w:val="2A1E7854"/>
    <w:rsid w:val="2A397D98"/>
    <w:rsid w:val="2A443FBA"/>
    <w:rsid w:val="2A457933"/>
    <w:rsid w:val="2A495A74"/>
    <w:rsid w:val="2A536EF4"/>
    <w:rsid w:val="2A5F0042"/>
    <w:rsid w:val="2A6517B7"/>
    <w:rsid w:val="2A6C5EC8"/>
    <w:rsid w:val="2A7726ED"/>
    <w:rsid w:val="2A7E1E12"/>
    <w:rsid w:val="2A7E3970"/>
    <w:rsid w:val="2A88034A"/>
    <w:rsid w:val="2A8E16D9"/>
    <w:rsid w:val="2A97058D"/>
    <w:rsid w:val="2A9A007E"/>
    <w:rsid w:val="2AA333D6"/>
    <w:rsid w:val="2AA84549"/>
    <w:rsid w:val="2AAA6983"/>
    <w:rsid w:val="2AAB4863"/>
    <w:rsid w:val="2AB32EED"/>
    <w:rsid w:val="2AB704A6"/>
    <w:rsid w:val="2AB97F11"/>
    <w:rsid w:val="2ABF1892"/>
    <w:rsid w:val="2AC877B6"/>
    <w:rsid w:val="2ACD3FAF"/>
    <w:rsid w:val="2AD0584D"/>
    <w:rsid w:val="2AD24ADC"/>
    <w:rsid w:val="2AD4533E"/>
    <w:rsid w:val="2AE80DE9"/>
    <w:rsid w:val="2AEF03C9"/>
    <w:rsid w:val="2AFD07B9"/>
    <w:rsid w:val="2B063581"/>
    <w:rsid w:val="2B141BDE"/>
    <w:rsid w:val="2B181A7C"/>
    <w:rsid w:val="2B2636BF"/>
    <w:rsid w:val="2B361B54"/>
    <w:rsid w:val="2B36443F"/>
    <w:rsid w:val="2B3E30FF"/>
    <w:rsid w:val="2B4029D3"/>
    <w:rsid w:val="2B41674B"/>
    <w:rsid w:val="2B4247A3"/>
    <w:rsid w:val="2B507F2A"/>
    <w:rsid w:val="2B604E23"/>
    <w:rsid w:val="2B620B9B"/>
    <w:rsid w:val="2B6B18D0"/>
    <w:rsid w:val="2B710DDE"/>
    <w:rsid w:val="2B766A90"/>
    <w:rsid w:val="2B7D7783"/>
    <w:rsid w:val="2B852ADC"/>
    <w:rsid w:val="2B990335"/>
    <w:rsid w:val="2B990FBD"/>
    <w:rsid w:val="2B9F3B9D"/>
    <w:rsid w:val="2BA72A52"/>
    <w:rsid w:val="2BA967CA"/>
    <w:rsid w:val="2BB353A8"/>
    <w:rsid w:val="2BC730F4"/>
    <w:rsid w:val="2BD10DE8"/>
    <w:rsid w:val="2BDF4279"/>
    <w:rsid w:val="2BE05F64"/>
    <w:rsid w:val="2BEF7F55"/>
    <w:rsid w:val="2BFD2F6E"/>
    <w:rsid w:val="2BFF63EA"/>
    <w:rsid w:val="2C043A01"/>
    <w:rsid w:val="2C0E2AD1"/>
    <w:rsid w:val="2C121F8F"/>
    <w:rsid w:val="2C1A76C8"/>
    <w:rsid w:val="2C1B1F0C"/>
    <w:rsid w:val="2C1D558B"/>
    <w:rsid w:val="2C204F13"/>
    <w:rsid w:val="2C2E2219"/>
    <w:rsid w:val="2C3562B0"/>
    <w:rsid w:val="2C437A62"/>
    <w:rsid w:val="2C525A4A"/>
    <w:rsid w:val="2C526E62"/>
    <w:rsid w:val="2C532BDA"/>
    <w:rsid w:val="2C5E7A86"/>
    <w:rsid w:val="2C5F332D"/>
    <w:rsid w:val="2C640943"/>
    <w:rsid w:val="2C697D08"/>
    <w:rsid w:val="2C7C5354"/>
    <w:rsid w:val="2C7C5C8D"/>
    <w:rsid w:val="2C866B0B"/>
    <w:rsid w:val="2C882884"/>
    <w:rsid w:val="2C8A5B39"/>
    <w:rsid w:val="2C8F1F79"/>
    <w:rsid w:val="2C9254B0"/>
    <w:rsid w:val="2C974875"/>
    <w:rsid w:val="2CA86A82"/>
    <w:rsid w:val="2CCB29F8"/>
    <w:rsid w:val="2CCD67FF"/>
    <w:rsid w:val="2CD12FBA"/>
    <w:rsid w:val="2CD47877"/>
    <w:rsid w:val="2CEA5B6F"/>
    <w:rsid w:val="2CF33A75"/>
    <w:rsid w:val="2CFC0493"/>
    <w:rsid w:val="2D016192"/>
    <w:rsid w:val="2D140EEB"/>
    <w:rsid w:val="2D142369"/>
    <w:rsid w:val="2D214A86"/>
    <w:rsid w:val="2D257531"/>
    <w:rsid w:val="2D2D6F87"/>
    <w:rsid w:val="2D404F0C"/>
    <w:rsid w:val="2D4F15F3"/>
    <w:rsid w:val="2D5664DE"/>
    <w:rsid w:val="2D604285"/>
    <w:rsid w:val="2D620001"/>
    <w:rsid w:val="2D684463"/>
    <w:rsid w:val="2D740657"/>
    <w:rsid w:val="2D782DB5"/>
    <w:rsid w:val="2D7B5F44"/>
    <w:rsid w:val="2D856DC3"/>
    <w:rsid w:val="2D865AD4"/>
    <w:rsid w:val="2D8D5C78"/>
    <w:rsid w:val="2D960FD0"/>
    <w:rsid w:val="2D990AC0"/>
    <w:rsid w:val="2D9F1E28"/>
    <w:rsid w:val="2D9F3732"/>
    <w:rsid w:val="2DA059AB"/>
    <w:rsid w:val="2DAA682A"/>
    <w:rsid w:val="2DAD1E76"/>
    <w:rsid w:val="2DBB4593"/>
    <w:rsid w:val="2DBE22D5"/>
    <w:rsid w:val="2DBF6E78"/>
    <w:rsid w:val="2DC518B5"/>
    <w:rsid w:val="2DD07429"/>
    <w:rsid w:val="2DD324FD"/>
    <w:rsid w:val="2DD47023"/>
    <w:rsid w:val="2DDD09AD"/>
    <w:rsid w:val="2DE03FF9"/>
    <w:rsid w:val="2DE31C0C"/>
    <w:rsid w:val="2DEA131C"/>
    <w:rsid w:val="2DF45CF7"/>
    <w:rsid w:val="2DF47AA5"/>
    <w:rsid w:val="2E112405"/>
    <w:rsid w:val="2E13617D"/>
    <w:rsid w:val="2E156399"/>
    <w:rsid w:val="2E1B3283"/>
    <w:rsid w:val="2E1E4B22"/>
    <w:rsid w:val="2E224612"/>
    <w:rsid w:val="2E277E7A"/>
    <w:rsid w:val="2E2E745B"/>
    <w:rsid w:val="2E3031D3"/>
    <w:rsid w:val="2E3E709D"/>
    <w:rsid w:val="2E444588"/>
    <w:rsid w:val="2E56075F"/>
    <w:rsid w:val="2E5A3DAC"/>
    <w:rsid w:val="2E5C55F1"/>
    <w:rsid w:val="2E6152CE"/>
    <w:rsid w:val="2E625356"/>
    <w:rsid w:val="2E6E5AA9"/>
    <w:rsid w:val="2E70537D"/>
    <w:rsid w:val="2E806E2E"/>
    <w:rsid w:val="2E8D3859"/>
    <w:rsid w:val="2E997DC5"/>
    <w:rsid w:val="2EA17C2D"/>
    <w:rsid w:val="2EA43279"/>
    <w:rsid w:val="2EA63495"/>
    <w:rsid w:val="2EA76DB2"/>
    <w:rsid w:val="2EC228B3"/>
    <w:rsid w:val="2ECE02F6"/>
    <w:rsid w:val="2EDE2C2F"/>
    <w:rsid w:val="2EDF0755"/>
    <w:rsid w:val="2EDF3BB7"/>
    <w:rsid w:val="2EE10029"/>
    <w:rsid w:val="2EE1627B"/>
    <w:rsid w:val="2EE344BF"/>
    <w:rsid w:val="2EE43FBD"/>
    <w:rsid w:val="2EE57227"/>
    <w:rsid w:val="2EE8585B"/>
    <w:rsid w:val="2EEB0EA8"/>
    <w:rsid w:val="2EF12866"/>
    <w:rsid w:val="2EF57F78"/>
    <w:rsid w:val="2EF73CF0"/>
    <w:rsid w:val="2EF75A9F"/>
    <w:rsid w:val="2EF93DE9"/>
    <w:rsid w:val="2EF97A69"/>
    <w:rsid w:val="2F023576"/>
    <w:rsid w:val="2F171C9D"/>
    <w:rsid w:val="2F1A47F5"/>
    <w:rsid w:val="2F1E74CF"/>
    <w:rsid w:val="2F285C58"/>
    <w:rsid w:val="2F2F3137"/>
    <w:rsid w:val="2F3252C9"/>
    <w:rsid w:val="2F3565C7"/>
    <w:rsid w:val="2F42474C"/>
    <w:rsid w:val="2F464CA4"/>
    <w:rsid w:val="2F4862FA"/>
    <w:rsid w:val="2F4B2AA5"/>
    <w:rsid w:val="2F4D1B62"/>
    <w:rsid w:val="2F6173BC"/>
    <w:rsid w:val="2F640AE7"/>
    <w:rsid w:val="2F6F1AD9"/>
    <w:rsid w:val="2F7D276A"/>
    <w:rsid w:val="2F7F5FCC"/>
    <w:rsid w:val="2F81180C"/>
    <w:rsid w:val="2F8135BA"/>
    <w:rsid w:val="2F862062"/>
    <w:rsid w:val="2F97591B"/>
    <w:rsid w:val="2F9D7B77"/>
    <w:rsid w:val="2FA06136"/>
    <w:rsid w:val="2FB13E9F"/>
    <w:rsid w:val="2FBF7622"/>
    <w:rsid w:val="2FC35981"/>
    <w:rsid w:val="2FCA4F61"/>
    <w:rsid w:val="2FD656B4"/>
    <w:rsid w:val="2FD933F6"/>
    <w:rsid w:val="2FDC6A42"/>
    <w:rsid w:val="2FE06533"/>
    <w:rsid w:val="2FE34275"/>
    <w:rsid w:val="2FE86ABF"/>
    <w:rsid w:val="2FE9288F"/>
    <w:rsid w:val="2FFE4C0B"/>
    <w:rsid w:val="2FFF10AF"/>
    <w:rsid w:val="30015796"/>
    <w:rsid w:val="3011493E"/>
    <w:rsid w:val="301A16BC"/>
    <w:rsid w:val="301B3A0F"/>
    <w:rsid w:val="302428C3"/>
    <w:rsid w:val="302C49BE"/>
    <w:rsid w:val="303643A5"/>
    <w:rsid w:val="30393E95"/>
    <w:rsid w:val="303E1027"/>
    <w:rsid w:val="30432B86"/>
    <w:rsid w:val="30470360"/>
    <w:rsid w:val="304B4230"/>
    <w:rsid w:val="304B42F4"/>
    <w:rsid w:val="304F5466"/>
    <w:rsid w:val="305111DE"/>
    <w:rsid w:val="305C0708"/>
    <w:rsid w:val="305F7D9F"/>
    <w:rsid w:val="30670A02"/>
    <w:rsid w:val="30705B08"/>
    <w:rsid w:val="30817D16"/>
    <w:rsid w:val="30A9726C"/>
    <w:rsid w:val="30B26121"/>
    <w:rsid w:val="30B900DD"/>
    <w:rsid w:val="30C16364"/>
    <w:rsid w:val="30C21B39"/>
    <w:rsid w:val="30C72547"/>
    <w:rsid w:val="30C90D7E"/>
    <w:rsid w:val="30D11392"/>
    <w:rsid w:val="30D36097"/>
    <w:rsid w:val="30DF2C8E"/>
    <w:rsid w:val="30E75ECA"/>
    <w:rsid w:val="30F5272E"/>
    <w:rsid w:val="30FC739C"/>
    <w:rsid w:val="3106021B"/>
    <w:rsid w:val="310C3B31"/>
    <w:rsid w:val="31124E12"/>
    <w:rsid w:val="3114742B"/>
    <w:rsid w:val="311A3CC6"/>
    <w:rsid w:val="311B6872"/>
    <w:rsid w:val="311C359A"/>
    <w:rsid w:val="31210BB1"/>
    <w:rsid w:val="31232B7B"/>
    <w:rsid w:val="31256B54"/>
    <w:rsid w:val="31327760"/>
    <w:rsid w:val="3139239E"/>
    <w:rsid w:val="313E5C07"/>
    <w:rsid w:val="313F372D"/>
    <w:rsid w:val="3140197F"/>
    <w:rsid w:val="31440D43"/>
    <w:rsid w:val="314D5E4A"/>
    <w:rsid w:val="31535D17"/>
    <w:rsid w:val="31540F86"/>
    <w:rsid w:val="31575433"/>
    <w:rsid w:val="315778A1"/>
    <w:rsid w:val="315C3AF7"/>
    <w:rsid w:val="316136A3"/>
    <w:rsid w:val="3163566D"/>
    <w:rsid w:val="316A69FC"/>
    <w:rsid w:val="316D3C3E"/>
    <w:rsid w:val="31794E91"/>
    <w:rsid w:val="317A6513"/>
    <w:rsid w:val="31A64643"/>
    <w:rsid w:val="31B45EC9"/>
    <w:rsid w:val="31B47C77"/>
    <w:rsid w:val="31B92F7B"/>
    <w:rsid w:val="31C60848"/>
    <w:rsid w:val="31C942AB"/>
    <w:rsid w:val="31E247E4"/>
    <w:rsid w:val="31F167D5"/>
    <w:rsid w:val="31F2079F"/>
    <w:rsid w:val="31F66FB0"/>
    <w:rsid w:val="31FB58A6"/>
    <w:rsid w:val="320675CA"/>
    <w:rsid w:val="320C530B"/>
    <w:rsid w:val="320F6A40"/>
    <w:rsid w:val="321228A1"/>
    <w:rsid w:val="32140412"/>
    <w:rsid w:val="32270449"/>
    <w:rsid w:val="32291E27"/>
    <w:rsid w:val="322E7A29"/>
    <w:rsid w:val="322F2868"/>
    <w:rsid w:val="3232451A"/>
    <w:rsid w:val="32440D4D"/>
    <w:rsid w:val="32453BA4"/>
    <w:rsid w:val="32481A44"/>
    <w:rsid w:val="324A4525"/>
    <w:rsid w:val="32537490"/>
    <w:rsid w:val="325423A8"/>
    <w:rsid w:val="32543208"/>
    <w:rsid w:val="32546D64"/>
    <w:rsid w:val="326C67A3"/>
    <w:rsid w:val="32713DBA"/>
    <w:rsid w:val="32751DCC"/>
    <w:rsid w:val="327B1B2B"/>
    <w:rsid w:val="32904EF7"/>
    <w:rsid w:val="32946B1A"/>
    <w:rsid w:val="32951856"/>
    <w:rsid w:val="329B4993"/>
    <w:rsid w:val="32A57329"/>
    <w:rsid w:val="32AC094E"/>
    <w:rsid w:val="32AD2849"/>
    <w:rsid w:val="32AF1367"/>
    <w:rsid w:val="32B75C71"/>
    <w:rsid w:val="32BF68D3"/>
    <w:rsid w:val="32C1089D"/>
    <w:rsid w:val="32C4038E"/>
    <w:rsid w:val="32C71C2C"/>
    <w:rsid w:val="32CA7A69"/>
    <w:rsid w:val="32CE4D68"/>
    <w:rsid w:val="32D0288E"/>
    <w:rsid w:val="32D103B5"/>
    <w:rsid w:val="32D22AAA"/>
    <w:rsid w:val="32D3237F"/>
    <w:rsid w:val="32D61E6F"/>
    <w:rsid w:val="32DD31FD"/>
    <w:rsid w:val="32E4633A"/>
    <w:rsid w:val="32E55188"/>
    <w:rsid w:val="32E96578"/>
    <w:rsid w:val="32EE71B8"/>
    <w:rsid w:val="32FA3DBE"/>
    <w:rsid w:val="3301513E"/>
    <w:rsid w:val="33044C2E"/>
    <w:rsid w:val="3307026F"/>
    <w:rsid w:val="330724A4"/>
    <w:rsid w:val="33152997"/>
    <w:rsid w:val="331A61FF"/>
    <w:rsid w:val="3326535D"/>
    <w:rsid w:val="33274478"/>
    <w:rsid w:val="33294E5C"/>
    <w:rsid w:val="333472C1"/>
    <w:rsid w:val="33380434"/>
    <w:rsid w:val="33475A71"/>
    <w:rsid w:val="335C05C6"/>
    <w:rsid w:val="335C74ED"/>
    <w:rsid w:val="335D7E9A"/>
    <w:rsid w:val="335F1E64"/>
    <w:rsid w:val="3361798A"/>
    <w:rsid w:val="3366379B"/>
    <w:rsid w:val="33664D30"/>
    <w:rsid w:val="337376BE"/>
    <w:rsid w:val="33742C5A"/>
    <w:rsid w:val="33802506"/>
    <w:rsid w:val="339064C2"/>
    <w:rsid w:val="33977B0E"/>
    <w:rsid w:val="33A7050A"/>
    <w:rsid w:val="33B4550E"/>
    <w:rsid w:val="33C60672"/>
    <w:rsid w:val="33D2187D"/>
    <w:rsid w:val="33D97E69"/>
    <w:rsid w:val="33E34843"/>
    <w:rsid w:val="33E365F1"/>
    <w:rsid w:val="34056568"/>
    <w:rsid w:val="340C56F3"/>
    <w:rsid w:val="340D7460"/>
    <w:rsid w:val="341B3FDD"/>
    <w:rsid w:val="342B17CD"/>
    <w:rsid w:val="34346E4D"/>
    <w:rsid w:val="34362BC5"/>
    <w:rsid w:val="34384E6E"/>
    <w:rsid w:val="34422459"/>
    <w:rsid w:val="34433534"/>
    <w:rsid w:val="344352E2"/>
    <w:rsid w:val="344C23E9"/>
    <w:rsid w:val="344F1ED9"/>
    <w:rsid w:val="34525525"/>
    <w:rsid w:val="34535903"/>
    <w:rsid w:val="3454129D"/>
    <w:rsid w:val="34565015"/>
    <w:rsid w:val="34572B3B"/>
    <w:rsid w:val="345C0152"/>
    <w:rsid w:val="34670FD0"/>
    <w:rsid w:val="34692F9B"/>
    <w:rsid w:val="346C1063"/>
    <w:rsid w:val="346C1935"/>
    <w:rsid w:val="34761214"/>
    <w:rsid w:val="347B4A7C"/>
    <w:rsid w:val="348328BC"/>
    <w:rsid w:val="34833930"/>
    <w:rsid w:val="348903E2"/>
    <w:rsid w:val="349815DE"/>
    <w:rsid w:val="349D49F2"/>
    <w:rsid w:val="34A636BD"/>
    <w:rsid w:val="34AD67AC"/>
    <w:rsid w:val="34AE30A3"/>
    <w:rsid w:val="34B8182C"/>
    <w:rsid w:val="34C5219B"/>
    <w:rsid w:val="34C927BF"/>
    <w:rsid w:val="34CE290D"/>
    <w:rsid w:val="34E21963"/>
    <w:rsid w:val="34E46AC5"/>
    <w:rsid w:val="34E940DB"/>
    <w:rsid w:val="34E97C37"/>
    <w:rsid w:val="34F565DC"/>
    <w:rsid w:val="35074561"/>
    <w:rsid w:val="35076310"/>
    <w:rsid w:val="3512782F"/>
    <w:rsid w:val="35132F06"/>
    <w:rsid w:val="353A66E5"/>
    <w:rsid w:val="35415CC5"/>
    <w:rsid w:val="354511A8"/>
    <w:rsid w:val="35470E02"/>
    <w:rsid w:val="35472BB0"/>
    <w:rsid w:val="354B444E"/>
    <w:rsid w:val="35521C81"/>
    <w:rsid w:val="355236A5"/>
    <w:rsid w:val="35527ED3"/>
    <w:rsid w:val="355A28E3"/>
    <w:rsid w:val="355E6877"/>
    <w:rsid w:val="35635C3C"/>
    <w:rsid w:val="356A0B04"/>
    <w:rsid w:val="356B2D42"/>
    <w:rsid w:val="356F318B"/>
    <w:rsid w:val="35725E7F"/>
    <w:rsid w:val="357F67EE"/>
    <w:rsid w:val="35831E3A"/>
    <w:rsid w:val="358E6A31"/>
    <w:rsid w:val="359127C4"/>
    <w:rsid w:val="359303AB"/>
    <w:rsid w:val="35A16764"/>
    <w:rsid w:val="35A30117"/>
    <w:rsid w:val="35AB1391"/>
    <w:rsid w:val="35C255A0"/>
    <w:rsid w:val="35C67F79"/>
    <w:rsid w:val="35C91817"/>
    <w:rsid w:val="35CA1235"/>
    <w:rsid w:val="35D03732"/>
    <w:rsid w:val="35D22DC1"/>
    <w:rsid w:val="35D24B6F"/>
    <w:rsid w:val="35D501BC"/>
    <w:rsid w:val="35D54660"/>
    <w:rsid w:val="35E02D14"/>
    <w:rsid w:val="35E63DEE"/>
    <w:rsid w:val="35F44AE6"/>
    <w:rsid w:val="35F9034E"/>
    <w:rsid w:val="35F965A0"/>
    <w:rsid w:val="35FB40C6"/>
    <w:rsid w:val="35FB53DA"/>
    <w:rsid w:val="36070CBD"/>
    <w:rsid w:val="36140CE4"/>
    <w:rsid w:val="361B6516"/>
    <w:rsid w:val="36377767"/>
    <w:rsid w:val="36443918"/>
    <w:rsid w:val="364A6F3B"/>
    <w:rsid w:val="364D41F6"/>
    <w:rsid w:val="3651512A"/>
    <w:rsid w:val="36533F02"/>
    <w:rsid w:val="3659703F"/>
    <w:rsid w:val="365C4749"/>
    <w:rsid w:val="3660217B"/>
    <w:rsid w:val="3663533D"/>
    <w:rsid w:val="3667175C"/>
    <w:rsid w:val="366A2FFA"/>
    <w:rsid w:val="36745C27"/>
    <w:rsid w:val="3679148F"/>
    <w:rsid w:val="367925D6"/>
    <w:rsid w:val="368478E9"/>
    <w:rsid w:val="36965B9D"/>
    <w:rsid w:val="369A017D"/>
    <w:rsid w:val="369B4675"/>
    <w:rsid w:val="369D33CF"/>
    <w:rsid w:val="36B944FC"/>
    <w:rsid w:val="36B9744C"/>
    <w:rsid w:val="36BD312A"/>
    <w:rsid w:val="36D36DF1"/>
    <w:rsid w:val="36D707E1"/>
    <w:rsid w:val="36D843C5"/>
    <w:rsid w:val="36E36908"/>
    <w:rsid w:val="36E508D2"/>
    <w:rsid w:val="36E51F4E"/>
    <w:rsid w:val="36E903C3"/>
    <w:rsid w:val="36EC1C61"/>
    <w:rsid w:val="36FB00F6"/>
    <w:rsid w:val="37054AD1"/>
    <w:rsid w:val="370827A1"/>
    <w:rsid w:val="37103B2F"/>
    <w:rsid w:val="37180CA8"/>
    <w:rsid w:val="372431A9"/>
    <w:rsid w:val="37272C99"/>
    <w:rsid w:val="37307DA0"/>
    <w:rsid w:val="3733163E"/>
    <w:rsid w:val="373D24BC"/>
    <w:rsid w:val="374A6B19"/>
    <w:rsid w:val="374D6BA3"/>
    <w:rsid w:val="374D7120"/>
    <w:rsid w:val="375A6FA6"/>
    <w:rsid w:val="376D0FF4"/>
    <w:rsid w:val="37753A04"/>
    <w:rsid w:val="3787198A"/>
    <w:rsid w:val="378B3228"/>
    <w:rsid w:val="379245B6"/>
    <w:rsid w:val="37A12A4B"/>
    <w:rsid w:val="37A9436D"/>
    <w:rsid w:val="37AB5678"/>
    <w:rsid w:val="37B4580A"/>
    <w:rsid w:val="37B50EBF"/>
    <w:rsid w:val="37BE4992"/>
    <w:rsid w:val="37C520A2"/>
    <w:rsid w:val="37C64260"/>
    <w:rsid w:val="37C8447C"/>
    <w:rsid w:val="37C95A3F"/>
    <w:rsid w:val="37CE75B8"/>
    <w:rsid w:val="37D1609D"/>
    <w:rsid w:val="37E334B9"/>
    <w:rsid w:val="37EA43F2"/>
    <w:rsid w:val="37EB3CC7"/>
    <w:rsid w:val="37F314FF"/>
    <w:rsid w:val="37F46FAB"/>
    <w:rsid w:val="37F6424A"/>
    <w:rsid w:val="37FB65FF"/>
    <w:rsid w:val="37FF59C4"/>
    <w:rsid w:val="38042FDA"/>
    <w:rsid w:val="3814146F"/>
    <w:rsid w:val="3814321D"/>
    <w:rsid w:val="38147DB9"/>
    <w:rsid w:val="381E22EE"/>
    <w:rsid w:val="38262F51"/>
    <w:rsid w:val="382F62A9"/>
    <w:rsid w:val="383425AF"/>
    <w:rsid w:val="38342F1F"/>
    <w:rsid w:val="38402264"/>
    <w:rsid w:val="384635F3"/>
    <w:rsid w:val="38482E1D"/>
    <w:rsid w:val="384942F4"/>
    <w:rsid w:val="384D1A11"/>
    <w:rsid w:val="38523D46"/>
    <w:rsid w:val="38632812"/>
    <w:rsid w:val="38653A79"/>
    <w:rsid w:val="386572B7"/>
    <w:rsid w:val="38666EAE"/>
    <w:rsid w:val="386B4E07"/>
    <w:rsid w:val="38736F6F"/>
    <w:rsid w:val="38791945"/>
    <w:rsid w:val="38821F03"/>
    <w:rsid w:val="38AA1B3D"/>
    <w:rsid w:val="38AF3B3A"/>
    <w:rsid w:val="38B93DC5"/>
    <w:rsid w:val="38CD161E"/>
    <w:rsid w:val="38CF183A"/>
    <w:rsid w:val="38DF7CCF"/>
    <w:rsid w:val="38EE1885"/>
    <w:rsid w:val="39047736"/>
    <w:rsid w:val="390A4620"/>
    <w:rsid w:val="3914724D"/>
    <w:rsid w:val="39165DB5"/>
    <w:rsid w:val="392576AC"/>
    <w:rsid w:val="3929719C"/>
    <w:rsid w:val="39322BF4"/>
    <w:rsid w:val="39332FE0"/>
    <w:rsid w:val="393D0552"/>
    <w:rsid w:val="393F251C"/>
    <w:rsid w:val="394E6C03"/>
    <w:rsid w:val="39551D3F"/>
    <w:rsid w:val="395A7356"/>
    <w:rsid w:val="395D2C17"/>
    <w:rsid w:val="39616936"/>
    <w:rsid w:val="3962620A"/>
    <w:rsid w:val="39627FB8"/>
    <w:rsid w:val="396F26D5"/>
    <w:rsid w:val="39700927"/>
    <w:rsid w:val="39861EF9"/>
    <w:rsid w:val="3986639D"/>
    <w:rsid w:val="39881188"/>
    <w:rsid w:val="398E0DAD"/>
    <w:rsid w:val="398F7B14"/>
    <w:rsid w:val="399E072F"/>
    <w:rsid w:val="399E3749"/>
    <w:rsid w:val="39A20CFD"/>
    <w:rsid w:val="39B8407C"/>
    <w:rsid w:val="39D256E6"/>
    <w:rsid w:val="39D52E80"/>
    <w:rsid w:val="39D65EB5"/>
    <w:rsid w:val="39D76BF8"/>
    <w:rsid w:val="39E032BD"/>
    <w:rsid w:val="39E66E3B"/>
    <w:rsid w:val="39F62BE7"/>
    <w:rsid w:val="39FD5F33"/>
    <w:rsid w:val="39FE6452"/>
    <w:rsid w:val="3A00614F"/>
    <w:rsid w:val="3A0669E3"/>
    <w:rsid w:val="3A10210A"/>
    <w:rsid w:val="3A184B1B"/>
    <w:rsid w:val="3A192D6D"/>
    <w:rsid w:val="3A1C0AAF"/>
    <w:rsid w:val="3A1F72F6"/>
    <w:rsid w:val="3A20652A"/>
    <w:rsid w:val="3A331955"/>
    <w:rsid w:val="3A3556CD"/>
    <w:rsid w:val="3A4F49E1"/>
    <w:rsid w:val="3A52627F"/>
    <w:rsid w:val="3A5B15D7"/>
    <w:rsid w:val="3A5C70FE"/>
    <w:rsid w:val="3A5F274A"/>
    <w:rsid w:val="3A637528"/>
    <w:rsid w:val="3A637F2A"/>
    <w:rsid w:val="3A647D60"/>
    <w:rsid w:val="3A6A35C8"/>
    <w:rsid w:val="3A6B10EF"/>
    <w:rsid w:val="3A712BA9"/>
    <w:rsid w:val="3A773F37"/>
    <w:rsid w:val="3A8363D5"/>
    <w:rsid w:val="3A862007"/>
    <w:rsid w:val="3A8A77C7"/>
    <w:rsid w:val="3A955F0B"/>
    <w:rsid w:val="3A970136"/>
    <w:rsid w:val="3AB25DFB"/>
    <w:rsid w:val="3AB44462"/>
    <w:rsid w:val="3AB72586"/>
    <w:rsid w:val="3AB77943"/>
    <w:rsid w:val="3AC0143A"/>
    <w:rsid w:val="3AD35612"/>
    <w:rsid w:val="3AD76784"/>
    <w:rsid w:val="3ADC3D9A"/>
    <w:rsid w:val="3ADE736E"/>
    <w:rsid w:val="3AE35129"/>
    <w:rsid w:val="3AEF05F1"/>
    <w:rsid w:val="3AF31810"/>
    <w:rsid w:val="3B026536"/>
    <w:rsid w:val="3B194FEF"/>
    <w:rsid w:val="3B200B4B"/>
    <w:rsid w:val="3B295232"/>
    <w:rsid w:val="3B2A5086"/>
    <w:rsid w:val="3B3B4F65"/>
    <w:rsid w:val="3B471B5C"/>
    <w:rsid w:val="3B474991"/>
    <w:rsid w:val="3B4B164C"/>
    <w:rsid w:val="3B580073"/>
    <w:rsid w:val="3B5B4125"/>
    <w:rsid w:val="3B660DF8"/>
    <w:rsid w:val="3B675D5A"/>
    <w:rsid w:val="3B732951"/>
    <w:rsid w:val="3B762456"/>
    <w:rsid w:val="3B7641EF"/>
    <w:rsid w:val="3B7B35B3"/>
    <w:rsid w:val="3B7C1C88"/>
    <w:rsid w:val="3B86103D"/>
    <w:rsid w:val="3B8C57C0"/>
    <w:rsid w:val="3B8E32E7"/>
    <w:rsid w:val="3BAB20EB"/>
    <w:rsid w:val="3BAC19BF"/>
    <w:rsid w:val="3BB52390"/>
    <w:rsid w:val="3BBC60A6"/>
    <w:rsid w:val="3BBD1E1E"/>
    <w:rsid w:val="3BBD46ED"/>
    <w:rsid w:val="3BC136BC"/>
    <w:rsid w:val="3BC1546A"/>
    <w:rsid w:val="3BC62A80"/>
    <w:rsid w:val="3BD67A7F"/>
    <w:rsid w:val="3BD80A06"/>
    <w:rsid w:val="3BD9267D"/>
    <w:rsid w:val="3BDA477E"/>
    <w:rsid w:val="3BE86E9B"/>
    <w:rsid w:val="3BF17BB1"/>
    <w:rsid w:val="3BF35840"/>
    <w:rsid w:val="3C013FD1"/>
    <w:rsid w:val="3C017F5D"/>
    <w:rsid w:val="3C033CD5"/>
    <w:rsid w:val="3C0637C5"/>
    <w:rsid w:val="3C1732DC"/>
    <w:rsid w:val="3C180DD4"/>
    <w:rsid w:val="3C1A2DCC"/>
    <w:rsid w:val="3C1F4887"/>
    <w:rsid w:val="3C222488"/>
    <w:rsid w:val="3C2422A7"/>
    <w:rsid w:val="3C255353"/>
    <w:rsid w:val="3C26066F"/>
    <w:rsid w:val="3C2E0626"/>
    <w:rsid w:val="3C305DD2"/>
    <w:rsid w:val="3C322195"/>
    <w:rsid w:val="3C395934"/>
    <w:rsid w:val="3C495460"/>
    <w:rsid w:val="3C4A1D24"/>
    <w:rsid w:val="3C4B11D8"/>
    <w:rsid w:val="3C4B742A"/>
    <w:rsid w:val="3C5B11BA"/>
    <w:rsid w:val="3C797B49"/>
    <w:rsid w:val="3C7A7782"/>
    <w:rsid w:val="3C80169E"/>
    <w:rsid w:val="3C834E15"/>
    <w:rsid w:val="3C8446EA"/>
    <w:rsid w:val="3C8B5A78"/>
    <w:rsid w:val="3C925059"/>
    <w:rsid w:val="3C9C7C85"/>
    <w:rsid w:val="3CA21F1A"/>
    <w:rsid w:val="3CA8487C"/>
    <w:rsid w:val="3CAF5C0A"/>
    <w:rsid w:val="3CB0609F"/>
    <w:rsid w:val="3CB13030"/>
    <w:rsid w:val="3CB46D7D"/>
    <w:rsid w:val="3CC64D02"/>
    <w:rsid w:val="3CD15B81"/>
    <w:rsid w:val="3CD43F35"/>
    <w:rsid w:val="3CDD2778"/>
    <w:rsid w:val="3CDD6728"/>
    <w:rsid w:val="3CEA09F1"/>
    <w:rsid w:val="3D006466"/>
    <w:rsid w:val="3D073BE0"/>
    <w:rsid w:val="3D0D2931"/>
    <w:rsid w:val="3D112421"/>
    <w:rsid w:val="3D141F11"/>
    <w:rsid w:val="3D1A0A8C"/>
    <w:rsid w:val="3D1D2B74"/>
    <w:rsid w:val="3D1E4B3E"/>
    <w:rsid w:val="3D2739F3"/>
    <w:rsid w:val="3D3305EA"/>
    <w:rsid w:val="3D332398"/>
    <w:rsid w:val="3D540560"/>
    <w:rsid w:val="3D600CB3"/>
    <w:rsid w:val="3D676806"/>
    <w:rsid w:val="3D687B67"/>
    <w:rsid w:val="3D747960"/>
    <w:rsid w:val="3D7B5CA4"/>
    <w:rsid w:val="3D814B7E"/>
    <w:rsid w:val="3D8C5F4C"/>
    <w:rsid w:val="3D912D9E"/>
    <w:rsid w:val="3DA94A83"/>
    <w:rsid w:val="3DAB63D2"/>
    <w:rsid w:val="3DAE1A1E"/>
    <w:rsid w:val="3DB1150E"/>
    <w:rsid w:val="3DBE6CBF"/>
    <w:rsid w:val="3DBF6FEC"/>
    <w:rsid w:val="3DC06796"/>
    <w:rsid w:val="3DC6320C"/>
    <w:rsid w:val="3DD11BB1"/>
    <w:rsid w:val="3DD1395F"/>
    <w:rsid w:val="3DD31485"/>
    <w:rsid w:val="3DD671C7"/>
    <w:rsid w:val="3DDD1245"/>
    <w:rsid w:val="3DE55A6B"/>
    <w:rsid w:val="3DE90B94"/>
    <w:rsid w:val="3DEB4AAE"/>
    <w:rsid w:val="3DF17B5D"/>
    <w:rsid w:val="3DF633C5"/>
    <w:rsid w:val="3DFC5212"/>
    <w:rsid w:val="3E027FBC"/>
    <w:rsid w:val="3E03620E"/>
    <w:rsid w:val="3E043D34"/>
    <w:rsid w:val="3E0545CC"/>
    <w:rsid w:val="3E0755D2"/>
    <w:rsid w:val="3E083824"/>
    <w:rsid w:val="3E126451"/>
    <w:rsid w:val="3E202458"/>
    <w:rsid w:val="3E2B12C1"/>
    <w:rsid w:val="3E30750E"/>
    <w:rsid w:val="3E3A59A8"/>
    <w:rsid w:val="3E4D1237"/>
    <w:rsid w:val="3E4D2EAE"/>
    <w:rsid w:val="3E4E4FAF"/>
    <w:rsid w:val="3E5527E2"/>
    <w:rsid w:val="3E55633E"/>
    <w:rsid w:val="3E587BDC"/>
    <w:rsid w:val="3E5F71BC"/>
    <w:rsid w:val="3E742C68"/>
    <w:rsid w:val="3E75078E"/>
    <w:rsid w:val="3E772758"/>
    <w:rsid w:val="3E7839C8"/>
    <w:rsid w:val="3E7C1B1C"/>
    <w:rsid w:val="3E7D3DBA"/>
    <w:rsid w:val="3E8B6B6B"/>
    <w:rsid w:val="3E902A28"/>
    <w:rsid w:val="3E99447C"/>
    <w:rsid w:val="3E9E5F37"/>
    <w:rsid w:val="3E9F580B"/>
    <w:rsid w:val="3EA42E21"/>
    <w:rsid w:val="3EAD43CC"/>
    <w:rsid w:val="3EC57610"/>
    <w:rsid w:val="3ED06C0B"/>
    <w:rsid w:val="3EDC0588"/>
    <w:rsid w:val="3EDF3E59"/>
    <w:rsid w:val="3EE015EE"/>
    <w:rsid w:val="3EE02F9F"/>
    <w:rsid w:val="3EE55913"/>
    <w:rsid w:val="3EF33EEC"/>
    <w:rsid w:val="3EFD0EAF"/>
    <w:rsid w:val="3EFE4C27"/>
    <w:rsid w:val="3F007133"/>
    <w:rsid w:val="3F055FB6"/>
    <w:rsid w:val="3F056068"/>
    <w:rsid w:val="3F067638"/>
    <w:rsid w:val="3F0833B0"/>
    <w:rsid w:val="3F0D6C18"/>
    <w:rsid w:val="3F122481"/>
    <w:rsid w:val="3F1C50AD"/>
    <w:rsid w:val="3F310B59"/>
    <w:rsid w:val="3F397A0D"/>
    <w:rsid w:val="3F4A39C9"/>
    <w:rsid w:val="3F544847"/>
    <w:rsid w:val="3F5E3036"/>
    <w:rsid w:val="3F6A406B"/>
    <w:rsid w:val="3F8812E7"/>
    <w:rsid w:val="3F9B66C7"/>
    <w:rsid w:val="3FAA4467"/>
    <w:rsid w:val="3FAF1A7E"/>
    <w:rsid w:val="3FB556A8"/>
    <w:rsid w:val="3FB71B0D"/>
    <w:rsid w:val="3FC4377B"/>
    <w:rsid w:val="3FCE45FA"/>
    <w:rsid w:val="3FE47979"/>
    <w:rsid w:val="3FE91433"/>
    <w:rsid w:val="3FF134E9"/>
    <w:rsid w:val="3FF409AA"/>
    <w:rsid w:val="3FF50647"/>
    <w:rsid w:val="3FFB2F15"/>
    <w:rsid w:val="3FFF1FF6"/>
    <w:rsid w:val="40036885"/>
    <w:rsid w:val="40060D04"/>
    <w:rsid w:val="400A21C1"/>
    <w:rsid w:val="401F6C03"/>
    <w:rsid w:val="40207C82"/>
    <w:rsid w:val="403A1C8F"/>
    <w:rsid w:val="403C5A07"/>
    <w:rsid w:val="40430EBF"/>
    <w:rsid w:val="404B500C"/>
    <w:rsid w:val="4050500F"/>
    <w:rsid w:val="40562486"/>
    <w:rsid w:val="40582115"/>
    <w:rsid w:val="40583EC3"/>
    <w:rsid w:val="406E1939"/>
    <w:rsid w:val="407A3F33"/>
    <w:rsid w:val="407C5E04"/>
    <w:rsid w:val="409273D5"/>
    <w:rsid w:val="409D5D7A"/>
    <w:rsid w:val="40A4535A"/>
    <w:rsid w:val="40A8192D"/>
    <w:rsid w:val="40AA0BC3"/>
    <w:rsid w:val="40B732E0"/>
    <w:rsid w:val="40BA692C"/>
    <w:rsid w:val="40CD20C1"/>
    <w:rsid w:val="40CE36A9"/>
    <w:rsid w:val="40CF0629"/>
    <w:rsid w:val="40D53766"/>
    <w:rsid w:val="40DB5220"/>
    <w:rsid w:val="40DC4AF4"/>
    <w:rsid w:val="40DE086C"/>
    <w:rsid w:val="40DE261A"/>
    <w:rsid w:val="40E20EAF"/>
    <w:rsid w:val="40F55BB6"/>
    <w:rsid w:val="410302D3"/>
    <w:rsid w:val="41100EA9"/>
    <w:rsid w:val="41250249"/>
    <w:rsid w:val="412D5350"/>
    <w:rsid w:val="413761CE"/>
    <w:rsid w:val="413B5CBF"/>
    <w:rsid w:val="414817DE"/>
    <w:rsid w:val="414C1C7A"/>
    <w:rsid w:val="41636FC4"/>
    <w:rsid w:val="416F3BBA"/>
    <w:rsid w:val="4176573A"/>
    <w:rsid w:val="41780CC1"/>
    <w:rsid w:val="417E40F4"/>
    <w:rsid w:val="418A09F4"/>
    <w:rsid w:val="41914089"/>
    <w:rsid w:val="419158DF"/>
    <w:rsid w:val="419E1DAA"/>
    <w:rsid w:val="41A4111B"/>
    <w:rsid w:val="41AA01E9"/>
    <w:rsid w:val="41B94E35"/>
    <w:rsid w:val="41BE41FA"/>
    <w:rsid w:val="41C23CEA"/>
    <w:rsid w:val="41C869DC"/>
    <w:rsid w:val="41D57EC1"/>
    <w:rsid w:val="41D61543"/>
    <w:rsid w:val="41DB278B"/>
    <w:rsid w:val="41F145CF"/>
    <w:rsid w:val="41FE704B"/>
    <w:rsid w:val="42022339"/>
    <w:rsid w:val="421A1D78"/>
    <w:rsid w:val="4222284D"/>
    <w:rsid w:val="422624CB"/>
    <w:rsid w:val="422912CB"/>
    <w:rsid w:val="4239004B"/>
    <w:rsid w:val="423A5F76"/>
    <w:rsid w:val="4241698C"/>
    <w:rsid w:val="424B5CEC"/>
    <w:rsid w:val="424E567E"/>
    <w:rsid w:val="42641245"/>
    <w:rsid w:val="4269060A"/>
    <w:rsid w:val="42750D5C"/>
    <w:rsid w:val="42755200"/>
    <w:rsid w:val="427E3D58"/>
    <w:rsid w:val="42894808"/>
    <w:rsid w:val="42925DB2"/>
    <w:rsid w:val="42A030EA"/>
    <w:rsid w:val="42A2043D"/>
    <w:rsid w:val="42B07FE6"/>
    <w:rsid w:val="42B20202"/>
    <w:rsid w:val="42B3131D"/>
    <w:rsid w:val="42B32AA8"/>
    <w:rsid w:val="42B35635"/>
    <w:rsid w:val="42C615B8"/>
    <w:rsid w:val="42CB0DDE"/>
    <w:rsid w:val="42D06325"/>
    <w:rsid w:val="42D81448"/>
    <w:rsid w:val="42E169FF"/>
    <w:rsid w:val="42E47C90"/>
    <w:rsid w:val="42E81B1A"/>
    <w:rsid w:val="42EF2937"/>
    <w:rsid w:val="43000F6E"/>
    <w:rsid w:val="43045146"/>
    <w:rsid w:val="430640AA"/>
    <w:rsid w:val="43065E58"/>
    <w:rsid w:val="430B346F"/>
    <w:rsid w:val="430C3618"/>
    <w:rsid w:val="430D7A77"/>
    <w:rsid w:val="430F2F5F"/>
    <w:rsid w:val="431342F2"/>
    <w:rsid w:val="43142DC0"/>
    <w:rsid w:val="43150AFE"/>
    <w:rsid w:val="431B0BBB"/>
    <w:rsid w:val="43244531"/>
    <w:rsid w:val="43252782"/>
    <w:rsid w:val="43282273"/>
    <w:rsid w:val="43284021"/>
    <w:rsid w:val="432B328C"/>
    <w:rsid w:val="43394480"/>
    <w:rsid w:val="43440874"/>
    <w:rsid w:val="434846C3"/>
    <w:rsid w:val="434D1CD9"/>
    <w:rsid w:val="43503578"/>
    <w:rsid w:val="43543068"/>
    <w:rsid w:val="43566DE0"/>
    <w:rsid w:val="435968D0"/>
    <w:rsid w:val="435C12C8"/>
    <w:rsid w:val="435E5C94"/>
    <w:rsid w:val="436037BB"/>
    <w:rsid w:val="43667E29"/>
    <w:rsid w:val="436B215F"/>
    <w:rsid w:val="43761230"/>
    <w:rsid w:val="437770DA"/>
    <w:rsid w:val="43802FAC"/>
    <w:rsid w:val="438751EB"/>
    <w:rsid w:val="438C0A54"/>
    <w:rsid w:val="43A15B81"/>
    <w:rsid w:val="43AC4C52"/>
    <w:rsid w:val="43AF64F0"/>
    <w:rsid w:val="43B14016"/>
    <w:rsid w:val="43BD09C5"/>
    <w:rsid w:val="43C24475"/>
    <w:rsid w:val="43C875B2"/>
    <w:rsid w:val="43CC52F4"/>
    <w:rsid w:val="43CC533A"/>
    <w:rsid w:val="43CD4BC8"/>
    <w:rsid w:val="43D66254"/>
    <w:rsid w:val="43D877F5"/>
    <w:rsid w:val="43D944B4"/>
    <w:rsid w:val="43DB72E5"/>
    <w:rsid w:val="43EC504E"/>
    <w:rsid w:val="43F1058C"/>
    <w:rsid w:val="43F5270B"/>
    <w:rsid w:val="43F87E97"/>
    <w:rsid w:val="44004F9E"/>
    <w:rsid w:val="4413108B"/>
    <w:rsid w:val="44330ECF"/>
    <w:rsid w:val="443F51FF"/>
    <w:rsid w:val="44437E31"/>
    <w:rsid w:val="44444E8A"/>
    <w:rsid w:val="44482368"/>
    <w:rsid w:val="444B10A1"/>
    <w:rsid w:val="444E3F5B"/>
    <w:rsid w:val="44692B43"/>
    <w:rsid w:val="44711463"/>
    <w:rsid w:val="44782D86"/>
    <w:rsid w:val="447B3679"/>
    <w:rsid w:val="447C75B1"/>
    <w:rsid w:val="4484172B"/>
    <w:rsid w:val="44894E7D"/>
    <w:rsid w:val="4491151F"/>
    <w:rsid w:val="449221E8"/>
    <w:rsid w:val="44A616A1"/>
    <w:rsid w:val="44A81968"/>
    <w:rsid w:val="44BE2E8F"/>
    <w:rsid w:val="44C60BDB"/>
    <w:rsid w:val="44D2693A"/>
    <w:rsid w:val="44D34460"/>
    <w:rsid w:val="44D85746"/>
    <w:rsid w:val="44E421C9"/>
    <w:rsid w:val="44E75AFC"/>
    <w:rsid w:val="44E8266B"/>
    <w:rsid w:val="44ED5F30"/>
    <w:rsid w:val="44FC39B7"/>
    <w:rsid w:val="450B2A76"/>
    <w:rsid w:val="450D34CE"/>
    <w:rsid w:val="45101210"/>
    <w:rsid w:val="451E1DDE"/>
    <w:rsid w:val="4521341D"/>
    <w:rsid w:val="4526104F"/>
    <w:rsid w:val="452A22D2"/>
    <w:rsid w:val="452C5874"/>
    <w:rsid w:val="452E1696"/>
    <w:rsid w:val="453601E1"/>
    <w:rsid w:val="453E18DA"/>
    <w:rsid w:val="45435142"/>
    <w:rsid w:val="45464C32"/>
    <w:rsid w:val="454F68F6"/>
    <w:rsid w:val="455530C7"/>
    <w:rsid w:val="45560921"/>
    <w:rsid w:val="455A2923"/>
    <w:rsid w:val="456B28EB"/>
    <w:rsid w:val="457025F7"/>
    <w:rsid w:val="45765517"/>
    <w:rsid w:val="457D002E"/>
    <w:rsid w:val="459B4F7E"/>
    <w:rsid w:val="459B76C5"/>
    <w:rsid w:val="45B20519"/>
    <w:rsid w:val="45B37FDB"/>
    <w:rsid w:val="45B55914"/>
    <w:rsid w:val="45B63B66"/>
    <w:rsid w:val="45C269AF"/>
    <w:rsid w:val="45C51FFB"/>
    <w:rsid w:val="45C67B21"/>
    <w:rsid w:val="45D40490"/>
    <w:rsid w:val="45D93FD6"/>
    <w:rsid w:val="45DD7344"/>
    <w:rsid w:val="45DE0445"/>
    <w:rsid w:val="45DE4E6B"/>
    <w:rsid w:val="45E306D3"/>
    <w:rsid w:val="45E5444B"/>
    <w:rsid w:val="45E82BE1"/>
    <w:rsid w:val="45EF0E79"/>
    <w:rsid w:val="45EF4F6D"/>
    <w:rsid w:val="46076747"/>
    <w:rsid w:val="46092013"/>
    <w:rsid w:val="46181F02"/>
    <w:rsid w:val="46241571"/>
    <w:rsid w:val="46284C65"/>
    <w:rsid w:val="462E4BDF"/>
    <w:rsid w:val="46405B25"/>
    <w:rsid w:val="464E0242"/>
    <w:rsid w:val="46553871"/>
    <w:rsid w:val="465670F7"/>
    <w:rsid w:val="465D7456"/>
    <w:rsid w:val="466730B2"/>
    <w:rsid w:val="46712183"/>
    <w:rsid w:val="467B090B"/>
    <w:rsid w:val="467B6B5D"/>
    <w:rsid w:val="468659EC"/>
    <w:rsid w:val="468772B0"/>
    <w:rsid w:val="469903A9"/>
    <w:rsid w:val="469A3487"/>
    <w:rsid w:val="46A07F85"/>
    <w:rsid w:val="46A423A3"/>
    <w:rsid w:val="46A936CA"/>
    <w:rsid w:val="46B81B60"/>
    <w:rsid w:val="46BA1434"/>
    <w:rsid w:val="46BA7686"/>
    <w:rsid w:val="46BF4C9C"/>
    <w:rsid w:val="46C027C2"/>
    <w:rsid w:val="46C23E1E"/>
    <w:rsid w:val="46C7480B"/>
    <w:rsid w:val="46C87FF5"/>
    <w:rsid w:val="46D63D94"/>
    <w:rsid w:val="46D83FB0"/>
    <w:rsid w:val="46D97270"/>
    <w:rsid w:val="46DD3374"/>
    <w:rsid w:val="46E14C12"/>
    <w:rsid w:val="46E4330D"/>
    <w:rsid w:val="46E62229"/>
    <w:rsid w:val="46EB3A7D"/>
    <w:rsid w:val="46EB6C0A"/>
    <w:rsid w:val="46ED1809"/>
    <w:rsid w:val="46FD57C4"/>
    <w:rsid w:val="47024B89"/>
    <w:rsid w:val="47156483"/>
    <w:rsid w:val="47156E90"/>
    <w:rsid w:val="471D091C"/>
    <w:rsid w:val="471D75AA"/>
    <w:rsid w:val="4724204E"/>
    <w:rsid w:val="47252698"/>
    <w:rsid w:val="472739AC"/>
    <w:rsid w:val="47280A93"/>
    <w:rsid w:val="472E6AC0"/>
    <w:rsid w:val="473311E6"/>
    <w:rsid w:val="473E02B7"/>
    <w:rsid w:val="47526AA6"/>
    <w:rsid w:val="475C6961"/>
    <w:rsid w:val="47636EF6"/>
    <w:rsid w:val="476A2E5A"/>
    <w:rsid w:val="4770243A"/>
    <w:rsid w:val="477E4B57"/>
    <w:rsid w:val="478A52AA"/>
    <w:rsid w:val="4799729B"/>
    <w:rsid w:val="479A3013"/>
    <w:rsid w:val="47A3011A"/>
    <w:rsid w:val="47A81BD4"/>
    <w:rsid w:val="47AA14A8"/>
    <w:rsid w:val="47AB5220"/>
    <w:rsid w:val="47AF2F63"/>
    <w:rsid w:val="47B24C6F"/>
    <w:rsid w:val="47B73BC5"/>
    <w:rsid w:val="47BA5463"/>
    <w:rsid w:val="47BB1907"/>
    <w:rsid w:val="47C503B6"/>
    <w:rsid w:val="47C84024"/>
    <w:rsid w:val="47D2694E"/>
    <w:rsid w:val="47D73C53"/>
    <w:rsid w:val="47E726FC"/>
    <w:rsid w:val="47F31256"/>
    <w:rsid w:val="47F506FF"/>
    <w:rsid w:val="480170C1"/>
    <w:rsid w:val="48057C2C"/>
    <w:rsid w:val="480D7C89"/>
    <w:rsid w:val="48161AD5"/>
    <w:rsid w:val="482A18F1"/>
    <w:rsid w:val="482F3527"/>
    <w:rsid w:val="48335942"/>
    <w:rsid w:val="483E7A29"/>
    <w:rsid w:val="484511D1"/>
    <w:rsid w:val="484713ED"/>
    <w:rsid w:val="48537D92"/>
    <w:rsid w:val="486003D7"/>
    <w:rsid w:val="48671F57"/>
    <w:rsid w:val="486E697A"/>
    <w:rsid w:val="48733F90"/>
    <w:rsid w:val="48743864"/>
    <w:rsid w:val="48796C8C"/>
    <w:rsid w:val="48873598"/>
    <w:rsid w:val="488A3088"/>
    <w:rsid w:val="488B14F6"/>
    <w:rsid w:val="48943F06"/>
    <w:rsid w:val="489D4267"/>
    <w:rsid w:val="48A1667A"/>
    <w:rsid w:val="48AC6FE7"/>
    <w:rsid w:val="48B25FDD"/>
    <w:rsid w:val="48B545A9"/>
    <w:rsid w:val="48BE2FC1"/>
    <w:rsid w:val="48BF2D31"/>
    <w:rsid w:val="48C06AA9"/>
    <w:rsid w:val="48C26CC5"/>
    <w:rsid w:val="48C42A3E"/>
    <w:rsid w:val="48D2515B"/>
    <w:rsid w:val="48E7672C"/>
    <w:rsid w:val="48EB621C"/>
    <w:rsid w:val="48EC789E"/>
    <w:rsid w:val="48ED6C15"/>
    <w:rsid w:val="48EF5105"/>
    <w:rsid w:val="48FC4F6F"/>
    <w:rsid w:val="4913307D"/>
    <w:rsid w:val="49196666"/>
    <w:rsid w:val="49247038"/>
    <w:rsid w:val="49344EE6"/>
    <w:rsid w:val="493A685C"/>
    <w:rsid w:val="493C0826"/>
    <w:rsid w:val="493F0316"/>
    <w:rsid w:val="49405D27"/>
    <w:rsid w:val="49470F79"/>
    <w:rsid w:val="494E2307"/>
    <w:rsid w:val="494F67AB"/>
    <w:rsid w:val="49501DA1"/>
    <w:rsid w:val="49557B3A"/>
    <w:rsid w:val="495C33E9"/>
    <w:rsid w:val="49627B61"/>
    <w:rsid w:val="49672E79"/>
    <w:rsid w:val="4968161B"/>
    <w:rsid w:val="496F0BFB"/>
    <w:rsid w:val="4972249A"/>
    <w:rsid w:val="49753D38"/>
    <w:rsid w:val="498C288F"/>
    <w:rsid w:val="498D65B5"/>
    <w:rsid w:val="49915890"/>
    <w:rsid w:val="49A563CB"/>
    <w:rsid w:val="49AA39E1"/>
    <w:rsid w:val="49B26D3A"/>
    <w:rsid w:val="49C32CF5"/>
    <w:rsid w:val="49CA3651"/>
    <w:rsid w:val="49CB3958"/>
    <w:rsid w:val="49DE368B"/>
    <w:rsid w:val="49DF1E2E"/>
    <w:rsid w:val="49E05655"/>
    <w:rsid w:val="49F25388"/>
    <w:rsid w:val="4A0D3F70"/>
    <w:rsid w:val="4A1B043B"/>
    <w:rsid w:val="4A2319E6"/>
    <w:rsid w:val="4A2A4B22"/>
    <w:rsid w:val="4A3E275F"/>
    <w:rsid w:val="4A45370A"/>
    <w:rsid w:val="4A4554B8"/>
    <w:rsid w:val="4A4731E5"/>
    <w:rsid w:val="4A541B9F"/>
    <w:rsid w:val="4A5B1180"/>
    <w:rsid w:val="4A5C2D72"/>
    <w:rsid w:val="4A5D4EF8"/>
    <w:rsid w:val="4A5E0763"/>
    <w:rsid w:val="4A5E2A1E"/>
    <w:rsid w:val="4A745D9D"/>
    <w:rsid w:val="4A802994"/>
    <w:rsid w:val="4A82670C"/>
    <w:rsid w:val="4A897A9B"/>
    <w:rsid w:val="4A8A6194"/>
    <w:rsid w:val="4A8E3303"/>
    <w:rsid w:val="4A9401EE"/>
    <w:rsid w:val="4A990CFA"/>
    <w:rsid w:val="4A9A1C7D"/>
    <w:rsid w:val="4ABD7168"/>
    <w:rsid w:val="4AC1090E"/>
    <w:rsid w:val="4AC42881"/>
    <w:rsid w:val="4AC449E6"/>
    <w:rsid w:val="4AC5057F"/>
    <w:rsid w:val="4AC960E9"/>
    <w:rsid w:val="4ADA02F6"/>
    <w:rsid w:val="4B035ADD"/>
    <w:rsid w:val="4B0E1224"/>
    <w:rsid w:val="4B272E10"/>
    <w:rsid w:val="4B2C1D00"/>
    <w:rsid w:val="4B2D7088"/>
    <w:rsid w:val="4B481704"/>
    <w:rsid w:val="4B492A9E"/>
    <w:rsid w:val="4B5300A9"/>
    <w:rsid w:val="4B5F25AA"/>
    <w:rsid w:val="4B663938"/>
    <w:rsid w:val="4B6E4EE3"/>
    <w:rsid w:val="4B755B61"/>
    <w:rsid w:val="4B775B0D"/>
    <w:rsid w:val="4B7778F3"/>
    <w:rsid w:val="4B7C315C"/>
    <w:rsid w:val="4B7E5126"/>
    <w:rsid w:val="4B86222C"/>
    <w:rsid w:val="4B8C67A1"/>
    <w:rsid w:val="4B92297F"/>
    <w:rsid w:val="4B9761E7"/>
    <w:rsid w:val="4B9F3640"/>
    <w:rsid w:val="4BA21D3A"/>
    <w:rsid w:val="4BA6642B"/>
    <w:rsid w:val="4BAB3A41"/>
    <w:rsid w:val="4BAF3531"/>
    <w:rsid w:val="4BB40B47"/>
    <w:rsid w:val="4BB52F99"/>
    <w:rsid w:val="4BBA0128"/>
    <w:rsid w:val="4BC53E71"/>
    <w:rsid w:val="4BCB40E3"/>
    <w:rsid w:val="4BD2763B"/>
    <w:rsid w:val="4BD5286C"/>
    <w:rsid w:val="4BE47787"/>
    <w:rsid w:val="4BE8259F"/>
    <w:rsid w:val="4BEB208F"/>
    <w:rsid w:val="4BF03B4A"/>
    <w:rsid w:val="4BF4363A"/>
    <w:rsid w:val="4BFE6267"/>
    <w:rsid w:val="4C0D679E"/>
    <w:rsid w:val="4C100789"/>
    <w:rsid w:val="4C160766"/>
    <w:rsid w:val="4C196BFC"/>
    <w:rsid w:val="4C1A4617"/>
    <w:rsid w:val="4C1E4213"/>
    <w:rsid w:val="4C2757BD"/>
    <w:rsid w:val="4C28559C"/>
    <w:rsid w:val="4C2A2BB8"/>
    <w:rsid w:val="4C2C310F"/>
    <w:rsid w:val="4C2D08FA"/>
    <w:rsid w:val="4C3D1B2E"/>
    <w:rsid w:val="4C413D6E"/>
    <w:rsid w:val="4C4B0D80"/>
    <w:rsid w:val="4C4B47FD"/>
    <w:rsid w:val="4C4D2D4A"/>
    <w:rsid w:val="4C524D1A"/>
    <w:rsid w:val="4C575977"/>
    <w:rsid w:val="4C5B50CF"/>
    <w:rsid w:val="4C650094"/>
    <w:rsid w:val="4C6D3394"/>
    <w:rsid w:val="4C7D53DD"/>
    <w:rsid w:val="4C871DB8"/>
    <w:rsid w:val="4C87625C"/>
    <w:rsid w:val="4C8D3147"/>
    <w:rsid w:val="4C900257"/>
    <w:rsid w:val="4CA37624"/>
    <w:rsid w:val="4CB4751E"/>
    <w:rsid w:val="4CB570C4"/>
    <w:rsid w:val="4CBD4769"/>
    <w:rsid w:val="4CCC3C6F"/>
    <w:rsid w:val="4CD64AED"/>
    <w:rsid w:val="4CD80866"/>
    <w:rsid w:val="4CDA2830"/>
    <w:rsid w:val="4CDE39A2"/>
    <w:rsid w:val="4CE22C9C"/>
    <w:rsid w:val="4CF43404"/>
    <w:rsid w:val="4CF51418"/>
    <w:rsid w:val="4CF907DC"/>
    <w:rsid w:val="4CFB27A6"/>
    <w:rsid w:val="4D090A1F"/>
    <w:rsid w:val="4D0C6761"/>
    <w:rsid w:val="4D0E072B"/>
    <w:rsid w:val="4D115B26"/>
    <w:rsid w:val="4D21045F"/>
    <w:rsid w:val="4D2C295F"/>
    <w:rsid w:val="4D2F41FE"/>
    <w:rsid w:val="4D312A34"/>
    <w:rsid w:val="4D371B58"/>
    <w:rsid w:val="4D387556"/>
    <w:rsid w:val="4D3A32CE"/>
    <w:rsid w:val="4D4B2923"/>
    <w:rsid w:val="4D5A4514"/>
    <w:rsid w:val="4D5A571F"/>
    <w:rsid w:val="4D60004A"/>
    <w:rsid w:val="4D697710"/>
    <w:rsid w:val="4D6A681E"/>
    <w:rsid w:val="4D722A68"/>
    <w:rsid w:val="4D7F33D7"/>
    <w:rsid w:val="4D8602C2"/>
    <w:rsid w:val="4D863560"/>
    <w:rsid w:val="4D8F4773"/>
    <w:rsid w:val="4D952C84"/>
    <w:rsid w:val="4D994499"/>
    <w:rsid w:val="4D9D385D"/>
    <w:rsid w:val="4D9E1AAF"/>
    <w:rsid w:val="4DA42E3E"/>
    <w:rsid w:val="4DA846DC"/>
    <w:rsid w:val="4DB82445"/>
    <w:rsid w:val="4DB841F3"/>
    <w:rsid w:val="4DBF1A26"/>
    <w:rsid w:val="4DC31516"/>
    <w:rsid w:val="4DC56674"/>
    <w:rsid w:val="4DC96400"/>
    <w:rsid w:val="4DCD4142"/>
    <w:rsid w:val="4DD1047D"/>
    <w:rsid w:val="4DD92AE7"/>
    <w:rsid w:val="4DEF40B9"/>
    <w:rsid w:val="4DF27F63"/>
    <w:rsid w:val="4DFB223B"/>
    <w:rsid w:val="4DFE0B61"/>
    <w:rsid w:val="4DFE254E"/>
    <w:rsid w:val="4DFF0074"/>
    <w:rsid w:val="4E0A0EF3"/>
    <w:rsid w:val="4E0A20C3"/>
    <w:rsid w:val="4E0B7B08"/>
    <w:rsid w:val="4E0D52CC"/>
    <w:rsid w:val="4E261AA5"/>
    <w:rsid w:val="4E2A50F1"/>
    <w:rsid w:val="4E3057D9"/>
    <w:rsid w:val="4E324C5A"/>
    <w:rsid w:val="4E41068C"/>
    <w:rsid w:val="4E41533E"/>
    <w:rsid w:val="4E4C25AC"/>
    <w:rsid w:val="4E5959D6"/>
    <w:rsid w:val="4E5C54C6"/>
    <w:rsid w:val="4E5E0DB7"/>
    <w:rsid w:val="4E636855"/>
    <w:rsid w:val="4E6B1524"/>
    <w:rsid w:val="4E742810"/>
    <w:rsid w:val="4E760336"/>
    <w:rsid w:val="4E7F114D"/>
    <w:rsid w:val="4E840BC6"/>
    <w:rsid w:val="4E8642F1"/>
    <w:rsid w:val="4E86609F"/>
    <w:rsid w:val="4E91274A"/>
    <w:rsid w:val="4E9133C2"/>
    <w:rsid w:val="4E9F3297"/>
    <w:rsid w:val="4EA74993"/>
    <w:rsid w:val="4EA843E7"/>
    <w:rsid w:val="4EB64BD7"/>
    <w:rsid w:val="4EBA70DF"/>
    <w:rsid w:val="4EC217CD"/>
    <w:rsid w:val="4EC372F3"/>
    <w:rsid w:val="4ECF3EEA"/>
    <w:rsid w:val="4EE259CC"/>
    <w:rsid w:val="4EEB5C57"/>
    <w:rsid w:val="4EEC05F8"/>
    <w:rsid w:val="4EEF00E8"/>
    <w:rsid w:val="4EEF1E97"/>
    <w:rsid w:val="4EEF208C"/>
    <w:rsid w:val="4F09192A"/>
    <w:rsid w:val="4F0C47F7"/>
    <w:rsid w:val="4F2064F4"/>
    <w:rsid w:val="4F2C6272"/>
    <w:rsid w:val="4F2F2AF4"/>
    <w:rsid w:val="4F332EB2"/>
    <w:rsid w:val="4F38383D"/>
    <w:rsid w:val="4F42646A"/>
    <w:rsid w:val="4F5A1A06"/>
    <w:rsid w:val="4F672375"/>
    <w:rsid w:val="4F707C99"/>
    <w:rsid w:val="4F730D1A"/>
    <w:rsid w:val="4F7800DE"/>
    <w:rsid w:val="4F8103DE"/>
    <w:rsid w:val="4F9071D6"/>
    <w:rsid w:val="4F98252E"/>
    <w:rsid w:val="4FA2515B"/>
    <w:rsid w:val="4FB03596"/>
    <w:rsid w:val="4FB07F57"/>
    <w:rsid w:val="4FBA06F6"/>
    <w:rsid w:val="4FBF3F5F"/>
    <w:rsid w:val="4FD5108C"/>
    <w:rsid w:val="4FDC066D"/>
    <w:rsid w:val="4FE47521"/>
    <w:rsid w:val="4FE6773D"/>
    <w:rsid w:val="4FFF25AD"/>
    <w:rsid w:val="501C4F0D"/>
    <w:rsid w:val="501E5ABB"/>
    <w:rsid w:val="502A587C"/>
    <w:rsid w:val="502D0EC8"/>
    <w:rsid w:val="50445052"/>
    <w:rsid w:val="504D156B"/>
    <w:rsid w:val="50504BB7"/>
    <w:rsid w:val="50650662"/>
    <w:rsid w:val="50680222"/>
    <w:rsid w:val="50691FA7"/>
    <w:rsid w:val="506B7581"/>
    <w:rsid w:val="50795EBC"/>
    <w:rsid w:val="507C775A"/>
    <w:rsid w:val="507E7AD2"/>
    <w:rsid w:val="508036EE"/>
    <w:rsid w:val="50874A7C"/>
    <w:rsid w:val="509E7E58"/>
    <w:rsid w:val="50A31F70"/>
    <w:rsid w:val="50A77156"/>
    <w:rsid w:val="50A946CF"/>
    <w:rsid w:val="50AC44E3"/>
    <w:rsid w:val="50B55103"/>
    <w:rsid w:val="50C245E8"/>
    <w:rsid w:val="50C64E79"/>
    <w:rsid w:val="50CA4969"/>
    <w:rsid w:val="50D128C1"/>
    <w:rsid w:val="50D94BAC"/>
    <w:rsid w:val="50E21CB3"/>
    <w:rsid w:val="50E579F5"/>
    <w:rsid w:val="50EE4AFC"/>
    <w:rsid w:val="50FF3A7D"/>
    <w:rsid w:val="510460CD"/>
    <w:rsid w:val="510A120A"/>
    <w:rsid w:val="51156C5F"/>
    <w:rsid w:val="512A5408"/>
    <w:rsid w:val="512B3510"/>
    <w:rsid w:val="51361FFF"/>
    <w:rsid w:val="513F7105"/>
    <w:rsid w:val="51411002"/>
    <w:rsid w:val="51453FF0"/>
    <w:rsid w:val="515626A1"/>
    <w:rsid w:val="515A3F3F"/>
    <w:rsid w:val="5160707C"/>
    <w:rsid w:val="51646B6C"/>
    <w:rsid w:val="5167665C"/>
    <w:rsid w:val="516A1CA8"/>
    <w:rsid w:val="516C77A2"/>
    <w:rsid w:val="516F72BF"/>
    <w:rsid w:val="51764AF1"/>
    <w:rsid w:val="51765FC3"/>
    <w:rsid w:val="518D440E"/>
    <w:rsid w:val="518E1E3B"/>
    <w:rsid w:val="51976F41"/>
    <w:rsid w:val="519C4558"/>
    <w:rsid w:val="51A74CAA"/>
    <w:rsid w:val="51A92080"/>
    <w:rsid w:val="51AE7DE7"/>
    <w:rsid w:val="51AF590D"/>
    <w:rsid w:val="51B376C7"/>
    <w:rsid w:val="51BC5BD1"/>
    <w:rsid w:val="51BE0718"/>
    <w:rsid w:val="51C969CF"/>
    <w:rsid w:val="51DF2696"/>
    <w:rsid w:val="51E23F34"/>
    <w:rsid w:val="51E25A8A"/>
    <w:rsid w:val="51EB4B97"/>
    <w:rsid w:val="51FD2B1C"/>
    <w:rsid w:val="520619D1"/>
    <w:rsid w:val="520D0FB1"/>
    <w:rsid w:val="52134B29"/>
    <w:rsid w:val="52181704"/>
    <w:rsid w:val="521D54B7"/>
    <w:rsid w:val="52224AFA"/>
    <w:rsid w:val="52263E21"/>
    <w:rsid w:val="52282D96"/>
    <w:rsid w:val="52295623"/>
    <w:rsid w:val="5234612D"/>
    <w:rsid w:val="524A54F5"/>
    <w:rsid w:val="52595FA5"/>
    <w:rsid w:val="52597B47"/>
    <w:rsid w:val="525B09CD"/>
    <w:rsid w:val="525E0C42"/>
    <w:rsid w:val="525E35BB"/>
    <w:rsid w:val="52662470"/>
    <w:rsid w:val="52734BB8"/>
    <w:rsid w:val="52750905"/>
    <w:rsid w:val="527D4B4C"/>
    <w:rsid w:val="528D20F2"/>
    <w:rsid w:val="52903990"/>
    <w:rsid w:val="52917C21"/>
    <w:rsid w:val="52927709"/>
    <w:rsid w:val="5294522F"/>
    <w:rsid w:val="52963499"/>
    <w:rsid w:val="529E1C09"/>
    <w:rsid w:val="52BB6C5F"/>
    <w:rsid w:val="52C06024"/>
    <w:rsid w:val="52C8312A"/>
    <w:rsid w:val="52CA1469"/>
    <w:rsid w:val="52CC4B5F"/>
    <w:rsid w:val="52E15F9A"/>
    <w:rsid w:val="52E55A8A"/>
    <w:rsid w:val="52FC4B82"/>
    <w:rsid w:val="53004005"/>
    <w:rsid w:val="53042F46"/>
    <w:rsid w:val="530879CB"/>
    <w:rsid w:val="530C1269"/>
    <w:rsid w:val="53166F8F"/>
    <w:rsid w:val="531C427F"/>
    <w:rsid w:val="532C5467"/>
    <w:rsid w:val="533A5452"/>
    <w:rsid w:val="533C34EB"/>
    <w:rsid w:val="534647FE"/>
    <w:rsid w:val="534E1882"/>
    <w:rsid w:val="534F27A6"/>
    <w:rsid w:val="534F4B6B"/>
    <w:rsid w:val="53536E98"/>
    <w:rsid w:val="53715570"/>
    <w:rsid w:val="53736789"/>
    <w:rsid w:val="53746E0E"/>
    <w:rsid w:val="53751BEF"/>
    <w:rsid w:val="53762B86"/>
    <w:rsid w:val="538452A3"/>
    <w:rsid w:val="5387019B"/>
    <w:rsid w:val="53935B8B"/>
    <w:rsid w:val="53966D85"/>
    <w:rsid w:val="539B25ED"/>
    <w:rsid w:val="53A05E55"/>
    <w:rsid w:val="53AB747F"/>
    <w:rsid w:val="53AC65A8"/>
    <w:rsid w:val="53AF44E0"/>
    <w:rsid w:val="53B042EA"/>
    <w:rsid w:val="53B67427"/>
    <w:rsid w:val="53B74572"/>
    <w:rsid w:val="53BD07B5"/>
    <w:rsid w:val="53BD6A07"/>
    <w:rsid w:val="53C438F2"/>
    <w:rsid w:val="53C9715A"/>
    <w:rsid w:val="53D02297"/>
    <w:rsid w:val="53D14261"/>
    <w:rsid w:val="53D278B5"/>
    <w:rsid w:val="53D33B35"/>
    <w:rsid w:val="53D44FAF"/>
    <w:rsid w:val="53D8739D"/>
    <w:rsid w:val="53DA3991"/>
    <w:rsid w:val="53DB64B7"/>
    <w:rsid w:val="53E47AF0"/>
    <w:rsid w:val="53E75A96"/>
    <w:rsid w:val="53E81793"/>
    <w:rsid w:val="53F02939"/>
    <w:rsid w:val="53F1220D"/>
    <w:rsid w:val="53F341D7"/>
    <w:rsid w:val="53F35F85"/>
    <w:rsid w:val="53F561A1"/>
    <w:rsid w:val="540E2DBF"/>
    <w:rsid w:val="54120B01"/>
    <w:rsid w:val="54161C73"/>
    <w:rsid w:val="54166797"/>
    <w:rsid w:val="54405384"/>
    <w:rsid w:val="54532EC8"/>
    <w:rsid w:val="545F1425"/>
    <w:rsid w:val="54612DE1"/>
    <w:rsid w:val="546F6062"/>
    <w:rsid w:val="54745318"/>
    <w:rsid w:val="54762ACB"/>
    <w:rsid w:val="547D7C36"/>
    <w:rsid w:val="54820604"/>
    <w:rsid w:val="54865C40"/>
    <w:rsid w:val="5488491F"/>
    <w:rsid w:val="548D63DA"/>
    <w:rsid w:val="54992FD0"/>
    <w:rsid w:val="549A35B5"/>
    <w:rsid w:val="549C03CB"/>
    <w:rsid w:val="54A373DD"/>
    <w:rsid w:val="54AA7B4F"/>
    <w:rsid w:val="54B55930"/>
    <w:rsid w:val="54C31DFB"/>
    <w:rsid w:val="54C46B74"/>
    <w:rsid w:val="54C55B73"/>
    <w:rsid w:val="54C811C0"/>
    <w:rsid w:val="54D538DD"/>
    <w:rsid w:val="54D656F3"/>
    <w:rsid w:val="54F67CF8"/>
    <w:rsid w:val="54FB07A6"/>
    <w:rsid w:val="55006BAB"/>
    <w:rsid w:val="55012924"/>
    <w:rsid w:val="550E2C2C"/>
    <w:rsid w:val="550F5041"/>
    <w:rsid w:val="55110DB9"/>
    <w:rsid w:val="55175CA3"/>
    <w:rsid w:val="55226A27"/>
    <w:rsid w:val="55264138"/>
    <w:rsid w:val="552A3C28"/>
    <w:rsid w:val="55351ED5"/>
    <w:rsid w:val="55380767"/>
    <w:rsid w:val="55383AF1"/>
    <w:rsid w:val="553C15D7"/>
    <w:rsid w:val="5541233C"/>
    <w:rsid w:val="55425416"/>
    <w:rsid w:val="554C0053"/>
    <w:rsid w:val="554F18E1"/>
    <w:rsid w:val="5559550A"/>
    <w:rsid w:val="555962BC"/>
    <w:rsid w:val="55680542"/>
    <w:rsid w:val="55760C1C"/>
    <w:rsid w:val="557D01FC"/>
    <w:rsid w:val="55887282"/>
    <w:rsid w:val="55975327"/>
    <w:rsid w:val="559B4E77"/>
    <w:rsid w:val="55A25EB5"/>
    <w:rsid w:val="55A7171D"/>
    <w:rsid w:val="55B21D4E"/>
    <w:rsid w:val="55B55BE8"/>
    <w:rsid w:val="55C02AF5"/>
    <w:rsid w:val="55CA59CE"/>
    <w:rsid w:val="55CE76F0"/>
    <w:rsid w:val="55D342C0"/>
    <w:rsid w:val="55D46EDA"/>
    <w:rsid w:val="55F13077"/>
    <w:rsid w:val="55FD3429"/>
    <w:rsid w:val="56262642"/>
    <w:rsid w:val="56290384"/>
    <w:rsid w:val="56320FF5"/>
    <w:rsid w:val="563A60ED"/>
    <w:rsid w:val="56404E40"/>
    <w:rsid w:val="56440D1A"/>
    <w:rsid w:val="56462554"/>
    <w:rsid w:val="5647080A"/>
    <w:rsid w:val="56476FD8"/>
    <w:rsid w:val="5650748A"/>
    <w:rsid w:val="56513437"/>
    <w:rsid w:val="56633896"/>
    <w:rsid w:val="5664423B"/>
    <w:rsid w:val="56694399"/>
    <w:rsid w:val="566A06C1"/>
    <w:rsid w:val="56757125"/>
    <w:rsid w:val="567F3067"/>
    <w:rsid w:val="56847368"/>
    <w:rsid w:val="56872CC7"/>
    <w:rsid w:val="568B7418"/>
    <w:rsid w:val="5696244B"/>
    <w:rsid w:val="56A8574D"/>
    <w:rsid w:val="56B76567"/>
    <w:rsid w:val="56BC49BE"/>
    <w:rsid w:val="56C8194B"/>
    <w:rsid w:val="56CF0F2B"/>
    <w:rsid w:val="56DF6C95"/>
    <w:rsid w:val="56E10C5F"/>
    <w:rsid w:val="56E5043B"/>
    <w:rsid w:val="56ED315F"/>
    <w:rsid w:val="56F02C50"/>
    <w:rsid w:val="56F269C8"/>
    <w:rsid w:val="56FE30F2"/>
    <w:rsid w:val="570010E5"/>
    <w:rsid w:val="57003537"/>
    <w:rsid w:val="57030092"/>
    <w:rsid w:val="571729AF"/>
    <w:rsid w:val="571A1A7B"/>
    <w:rsid w:val="57224E26"/>
    <w:rsid w:val="57263A90"/>
    <w:rsid w:val="57284198"/>
    <w:rsid w:val="57326FEF"/>
    <w:rsid w:val="573568B4"/>
    <w:rsid w:val="573818AD"/>
    <w:rsid w:val="57435475"/>
    <w:rsid w:val="5745040D"/>
    <w:rsid w:val="574F3E1A"/>
    <w:rsid w:val="57521214"/>
    <w:rsid w:val="57544F8D"/>
    <w:rsid w:val="575E405D"/>
    <w:rsid w:val="5763425C"/>
    <w:rsid w:val="5765363E"/>
    <w:rsid w:val="577473DD"/>
    <w:rsid w:val="57765E8C"/>
    <w:rsid w:val="577E408D"/>
    <w:rsid w:val="57875362"/>
    <w:rsid w:val="578810DA"/>
    <w:rsid w:val="578F6FDC"/>
    <w:rsid w:val="5799150A"/>
    <w:rsid w:val="579D50F9"/>
    <w:rsid w:val="57A35F14"/>
    <w:rsid w:val="57A64F77"/>
    <w:rsid w:val="57A852D8"/>
    <w:rsid w:val="57B36157"/>
    <w:rsid w:val="57BF78F6"/>
    <w:rsid w:val="57C90239"/>
    <w:rsid w:val="57C9597B"/>
    <w:rsid w:val="57CA68D2"/>
    <w:rsid w:val="57CE0365"/>
    <w:rsid w:val="57D367F9"/>
    <w:rsid w:val="57E0124E"/>
    <w:rsid w:val="57EF1159"/>
    <w:rsid w:val="58012786"/>
    <w:rsid w:val="58105F21"/>
    <w:rsid w:val="58141F88"/>
    <w:rsid w:val="58150BC0"/>
    <w:rsid w:val="581666E6"/>
    <w:rsid w:val="58201313"/>
    <w:rsid w:val="58240E03"/>
    <w:rsid w:val="58262784"/>
    <w:rsid w:val="582C415B"/>
    <w:rsid w:val="58366D84"/>
    <w:rsid w:val="583837D1"/>
    <w:rsid w:val="583A23D4"/>
    <w:rsid w:val="584274DB"/>
    <w:rsid w:val="58445001"/>
    <w:rsid w:val="58562F86"/>
    <w:rsid w:val="586821D1"/>
    <w:rsid w:val="586E02D0"/>
    <w:rsid w:val="58701639"/>
    <w:rsid w:val="5875290A"/>
    <w:rsid w:val="587873A1"/>
    <w:rsid w:val="587D0513"/>
    <w:rsid w:val="58834778"/>
    <w:rsid w:val="588875E4"/>
    <w:rsid w:val="588E0972"/>
    <w:rsid w:val="58937D37"/>
    <w:rsid w:val="5894063F"/>
    <w:rsid w:val="58963DBF"/>
    <w:rsid w:val="589B0034"/>
    <w:rsid w:val="58A25888"/>
    <w:rsid w:val="58A261CC"/>
    <w:rsid w:val="58A43CF2"/>
    <w:rsid w:val="58AF204D"/>
    <w:rsid w:val="58B34360"/>
    <w:rsid w:val="58B354F0"/>
    <w:rsid w:val="58B92A49"/>
    <w:rsid w:val="58BB3067"/>
    <w:rsid w:val="58C342E3"/>
    <w:rsid w:val="58C93758"/>
    <w:rsid w:val="58DC7930"/>
    <w:rsid w:val="58DE7204"/>
    <w:rsid w:val="58E40592"/>
    <w:rsid w:val="58EA204C"/>
    <w:rsid w:val="58F4527F"/>
    <w:rsid w:val="58F76517"/>
    <w:rsid w:val="590062C5"/>
    <w:rsid w:val="59154BEF"/>
    <w:rsid w:val="591A34FC"/>
    <w:rsid w:val="592117E6"/>
    <w:rsid w:val="59273139"/>
    <w:rsid w:val="592A095A"/>
    <w:rsid w:val="592B69FB"/>
    <w:rsid w:val="59322C25"/>
    <w:rsid w:val="5936458D"/>
    <w:rsid w:val="593C3F2A"/>
    <w:rsid w:val="5971478D"/>
    <w:rsid w:val="597D4C6F"/>
    <w:rsid w:val="597F4709"/>
    <w:rsid w:val="59815DE1"/>
    <w:rsid w:val="5984098A"/>
    <w:rsid w:val="598C3104"/>
    <w:rsid w:val="59A41758"/>
    <w:rsid w:val="59A541C5"/>
    <w:rsid w:val="59B70E29"/>
    <w:rsid w:val="59D1057F"/>
    <w:rsid w:val="59DE1485"/>
    <w:rsid w:val="59E051FD"/>
    <w:rsid w:val="59ED746A"/>
    <w:rsid w:val="59EF632B"/>
    <w:rsid w:val="59F111B9"/>
    <w:rsid w:val="59F14D15"/>
    <w:rsid w:val="59F34F31"/>
    <w:rsid w:val="59FF38D6"/>
    <w:rsid w:val="5A0031AA"/>
    <w:rsid w:val="5A0E58C7"/>
    <w:rsid w:val="5A105AE3"/>
    <w:rsid w:val="5A132EDD"/>
    <w:rsid w:val="5A160C1F"/>
    <w:rsid w:val="5A165E71"/>
    <w:rsid w:val="5A1E3CBB"/>
    <w:rsid w:val="5A296BA4"/>
    <w:rsid w:val="5A2A6479"/>
    <w:rsid w:val="5A356006"/>
    <w:rsid w:val="5A35680A"/>
    <w:rsid w:val="5A3610B9"/>
    <w:rsid w:val="5A364E1D"/>
    <w:rsid w:val="5A380B96"/>
    <w:rsid w:val="5A3F0176"/>
    <w:rsid w:val="5A470DD9"/>
    <w:rsid w:val="5A550C60"/>
    <w:rsid w:val="5A5654C0"/>
    <w:rsid w:val="5A573753"/>
    <w:rsid w:val="5A584D94"/>
    <w:rsid w:val="5A5D23AA"/>
    <w:rsid w:val="5A5E1CD2"/>
    <w:rsid w:val="5A8042EB"/>
    <w:rsid w:val="5A820063"/>
    <w:rsid w:val="5A821E11"/>
    <w:rsid w:val="5A9102A6"/>
    <w:rsid w:val="5A9372B7"/>
    <w:rsid w:val="5A9B2ED2"/>
    <w:rsid w:val="5AA20705"/>
    <w:rsid w:val="5AA601F5"/>
    <w:rsid w:val="5AAB740E"/>
    <w:rsid w:val="5AAD068E"/>
    <w:rsid w:val="5AAE2C06"/>
    <w:rsid w:val="5AB54110"/>
    <w:rsid w:val="5ABF7B7A"/>
    <w:rsid w:val="5AC24C88"/>
    <w:rsid w:val="5AC62645"/>
    <w:rsid w:val="5ACC12DE"/>
    <w:rsid w:val="5ACC1D6E"/>
    <w:rsid w:val="5AD37846"/>
    <w:rsid w:val="5AD45C3A"/>
    <w:rsid w:val="5AD703AE"/>
    <w:rsid w:val="5AD76600"/>
    <w:rsid w:val="5ADC6678"/>
    <w:rsid w:val="5AE34FA5"/>
    <w:rsid w:val="5AFA22EF"/>
    <w:rsid w:val="5B022F52"/>
    <w:rsid w:val="5B046076"/>
    <w:rsid w:val="5B0E7B48"/>
    <w:rsid w:val="5B127639"/>
    <w:rsid w:val="5B182017"/>
    <w:rsid w:val="5B184523"/>
    <w:rsid w:val="5B1E41F8"/>
    <w:rsid w:val="5B286E5C"/>
    <w:rsid w:val="5B2B4256"/>
    <w:rsid w:val="5B2B4442"/>
    <w:rsid w:val="5B3550D5"/>
    <w:rsid w:val="5B3715CE"/>
    <w:rsid w:val="5B3E6680"/>
    <w:rsid w:val="5B414455"/>
    <w:rsid w:val="5B465534"/>
    <w:rsid w:val="5B4672E2"/>
    <w:rsid w:val="5B484E08"/>
    <w:rsid w:val="5B513846"/>
    <w:rsid w:val="5B5419FF"/>
    <w:rsid w:val="5B5B0FE0"/>
    <w:rsid w:val="5B6A2FD1"/>
    <w:rsid w:val="5B6B6D49"/>
    <w:rsid w:val="5B7067DD"/>
    <w:rsid w:val="5B796864"/>
    <w:rsid w:val="5B7E082A"/>
    <w:rsid w:val="5B865931"/>
    <w:rsid w:val="5B8C73EB"/>
    <w:rsid w:val="5B8E7C96"/>
    <w:rsid w:val="5B920779"/>
    <w:rsid w:val="5BAA7871"/>
    <w:rsid w:val="5BB767ED"/>
    <w:rsid w:val="5BC477A1"/>
    <w:rsid w:val="5BCA1CC1"/>
    <w:rsid w:val="5BCA3A6F"/>
    <w:rsid w:val="5BD60666"/>
    <w:rsid w:val="5BDC37A3"/>
    <w:rsid w:val="5BDE39BF"/>
    <w:rsid w:val="5BE12D8E"/>
    <w:rsid w:val="5BEC7E8A"/>
    <w:rsid w:val="5BED38B1"/>
    <w:rsid w:val="5BFE196B"/>
    <w:rsid w:val="5C0056E3"/>
    <w:rsid w:val="5C007491"/>
    <w:rsid w:val="5C0F5926"/>
    <w:rsid w:val="5C142F3C"/>
    <w:rsid w:val="5C1B251D"/>
    <w:rsid w:val="5C2018E1"/>
    <w:rsid w:val="5C2F5FC8"/>
    <w:rsid w:val="5C3655A9"/>
    <w:rsid w:val="5C3C68E4"/>
    <w:rsid w:val="5C3D06E5"/>
    <w:rsid w:val="5C4001D5"/>
    <w:rsid w:val="5C403D31"/>
    <w:rsid w:val="5C42540A"/>
    <w:rsid w:val="5C427AAA"/>
    <w:rsid w:val="5C472134"/>
    <w:rsid w:val="5C4952DC"/>
    <w:rsid w:val="5C510B34"/>
    <w:rsid w:val="5C514191"/>
    <w:rsid w:val="5C593045"/>
    <w:rsid w:val="5C621EFA"/>
    <w:rsid w:val="5C693288"/>
    <w:rsid w:val="5C7A05B9"/>
    <w:rsid w:val="5C8400C2"/>
    <w:rsid w:val="5C8B3AEA"/>
    <w:rsid w:val="5C8E763C"/>
    <w:rsid w:val="5C983B6D"/>
    <w:rsid w:val="5C9A5B38"/>
    <w:rsid w:val="5C9A78E6"/>
    <w:rsid w:val="5CA16EC6"/>
    <w:rsid w:val="5CA249EC"/>
    <w:rsid w:val="5CA6628A"/>
    <w:rsid w:val="5CA779DA"/>
    <w:rsid w:val="5CAF53B5"/>
    <w:rsid w:val="5CB14C2F"/>
    <w:rsid w:val="5CD66444"/>
    <w:rsid w:val="5CD728E8"/>
    <w:rsid w:val="5CDD5A24"/>
    <w:rsid w:val="5CDF179C"/>
    <w:rsid w:val="5CE23927"/>
    <w:rsid w:val="5CE40B61"/>
    <w:rsid w:val="5CE40E38"/>
    <w:rsid w:val="5CE768A3"/>
    <w:rsid w:val="5CEB1EEF"/>
    <w:rsid w:val="5CF07506"/>
    <w:rsid w:val="5D080CF3"/>
    <w:rsid w:val="5D131446"/>
    <w:rsid w:val="5D184CAE"/>
    <w:rsid w:val="5D1A6C78"/>
    <w:rsid w:val="5D1F4A91"/>
    <w:rsid w:val="5D215EC1"/>
    <w:rsid w:val="5D2418A5"/>
    <w:rsid w:val="5D2B41DA"/>
    <w:rsid w:val="5D331AE8"/>
    <w:rsid w:val="5D380EAD"/>
    <w:rsid w:val="5D382866"/>
    <w:rsid w:val="5D392F11"/>
    <w:rsid w:val="5D3E32F4"/>
    <w:rsid w:val="5D3F66DF"/>
    <w:rsid w:val="5D435D1D"/>
    <w:rsid w:val="5D5359BB"/>
    <w:rsid w:val="5D551A5E"/>
    <w:rsid w:val="5D5C4B9B"/>
    <w:rsid w:val="5D6D0B56"/>
    <w:rsid w:val="5D6D4FFA"/>
    <w:rsid w:val="5D7A7717"/>
    <w:rsid w:val="5D7D3A52"/>
    <w:rsid w:val="5D86653D"/>
    <w:rsid w:val="5D8B0825"/>
    <w:rsid w:val="5D922021"/>
    <w:rsid w:val="5D980D69"/>
    <w:rsid w:val="5DB669A1"/>
    <w:rsid w:val="5DBB4BA8"/>
    <w:rsid w:val="5DBB5D65"/>
    <w:rsid w:val="5DC16477"/>
    <w:rsid w:val="5DCA5FA9"/>
    <w:rsid w:val="5DD11D31"/>
    <w:rsid w:val="5DDA4E09"/>
    <w:rsid w:val="5DDA7941"/>
    <w:rsid w:val="5DE057CC"/>
    <w:rsid w:val="5DE60909"/>
    <w:rsid w:val="5DF70D68"/>
    <w:rsid w:val="5DF9063C"/>
    <w:rsid w:val="5DFE20F6"/>
    <w:rsid w:val="5DFE5C52"/>
    <w:rsid w:val="5E0C4813"/>
    <w:rsid w:val="5E0C65C1"/>
    <w:rsid w:val="5E14191A"/>
    <w:rsid w:val="5E1A6E9C"/>
    <w:rsid w:val="5E204FFD"/>
    <w:rsid w:val="5E2840E2"/>
    <w:rsid w:val="5E2D4A30"/>
    <w:rsid w:val="5E323B4E"/>
    <w:rsid w:val="5E343D6A"/>
    <w:rsid w:val="5E394EDC"/>
    <w:rsid w:val="5E3B2A02"/>
    <w:rsid w:val="5E421FE3"/>
    <w:rsid w:val="5E451AD3"/>
    <w:rsid w:val="5E4F4700"/>
    <w:rsid w:val="5E5E2B95"/>
    <w:rsid w:val="5E6006BB"/>
    <w:rsid w:val="5E606205"/>
    <w:rsid w:val="5E622685"/>
    <w:rsid w:val="5E6E39C8"/>
    <w:rsid w:val="5E783C56"/>
    <w:rsid w:val="5E787212"/>
    <w:rsid w:val="5E7B3747"/>
    <w:rsid w:val="5E8545C5"/>
    <w:rsid w:val="5E861797"/>
    <w:rsid w:val="5E8851F5"/>
    <w:rsid w:val="5E8C14B0"/>
    <w:rsid w:val="5E9B16F3"/>
    <w:rsid w:val="5EAA5DDA"/>
    <w:rsid w:val="5EAC38D8"/>
    <w:rsid w:val="5EB01642"/>
    <w:rsid w:val="5EB903EF"/>
    <w:rsid w:val="5EC23124"/>
    <w:rsid w:val="5EC9210D"/>
    <w:rsid w:val="5ECE1AC8"/>
    <w:rsid w:val="5ED34359"/>
    <w:rsid w:val="5ED370DF"/>
    <w:rsid w:val="5ED864A3"/>
    <w:rsid w:val="5EE50BC0"/>
    <w:rsid w:val="5EEB5B96"/>
    <w:rsid w:val="5EF64B7B"/>
    <w:rsid w:val="5EFF1C82"/>
    <w:rsid w:val="5F024888"/>
    <w:rsid w:val="5F155949"/>
    <w:rsid w:val="5F166FCB"/>
    <w:rsid w:val="5F1D2CC5"/>
    <w:rsid w:val="5F1D47FE"/>
    <w:rsid w:val="5F1F40D2"/>
    <w:rsid w:val="5F20557C"/>
    <w:rsid w:val="5F225970"/>
    <w:rsid w:val="5F267AD8"/>
    <w:rsid w:val="5F2F17E4"/>
    <w:rsid w:val="5F36670E"/>
    <w:rsid w:val="5F3B62FB"/>
    <w:rsid w:val="5F3C4C84"/>
    <w:rsid w:val="5F4678B1"/>
    <w:rsid w:val="5F473629"/>
    <w:rsid w:val="5F4B136B"/>
    <w:rsid w:val="5F553F98"/>
    <w:rsid w:val="5F577D10"/>
    <w:rsid w:val="5F724B4A"/>
    <w:rsid w:val="5F774396"/>
    <w:rsid w:val="5F7E34EF"/>
    <w:rsid w:val="5F815FB0"/>
    <w:rsid w:val="5F860D8F"/>
    <w:rsid w:val="5F8A36C7"/>
    <w:rsid w:val="5F906D7E"/>
    <w:rsid w:val="5F954394"/>
    <w:rsid w:val="5F970D11"/>
    <w:rsid w:val="5F9F3465"/>
    <w:rsid w:val="5FA36AB1"/>
    <w:rsid w:val="5FB14669"/>
    <w:rsid w:val="5FC14696"/>
    <w:rsid w:val="5FCF3D4A"/>
    <w:rsid w:val="5FD36D94"/>
    <w:rsid w:val="5FE83E7F"/>
    <w:rsid w:val="5FF7504F"/>
    <w:rsid w:val="60017C7C"/>
    <w:rsid w:val="60025ECE"/>
    <w:rsid w:val="6005151A"/>
    <w:rsid w:val="60077456"/>
    <w:rsid w:val="600905BA"/>
    <w:rsid w:val="60196D73"/>
    <w:rsid w:val="60214CE3"/>
    <w:rsid w:val="6028345A"/>
    <w:rsid w:val="602A0F80"/>
    <w:rsid w:val="603045E0"/>
    <w:rsid w:val="603112EE"/>
    <w:rsid w:val="60341DFF"/>
    <w:rsid w:val="603911C4"/>
    <w:rsid w:val="604117AA"/>
    <w:rsid w:val="60477D84"/>
    <w:rsid w:val="604D2EC1"/>
    <w:rsid w:val="604E1113"/>
    <w:rsid w:val="604E396F"/>
    <w:rsid w:val="605322C0"/>
    <w:rsid w:val="605D1356"/>
    <w:rsid w:val="605D430E"/>
    <w:rsid w:val="60634492"/>
    <w:rsid w:val="60795A64"/>
    <w:rsid w:val="607E12CC"/>
    <w:rsid w:val="60803296"/>
    <w:rsid w:val="6084516A"/>
    <w:rsid w:val="609E371C"/>
    <w:rsid w:val="60A800F7"/>
    <w:rsid w:val="60B13AB1"/>
    <w:rsid w:val="60B42F40"/>
    <w:rsid w:val="60C34434"/>
    <w:rsid w:val="60DB7C4E"/>
    <w:rsid w:val="60DE0FC0"/>
    <w:rsid w:val="60E92BEA"/>
    <w:rsid w:val="60F03DE9"/>
    <w:rsid w:val="61181721"/>
    <w:rsid w:val="6118527D"/>
    <w:rsid w:val="61355E2F"/>
    <w:rsid w:val="61357BDD"/>
    <w:rsid w:val="61442516"/>
    <w:rsid w:val="61453B98"/>
    <w:rsid w:val="615564D1"/>
    <w:rsid w:val="615A5895"/>
    <w:rsid w:val="6162474A"/>
    <w:rsid w:val="616B1851"/>
    <w:rsid w:val="61720E31"/>
    <w:rsid w:val="61751A69"/>
    <w:rsid w:val="6183303E"/>
    <w:rsid w:val="618741B1"/>
    <w:rsid w:val="61891CD7"/>
    <w:rsid w:val="61930DA7"/>
    <w:rsid w:val="61AD21E0"/>
    <w:rsid w:val="61B22161"/>
    <w:rsid w:val="61B2747F"/>
    <w:rsid w:val="61C827FF"/>
    <w:rsid w:val="61C8312A"/>
    <w:rsid w:val="61C87BC6"/>
    <w:rsid w:val="61DE2022"/>
    <w:rsid w:val="61E0223F"/>
    <w:rsid w:val="61E3588B"/>
    <w:rsid w:val="61E560BE"/>
    <w:rsid w:val="61E73D8B"/>
    <w:rsid w:val="61F335F4"/>
    <w:rsid w:val="61FC2BFF"/>
    <w:rsid w:val="62022995"/>
    <w:rsid w:val="620F2F94"/>
    <w:rsid w:val="62165C60"/>
    <w:rsid w:val="62287742"/>
    <w:rsid w:val="622D6B06"/>
    <w:rsid w:val="623C4F9B"/>
    <w:rsid w:val="623C7593"/>
    <w:rsid w:val="62403D9B"/>
    <w:rsid w:val="62481B92"/>
    <w:rsid w:val="625C73EB"/>
    <w:rsid w:val="625D2BDA"/>
    <w:rsid w:val="62682234"/>
    <w:rsid w:val="626F35C2"/>
    <w:rsid w:val="626F71F4"/>
    <w:rsid w:val="6271733B"/>
    <w:rsid w:val="628506F0"/>
    <w:rsid w:val="628D63CD"/>
    <w:rsid w:val="62901679"/>
    <w:rsid w:val="62914F1C"/>
    <w:rsid w:val="629D3C8C"/>
    <w:rsid w:val="62B56957"/>
    <w:rsid w:val="62B80B88"/>
    <w:rsid w:val="62BC7E8A"/>
    <w:rsid w:val="62BE1E54"/>
    <w:rsid w:val="62D32401"/>
    <w:rsid w:val="62D5366D"/>
    <w:rsid w:val="62E95123"/>
    <w:rsid w:val="62EE098B"/>
    <w:rsid w:val="62F51D1A"/>
    <w:rsid w:val="630158AC"/>
    <w:rsid w:val="631B72A6"/>
    <w:rsid w:val="632C14B3"/>
    <w:rsid w:val="634A36E8"/>
    <w:rsid w:val="634D01C2"/>
    <w:rsid w:val="634E4F86"/>
    <w:rsid w:val="63506F50"/>
    <w:rsid w:val="635822A8"/>
    <w:rsid w:val="63585770"/>
    <w:rsid w:val="636E5628"/>
    <w:rsid w:val="6379138E"/>
    <w:rsid w:val="637D586B"/>
    <w:rsid w:val="63957059"/>
    <w:rsid w:val="63A252D2"/>
    <w:rsid w:val="63A754C4"/>
    <w:rsid w:val="63BE035D"/>
    <w:rsid w:val="63BF7C32"/>
    <w:rsid w:val="63C367AC"/>
    <w:rsid w:val="63C76EA4"/>
    <w:rsid w:val="63CC462C"/>
    <w:rsid w:val="63CE60C7"/>
    <w:rsid w:val="63D10FB6"/>
    <w:rsid w:val="63D25594"/>
    <w:rsid w:val="63D538F9"/>
    <w:rsid w:val="63DA4A6C"/>
    <w:rsid w:val="63EB6323"/>
    <w:rsid w:val="63F35B2D"/>
    <w:rsid w:val="63F8124D"/>
    <w:rsid w:val="63FC0E86"/>
    <w:rsid w:val="640B731B"/>
    <w:rsid w:val="642301C1"/>
    <w:rsid w:val="64300B2F"/>
    <w:rsid w:val="643178BA"/>
    <w:rsid w:val="64371EBE"/>
    <w:rsid w:val="64410F8F"/>
    <w:rsid w:val="644B0BCD"/>
    <w:rsid w:val="64664551"/>
    <w:rsid w:val="646C2C9D"/>
    <w:rsid w:val="64705249"/>
    <w:rsid w:val="6478424F"/>
    <w:rsid w:val="64794284"/>
    <w:rsid w:val="647A1DAB"/>
    <w:rsid w:val="647C7125"/>
    <w:rsid w:val="64801AB7"/>
    <w:rsid w:val="64801FEB"/>
    <w:rsid w:val="648C045C"/>
    <w:rsid w:val="648C5340"/>
    <w:rsid w:val="648F3681"/>
    <w:rsid w:val="64970BAF"/>
    <w:rsid w:val="649F7863"/>
    <w:rsid w:val="64A5151D"/>
    <w:rsid w:val="64AA7A10"/>
    <w:rsid w:val="64AB6EF7"/>
    <w:rsid w:val="64B67273"/>
    <w:rsid w:val="64B749F7"/>
    <w:rsid w:val="64B96D77"/>
    <w:rsid w:val="64C21DE9"/>
    <w:rsid w:val="64C5571C"/>
    <w:rsid w:val="64CA0F84"/>
    <w:rsid w:val="64CC6AAA"/>
    <w:rsid w:val="64D67929"/>
    <w:rsid w:val="64DE058B"/>
    <w:rsid w:val="64F32289"/>
    <w:rsid w:val="65143FAD"/>
    <w:rsid w:val="651E602D"/>
    <w:rsid w:val="652218CC"/>
    <w:rsid w:val="65295CAB"/>
    <w:rsid w:val="652A7D1B"/>
    <w:rsid w:val="6531690D"/>
    <w:rsid w:val="65385EEE"/>
    <w:rsid w:val="65401246"/>
    <w:rsid w:val="655440A5"/>
    <w:rsid w:val="655C6080"/>
    <w:rsid w:val="655F791E"/>
    <w:rsid w:val="656767D3"/>
    <w:rsid w:val="656E7B61"/>
    <w:rsid w:val="657812B5"/>
    <w:rsid w:val="6578453C"/>
    <w:rsid w:val="65896749"/>
    <w:rsid w:val="658C6239"/>
    <w:rsid w:val="658E69CC"/>
    <w:rsid w:val="65931376"/>
    <w:rsid w:val="65984BDE"/>
    <w:rsid w:val="659C21A5"/>
    <w:rsid w:val="65A17F37"/>
    <w:rsid w:val="65A215B9"/>
    <w:rsid w:val="65A417D5"/>
    <w:rsid w:val="65B432C2"/>
    <w:rsid w:val="65B64922"/>
    <w:rsid w:val="65BD6006"/>
    <w:rsid w:val="65C21C5B"/>
    <w:rsid w:val="65C6174B"/>
    <w:rsid w:val="65C92FEA"/>
    <w:rsid w:val="65D200F0"/>
    <w:rsid w:val="65E676F8"/>
    <w:rsid w:val="65F20792"/>
    <w:rsid w:val="65FA7FAF"/>
    <w:rsid w:val="65FF07B9"/>
    <w:rsid w:val="660364FC"/>
    <w:rsid w:val="66134265"/>
    <w:rsid w:val="661C75BD"/>
    <w:rsid w:val="66373331"/>
    <w:rsid w:val="66373788"/>
    <w:rsid w:val="66383EBB"/>
    <w:rsid w:val="663A01D2"/>
    <w:rsid w:val="663A7A43"/>
    <w:rsid w:val="664B39FF"/>
    <w:rsid w:val="664F4C39"/>
    <w:rsid w:val="664F5C76"/>
    <w:rsid w:val="665E7BD6"/>
    <w:rsid w:val="66833198"/>
    <w:rsid w:val="66996E60"/>
    <w:rsid w:val="66A17AC3"/>
    <w:rsid w:val="66C83F12"/>
    <w:rsid w:val="66CA654C"/>
    <w:rsid w:val="66CA7019"/>
    <w:rsid w:val="66E04A8F"/>
    <w:rsid w:val="66E9417E"/>
    <w:rsid w:val="66F127F8"/>
    <w:rsid w:val="66F2031E"/>
    <w:rsid w:val="66F31AFF"/>
    <w:rsid w:val="66F61BBC"/>
    <w:rsid w:val="66F83B86"/>
    <w:rsid w:val="670052A6"/>
    <w:rsid w:val="67095D94"/>
    <w:rsid w:val="671E2FE0"/>
    <w:rsid w:val="67210D5B"/>
    <w:rsid w:val="6727621A"/>
    <w:rsid w:val="672E57FA"/>
    <w:rsid w:val="67310E46"/>
    <w:rsid w:val="67397CFB"/>
    <w:rsid w:val="673D5624"/>
    <w:rsid w:val="67434BDA"/>
    <w:rsid w:val="67473459"/>
    <w:rsid w:val="674C3ED2"/>
    <w:rsid w:val="674D37A6"/>
    <w:rsid w:val="67513297"/>
    <w:rsid w:val="675E59B4"/>
    <w:rsid w:val="67635891"/>
    <w:rsid w:val="676832BF"/>
    <w:rsid w:val="67762034"/>
    <w:rsid w:val="677D0530"/>
    <w:rsid w:val="678C0773"/>
    <w:rsid w:val="67957627"/>
    <w:rsid w:val="679B09B6"/>
    <w:rsid w:val="679F2254"/>
    <w:rsid w:val="67A1421E"/>
    <w:rsid w:val="67B92942"/>
    <w:rsid w:val="67BD70BE"/>
    <w:rsid w:val="67C24194"/>
    <w:rsid w:val="67C25C79"/>
    <w:rsid w:val="67C27CF0"/>
    <w:rsid w:val="67CD5013"/>
    <w:rsid w:val="67D55C76"/>
    <w:rsid w:val="67EA0903"/>
    <w:rsid w:val="67EA53CA"/>
    <w:rsid w:val="67EB6F47"/>
    <w:rsid w:val="67F707CF"/>
    <w:rsid w:val="67F72849"/>
    <w:rsid w:val="67FB4A31"/>
    <w:rsid w:val="67FD48B1"/>
    <w:rsid w:val="67FF0F45"/>
    <w:rsid w:val="681607A1"/>
    <w:rsid w:val="68264723"/>
    <w:rsid w:val="682C160E"/>
    <w:rsid w:val="683055BE"/>
    <w:rsid w:val="68382E9B"/>
    <w:rsid w:val="68400F0F"/>
    <w:rsid w:val="68434DFF"/>
    <w:rsid w:val="684D1CB0"/>
    <w:rsid w:val="68594AF9"/>
    <w:rsid w:val="685A261F"/>
    <w:rsid w:val="685F19E3"/>
    <w:rsid w:val="6862690B"/>
    <w:rsid w:val="68634A40"/>
    <w:rsid w:val="68692862"/>
    <w:rsid w:val="68694610"/>
    <w:rsid w:val="68745C7D"/>
    <w:rsid w:val="687478C1"/>
    <w:rsid w:val="68757459"/>
    <w:rsid w:val="687C592D"/>
    <w:rsid w:val="68837FD6"/>
    <w:rsid w:val="68863414"/>
    <w:rsid w:val="688D5C66"/>
    <w:rsid w:val="688E4752"/>
    <w:rsid w:val="689E42BA"/>
    <w:rsid w:val="689F0032"/>
    <w:rsid w:val="68B0223F"/>
    <w:rsid w:val="68B41D2F"/>
    <w:rsid w:val="68B910F3"/>
    <w:rsid w:val="68BA3DE1"/>
    <w:rsid w:val="68BF1080"/>
    <w:rsid w:val="68C42C20"/>
    <w:rsid w:val="68CA50AF"/>
    <w:rsid w:val="68CB0E27"/>
    <w:rsid w:val="68CD4B9F"/>
    <w:rsid w:val="68CF25AA"/>
    <w:rsid w:val="68D155F5"/>
    <w:rsid w:val="68E36170"/>
    <w:rsid w:val="68E819D9"/>
    <w:rsid w:val="68ED3493"/>
    <w:rsid w:val="68F62348"/>
    <w:rsid w:val="6903443B"/>
    <w:rsid w:val="690F3409"/>
    <w:rsid w:val="691579EA"/>
    <w:rsid w:val="69270753"/>
    <w:rsid w:val="69286279"/>
    <w:rsid w:val="692F13B6"/>
    <w:rsid w:val="693B5FAC"/>
    <w:rsid w:val="693D7F76"/>
    <w:rsid w:val="69467A12"/>
    <w:rsid w:val="694D7A8E"/>
    <w:rsid w:val="695157D0"/>
    <w:rsid w:val="696A0640"/>
    <w:rsid w:val="696E6382"/>
    <w:rsid w:val="69750E54"/>
    <w:rsid w:val="697D4817"/>
    <w:rsid w:val="698536CB"/>
    <w:rsid w:val="69926AD7"/>
    <w:rsid w:val="699275B6"/>
    <w:rsid w:val="699F653B"/>
    <w:rsid w:val="69A27DD9"/>
    <w:rsid w:val="69AC6EAA"/>
    <w:rsid w:val="69B55D5F"/>
    <w:rsid w:val="69BA15C7"/>
    <w:rsid w:val="69BA572D"/>
    <w:rsid w:val="69C6422D"/>
    <w:rsid w:val="69C81DCE"/>
    <w:rsid w:val="69CC4BF9"/>
    <w:rsid w:val="69CC5F5C"/>
    <w:rsid w:val="69CE5072"/>
    <w:rsid w:val="69D77358"/>
    <w:rsid w:val="69DF23ED"/>
    <w:rsid w:val="69E2467A"/>
    <w:rsid w:val="69E421A0"/>
    <w:rsid w:val="69EB1750"/>
    <w:rsid w:val="69F30635"/>
    <w:rsid w:val="69FB5D40"/>
    <w:rsid w:val="6A024D1C"/>
    <w:rsid w:val="6A0445F0"/>
    <w:rsid w:val="6A184540"/>
    <w:rsid w:val="6A1862EE"/>
    <w:rsid w:val="6A1B7B8C"/>
    <w:rsid w:val="6A2453F5"/>
    <w:rsid w:val="6A2627B9"/>
    <w:rsid w:val="6A3D5D54"/>
    <w:rsid w:val="6A4D7603"/>
    <w:rsid w:val="6A5059C0"/>
    <w:rsid w:val="6A5D56F6"/>
    <w:rsid w:val="6A662C39"/>
    <w:rsid w:val="6A667059"/>
    <w:rsid w:val="6A770E80"/>
    <w:rsid w:val="6A771266"/>
    <w:rsid w:val="6A774702"/>
    <w:rsid w:val="6A7D6CB0"/>
    <w:rsid w:val="6A8676FB"/>
    <w:rsid w:val="6A8E0FBE"/>
    <w:rsid w:val="6A8E228F"/>
    <w:rsid w:val="6A9242F2"/>
    <w:rsid w:val="6A95793E"/>
    <w:rsid w:val="6AB508FB"/>
    <w:rsid w:val="6AB53B3C"/>
    <w:rsid w:val="6AB853DB"/>
    <w:rsid w:val="6AC124E1"/>
    <w:rsid w:val="6ACD3A45"/>
    <w:rsid w:val="6AE10DD5"/>
    <w:rsid w:val="6AE83F12"/>
    <w:rsid w:val="6AFE42FF"/>
    <w:rsid w:val="6B074F15"/>
    <w:rsid w:val="6B1E13E6"/>
    <w:rsid w:val="6B301415"/>
    <w:rsid w:val="6B4C26F3"/>
    <w:rsid w:val="6B4E646B"/>
    <w:rsid w:val="6B517D09"/>
    <w:rsid w:val="6B5731FC"/>
    <w:rsid w:val="6B6932A5"/>
    <w:rsid w:val="6B6D4417"/>
    <w:rsid w:val="6B730C63"/>
    <w:rsid w:val="6B894F1A"/>
    <w:rsid w:val="6B8A0A6F"/>
    <w:rsid w:val="6B8B4041"/>
    <w:rsid w:val="6B8E4AB9"/>
    <w:rsid w:val="6B9138BD"/>
    <w:rsid w:val="6B930322"/>
    <w:rsid w:val="6B9E7DEB"/>
    <w:rsid w:val="6BA53BB1"/>
    <w:rsid w:val="6BAB7953"/>
    <w:rsid w:val="6BB87D88"/>
    <w:rsid w:val="6BBD3926"/>
    <w:rsid w:val="6BC23251"/>
    <w:rsid w:val="6BCC3834"/>
    <w:rsid w:val="6BE40B7D"/>
    <w:rsid w:val="6BF16DF6"/>
    <w:rsid w:val="6BF22860"/>
    <w:rsid w:val="6C07661A"/>
    <w:rsid w:val="6C1256EA"/>
    <w:rsid w:val="6C180427"/>
    <w:rsid w:val="6C1F3AFE"/>
    <w:rsid w:val="6C24541E"/>
    <w:rsid w:val="6C2947E2"/>
    <w:rsid w:val="6C30791F"/>
    <w:rsid w:val="6C370704"/>
    <w:rsid w:val="6C3C4515"/>
    <w:rsid w:val="6C417D7E"/>
    <w:rsid w:val="6C450EF0"/>
    <w:rsid w:val="6C5230BE"/>
    <w:rsid w:val="6C53360D"/>
    <w:rsid w:val="6C56183A"/>
    <w:rsid w:val="6C5A0E3F"/>
    <w:rsid w:val="6C5D26DE"/>
    <w:rsid w:val="6C5D448C"/>
    <w:rsid w:val="6C653CD7"/>
    <w:rsid w:val="6C68355C"/>
    <w:rsid w:val="6C6B4DFB"/>
    <w:rsid w:val="6C6C46CF"/>
    <w:rsid w:val="6C6E25DC"/>
    <w:rsid w:val="6C791CDF"/>
    <w:rsid w:val="6C7D068A"/>
    <w:rsid w:val="6C81017A"/>
    <w:rsid w:val="6C8861AC"/>
    <w:rsid w:val="6C8C0ECD"/>
    <w:rsid w:val="6C9A54BB"/>
    <w:rsid w:val="6CA47FC2"/>
    <w:rsid w:val="6CA67BE1"/>
    <w:rsid w:val="6CA87DFD"/>
    <w:rsid w:val="6CA95923"/>
    <w:rsid w:val="6CAB51F7"/>
    <w:rsid w:val="6CAE4CE7"/>
    <w:rsid w:val="6CBC7404"/>
    <w:rsid w:val="6CBD4F2A"/>
    <w:rsid w:val="6CBF5146"/>
    <w:rsid w:val="6CC95D55"/>
    <w:rsid w:val="6CD504C6"/>
    <w:rsid w:val="6CD7423E"/>
    <w:rsid w:val="6CD81D64"/>
    <w:rsid w:val="6CE40709"/>
    <w:rsid w:val="6CE54BAD"/>
    <w:rsid w:val="6CE626D3"/>
    <w:rsid w:val="6CE93F71"/>
    <w:rsid w:val="6CEB1A97"/>
    <w:rsid w:val="6CF05300"/>
    <w:rsid w:val="6D01750D"/>
    <w:rsid w:val="6D03759D"/>
    <w:rsid w:val="6D0824AC"/>
    <w:rsid w:val="6D0E5786"/>
    <w:rsid w:val="6D10018E"/>
    <w:rsid w:val="6D142D9C"/>
    <w:rsid w:val="6D176D30"/>
    <w:rsid w:val="6D183AEE"/>
    <w:rsid w:val="6D196605"/>
    <w:rsid w:val="6D207F2E"/>
    <w:rsid w:val="6D254A67"/>
    <w:rsid w:val="6D2B458A"/>
    <w:rsid w:val="6D34118D"/>
    <w:rsid w:val="6D3C3656"/>
    <w:rsid w:val="6D4A0EB4"/>
    <w:rsid w:val="6D4D62AE"/>
    <w:rsid w:val="6D4F320D"/>
    <w:rsid w:val="6D5270A3"/>
    <w:rsid w:val="6D6651ED"/>
    <w:rsid w:val="6D765B1F"/>
    <w:rsid w:val="6D7935F8"/>
    <w:rsid w:val="6D7B2E1B"/>
    <w:rsid w:val="6D8A1BC0"/>
    <w:rsid w:val="6D8A7502"/>
    <w:rsid w:val="6D8E6C66"/>
    <w:rsid w:val="6D905BBE"/>
    <w:rsid w:val="6D920165"/>
    <w:rsid w:val="6D9C0FE4"/>
    <w:rsid w:val="6DAE4E6D"/>
    <w:rsid w:val="6DB54082"/>
    <w:rsid w:val="6DB77BCC"/>
    <w:rsid w:val="6DC01176"/>
    <w:rsid w:val="6DC02F24"/>
    <w:rsid w:val="6DC742B3"/>
    <w:rsid w:val="6DD15131"/>
    <w:rsid w:val="6DD213D1"/>
    <w:rsid w:val="6DD4077E"/>
    <w:rsid w:val="6DD62748"/>
    <w:rsid w:val="6DD93FE6"/>
    <w:rsid w:val="6DDA2238"/>
    <w:rsid w:val="6DDE15FC"/>
    <w:rsid w:val="6DE44E65"/>
    <w:rsid w:val="6DEA589B"/>
    <w:rsid w:val="6DF1132F"/>
    <w:rsid w:val="6DF826BE"/>
    <w:rsid w:val="6DFA6436"/>
    <w:rsid w:val="6DFB3967"/>
    <w:rsid w:val="6E1119D2"/>
    <w:rsid w:val="6E14183C"/>
    <w:rsid w:val="6E162B44"/>
    <w:rsid w:val="6E1E38B6"/>
    <w:rsid w:val="6E217E67"/>
    <w:rsid w:val="6E2C2368"/>
    <w:rsid w:val="6E4C4805"/>
    <w:rsid w:val="6E5024FA"/>
    <w:rsid w:val="6E511DCE"/>
    <w:rsid w:val="6E536614"/>
    <w:rsid w:val="6E5D4C17"/>
    <w:rsid w:val="6E623FDB"/>
    <w:rsid w:val="6E692E23"/>
    <w:rsid w:val="6E751F61"/>
    <w:rsid w:val="6E810905"/>
    <w:rsid w:val="6E8B25C6"/>
    <w:rsid w:val="6E8C1058"/>
    <w:rsid w:val="6E9028F6"/>
    <w:rsid w:val="6E906D9A"/>
    <w:rsid w:val="6E970129"/>
    <w:rsid w:val="6EA35FAB"/>
    <w:rsid w:val="6EA97E5C"/>
    <w:rsid w:val="6EB1360C"/>
    <w:rsid w:val="6EC151A6"/>
    <w:rsid w:val="6ECC2670"/>
    <w:rsid w:val="6ED44ED9"/>
    <w:rsid w:val="6ED529FF"/>
    <w:rsid w:val="6EE53F8D"/>
    <w:rsid w:val="6EFA3D50"/>
    <w:rsid w:val="6F0137F4"/>
    <w:rsid w:val="6F0917CE"/>
    <w:rsid w:val="6F0E2A6F"/>
    <w:rsid w:val="6F1140B8"/>
    <w:rsid w:val="6F1214CC"/>
    <w:rsid w:val="6F152DFC"/>
    <w:rsid w:val="6F237EDA"/>
    <w:rsid w:val="6F2D283B"/>
    <w:rsid w:val="6F2F0361"/>
    <w:rsid w:val="6F320895"/>
    <w:rsid w:val="6F5002D8"/>
    <w:rsid w:val="6F616E46"/>
    <w:rsid w:val="6F6A1399"/>
    <w:rsid w:val="6F6F043D"/>
    <w:rsid w:val="6F773AB6"/>
    <w:rsid w:val="6F7F4719"/>
    <w:rsid w:val="6F831339"/>
    <w:rsid w:val="6F8E7F71"/>
    <w:rsid w:val="6F993A2D"/>
    <w:rsid w:val="6FAB550E"/>
    <w:rsid w:val="6FCF78A8"/>
    <w:rsid w:val="6FD254B1"/>
    <w:rsid w:val="6FDA0AA5"/>
    <w:rsid w:val="6FE32EFA"/>
    <w:rsid w:val="6FE56136"/>
    <w:rsid w:val="6FE729EA"/>
    <w:rsid w:val="6FED3D79"/>
    <w:rsid w:val="6FEF189F"/>
    <w:rsid w:val="6FF15F95"/>
    <w:rsid w:val="6FF31C8B"/>
    <w:rsid w:val="6FF60E7F"/>
    <w:rsid w:val="6FF64782"/>
    <w:rsid w:val="6FFD045F"/>
    <w:rsid w:val="7007308C"/>
    <w:rsid w:val="70096E80"/>
    <w:rsid w:val="700C27C9"/>
    <w:rsid w:val="70115CB9"/>
    <w:rsid w:val="701C7935"/>
    <w:rsid w:val="7021159F"/>
    <w:rsid w:val="70291255"/>
    <w:rsid w:val="70292BF1"/>
    <w:rsid w:val="702C2104"/>
    <w:rsid w:val="70313C65"/>
    <w:rsid w:val="7046087A"/>
    <w:rsid w:val="704C0A9F"/>
    <w:rsid w:val="704C6CB7"/>
    <w:rsid w:val="705D30CD"/>
    <w:rsid w:val="705F72BA"/>
    <w:rsid w:val="706A53C9"/>
    <w:rsid w:val="706F31ED"/>
    <w:rsid w:val="70787AE6"/>
    <w:rsid w:val="7085781D"/>
    <w:rsid w:val="708C3591"/>
    <w:rsid w:val="708D180E"/>
    <w:rsid w:val="708E10B8"/>
    <w:rsid w:val="70910BA8"/>
    <w:rsid w:val="709B37D5"/>
    <w:rsid w:val="709C671D"/>
    <w:rsid w:val="709D12FB"/>
    <w:rsid w:val="70A066E0"/>
    <w:rsid w:val="70AA1528"/>
    <w:rsid w:val="70B14DA6"/>
    <w:rsid w:val="70BD199D"/>
    <w:rsid w:val="70C15EFE"/>
    <w:rsid w:val="70C525FF"/>
    <w:rsid w:val="70CA4041"/>
    <w:rsid w:val="70D0347E"/>
    <w:rsid w:val="70D07922"/>
    <w:rsid w:val="70D91F19"/>
    <w:rsid w:val="70D94A29"/>
    <w:rsid w:val="70E433CD"/>
    <w:rsid w:val="70E4517B"/>
    <w:rsid w:val="70E46F2A"/>
    <w:rsid w:val="70ED260A"/>
    <w:rsid w:val="70F01D72"/>
    <w:rsid w:val="70F52EE5"/>
    <w:rsid w:val="70F80C27"/>
    <w:rsid w:val="70FA1932"/>
    <w:rsid w:val="70FE448F"/>
    <w:rsid w:val="71062EAF"/>
    <w:rsid w:val="710650F2"/>
    <w:rsid w:val="710B44B6"/>
    <w:rsid w:val="710E3FA6"/>
    <w:rsid w:val="710E513F"/>
    <w:rsid w:val="71180BC0"/>
    <w:rsid w:val="71194DDC"/>
    <w:rsid w:val="71296F3C"/>
    <w:rsid w:val="712D267F"/>
    <w:rsid w:val="712F3714"/>
    <w:rsid w:val="713734FD"/>
    <w:rsid w:val="71377E1A"/>
    <w:rsid w:val="713E2ADE"/>
    <w:rsid w:val="7148395C"/>
    <w:rsid w:val="715776FB"/>
    <w:rsid w:val="71641E18"/>
    <w:rsid w:val="716870FB"/>
    <w:rsid w:val="71900E5F"/>
    <w:rsid w:val="71901970"/>
    <w:rsid w:val="71A52B5D"/>
    <w:rsid w:val="71A843FB"/>
    <w:rsid w:val="71AE3A66"/>
    <w:rsid w:val="71B5020E"/>
    <w:rsid w:val="71BC1C54"/>
    <w:rsid w:val="71C22F39"/>
    <w:rsid w:val="71C31235"/>
    <w:rsid w:val="71C61AB7"/>
    <w:rsid w:val="71D21478"/>
    <w:rsid w:val="71D451F0"/>
    <w:rsid w:val="71DD0374"/>
    <w:rsid w:val="71DE606F"/>
    <w:rsid w:val="71EA45CD"/>
    <w:rsid w:val="71EC0145"/>
    <w:rsid w:val="71EC42E8"/>
    <w:rsid w:val="71F15DA2"/>
    <w:rsid w:val="71F94C57"/>
    <w:rsid w:val="71FA518F"/>
    <w:rsid w:val="71FA700D"/>
    <w:rsid w:val="71FB09CF"/>
    <w:rsid w:val="71FE7A8B"/>
    <w:rsid w:val="72105C8C"/>
    <w:rsid w:val="7216149C"/>
    <w:rsid w:val="721750DD"/>
    <w:rsid w:val="72273530"/>
    <w:rsid w:val="723B526F"/>
    <w:rsid w:val="724B7693"/>
    <w:rsid w:val="724E4FA2"/>
    <w:rsid w:val="725E2D0C"/>
    <w:rsid w:val="72634944"/>
    <w:rsid w:val="726672B9"/>
    <w:rsid w:val="726A16B0"/>
    <w:rsid w:val="7270316B"/>
    <w:rsid w:val="7273281A"/>
    <w:rsid w:val="7278770A"/>
    <w:rsid w:val="72872262"/>
    <w:rsid w:val="7298446F"/>
    <w:rsid w:val="729B5D0E"/>
    <w:rsid w:val="72A746B3"/>
    <w:rsid w:val="72BF7C4E"/>
    <w:rsid w:val="72C07522"/>
    <w:rsid w:val="72C74D55"/>
    <w:rsid w:val="72C834C6"/>
    <w:rsid w:val="72C963D7"/>
    <w:rsid w:val="72CD20FE"/>
    <w:rsid w:val="72DF42EC"/>
    <w:rsid w:val="72E651DB"/>
    <w:rsid w:val="72E72D01"/>
    <w:rsid w:val="72EE5CD6"/>
    <w:rsid w:val="72F5541E"/>
    <w:rsid w:val="73013DC3"/>
    <w:rsid w:val="73075DB0"/>
    <w:rsid w:val="730F15F2"/>
    <w:rsid w:val="73104006"/>
    <w:rsid w:val="731C29AB"/>
    <w:rsid w:val="731D4975"/>
    <w:rsid w:val="731F249B"/>
    <w:rsid w:val="73267CCD"/>
    <w:rsid w:val="733E7F88"/>
    <w:rsid w:val="73412411"/>
    <w:rsid w:val="7353032E"/>
    <w:rsid w:val="7354438F"/>
    <w:rsid w:val="73587B5D"/>
    <w:rsid w:val="73610D05"/>
    <w:rsid w:val="736600CA"/>
    <w:rsid w:val="73781BAB"/>
    <w:rsid w:val="738549F4"/>
    <w:rsid w:val="73876231"/>
    <w:rsid w:val="738D5656"/>
    <w:rsid w:val="73A6496A"/>
    <w:rsid w:val="73A87A53"/>
    <w:rsid w:val="73A905BB"/>
    <w:rsid w:val="73AD7AA7"/>
    <w:rsid w:val="73B153B8"/>
    <w:rsid w:val="73B2330F"/>
    <w:rsid w:val="73B40E35"/>
    <w:rsid w:val="73BB5871"/>
    <w:rsid w:val="73BE3A62"/>
    <w:rsid w:val="73BF747B"/>
    <w:rsid w:val="73C372CA"/>
    <w:rsid w:val="73D50634"/>
    <w:rsid w:val="73D62405"/>
    <w:rsid w:val="73DB0AB8"/>
    <w:rsid w:val="73DD4A86"/>
    <w:rsid w:val="73F456D6"/>
    <w:rsid w:val="73FC27DC"/>
    <w:rsid w:val="73FD74C3"/>
    <w:rsid w:val="73FE47A6"/>
    <w:rsid w:val="740D49E9"/>
    <w:rsid w:val="7423420D"/>
    <w:rsid w:val="74253AE1"/>
    <w:rsid w:val="74273CFD"/>
    <w:rsid w:val="742835D1"/>
    <w:rsid w:val="742B4C2C"/>
    <w:rsid w:val="74355015"/>
    <w:rsid w:val="74406B6D"/>
    <w:rsid w:val="74477EFB"/>
    <w:rsid w:val="744E5768"/>
    <w:rsid w:val="745368A0"/>
    <w:rsid w:val="7456013E"/>
    <w:rsid w:val="745B39A7"/>
    <w:rsid w:val="7461733D"/>
    <w:rsid w:val="74620891"/>
    <w:rsid w:val="74634609"/>
    <w:rsid w:val="74653E0C"/>
    <w:rsid w:val="746574DF"/>
    <w:rsid w:val="746C5BB4"/>
    <w:rsid w:val="746C7962"/>
    <w:rsid w:val="747829C4"/>
    <w:rsid w:val="748757DD"/>
    <w:rsid w:val="74897917"/>
    <w:rsid w:val="749018A2"/>
    <w:rsid w:val="74982505"/>
    <w:rsid w:val="749902A8"/>
    <w:rsid w:val="749A0AC4"/>
    <w:rsid w:val="74AA27CC"/>
    <w:rsid w:val="74AD07CA"/>
    <w:rsid w:val="74B14846"/>
    <w:rsid w:val="74B336DD"/>
    <w:rsid w:val="74BD1E6B"/>
    <w:rsid w:val="74CB1EDB"/>
    <w:rsid w:val="74CC6652"/>
    <w:rsid w:val="74D169ED"/>
    <w:rsid w:val="74E514C2"/>
    <w:rsid w:val="74E76FE8"/>
    <w:rsid w:val="74E92D60"/>
    <w:rsid w:val="74EE481B"/>
    <w:rsid w:val="74F636CF"/>
    <w:rsid w:val="74FA6D1C"/>
    <w:rsid w:val="750000AA"/>
    <w:rsid w:val="7503285C"/>
    <w:rsid w:val="75037F41"/>
    <w:rsid w:val="75183646"/>
    <w:rsid w:val="752B3379"/>
    <w:rsid w:val="752D5343"/>
    <w:rsid w:val="753D30AC"/>
    <w:rsid w:val="75412DED"/>
    <w:rsid w:val="75530B22"/>
    <w:rsid w:val="755D54FC"/>
    <w:rsid w:val="75680129"/>
    <w:rsid w:val="757D5A85"/>
    <w:rsid w:val="758B02BC"/>
    <w:rsid w:val="759058D2"/>
    <w:rsid w:val="75970A0E"/>
    <w:rsid w:val="759E7FEF"/>
    <w:rsid w:val="759F5B15"/>
    <w:rsid w:val="75A66CA8"/>
    <w:rsid w:val="75C64E50"/>
    <w:rsid w:val="75C8506C"/>
    <w:rsid w:val="75CB4B5C"/>
    <w:rsid w:val="75CE3BF9"/>
    <w:rsid w:val="75D457BF"/>
    <w:rsid w:val="75D91027"/>
    <w:rsid w:val="75DE03EB"/>
    <w:rsid w:val="75F0011F"/>
    <w:rsid w:val="75F97631"/>
    <w:rsid w:val="75FE45EA"/>
    <w:rsid w:val="760F102B"/>
    <w:rsid w:val="761F0BAA"/>
    <w:rsid w:val="7621652A"/>
    <w:rsid w:val="762251EF"/>
    <w:rsid w:val="76290BCB"/>
    <w:rsid w:val="762D4ECF"/>
    <w:rsid w:val="762F6E99"/>
    <w:rsid w:val="763D7808"/>
    <w:rsid w:val="764F3097"/>
    <w:rsid w:val="76500BBD"/>
    <w:rsid w:val="76530DD9"/>
    <w:rsid w:val="76580B4A"/>
    <w:rsid w:val="76595CC4"/>
    <w:rsid w:val="765B1A3C"/>
    <w:rsid w:val="765D3A06"/>
    <w:rsid w:val="765F05D3"/>
    <w:rsid w:val="76633E1C"/>
    <w:rsid w:val="76774ECB"/>
    <w:rsid w:val="767D7C04"/>
    <w:rsid w:val="768844EA"/>
    <w:rsid w:val="76917851"/>
    <w:rsid w:val="769431A0"/>
    <w:rsid w:val="76A333E3"/>
    <w:rsid w:val="76B41DF9"/>
    <w:rsid w:val="76BA0E58"/>
    <w:rsid w:val="76CD05A5"/>
    <w:rsid w:val="76D637B8"/>
    <w:rsid w:val="76DB2B7D"/>
    <w:rsid w:val="76F221E0"/>
    <w:rsid w:val="76F679B7"/>
    <w:rsid w:val="77051B6B"/>
    <w:rsid w:val="7708482B"/>
    <w:rsid w:val="770D2E0F"/>
    <w:rsid w:val="77130569"/>
    <w:rsid w:val="77204A34"/>
    <w:rsid w:val="772A140E"/>
    <w:rsid w:val="7735623E"/>
    <w:rsid w:val="773724A9"/>
    <w:rsid w:val="77382033"/>
    <w:rsid w:val="773E52E1"/>
    <w:rsid w:val="775C1F10"/>
    <w:rsid w:val="775D3592"/>
    <w:rsid w:val="775F213E"/>
    <w:rsid w:val="77630461"/>
    <w:rsid w:val="7763329E"/>
    <w:rsid w:val="77672662"/>
    <w:rsid w:val="776963DA"/>
    <w:rsid w:val="776C1A27"/>
    <w:rsid w:val="777032C5"/>
    <w:rsid w:val="7786127F"/>
    <w:rsid w:val="778E5C6C"/>
    <w:rsid w:val="77904CF2"/>
    <w:rsid w:val="77A15B74"/>
    <w:rsid w:val="77B43AFA"/>
    <w:rsid w:val="77C27899"/>
    <w:rsid w:val="77C47AB5"/>
    <w:rsid w:val="77C55230"/>
    <w:rsid w:val="77D221D2"/>
    <w:rsid w:val="77D71596"/>
    <w:rsid w:val="77D9530E"/>
    <w:rsid w:val="77DA4BE2"/>
    <w:rsid w:val="77E048EF"/>
    <w:rsid w:val="77E141C3"/>
    <w:rsid w:val="77E43CB3"/>
    <w:rsid w:val="77EE068E"/>
    <w:rsid w:val="77F218C3"/>
    <w:rsid w:val="77F4102D"/>
    <w:rsid w:val="77F71C38"/>
    <w:rsid w:val="77F959B0"/>
    <w:rsid w:val="78046D9D"/>
    <w:rsid w:val="780600CD"/>
    <w:rsid w:val="7809412C"/>
    <w:rsid w:val="780D6D66"/>
    <w:rsid w:val="781E71C5"/>
    <w:rsid w:val="78250553"/>
    <w:rsid w:val="78397B5B"/>
    <w:rsid w:val="78483400"/>
    <w:rsid w:val="784A1D68"/>
    <w:rsid w:val="785D1DA1"/>
    <w:rsid w:val="7863107C"/>
    <w:rsid w:val="7879089F"/>
    <w:rsid w:val="788259A6"/>
    <w:rsid w:val="788A6608"/>
    <w:rsid w:val="789445ED"/>
    <w:rsid w:val="78972AD3"/>
    <w:rsid w:val="78A3591C"/>
    <w:rsid w:val="78AA2A8D"/>
    <w:rsid w:val="78AF64EE"/>
    <w:rsid w:val="78B611AB"/>
    <w:rsid w:val="78C465D7"/>
    <w:rsid w:val="78C87131"/>
    <w:rsid w:val="78C95383"/>
    <w:rsid w:val="78D75B2B"/>
    <w:rsid w:val="78D83818"/>
    <w:rsid w:val="78E154BD"/>
    <w:rsid w:val="78E670D5"/>
    <w:rsid w:val="78E84169"/>
    <w:rsid w:val="78EF290F"/>
    <w:rsid w:val="78F41CD4"/>
    <w:rsid w:val="78F85C68"/>
    <w:rsid w:val="78F9378E"/>
    <w:rsid w:val="78FB12B4"/>
    <w:rsid w:val="78FB1748"/>
    <w:rsid w:val="78FF6FF6"/>
    <w:rsid w:val="790628BA"/>
    <w:rsid w:val="790E0FE8"/>
    <w:rsid w:val="79103CEB"/>
    <w:rsid w:val="79181E66"/>
    <w:rsid w:val="79183C14"/>
    <w:rsid w:val="792425B9"/>
    <w:rsid w:val="792E3438"/>
    <w:rsid w:val="79336CA0"/>
    <w:rsid w:val="7934565D"/>
    <w:rsid w:val="79393B8B"/>
    <w:rsid w:val="794744F9"/>
    <w:rsid w:val="794C1B10"/>
    <w:rsid w:val="7950018C"/>
    <w:rsid w:val="79526B89"/>
    <w:rsid w:val="79537342"/>
    <w:rsid w:val="795C61F7"/>
    <w:rsid w:val="79646E59"/>
    <w:rsid w:val="79674589"/>
    <w:rsid w:val="7967694A"/>
    <w:rsid w:val="79685299"/>
    <w:rsid w:val="796B01E8"/>
    <w:rsid w:val="796B468F"/>
    <w:rsid w:val="796B4CD4"/>
    <w:rsid w:val="79711576"/>
    <w:rsid w:val="797352EE"/>
    <w:rsid w:val="79763444"/>
    <w:rsid w:val="798017B9"/>
    <w:rsid w:val="798B088A"/>
    <w:rsid w:val="7993531A"/>
    <w:rsid w:val="799356A1"/>
    <w:rsid w:val="799534B7"/>
    <w:rsid w:val="79972342"/>
    <w:rsid w:val="799B5E9A"/>
    <w:rsid w:val="799D05BD"/>
    <w:rsid w:val="799D236B"/>
    <w:rsid w:val="79A66679"/>
    <w:rsid w:val="79A90D10"/>
    <w:rsid w:val="79AB2CDA"/>
    <w:rsid w:val="79B30360"/>
    <w:rsid w:val="79B7342D"/>
    <w:rsid w:val="79BA2F1D"/>
    <w:rsid w:val="79BF6786"/>
    <w:rsid w:val="79CE69C9"/>
    <w:rsid w:val="79D733F8"/>
    <w:rsid w:val="79E104AA"/>
    <w:rsid w:val="79E421C6"/>
    <w:rsid w:val="79EB1329"/>
    <w:rsid w:val="79EE0E19"/>
    <w:rsid w:val="79F17A2D"/>
    <w:rsid w:val="79F75D08"/>
    <w:rsid w:val="7A044199"/>
    <w:rsid w:val="7A051081"/>
    <w:rsid w:val="7A0D129F"/>
    <w:rsid w:val="7A194811"/>
    <w:rsid w:val="7A1B7E60"/>
    <w:rsid w:val="7A201D85"/>
    <w:rsid w:val="7A286673"/>
    <w:rsid w:val="7A28779C"/>
    <w:rsid w:val="7A2B5BC9"/>
    <w:rsid w:val="7A2E1215"/>
    <w:rsid w:val="7A3727C0"/>
    <w:rsid w:val="7A3E3B4E"/>
    <w:rsid w:val="7A4153ED"/>
    <w:rsid w:val="7A4A42A1"/>
    <w:rsid w:val="7A545774"/>
    <w:rsid w:val="7A574260"/>
    <w:rsid w:val="7A592736"/>
    <w:rsid w:val="7A602CDC"/>
    <w:rsid w:val="7A6D4434"/>
    <w:rsid w:val="7A783002"/>
    <w:rsid w:val="7A8F43AA"/>
    <w:rsid w:val="7A94376E"/>
    <w:rsid w:val="7A996FD7"/>
    <w:rsid w:val="7A9A1E68"/>
    <w:rsid w:val="7AA17C39"/>
    <w:rsid w:val="7AA5772A"/>
    <w:rsid w:val="7AA7239D"/>
    <w:rsid w:val="7AA85316"/>
    <w:rsid w:val="7AAA11E4"/>
    <w:rsid w:val="7AAA22AC"/>
    <w:rsid w:val="7ABC21CC"/>
    <w:rsid w:val="7AC027B5"/>
    <w:rsid w:val="7AC2652D"/>
    <w:rsid w:val="7AC34054"/>
    <w:rsid w:val="7AC366F9"/>
    <w:rsid w:val="7ACA3634"/>
    <w:rsid w:val="7AD81021"/>
    <w:rsid w:val="7AE30252"/>
    <w:rsid w:val="7AE364A4"/>
    <w:rsid w:val="7AF34939"/>
    <w:rsid w:val="7AF83CFD"/>
    <w:rsid w:val="7B0408F4"/>
    <w:rsid w:val="7B05641A"/>
    <w:rsid w:val="7B0E1773"/>
    <w:rsid w:val="7B130B37"/>
    <w:rsid w:val="7B285913"/>
    <w:rsid w:val="7B2E3BC3"/>
    <w:rsid w:val="7B426B4F"/>
    <w:rsid w:val="7B450F0D"/>
    <w:rsid w:val="7B6E3FBF"/>
    <w:rsid w:val="7B7610C6"/>
    <w:rsid w:val="7B762E74"/>
    <w:rsid w:val="7B780418"/>
    <w:rsid w:val="7B783090"/>
    <w:rsid w:val="7B9E273E"/>
    <w:rsid w:val="7BA37BAF"/>
    <w:rsid w:val="7BA45C33"/>
    <w:rsid w:val="7BA93249"/>
    <w:rsid w:val="7BAF7648"/>
    <w:rsid w:val="7BB10350"/>
    <w:rsid w:val="7BB48E44"/>
    <w:rsid w:val="7BB67714"/>
    <w:rsid w:val="7BBC2F7D"/>
    <w:rsid w:val="7BBF3AD8"/>
    <w:rsid w:val="7BC80BCB"/>
    <w:rsid w:val="7BD858DD"/>
    <w:rsid w:val="7BDF6C6B"/>
    <w:rsid w:val="7BE90254"/>
    <w:rsid w:val="7BEC1388"/>
    <w:rsid w:val="7BF02C26"/>
    <w:rsid w:val="7BF52B5A"/>
    <w:rsid w:val="7BF646AD"/>
    <w:rsid w:val="7BFD3595"/>
    <w:rsid w:val="7C003309"/>
    <w:rsid w:val="7C042B76"/>
    <w:rsid w:val="7C077F70"/>
    <w:rsid w:val="7C0E57A2"/>
    <w:rsid w:val="7C1032C9"/>
    <w:rsid w:val="7C136915"/>
    <w:rsid w:val="7C174657"/>
    <w:rsid w:val="7C183F2B"/>
    <w:rsid w:val="7C1C7EBF"/>
    <w:rsid w:val="7C442F72"/>
    <w:rsid w:val="7C444D20"/>
    <w:rsid w:val="7C4A1FD6"/>
    <w:rsid w:val="7C4D62CB"/>
    <w:rsid w:val="7C5036C5"/>
    <w:rsid w:val="7C5426F2"/>
    <w:rsid w:val="7C605FFE"/>
    <w:rsid w:val="7C6158D2"/>
    <w:rsid w:val="7C72188D"/>
    <w:rsid w:val="7C9665E6"/>
    <w:rsid w:val="7C9D5B31"/>
    <w:rsid w:val="7C9E2682"/>
    <w:rsid w:val="7CA462C8"/>
    <w:rsid w:val="7CAB16E6"/>
    <w:rsid w:val="7CAC1243"/>
    <w:rsid w:val="7CAD4FBB"/>
    <w:rsid w:val="7CB57D11"/>
    <w:rsid w:val="7CC467BE"/>
    <w:rsid w:val="7CD05E42"/>
    <w:rsid w:val="7CD267D0"/>
    <w:rsid w:val="7CD662C0"/>
    <w:rsid w:val="7CDC3418"/>
    <w:rsid w:val="7CE34006"/>
    <w:rsid w:val="7CF60710"/>
    <w:rsid w:val="7CF75A68"/>
    <w:rsid w:val="7D0845C0"/>
    <w:rsid w:val="7D1110A6"/>
    <w:rsid w:val="7D133070"/>
    <w:rsid w:val="7D1754DB"/>
    <w:rsid w:val="7D1C7A4B"/>
    <w:rsid w:val="7D223639"/>
    <w:rsid w:val="7D225061"/>
    <w:rsid w:val="7D23702C"/>
    <w:rsid w:val="7D292894"/>
    <w:rsid w:val="7D2C5EE0"/>
    <w:rsid w:val="7D2E53CE"/>
    <w:rsid w:val="7D31799A"/>
    <w:rsid w:val="7D495A62"/>
    <w:rsid w:val="7D4A0A5C"/>
    <w:rsid w:val="7D4A45B8"/>
    <w:rsid w:val="7D562F5D"/>
    <w:rsid w:val="7D5E0064"/>
    <w:rsid w:val="7D627B54"/>
    <w:rsid w:val="7D6B3DDA"/>
    <w:rsid w:val="7D6C2781"/>
    <w:rsid w:val="7D7056DF"/>
    <w:rsid w:val="7D8950E1"/>
    <w:rsid w:val="7D8C639D"/>
    <w:rsid w:val="7D8E26F7"/>
    <w:rsid w:val="7D8F646F"/>
    <w:rsid w:val="7D937D0D"/>
    <w:rsid w:val="7D94330E"/>
    <w:rsid w:val="7D970D10"/>
    <w:rsid w:val="7DAC7021"/>
    <w:rsid w:val="7DBC3788"/>
    <w:rsid w:val="7DC00FA5"/>
    <w:rsid w:val="7DC5770A"/>
    <w:rsid w:val="7DCE3836"/>
    <w:rsid w:val="7DD27ADC"/>
    <w:rsid w:val="7DDA593C"/>
    <w:rsid w:val="7DFE63F9"/>
    <w:rsid w:val="7E0712BC"/>
    <w:rsid w:val="7E096221"/>
    <w:rsid w:val="7E143CF3"/>
    <w:rsid w:val="7E1E7F1F"/>
    <w:rsid w:val="7E221091"/>
    <w:rsid w:val="7E237E27"/>
    <w:rsid w:val="7E3453D0"/>
    <w:rsid w:val="7E372D8F"/>
    <w:rsid w:val="7E4A4BCB"/>
    <w:rsid w:val="7E5434BA"/>
    <w:rsid w:val="7E5A6A7D"/>
    <w:rsid w:val="7E5C45A3"/>
    <w:rsid w:val="7E5D031B"/>
    <w:rsid w:val="7E794F98"/>
    <w:rsid w:val="7E8104AE"/>
    <w:rsid w:val="7E977CD1"/>
    <w:rsid w:val="7E9C52E7"/>
    <w:rsid w:val="7E9E51C7"/>
    <w:rsid w:val="7EAB72D9"/>
    <w:rsid w:val="7EB02B41"/>
    <w:rsid w:val="7EB64DC3"/>
    <w:rsid w:val="7EC42148"/>
    <w:rsid w:val="7EC565EC"/>
    <w:rsid w:val="7EC632B3"/>
    <w:rsid w:val="7EC7606C"/>
    <w:rsid w:val="7EC81C39"/>
    <w:rsid w:val="7ED00AED"/>
    <w:rsid w:val="7ED127E1"/>
    <w:rsid w:val="7ED24865"/>
    <w:rsid w:val="7ED4682F"/>
    <w:rsid w:val="7EE8052D"/>
    <w:rsid w:val="7EEA1BAF"/>
    <w:rsid w:val="7EEA6053"/>
    <w:rsid w:val="7EF02F3D"/>
    <w:rsid w:val="7EF606A4"/>
    <w:rsid w:val="7EF817D7"/>
    <w:rsid w:val="7EFC18E2"/>
    <w:rsid w:val="7F0569E9"/>
    <w:rsid w:val="7F0A2251"/>
    <w:rsid w:val="7F1135E0"/>
    <w:rsid w:val="7F127358"/>
    <w:rsid w:val="7F164405"/>
    <w:rsid w:val="7F17476A"/>
    <w:rsid w:val="7F195E74"/>
    <w:rsid w:val="7F231924"/>
    <w:rsid w:val="7F2826D7"/>
    <w:rsid w:val="7F34107C"/>
    <w:rsid w:val="7F4734A5"/>
    <w:rsid w:val="7F4A6AF1"/>
    <w:rsid w:val="7F4B34D6"/>
    <w:rsid w:val="7F4C01CC"/>
    <w:rsid w:val="7F4E2CBA"/>
    <w:rsid w:val="7F4F3764"/>
    <w:rsid w:val="7F623E3B"/>
    <w:rsid w:val="7F631961"/>
    <w:rsid w:val="7F6851CA"/>
    <w:rsid w:val="7F6959F8"/>
    <w:rsid w:val="7F6D27E0"/>
    <w:rsid w:val="7F6F0306"/>
    <w:rsid w:val="7F6F6558"/>
    <w:rsid w:val="7F763505"/>
    <w:rsid w:val="7F7B0A34"/>
    <w:rsid w:val="7F820019"/>
    <w:rsid w:val="7F8244DD"/>
    <w:rsid w:val="7F833DB1"/>
    <w:rsid w:val="7F870140"/>
    <w:rsid w:val="7F8B611E"/>
    <w:rsid w:val="7F8D69DE"/>
    <w:rsid w:val="7F9A43CC"/>
    <w:rsid w:val="7F9B57D6"/>
    <w:rsid w:val="7FA17DB3"/>
    <w:rsid w:val="7FA47916"/>
    <w:rsid w:val="7FA75487"/>
    <w:rsid w:val="7FBD72C3"/>
    <w:rsid w:val="7FBE45A5"/>
    <w:rsid w:val="7FBE6104"/>
    <w:rsid w:val="7FD0349B"/>
    <w:rsid w:val="7FD91C23"/>
    <w:rsid w:val="7FDA7E75"/>
    <w:rsid w:val="7FF802FC"/>
    <w:rsid w:val="7FFA406D"/>
    <w:rsid w:val="7FFF16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qFormat="1"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link w:val="53"/>
    <w:qFormat/>
    <w:uiPriority w:val="0"/>
    <w:pPr>
      <w:keepNext/>
      <w:keepLines/>
      <w:spacing w:before="40" w:after="40" w:line="360" w:lineRule="auto"/>
      <w:jc w:val="center"/>
      <w:outlineLvl w:val="0"/>
    </w:pPr>
    <w:rPr>
      <w:rFonts w:ascii="Times New Roman" w:hAnsi="Times New Roman" w:eastAsia="黑体"/>
      <w:b/>
      <w:bCs/>
      <w:kern w:val="44"/>
      <w:sz w:val="32"/>
      <w:szCs w:val="44"/>
    </w:rPr>
  </w:style>
  <w:style w:type="paragraph" w:styleId="2">
    <w:name w:val="heading 2"/>
    <w:basedOn w:val="1"/>
    <w:next w:val="1"/>
    <w:link w:val="57"/>
    <w:qFormat/>
    <w:uiPriority w:val="0"/>
    <w:pPr>
      <w:keepNext/>
      <w:keepLines/>
      <w:ind w:hanging="1"/>
      <w:jc w:val="center"/>
      <w:outlineLvl w:val="1"/>
    </w:pPr>
    <w:rPr>
      <w:rFonts w:ascii="宋体" w:hAnsi="宋体"/>
      <w:b/>
      <w:bCs/>
      <w:color w:val="000000"/>
      <w:sz w:val="32"/>
      <w:szCs w:val="32"/>
    </w:rPr>
  </w:style>
  <w:style w:type="paragraph" w:styleId="4">
    <w:name w:val="heading 3"/>
    <w:basedOn w:val="1"/>
    <w:next w:val="1"/>
    <w:link w:val="42"/>
    <w:qFormat/>
    <w:uiPriority w:val="0"/>
    <w:pPr>
      <w:keepNext/>
      <w:keepLines/>
      <w:spacing w:before="120" w:after="120"/>
      <w:jc w:val="center"/>
      <w:outlineLvl w:val="2"/>
    </w:pPr>
    <w:rPr>
      <w:rFonts w:ascii="宋体" w:hAnsi="宋体"/>
      <w:b/>
      <w:sz w:val="32"/>
      <w:szCs w:val="32"/>
    </w:rPr>
  </w:style>
  <w:style w:type="paragraph" w:styleId="5">
    <w:name w:val="heading 4"/>
    <w:basedOn w:val="1"/>
    <w:next w:val="1"/>
    <w:link w:val="61"/>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50"/>
    <w:qFormat/>
    <w:uiPriority w:val="0"/>
    <w:pPr>
      <w:keepNext/>
      <w:keepLines/>
      <w:spacing w:before="280" w:after="290" w:line="376" w:lineRule="auto"/>
      <w:outlineLvl w:val="4"/>
    </w:pPr>
    <w:rPr>
      <w:rFonts w:ascii="Times New Roman" w:hAnsi="Times New Roman"/>
      <w:b/>
      <w:bCs/>
      <w:sz w:val="28"/>
      <w:szCs w:val="28"/>
    </w:rPr>
  </w:style>
  <w:style w:type="paragraph" w:styleId="7">
    <w:name w:val="heading 6"/>
    <w:basedOn w:val="1"/>
    <w:next w:val="1"/>
    <w:link w:val="39"/>
    <w:qFormat/>
    <w:uiPriority w:val="0"/>
    <w:pPr>
      <w:spacing w:line="271" w:lineRule="auto"/>
      <w:outlineLvl w:val="5"/>
    </w:pPr>
    <w:rPr>
      <w:rFonts w:ascii="Cambria" w:hAnsi="Cambria"/>
      <w:b/>
      <w:bCs/>
      <w:i/>
      <w:iCs/>
      <w:color w:val="7F7F7F"/>
      <w:sz w:val="20"/>
    </w:rPr>
  </w:style>
  <w:style w:type="paragraph" w:styleId="8">
    <w:name w:val="heading 7"/>
    <w:basedOn w:val="1"/>
    <w:next w:val="1"/>
    <w:link w:val="38"/>
    <w:qFormat/>
    <w:uiPriority w:val="0"/>
    <w:pPr>
      <w:outlineLvl w:val="6"/>
    </w:pPr>
    <w:rPr>
      <w:rFonts w:ascii="Cambria" w:hAnsi="Cambria"/>
      <w:i/>
      <w:iCs/>
      <w:sz w:val="20"/>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9">
    <w:name w:val="Normal Indent"/>
    <w:basedOn w:val="1"/>
    <w:link w:val="52"/>
    <w:qFormat/>
    <w:uiPriority w:val="0"/>
    <w:pPr>
      <w:snapToGrid w:val="0"/>
      <w:spacing w:line="360" w:lineRule="auto"/>
    </w:pPr>
    <w:rPr>
      <w:rFonts w:ascii="宋体" w:hAnsi="宋体"/>
      <w:snapToGrid w:val="0"/>
    </w:rPr>
  </w:style>
  <w:style w:type="paragraph" w:styleId="10">
    <w:name w:val="caption"/>
    <w:basedOn w:val="1"/>
    <w:next w:val="1"/>
    <w:qFormat/>
    <w:uiPriority w:val="0"/>
    <w:pPr>
      <w:jc w:val="center"/>
    </w:pPr>
    <w:rPr>
      <w:rFonts w:ascii="Calibri Light" w:hAnsi="Calibri Light" w:eastAsia="黑体"/>
      <w:sz w:val="24"/>
    </w:rPr>
  </w:style>
  <w:style w:type="paragraph" w:styleId="11">
    <w:name w:val="Document Map"/>
    <w:basedOn w:val="1"/>
    <w:link w:val="58"/>
    <w:qFormat/>
    <w:uiPriority w:val="0"/>
    <w:pPr>
      <w:shd w:val="clear" w:color="auto" w:fill="000080"/>
    </w:pPr>
    <w:rPr>
      <w:rFonts w:ascii="Times New Roman" w:hAnsi="Times New Roman"/>
      <w:szCs w:val="24"/>
    </w:rPr>
  </w:style>
  <w:style w:type="paragraph" w:styleId="12">
    <w:name w:val="annotation text"/>
    <w:basedOn w:val="1"/>
    <w:link w:val="71"/>
    <w:qFormat/>
    <w:uiPriority w:val="99"/>
    <w:pPr>
      <w:jc w:val="left"/>
    </w:pPr>
    <w:rPr>
      <w:rFonts w:ascii="Times New Roman" w:hAnsi="Times New Roman"/>
    </w:rPr>
  </w:style>
  <w:style w:type="paragraph" w:styleId="13">
    <w:name w:val="Body Text 3"/>
    <w:basedOn w:val="1"/>
    <w:link w:val="36"/>
    <w:qFormat/>
    <w:uiPriority w:val="0"/>
    <w:pPr>
      <w:spacing w:after="120"/>
    </w:pPr>
    <w:rPr>
      <w:rFonts w:ascii="Times New Roman" w:hAnsi="Times New Roman"/>
      <w:sz w:val="16"/>
      <w:szCs w:val="16"/>
    </w:rPr>
  </w:style>
  <w:style w:type="paragraph" w:styleId="14">
    <w:name w:val="Body Text"/>
    <w:basedOn w:val="1"/>
    <w:link w:val="37"/>
    <w:qFormat/>
    <w:uiPriority w:val="0"/>
    <w:pPr>
      <w:spacing w:after="120"/>
    </w:pPr>
    <w:rPr>
      <w:rFonts w:ascii="Times New Roman" w:hAnsi="Times New Roman"/>
    </w:rPr>
  </w:style>
  <w:style w:type="paragraph" w:styleId="15">
    <w:name w:val="Body Text Indent"/>
    <w:basedOn w:val="1"/>
    <w:qFormat/>
    <w:uiPriority w:val="0"/>
    <w:pPr>
      <w:ind w:left="420" w:leftChars="200"/>
    </w:pPr>
    <w:rPr>
      <w:rFonts w:hint="eastAsia"/>
      <w:sz w:val="24"/>
    </w:rPr>
  </w:style>
  <w:style w:type="paragraph" w:styleId="16">
    <w:name w:val="toc 3"/>
    <w:basedOn w:val="1"/>
    <w:next w:val="1"/>
    <w:qFormat/>
    <w:uiPriority w:val="39"/>
    <w:pPr>
      <w:tabs>
        <w:tab w:val="right" w:leader="dot" w:pos="9628"/>
      </w:tabs>
      <w:spacing w:line="360" w:lineRule="auto"/>
      <w:ind w:left="420"/>
      <w:jc w:val="left"/>
    </w:pPr>
    <w:rPr>
      <w:rFonts w:ascii="Times New Roman" w:hAnsi="Times New Roman"/>
      <w:iCs/>
      <w:sz w:val="20"/>
    </w:rPr>
  </w:style>
  <w:style w:type="paragraph" w:styleId="17">
    <w:name w:val="Plain Text"/>
    <w:basedOn w:val="1"/>
    <w:link w:val="35"/>
    <w:qFormat/>
    <w:uiPriority w:val="0"/>
    <w:rPr>
      <w:rFonts w:ascii="Courier New" w:hAnsi="Courier New"/>
    </w:rPr>
  </w:style>
  <w:style w:type="paragraph" w:styleId="18">
    <w:name w:val="Body Text Indent 2"/>
    <w:basedOn w:val="1"/>
    <w:semiHidden/>
    <w:unhideWhenUsed/>
    <w:qFormat/>
    <w:uiPriority w:val="99"/>
    <w:pPr>
      <w:spacing w:after="120" w:line="480" w:lineRule="auto"/>
      <w:ind w:left="420" w:leftChars="200"/>
    </w:pPr>
  </w:style>
  <w:style w:type="paragraph" w:styleId="19">
    <w:name w:val="Balloon Text"/>
    <w:basedOn w:val="1"/>
    <w:link w:val="56"/>
    <w:qFormat/>
    <w:uiPriority w:val="0"/>
    <w:rPr>
      <w:rFonts w:ascii="Times New Roman" w:hAnsi="Times New Roman"/>
      <w:sz w:val="18"/>
      <w:szCs w:val="18"/>
    </w:rPr>
  </w:style>
  <w:style w:type="paragraph" w:styleId="20">
    <w:name w:val="footer"/>
    <w:basedOn w:val="1"/>
    <w:link w:val="47"/>
    <w:qFormat/>
    <w:uiPriority w:val="99"/>
    <w:pPr>
      <w:tabs>
        <w:tab w:val="center" w:pos="4153"/>
        <w:tab w:val="right" w:pos="8306"/>
      </w:tabs>
      <w:snapToGrid w:val="0"/>
      <w:jc w:val="left"/>
    </w:pPr>
    <w:rPr>
      <w:rFonts w:ascii="Times New Roman" w:hAnsi="Times New Roman"/>
      <w:sz w:val="18"/>
    </w:rPr>
  </w:style>
  <w:style w:type="paragraph" w:styleId="21">
    <w:name w:val="header"/>
    <w:basedOn w:val="1"/>
    <w:link w:val="4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22">
    <w:name w:val="toc 1"/>
    <w:basedOn w:val="1"/>
    <w:next w:val="1"/>
    <w:qFormat/>
    <w:uiPriority w:val="39"/>
    <w:pPr>
      <w:spacing w:before="120" w:after="120"/>
      <w:jc w:val="left"/>
    </w:pPr>
    <w:rPr>
      <w:rFonts w:ascii="Times New Roman" w:hAnsi="Times New Roman"/>
      <w:b/>
      <w:bCs/>
      <w:caps/>
      <w:sz w:val="20"/>
    </w:rPr>
  </w:style>
  <w:style w:type="paragraph" w:styleId="23">
    <w:name w:val="toc 2"/>
    <w:basedOn w:val="1"/>
    <w:next w:val="1"/>
    <w:qFormat/>
    <w:uiPriority w:val="39"/>
    <w:pPr>
      <w:ind w:left="210"/>
      <w:jc w:val="left"/>
    </w:pPr>
    <w:rPr>
      <w:rFonts w:ascii="Times New Roman" w:hAnsi="Times New Roman"/>
      <w:smallCaps/>
      <w:sz w:val="20"/>
    </w:rPr>
  </w:style>
  <w:style w:type="paragraph" w:styleId="24">
    <w:name w:val="Normal (Web)"/>
    <w:basedOn w:val="1"/>
    <w:qFormat/>
    <w:uiPriority w:val="99"/>
    <w:pPr>
      <w:widowControl/>
      <w:spacing w:before="100" w:beforeAutospacing="1" w:after="100" w:afterAutospacing="1"/>
      <w:jc w:val="left"/>
    </w:pPr>
    <w:rPr>
      <w:rFonts w:ascii="宋体" w:hAnsi="宋体"/>
      <w:kern w:val="0"/>
      <w:sz w:val="18"/>
      <w:szCs w:val="18"/>
    </w:rPr>
  </w:style>
  <w:style w:type="paragraph" w:styleId="25">
    <w:name w:val="Title"/>
    <w:basedOn w:val="1"/>
    <w:next w:val="1"/>
    <w:qFormat/>
    <w:uiPriority w:val="0"/>
    <w:pPr>
      <w:spacing w:before="240" w:after="60"/>
      <w:jc w:val="center"/>
      <w:outlineLvl w:val="0"/>
    </w:pPr>
    <w:rPr>
      <w:rFonts w:ascii="Cambria" w:hAnsi="Cambria"/>
      <w:b/>
      <w:bCs/>
      <w:sz w:val="32"/>
      <w:szCs w:val="32"/>
    </w:rPr>
  </w:style>
  <w:style w:type="paragraph" w:styleId="26">
    <w:name w:val="annotation subject"/>
    <w:basedOn w:val="12"/>
    <w:next w:val="12"/>
    <w:link w:val="73"/>
    <w:semiHidden/>
    <w:unhideWhenUsed/>
    <w:qFormat/>
    <w:uiPriority w:val="99"/>
    <w:rPr>
      <w:rFonts w:ascii="Calibri" w:hAnsi="Calibri"/>
      <w:b/>
      <w:bCs/>
    </w:rPr>
  </w:style>
  <w:style w:type="paragraph" w:styleId="27">
    <w:name w:val="Body Text First Indent"/>
    <w:basedOn w:val="14"/>
    <w:link w:val="62"/>
    <w:qFormat/>
    <w:uiPriority w:val="0"/>
    <w:pPr>
      <w:ind w:firstLine="420"/>
    </w:pPr>
  </w:style>
  <w:style w:type="paragraph" w:styleId="28">
    <w:name w:val="Body Text First Indent 2"/>
    <w:basedOn w:val="15"/>
    <w:qFormat/>
    <w:uiPriority w:val="0"/>
    <w:pPr>
      <w:ind w:firstLine="420" w:firstLineChars="200"/>
    </w:pPr>
    <w:rPr>
      <w:rFonts w:ascii="Arial" w:hAnsi="Arial"/>
      <w:b/>
      <w:bCs/>
      <w:szCs w:val="28"/>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page number"/>
    <w:qFormat/>
    <w:uiPriority w:val="0"/>
  </w:style>
  <w:style w:type="character" w:styleId="33">
    <w:name w:val="Hyperlink"/>
    <w:qFormat/>
    <w:uiPriority w:val="99"/>
    <w:rPr>
      <w:rFonts w:ascii="Times New Roman" w:hAnsi="Times New Roman" w:eastAsia="宋体" w:cs="Times New Roman"/>
      <w:color w:val="0000FF"/>
      <w:u w:val="single"/>
    </w:rPr>
  </w:style>
  <w:style w:type="character" w:styleId="34">
    <w:name w:val="annotation reference"/>
    <w:basedOn w:val="31"/>
    <w:semiHidden/>
    <w:unhideWhenUsed/>
    <w:qFormat/>
    <w:uiPriority w:val="99"/>
    <w:rPr>
      <w:rFonts w:ascii="Times New Roman" w:hAnsi="Times New Roman" w:eastAsia="宋体" w:cs="Times New Roman"/>
      <w:sz w:val="21"/>
      <w:szCs w:val="21"/>
    </w:rPr>
  </w:style>
  <w:style w:type="character" w:customStyle="1" w:styleId="35">
    <w:name w:val="纯文本 Char"/>
    <w:link w:val="17"/>
    <w:qFormat/>
    <w:uiPriority w:val="0"/>
    <w:rPr>
      <w:rFonts w:ascii="Courier New" w:hAnsi="Courier New" w:eastAsia="宋体" w:cs="Times New Roman"/>
      <w:kern w:val="2"/>
      <w:sz w:val="21"/>
    </w:rPr>
  </w:style>
  <w:style w:type="character" w:customStyle="1" w:styleId="36">
    <w:name w:val="正文文本 3 Char"/>
    <w:link w:val="13"/>
    <w:qFormat/>
    <w:uiPriority w:val="0"/>
    <w:rPr>
      <w:rFonts w:ascii="Times New Roman" w:hAnsi="Times New Roman" w:eastAsia="宋体" w:cs="Times New Roman"/>
      <w:kern w:val="2"/>
      <w:sz w:val="16"/>
      <w:szCs w:val="16"/>
    </w:rPr>
  </w:style>
  <w:style w:type="character" w:customStyle="1" w:styleId="37">
    <w:name w:val="正文文本 Char"/>
    <w:link w:val="14"/>
    <w:qFormat/>
    <w:uiPriority w:val="0"/>
    <w:rPr>
      <w:rFonts w:ascii="Times New Roman" w:hAnsi="Times New Roman" w:eastAsia="宋体" w:cs="Times New Roman"/>
      <w:kern w:val="2"/>
      <w:sz w:val="21"/>
    </w:rPr>
  </w:style>
  <w:style w:type="character" w:customStyle="1" w:styleId="38">
    <w:name w:val="标题 7 Char"/>
    <w:link w:val="8"/>
    <w:qFormat/>
    <w:uiPriority w:val="0"/>
    <w:rPr>
      <w:rFonts w:ascii="Cambria" w:hAnsi="Cambria" w:eastAsia="宋体" w:cs="Times New Roman"/>
      <w:i/>
      <w:iCs/>
      <w:kern w:val="2"/>
      <w:lang w:val="en-US" w:eastAsia="zh-CN" w:bidi="ar-SA"/>
    </w:rPr>
  </w:style>
  <w:style w:type="character" w:customStyle="1" w:styleId="39">
    <w:name w:val="标题 6 Char"/>
    <w:link w:val="7"/>
    <w:qFormat/>
    <w:uiPriority w:val="0"/>
    <w:rPr>
      <w:rFonts w:ascii="Cambria" w:hAnsi="Cambria" w:eastAsia="宋体" w:cs="Times New Roman"/>
      <w:b/>
      <w:bCs/>
      <w:i/>
      <w:iCs/>
      <w:color w:val="7F7F7F"/>
      <w:kern w:val="2"/>
      <w:lang w:val="en-US" w:eastAsia="zh-CN" w:bidi="ar-SA"/>
    </w:rPr>
  </w:style>
  <w:style w:type="character" w:customStyle="1" w:styleId="40">
    <w:name w:val="样式 标题 1 + 三号 Char Char"/>
    <w:link w:val="41"/>
    <w:qFormat/>
    <w:uiPriority w:val="0"/>
    <w:rPr>
      <w:rFonts w:ascii="Times New Roman" w:hAnsi="Times New Roman" w:eastAsia="宋体" w:cs="Times New Roman"/>
      <w:b/>
      <w:bCs/>
      <w:kern w:val="44"/>
      <w:sz w:val="32"/>
      <w:szCs w:val="44"/>
      <w:lang w:val="en-US" w:eastAsia="zh-CN" w:bidi="ar-SA"/>
    </w:rPr>
  </w:style>
  <w:style w:type="paragraph" w:customStyle="1" w:styleId="41">
    <w:name w:val="样式 标题 1 + 三号"/>
    <w:basedOn w:val="3"/>
    <w:link w:val="40"/>
    <w:qFormat/>
    <w:uiPriority w:val="0"/>
    <w:pPr>
      <w:spacing w:line="240" w:lineRule="auto"/>
    </w:pPr>
    <w:rPr>
      <w:rFonts w:eastAsia="宋体"/>
    </w:rPr>
  </w:style>
  <w:style w:type="character" w:customStyle="1" w:styleId="42">
    <w:name w:val="标题 3 Char"/>
    <w:link w:val="4"/>
    <w:qFormat/>
    <w:uiPriority w:val="0"/>
    <w:rPr>
      <w:rFonts w:ascii="宋体" w:hAnsi="宋体" w:eastAsia="宋体" w:cs="Times New Roman"/>
      <w:b/>
      <w:kern w:val="2"/>
      <w:sz w:val="32"/>
      <w:szCs w:val="32"/>
      <w:lang w:val="en-US" w:eastAsia="zh-CN" w:bidi="ar-SA"/>
    </w:rPr>
  </w:style>
  <w:style w:type="character" w:customStyle="1" w:styleId="43">
    <w:name w:val="页眉 Char"/>
    <w:link w:val="21"/>
    <w:qFormat/>
    <w:uiPriority w:val="0"/>
    <w:rPr>
      <w:rFonts w:ascii="Times New Roman" w:hAnsi="Times New Roman" w:eastAsia="宋体" w:cs="Times New Roman"/>
      <w:kern w:val="2"/>
      <w:sz w:val="18"/>
      <w:lang w:val="en-US" w:eastAsia="zh-CN" w:bidi="ar-SA"/>
    </w:rPr>
  </w:style>
  <w:style w:type="character" w:customStyle="1" w:styleId="44">
    <w:name w:val="fontstyle01"/>
    <w:qFormat/>
    <w:uiPriority w:val="0"/>
    <w:rPr>
      <w:rFonts w:hint="default" w:ascii="??Regular" w:hAnsi="??Regular" w:eastAsia="宋体" w:cs="Times New Roman"/>
      <w:color w:val="333333"/>
      <w:sz w:val="22"/>
      <w:szCs w:val="22"/>
    </w:rPr>
  </w:style>
  <w:style w:type="character" w:customStyle="1" w:styleId="45">
    <w:name w:val="无间隔 Char"/>
    <w:link w:val="46"/>
    <w:qFormat/>
    <w:uiPriority w:val="0"/>
    <w:rPr>
      <w:rFonts w:ascii="Times New Roman" w:hAnsi="Times New Roman" w:eastAsia="宋体" w:cs="Times New Roman"/>
      <w:kern w:val="2"/>
      <w:sz w:val="21"/>
      <w:szCs w:val="24"/>
      <w:lang w:val="en-US" w:eastAsia="zh-CN" w:bidi="ar-SA"/>
    </w:rPr>
  </w:style>
  <w:style w:type="paragraph" w:styleId="46">
    <w:name w:val="No Spacing"/>
    <w:basedOn w:val="1"/>
    <w:link w:val="45"/>
    <w:qFormat/>
    <w:uiPriority w:val="0"/>
    <w:rPr>
      <w:rFonts w:ascii="Times New Roman" w:hAnsi="Times New Roman"/>
      <w:szCs w:val="24"/>
    </w:rPr>
  </w:style>
  <w:style w:type="character" w:customStyle="1" w:styleId="47">
    <w:name w:val="页脚 Char1"/>
    <w:link w:val="20"/>
    <w:qFormat/>
    <w:uiPriority w:val="99"/>
    <w:rPr>
      <w:rFonts w:ascii="Times New Roman" w:hAnsi="Times New Roman" w:eastAsia="宋体" w:cs="Times New Roman"/>
      <w:kern w:val="2"/>
      <w:sz w:val="18"/>
      <w:lang w:val="en-US" w:eastAsia="zh-CN" w:bidi="ar-SA"/>
    </w:rPr>
  </w:style>
  <w:style w:type="character" w:customStyle="1" w:styleId="48">
    <w:name w:val="引用 Char"/>
    <w:link w:val="49"/>
    <w:qFormat/>
    <w:uiPriority w:val="0"/>
    <w:rPr>
      <w:rFonts w:ascii="Times New Roman" w:hAnsi="Times New Roman" w:eastAsia="宋体" w:cs="Times New Roman"/>
      <w:i/>
      <w:iCs/>
      <w:kern w:val="2"/>
      <w:lang w:val="en-US" w:eastAsia="zh-CN" w:bidi="ar-SA"/>
    </w:rPr>
  </w:style>
  <w:style w:type="paragraph" w:styleId="49">
    <w:name w:val="Quote"/>
    <w:basedOn w:val="1"/>
    <w:next w:val="1"/>
    <w:link w:val="48"/>
    <w:qFormat/>
    <w:uiPriority w:val="0"/>
    <w:pPr>
      <w:spacing w:before="200"/>
      <w:ind w:left="360" w:right="360"/>
    </w:pPr>
    <w:rPr>
      <w:rFonts w:ascii="Times New Roman" w:hAnsi="Times New Roman"/>
      <w:i/>
      <w:iCs/>
      <w:sz w:val="20"/>
    </w:rPr>
  </w:style>
  <w:style w:type="character" w:customStyle="1" w:styleId="50">
    <w:name w:val="标题 5 Char"/>
    <w:link w:val="6"/>
    <w:qFormat/>
    <w:uiPriority w:val="0"/>
    <w:rPr>
      <w:rFonts w:ascii="Times New Roman" w:hAnsi="Times New Roman" w:eastAsia="宋体" w:cs="Times New Roman"/>
      <w:b/>
      <w:bCs/>
      <w:kern w:val="2"/>
      <w:sz w:val="28"/>
      <w:szCs w:val="28"/>
      <w:lang w:val="en-US" w:eastAsia="zh-CN" w:bidi="ar-SA"/>
    </w:rPr>
  </w:style>
  <w:style w:type="character" w:customStyle="1" w:styleId="51">
    <w:name w:val="fontstyle21"/>
    <w:qFormat/>
    <w:uiPriority w:val="0"/>
    <w:rPr>
      <w:rFonts w:hint="default" w:ascii="仿宋" w:hAnsi="仿宋" w:eastAsia="宋体" w:cs="Times New Roman"/>
      <w:color w:val="000000"/>
      <w:sz w:val="24"/>
      <w:szCs w:val="24"/>
    </w:rPr>
  </w:style>
  <w:style w:type="character" w:customStyle="1" w:styleId="52">
    <w:name w:val="正文缩进 Char"/>
    <w:link w:val="9"/>
    <w:qFormat/>
    <w:uiPriority w:val="0"/>
    <w:rPr>
      <w:rFonts w:ascii="宋体" w:hAnsi="宋体" w:eastAsia="宋体" w:cs="Times New Roman"/>
      <w:snapToGrid w:val="0"/>
      <w:kern w:val="2"/>
      <w:sz w:val="21"/>
    </w:rPr>
  </w:style>
  <w:style w:type="character" w:customStyle="1" w:styleId="53">
    <w:name w:val="标题 1 Char"/>
    <w:basedOn w:val="31"/>
    <w:link w:val="3"/>
    <w:qFormat/>
    <w:uiPriority w:val="0"/>
    <w:rPr>
      <w:rFonts w:ascii="Times New Roman" w:hAnsi="Times New Roman" w:eastAsia="黑体" w:cs="Times New Roman"/>
      <w:b/>
      <w:bCs/>
      <w:kern w:val="44"/>
      <w:sz w:val="32"/>
      <w:szCs w:val="44"/>
      <w:lang w:val="en-US" w:eastAsia="zh-CN" w:bidi="ar-SA"/>
    </w:rPr>
  </w:style>
  <w:style w:type="character" w:customStyle="1" w:styleId="54">
    <w:name w:val="明显引用 Char"/>
    <w:link w:val="55"/>
    <w:qFormat/>
    <w:uiPriority w:val="0"/>
    <w:rPr>
      <w:rFonts w:ascii="Times New Roman" w:hAnsi="Times New Roman" w:eastAsia="宋体" w:cs="Times New Roman"/>
      <w:b/>
      <w:bCs/>
      <w:i/>
      <w:iCs/>
      <w:kern w:val="2"/>
      <w:lang w:val="en-US" w:eastAsia="zh-CN" w:bidi="ar-SA"/>
    </w:rPr>
  </w:style>
  <w:style w:type="paragraph" w:styleId="55">
    <w:name w:val="Intense Quote"/>
    <w:basedOn w:val="1"/>
    <w:next w:val="1"/>
    <w:link w:val="54"/>
    <w:qFormat/>
    <w:uiPriority w:val="0"/>
    <w:pPr>
      <w:pBdr>
        <w:bottom w:val="single" w:color="auto" w:sz="4" w:space="1"/>
      </w:pBdr>
      <w:spacing w:before="200" w:after="280"/>
      <w:ind w:left="1008" w:right="1152"/>
    </w:pPr>
    <w:rPr>
      <w:rFonts w:ascii="Times New Roman" w:hAnsi="Times New Roman"/>
      <w:b/>
      <w:bCs/>
      <w:i/>
      <w:iCs/>
      <w:sz w:val="20"/>
    </w:rPr>
  </w:style>
  <w:style w:type="character" w:customStyle="1" w:styleId="56">
    <w:name w:val="批注框文本 Char"/>
    <w:link w:val="19"/>
    <w:qFormat/>
    <w:uiPriority w:val="0"/>
    <w:rPr>
      <w:rFonts w:ascii="Times New Roman" w:hAnsi="Times New Roman" w:eastAsia="宋体" w:cs="Times New Roman"/>
      <w:kern w:val="2"/>
      <w:sz w:val="18"/>
      <w:szCs w:val="18"/>
      <w:lang w:val="en-US" w:eastAsia="zh-CN" w:bidi="ar-SA"/>
    </w:rPr>
  </w:style>
  <w:style w:type="character" w:customStyle="1" w:styleId="57">
    <w:name w:val="标题 2 Char1"/>
    <w:link w:val="2"/>
    <w:qFormat/>
    <w:uiPriority w:val="0"/>
    <w:rPr>
      <w:rFonts w:ascii="宋体" w:hAnsi="宋体" w:eastAsia="宋体" w:cs="Times New Roman"/>
      <w:b/>
      <w:bCs/>
      <w:color w:val="000000"/>
      <w:kern w:val="2"/>
      <w:sz w:val="32"/>
      <w:szCs w:val="32"/>
      <w:lang w:val="en-US" w:eastAsia="zh-CN" w:bidi="ar-SA"/>
    </w:rPr>
  </w:style>
  <w:style w:type="character" w:customStyle="1" w:styleId="58">
    <w:name w:val="文档结构图 Char"/>
    <w:link w:val="11"/>
    <w:qFormat/>
    <w:uiPriority w:val="0"/>
    <w:rPr>
      <w:rFonts w:ascii="Times New Roman" w:hAnsi="Times New Roman" w:eastAsia="宋体" w:cs="Times New Roman"/>
      <w:kern w:val="2"/>
      <w:sz w:val="21"/>
      <w:szCs w:val="24"/>
      <w:lang w:val="en-US" w:eastAsia="zh-CN" w:bidi="ar-SA"/>
    </w:rPr>
  </w:style>
  <w:style w:type="character" w:customStyle="1" w:styleId="59">
    <w:name w:val="标题 2 Char"/>
    <w:qFormat/>
    <w:uiPriority w:val="0"/>
    <w:rPr>
      <w:rFonts w:ascii="Cambria" w:hAnsi="Cambria" w:eastAsia="宋体" w:cs="Times New Roman"/>
      <w:b/>
      <w:bCs/>
      <w:sz w:val="32"/>
      <w:szCs w:val="32"/>
    </w:rPr>
  </w:style>
  <w:style w:type="character" w:customStyle="1" w:styleId="60">
    <w:name w:val="页脚 Char"/>
    <w:qFormat/>
    <w:uiPriority w:val="99"/>
    <w:rPr>
      <w:rFonts w:ascii="Times New Roman" w:hAnsi="Times New Roman" w:eastAsia="宋体" w:cs="Times New Roman"/>
      <w:sz w:val="18"/>
      <w:szCs w:val="18"/>
    </w:rPr>
  </w:style>
  <w:style w:type="character" w:customStyle="1" w:styleId="61">
    <w:name w:val="标题 4 Char"/>
    <w:link w:val="5"/>
    <w:qFormat/>
    <w:uiPriority w:val="0"/>
    <w:rPr>
      <w:rFonts w:ascii="Cambria" w:hAnsi="Cambria" w:eastAsia="宋体" w:cs="Times New Roman"/>
      <w:b/>
      <w:bCs/>
      <w:kern w:val="2"/>
      <w:sz w:val="28"/>
      <w:szCs w:val="28"/>
      <w:lang w:val="en-US" w:eastAsia="zh-CN" w:bidi="ar-SA"/>
    </w:rPr>
  </w:style>
  <w:style w:type="character" w:customStyle="1" w:styleId="62">
    <w:name w:val="正文首行缩进 Char"/>
    <w:link w:val="27"/>
    <w:qFormat/>
    <w:uiPriority w:val="0"/>
    <w:rPr>
      <w:rFonts w:ascii="Times New Roman" w:hAnsi="Times New Roman" w:eastAsia="宋体" w:cs="Times New Roman"/>
      <w:kern w:val="2"/>
      <w:sz w:val="21"/>
    </w:rPr>
  </w:style>
  <w:style w:type="paragraph" w:customStyle="1" w:styleId="63">
    <w:name w:val="p0"/>
    <w:basedOn w:val="1"/>
    <w:qFormat/>
    <w:uiPriority w:val="0"/>
    <w:pPr>
      <w:widowControl/>
      <w:jc w:val="left"/>
    </w:pPr>
    <w:rPr>
      <w:rFonts w:ascii="Times New Roman" w:hAnsi="Times New Roman"/>
      <w:kern w:val="0"/>
      <w:sz w:val="20"/>
    </w:rPr>
  </w:style>
  <w:style w:type="paragraph" w:customStyle="1" w:styleId="64">
    <w:name w:val="_Style 9"/>
    <w:basedOn w:val="1"/>
    <w:qFormat/>
    <w:uiPriority w:val="0"/>
    <w:pPr>
      <w:spacing w:line="360" w:lineRule="auto"/>
      <w:ind w:firstLine="200" w:firstLineChars="200"/>
    </w:pPr>
    <w:rPr>
      <w:rFonts w:ascii="Times New Roman" w:hAnsi="Times New Roman"/>
      <w:szCs w:val="24"/>
    </w:rPr>
  </w:style>
  <w:style w:type="paragraph" w:customStyle="1" w:styleId="65">
    <w:name w:val="b"/>
    <w:basedOn w:val="1"/>
    <w:qFormat/>
    <w:uiPriority w:val="99"/>
    <w:pPr>
      <w:adjustRightInd w:val="0"/>
      <w:snapToGrid w:val="0"/>
      <w:ind w:firstLine="472" w:firstLineChars="200"/>
      <w:jc w:val="left"/>
    </w:pPr>
    <w:rPr>
      <w:spacing w:val="-2"/>
      <w:kern w:val="24"/>
      <w:sz w:val="24"/>
      <w:szCs w:val="24"/>
    </w:rPr>
  </w:style>
  <w:style w:type="paragraph" w:customStyle="1" w:styleId="66">
    <w:name w:val="Biao00"/>
    <w:qFormat/>
    <w:uiPriority w:val="0"/>
    <w:pPr>
      <w:widowControl w:val="0"/>
      <w:spacing w:line="0" w:lineRule="atLeast"/>
      <w:jc w:val="center"/>
    </w:pPr>
    <w:rPr>
      <w:rFonts w:ascii="Arial" w:hAnsi="Arial" w:eastAsia="仿宋_GB2312" w:cs="Times New Roman"/>
      <w:bCs/>
      <w:w w:val="90"/>
      <w:kern w:val="18"/>
      <w:sz w:val="24"/>
      <w:szCs w:val="24"/>
      <w:lang w:val="en-US" w:eastAsia="zh-CN" w:bidi="ar-SA"/>
    </w:rPr>
  </w:style>
  <w:style w:type="paragraph" w:customStyle="1" w:styleId="67">
    <w:name w:val="样式 (西文) 宋体 小四 左 行距: 1.5 倍行距"/>
    <w:basedOn w:val="1"/>
    <w:qFormat/>
    <w:uiPriority w:val="0"/>
    <w:pPr>
      <w:spacing w:line="360" w:lineRule="auto"/>
      <w:ind w:firstLine="2880" w:firstLineChars="1200"/>
      <w:jc w:val="left"/>
    </w:pPr>
    <w:rPr>
      <w:rFonts w:ascii="宋体" w:hAnsi="宋体" w:eastAsia="黑体" w:cs="宋体"/>
      <w:kern w:val="0"/>
      <w:sz w:val="24"/>
    </w:rPr>
  </w:style>
  <w:style w:type="paragraph" w:customStyle="1" w:styleId="68">
    <w:name w:val="正文缩进1"/>
    <w:basedOn w:val="1"/>
    <w:qFormat/>
    <w:uiPriority w:val="0"/>
    <w:pPr>
      <w:spacing w:line="360" w:lineRule="auto"/>
      <w:ind w:firstLine="420" w:firstLineChars="200"/>
    </w:pPr>
    <w:rPr>
      <w:rFonts w:ascii="宋体" w:hAnsi="宋体"/>
      <w:sz w:val="28"/>
    </w:rPr>
  </w:style>
  <w:style w:type="paragraph" w:customStyle="1" w:styleId="69">
    <w:name w:val="默认段落字体 Para Char Char Char Char Char Char Char Char Char Char Char Char Char"/>
    <w:basedOn w:val="1"/>
    <w:qFormat/>
    <w:uiPriority w:val="0"/>
    <w:pPr>
      <w:snapToGrid w:val="0"/>
      <w:spacing w:line="360" w:lineRule="auto"/>
      <w:ind w:firstLine="200" w:firstLineChars="200"/>
    </w:pPr>
    <w:rPr>
      <w:rFonts w:ascii="Times New Roman" w:hAnsi="Times New Roman" w:eastAsia="仿宋_GB2312"/>
      <w:sz w:val="24"/>
      <w:szCs w:val="24"/>
    </w:rPr>
  </w:style>
  <w:style w:type="paragraph" w:customStyle="1" w:styleId="70">
    <w:name w:val="表格文字"/>
    <w:basedOn w:val="9"/>
    <w:next w:val="14"/>
    <w:qFormat/>
    <w:uiPriority w:val="0"/>
    <w:pPr>
      <w:snapToGrid/>
      <w:spacing w:before="60" w:after="60" w:line="240" w:lineRule="auto"/>
      <w:ind w:left="57" w:right="57"/>
      <w:jc w:val="left"/>
    </w:pPr>
    <w:rPr>
      <w:rFonts w:hAnsi="Calibri"/>
      <w:snapToGrid/>
      <w:sz w:val="24"/>
    </w:rPr>
  </w:style>
  <w:style w:type="character" w:customStyle="1" w:styleId="71">
    <w:name w:val="批注文字 Char"/>
    <w:link w:val="12"/>
    <w:qFormat/>
    <w:uiPriority w:val="99"/>
    <w:rPr>
      <w:rFonts w:ascii="Times New Roman" w:hAnsi="Times New Roman" w:eastAsia="宋体" w:cs="Times New Roman"/>
      <w:kern w:val="2"/>
      <w:sz w:val="21"/>
    </w:rPr>
  </w:style>
  <w:style w:type="paragraph" w:styleId="72">
    <w:name w:val="List Paragraph"/>
    <w:basedOn w:val="1"/>
    <w:link w:val="78"/>
    <w:qFormat/>
    <w:uiPriority w:val="0"/>
    <w:pPr>
      <w:ind w:firstLine="420" w:firstLineChars="200"/>
    </w:pPr>
  </w:style>
  <w:style w:type="character" w:customStyle="1" w:styleId="73">
    <w:name w:val="批注主题 Char"/>
    <w:basedOn w:val="71"/>
    <w:link w:val="26"/>
    <w:semiHidden/>
    <w:qFormat/>
    <w:uiPriority w:val="99"/>
    <w:rPr>
      <w:rFonts w:ascii="Times New Roman" w:hAnsi="Times New Roman" w:eastAsia="宋体" w:cs="Times New Roman"/>
      <w:b/>
      <w:bCs/>
      <w:kern w:val="2"/>
      <w:sz w:val="21"/>
    </w:rPr>
  </w:style>
  <w:style w:type="paragraph" w:customStyle="1" w:styleId="74">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75">
    <w:name w:val="正文文本缩进1"/>
    <w:basedOn w:val="1"/>
    <w:qFormat/>
    <w:uiPriority w:val="99"/>
    <w:pPr>
      <w:spacing w:after="120"/>
      <w:ind w:left="200" w:leftChars="200"/>
    </w:pPr>
  </w:style>
  <w:style w:type="character" w:customStyle="1" w:styleId="76">
    <w:name w:val="NormalCharacter"/>
    <w:semiHidden/>
    <w:qFormat/>
    <w:uiPriority w:val="0"/>
  </w:style>
  <w:style w:type="paragraph" w:customStyle="1" w:styleId="77">
    <w:name w:val="UserStyle_0"/>
    <w:qFormat/>
    <w:uiPriority w:val="0"/>
    <w:rPr>
      <w:rFonts w:ascii="宋体" w:hAnsi="宋体" w:eastAsia="宋体" w:cs="Times New Roman"/>
      <w:color w:val="000000"/>
      <w:sz w:val="24"/>
      <w:szCs w:val="24"/>
      <w:lang w:val="en-US" w:eastAsia="zh-CN" w:bidi="ar-SA"/>
    </w:rPr>
  </w:style>
  <w:style w:type="character" w:customStyle="1" w:styleId="78">
    <w:name w:val="列出段落 Char"/>
    <w:link w:val="72"/>
    <w:qFormat/>
    <w:uiPriority w:val="0"/>
    <w:rPr>
      <w:rFonts w:ascii="Calibri" w:hAnsi="Calibri"/>
      <w:kern w:val="2"/>
      <w:sz w:val="21"/>
    </w:rPr>
  </w:style>
  <w:style w:type="character" w:customStyle="1" w:styleId="79">
    <w:name w:val="font01"/>
    <w:basedOn w:val="31"/>
    <w:qFormat/>
    <w:uiPriority w:val="0"/>
    <w:rPr>
      <w:rFonts w:hint="eastAsia" w:ascii="宋体" w:hAnsi="宋体" w:eastAsia="宋体" w:cs="宋体"/>
      <w:color w:val="000000"/>
      <w:sz w:val="22"/>
      <w:szCs w:val="22"/>
      <w:u w:val="none"/>
    </w:rPr>
  </w:style>
  <w:style w:type="paragraph" w:customStyle="1" w:styleId="8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81">
    <w:name w:val="修订1"/>
    <w:hidden/>
    <w:semiHidden/>
    <w:qFormat/>
    <w:uiPriority w:val="99"/>
    <w:rPr>
      <w:rFonts w:ascii="Calibri" w:hAnsi="Calibri" w:eastAsia="宋体" w:cs="Times New Roman"/>
      <w:kern w:val="2"/>
      <w:sz w:val="21"/>
      <w:lang w:val="en-US" w:eastAsia="zh-CN" w:bidi="ar-SA"/>
    </w:rPr>
  </w:style>
  <w:style w:type="paragraph" w:customStyle="1" w:styleId="82">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83">
    <w:name w:val="批注文字 Char1"/>
    <w:qFormat/>
    <w:uiPriority w:val="99"/>
    <w:rPr>
      <w:kern w:val="2"/>
      <w:sz w:val="21"/>
      <w:szCs w:val="24"/>
    </w:rPr>
  </w:style>
  <w:style w:type="paragraph" w:customStyle="1" w:styleId="84">
    <w:name w:val="WPSOffice手动目录 1"/>
    <w:qFormat/>
    <w:uiPriority w:val="0"/>
    <w:rPr>
      <w:rFonts w:ascii="Times New Roman" w:hAnsi="Times New Roman" w:eastAsia="宋体" w:cs="Times New Roman"/>
      <w:lang w:val="en-US" w:eastAsia="zh-CN" w:bidi="ar-SA"/>
    </w:rPr>
  </w:style>
  <w:style w:type="paragraph" w:customStyle="1" w:styleId="8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86">
    <w:name w:val="列出段落1"/>
    <w:basedOn w:val="1"/>
    <w:qFormat/>
    <w:uiPriority w:val="0"/>
    <w:pPr>
      <w:ind w:firstLine="420" w:firstLineChars="200"/>
    </w:pPr>
    <w:rPr>
      <w:rFonts w:cs="宋体"/>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150</Pages>
  <Words>94067</Words>
  <Characters>106732</Characters>
  <Lines>44</Lines>
  <Paragraphs>61</Paragraphs>
  <TotalTime>69</TotalTime>
  <ScaleCrop>false</ScaleCrop>
  <LinksUpToDate>false</LinksUpToDate>
  <CharactersWithSpaces>109141</CharactersWithSpaces>
  <Application>WPS Office_12.1.0.17140_F1E327BC-269C-435d-A152-05C5408002CA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2022-12-26T11:42:00Z</dcterms:created>
  <dc:creator>Administrator</dc:creator>
  <cp:lastModifiedBy>ㅤ</cp:lastModifiedBy>
  <cp:lastPrinted>2024-01-24T15:03:00Z</cp:lastPrinted>
  <dcterms:modified xsi:type="dcterms:W3CDTF">2024-07-10T08:50:59Z</dcterms:modified>
  <dc:title>_x0001_</dc:title>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2052-12.1.0.17140</vt:lpwstr>
  </property>
  <property fmtid="{D5CDD505-2E9C-101B-9397-08002B2CF9AE}" pid="3" name="ICV">
    <vt:lpwstr>16BA7FCC79D54B1B8661F3CFA3C07E86_13</vt:lpwstr>
  </property>
</Properties>
</file>