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b/>
          <w:color w:val="auto"/>
          <w:sz w:val="48"/>
          <w:szCs w:val="48"/>
          <w:highlight w:val="none"/>
        </w:rPr>
      </w:pPr>
      <w:bookmarkStart w:id="5" w:name="_GoBack"/>
      <w:bookmarkStart w:id="0" w:name="_Toc317237607"/>
      <w:bookmarkStart w:id="1" w:name="_Toc22685"/>
      <w:bookmarkStart w:id="2" w:name="_Toc18461"/>
      <w:bookmarkStart w:id="3" w:name="_Toc2055"/>
      <w:bookmarkStart w:id="4" w:name="_Toc23623"/>
      <w:r>
        <w:rPr>
          <w:rFonts w:hint="eastAsia"/>
          <w:b/>
          <w:color w:val="auto"/>
          <w:sz w:val="48"/>
          <w:szCs w:val="48"/>
          <w:highlight w:val="none"/>
        </w:rPr>
        <w:t xml:space="preserve">第三部分  </w:t>
      </w:r>
      <w:bookmarkEnd w:id="0"/>
      <w:r>
        <w:rPr>
          <w:rFonts w:hint="eastAsia"/>
          <w:b/>
          <w:color w:val="auto"/>
          <w:sz w:val="48"/>
          <w:szCs w:val="48"/>
          <w:highlight w:val="none"/>
        </w:rPr>
        <w:t>采购需求</w:t>
      </w:r>
      <w:bookmarkEnd w:id="1"/>
      <w:bookmarkEnd w:id="2"/>
      <w:bookmarkEnd w:id="3"/>
      <w:bookmarkEnd w:id="4"/>
    </w:p>
    <w:p>
      <w:pPr>
        <w:rPr>
          <w:rFonts w:hint="eastAsia"/>
          <w:color w:val="auto"/>
          <w:sz w:val="24"/>
          <w:highlight w:val="none"/>
        </w:rPr>
      </w:pPr>
    </w:p>
    <w:p>
      <w:pPr>
        <w:rPr>
          <w:rFonts w:hint="eastAsia"/>
          <w:color w:val="auto"/>
          <w:sz w:val="24"/>
          <w:highlight w:val="none"/>
        </w:rPr>
      </w:pPr>
    </w:p>
    <w:p>
      <w:pPr>
        <w:numPr>
          <w:ilvl w:val="0"/>
          <w:numId w:val="1"/>
        </w:numPr>
        <w:spacing w:after="156" w:afterLines="50" w:line="360" w:lineRule="auto"/>
        <w:ind w:left="964" w:hanging="482"/>
        <w:rPr>
          <w:b/>
          <w:color w:val="auto"/>
          <w:sz w:val="24"/>
          <w:highlight w:val="none"/>
        </w:rPr>
      </w:pPr>
      <w:r>
        <w:rPr>
          <w:rFonts w:hint="eastAsia"/>
          <w:b/>
          <w:color w:val="auto"/>
          <w:sz w:val="24"/>
          <w:highlight w:val="none"/>
          <w:lang w:eastAsia="zh-CN"/>
        </w:rPr>
        <w:t>项</w:t>
      </w:r>
      <w:r>
        <w:rPr>
          <w:rFonts w:hint="eastAsia"/>
          <w:b/>
          <w:color w:val="auto"/>
          <w:sz w:val="24"/>
          <w:highlight w:val="none"/>
        </w:rPr>
        <w:t>目概況</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一）项目名称：2024年琼中县中小学校安防扩容改造采购项目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（二）项目编号：HFCC20242479H</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（三）采购预算：291.3443万元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（四）验收方式：由采购人在指定地点对所购设备进行验收，验收标准除采购要求的货物技术参数外，可溯源到国家相关标准。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 xml:space="preserve">（五）合同履行期限（服务期）：合同签订之日起30日内完成安装、调试。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（六）交货地点：采购人指定地点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b/>
          <w:color w:val="auto"/>
          <w:sz w:val="24"/>
          <w:highlight w:val="none"/>
        </w:rPr>
      </w:pPr>
      <w:r>
        <w:rPr>
          <w:rFonts w:hint="eastAsia" w:ascii="宋体" w:hAnsi="宋体" w:eastAsia="宋体" w:cs="宋体"/>
          <w:b w:val="0"/>
          <w:bCs/>
          <w:color w:val="auto"/>
          <w:sz w:val="24"/>
          <w:szCs w:val="24"/>
          <w:highlight w:val="none"/>
          <w:lang w:val="en-US" w:eastAsia="zh-CN"/>
        </w:rPr>
        <w:t>（七）付款方式:合同签订后，甲方支付30%预付款；合同项下货物经甲方书面确认签收后，乙方开具完税发票，甲方在收到完税发票后支付50%进度款；项目完工并经验收后，中标方按中标金额的5%缴纳履约保证金后支付剩余20%货款。</w:t>
      </w:r>
    </w:p>
    <w:p>
      <w:pPr>
        <w:numPr>
          <w:ilvl w:val="0"/>
          <w:numId w:val="1"/>
        </w:numPr>
        <w:spacing w:after="156" w:afterLines="50" w:line="360" w:lineRule="auto"/>
        <w:ind w:left="964" w:hanging="482"/>
        <w:rPr>
          <w:b/>
          <w:color w:val="auto"/>
          <w:sz w:val="24"/>
          <w:highlight w:val="none"/>
        </w:rPr>
      </w:pPr>
      <w:r>
        <w:rPr>
          <w:b/>
          <w:color w:val="auto"/>
          <w:sz w:val="24"/>
          <w:highlight w:val="none"/>
        </w:rPr>
        <w:t>货物需求一览表：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4216"/>
        <w:gridCol w:w="1235"/>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520" w:type="dxa"/>
            <w:noWrap w:val="0"/>
            <w:vAlign w:val="top"/>
          </w:tcPr>
          <w:p>
            <w:pPr>
              <w:spacing w:line="360" w:lineRule="auto"/>
              <w:jc w:val="center"/>
              <w:rPr>
                <w:b/>
                <w:bCs/>
                <w:color w:val="auto"/>
                <w:sz w:val="24"/>
                <w:highlight w:val="none"/>
              </w:rPr>
            </w:pPr>
            <w:r>
              <w:rPr>
                <w:b/>
                <w:bCs/>
                <w:color w:val="auto"/>
                <w:sz w:val="24"/>
                <w:highlight w:val="none"/>
              </w:rPr>
              <w:t>货物序号</w:t>
            </w:r>
          </w:p>
        </w:tc>
        <w:tc>
          <w:tcPr>
            <w:tcW w:w="4216" w:type="dxa"/>
            <w:noWrap w:val="0"/>
            <w:vAlign w:val="top"/>
          </w:tcPr>
          <w:p>
            <w:pPr>
              <w:spacing w:line="360" w:lineRule="auto"/>
              <w:jc w:val="center"/>
              <w:rPr>
                <w:b/>
                <w:bCs/>
                <w:color w:val="auto"/>
                <w:sz w:val="24"/>
                <w:highlight w:val="none"/>
              </w:rPr>
            </w:pPr>
            <w:r>
              <w:rPr>
                <w:b/>
                <w:bCs/>
                <w:color w:val="auto"/>
                <w:sz w:val="24"/>
                <w:highlight w:val="none"/>
              </w:rPr>
              <w:t>货物</w:t>
            </w:r>
            <w:r>
              <w:rPr>
                <w:b/>
                <w:bCs/>
                <w:color w:val="auto"/>
                <w:sz w:val="24"/>
                <w:highlight w:val="none"/>
              </w:rPr>
              <w:t>名称/规格</w:t>
            </w:r>
          </w:p>
        </w:tc>
        <w:tc>
          <w:tcPr>
            <w:tcW w:w="12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Times New Roman" w:hAnsi="Times New Roman" w:eastAsia="宋体" w:cs="宋体"/>
                <w:b/>
                <w:bCs/>
                <w:i w:val="0"/>
                <w:iCs w:val="0"/>
                <w:color w:val="auto"/>
                <w:kern w:val="2"/>
                <w:sz w:val="21"/>
                <w:szCs w:val="18"/>
                <w:highlight w:val="none"/>
                <w:u w:val="none"/>
                <w:lang w:val="en-US" w:eastAsia="zh-CN" w:bidi="ar-SA"/>
              </w:rPr>
            </w:pPr>
            <w:r>
              <w:rPr>
                <w:rFonts w:hint="eastAsia" w:ascii="Times New Roman" w:hAnsi="Times New Roman" w:eastAsia="宋体" w:cs="宋体"/>
                <w:b/>
                <w:bCs/>
                <w:i w:val="0"/>
                <w:iCs w:val="0"/>
                <w:color w:val="auto"/>
                <w:kern w:val="0"/>
                <w:sz w:val="21"/>
                <w:szCs w:val="18"/>
                <w:highlight w:val="none"/>
                <w:u w:val="none"/>
                <w:lang w:val="en-US" w:eastAsia="zh-CN" w:bidi="ar"/>
              </w:rPr>
              <w:t>单位</w:t>
            </w:r>
          </w:p>
        </w:tc>
        <w:tc>
          <w:tcPr>
            <w:tcW w:w="110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Times New Roman" w:hAnsi="Times New Roman" w:eastAsia="宋体" w:cs="宋体"/>
                <w:b/>
                <w:bCs/>
                <w:i w:val="0"/>
                <w:iCs w:val="0"/>
                <w:color w:val="auto"/>
                <w:kern w:val="2"/>
                <w:sz w:val="21"/>
                <w:szCs w:val="18"/>
                <w:highlight w:val="none"/>
                <w:u w:val="none"/>
                <w:lang w:val="en-US" w:eastAsia="zh-CN" w:bidi="ar-SA"/>
              </w:rPr>
            </w:pPr>
            <w:r>
              <w:rPr>
                <w:rFonts w:hint="eastAsia" w:ascii="Times New Roman" w:hAnsi="Times New Roman" w:eastAsia="宋体" w:cs="宋体"/>
                <w:b/>
                <w:bCs/>
                <w:i w:val="0"/>
                <w:iCs w:val="0"/>
                <w:color w:val="auto"/>
                <w:kern w:val="0"/>
                <w:sz w:val="21"/>
                <w:szCs w:val="18"/>
                <w:highlight w:val="none"/>
                <w:u w:val="none"/>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520" w:type="dxa"/>
            <w:noWrap w:val="0"/>
            <w:vAlign w:val="center"/>
          </w:tcPr>
          <w:p>
            <w:pPr>
              <w:jc w:val="center"/>
              <w:rPr>
                <w:rFonts w:hint="eastAsia" w:eastAsia="宋体"/>
                <w:color w:val="auto"/>
                <w:sz w:val="24"/>
                <w:highlight w:val="none"/>
                <w:lang w:val="en-US" w:eastAsia="zh-CN"/>
              </w:rPr>
            </w:pPr>
            <w:r>
              <w:rPr>
                <w:rFonts w:hint="eastAsia"/>
                <w:color w:val="auto"/>
                <w:sz w:val="24"/>
                <w:highlight w:val="none"/>
                <w:lang w:val="en-US" w:eastAsia="zh-CN"/>
              </w:rPr>
              <w:t>1</w:t>
            </w:r>
          </w:p>
        </w:tc>
        <w:tc>
          <w:tcPr>
            <w:tcW w:w="42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color w:val="auto"/>
                <w:sz w:val="24"/>
                <w:highlight w:val="none"/>
              </w:rPr>
            </w:pPr>
            <w:r>
              <w:rPr>
                <w:rFonts w:hint="eastAsia" w:ascii="Times New Roman" w:hAnsi="Times New Roman" w:eastAsia="宋体" w:cs="宋体"/>
                <w:i w:val="0"/>
                <w:iCs w:val="0"/>
                <w:color w:val="auto"/>
                <w:kern w:val="0"/>
                <w:sz w:val="21"/>
                <w:szCs w:val="18"/>
                <w:highlight w:val="none"/>
                <w:u w:val="none"/>
                <w:lang w:val="en-US" w:eastAsia="zh-CN" w:bidi="ar"/>
              </w:rPr>
              <w:t>高清红外摄像机400万像素</w:t>
            </w:r>
          </w:p>
        </w:tc>
        <w:tc>
          <w:tcPr>
            <w:tcW w:w="123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台</w:t>
            </w:r>
          </w:p>
        </w:tc>
        <w:tc>
          <w:tcPr>
            <w:tcW w:w="110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5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2</w:t>
            </w:r>
          </w:p>
        </w:tc>
        <w:tc>
          <w:tcPr>
            <w:tcW w:w="42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AI智能高速球摄像机400万像素</w:t>
            </w:r>
          </w:p>
        </w:tc>
        <w:tc>
          <w:tcPr>
            <w:tcW w:w="123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台</w:t>
            </w:r>
          </w:p>
        </w:tc>
        <w:tc>
          <w:tcPr>
            <w:tcW w:w="110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5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3</w:t>
            </w:r>
          </w:p>
        </w:tc>
        <w:tc>
          <w:tcPr>
            <w:tcW w:w="42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支架</w:t>
            </w:r>
          </w:p>
        </w:tc>
        <w:tc>
          <w:tcPr>
            <w:tcW w:w="123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个</w:t>
            </w:r>
          </w:p>
        </w:tc>
        <w:tc>
          <w:tcPr>
            <w:tcW w:w="110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5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4</w:t>
            </w:r>
          </w:p>
        </w:tc>
        <w:tc>
          <w:tcPr>
            <w:tcW w:w="42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球机支架</w:t>
            </w:r>
          </w:p>
        </w:tc>
        <w:tc>
          <w:tcPr>
            <w:tcW w:w="123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个</w:t>
            </w:r>
          </w:p>
        </w:tc>
        <w:tc>
          <w:tcPr>
            <w:tcW w:w="110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5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5</w:t>
            </w:r>
          </w:p>
        </w:tc>
        <w:tc>
          <w:tcPr>
            <w:tcW w:w="42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55寸监视器</w:t>
            </w:r>
          </w:p>
        </w:tc>
        <w:tc>
          <w:tcPr>
            <w:tcW w:w="123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台</w:t>
            </w:r>
          </w:p>
        </w:tc>
        <w:tc>
          <w:tcPr>
            <w:tcW w:w="110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5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6</w:t>
            </w:r>
          </w:p>
        </w:tc>
        <w:tc>
          <w:tcPr>
            <w:tcW w:w="42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监视器支架</w:t>
            </w:r>
          </w:p>
        </w:tc>
        <w:tc>
          <w:tcPr>
            <w:tcW w:w="123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个</w:t>
            </w:r>
          </w:p>
        </w:tc>
        <w:tc>
          <w:tcPr>
            <w:tcW w:w="110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5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7</w:t>
            </w:r>
          </w:p>
        </w:tc>
        <w:tc>
          <w:tcPr>
            <w:tcW w:w="42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立杆</w:t>
            </w:r>
          </w:p>
        </w:tc>
        <w:tc>
          <w:tcPr>
            <w:tcW w:w="123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根</w:t>
            </w:r>
          </w:p>
        </w:tc>
        <w:tc>
          <w:tcPr>
            <w:tcW w:w="110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5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8</w:t>
            </w:r>
          </w:p>
        </w:tc>
        <w:tc>
          <w:tcPr>
            <w:tcW w:w="42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交换机</w:t>
            </w:r>
          </w:p>
        </w:tc>
        <w:tc>
          <w:tcPr>
            <w:tcW w:w="123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台</w:t>
            </w:r>
          </w:p>
        </w:tc>
        <w:tc>
          <w:tcPr>
            <w:tcW w:w="110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5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9</w:t>
            </w:r>
          </w:p>
        </w:tc>
        <w:tc>
          <w:tcPr>
            <w:tcW w:w="42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光纤收发器</w:t>
            </w:r>
          </w:p>
        </w:tc>
        <w:tc>
          <w:tcPr>
            <w:tcW w:w="123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对</w:t>
            </w:r>
          </w:p>
        </w:tc>
        <w:tc>
          <w:tcPr>
            <w:tcW w:w="110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5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10</w:t>
            </w:r>
          </w:p>
        </w:tc>
        <w:tc>
          <w:tcPr>
            <w:tcW w:w="42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网络存储主机100（36盘位）</w:t>
            </w:r>
          </w:p>
        </w:tc>
        <w:tc>
          <w:tcPr>
            <w:tcW w:w="123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台</w:t>
            </w:r>
          </w:p>
        </w:tc>
        <w:tc>
          <w:tcPr>
            <w:tcW w:w="110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5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11</w:t>
            </w:r>
          </w:p>
        </w:tc>
        <w:tc>
          <w:tcPr>
            <w:tcW w:w="42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硬盘16T</w:t>
            </w:r>
          </w:p>
        </w:tc>
        <w:tc>
          <w:tcPr>
            <w:tcW w:w="123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块</w:t>
            </w:r>
          </w:p>
        </w:tc>
        <w:tc>
          <w:tcPr>
            <w:tcW w:w="110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1047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5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12</w:t>
            </w:r>
          </w:p>
        </w:tc>
        <w:tc>
          <w:tcPr>
            <w:tcW w:w="42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辅材</w:t>
            </w:r>
          </w:p>
        </w:tc>
        <w:tc>
          <w:tcPr>
            <w:tcW w:w="123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项</w:t>
            </w:r>
          </w:p>
        </w:tc>
        <w:tc>
          <w:tcPr>
            <w:tcW w:w="110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5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13</w:t>
            </w:r>
          </w:p>
        </w:tc>
        <w:tc>
          <w:tcPr>
            <w:tcW w:w="42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网络整改</w:t>
            </w:r>
          </w:p>
        </w:tc>
        <w:tc>
          <w:tcPr>
            <w:tcW w:w="123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路</w:t>
            </w:r>
          </w:p>
        </w:tc>
        <w:tc>
          <w:tcPr>
            <w:tcW w:w="110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2903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5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14</w:t>
            </w:r>
          </w:p>
        </w:tc>
        <w:tc>
          <w:tcPr>
            <w:tcW w:w="42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人工费用</w:t>
            </w:r>
          </w:p>
        </w:tc>
        <w:tc>
          <w:tcPr>
            <w:tcW w:w="123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项</w:t>
            </w:r>
          </w:p>
        </w:tc>
        <w:tc>
          <w:tcPr>
            <w:tcW w:w="110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5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15</w:t>
            </w:r>
          </w:p>
        </w:tc>
        <w:tc>
          <w:tcPr>
            <w:tcW w:w="42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超高清解码器</w:t>
            </w:r>
          </w:p>
        </w:tc>
        <w:tc>
          <w:tcPr>
            <w:tcW w:w="123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台</w:t>
            </w:r>
          </w:p>
        </w:tc>
        <w:tc>
          <w:tcPr>
            <w:tcW w:w="110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5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16</w:t>
            </w:r>
          </w:p>
        </w:tc>
        <w:tc>
          <w:tcPr>
            <w:tcW w:w="42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网络存储主机64（16盘位）</w:t>
            </w:r>
          </w:p>
        </w:tc>
        <w:tc>
          <w:tcPr>
            <w:tcW w:w="123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台</w:t>
            </w:r>
          </w:p>
        </w:tc>
        <w:tc>
          <w:tcPr>
            <w:tcW w:w="110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5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17</w:t>
            </w:r>
          </w:p>
        </w:tc>
        <w:tc>
          <w:tcPr>
            <w:tcW w:w="42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移动拒马防撞护栏</w:t>
            </w:r>
          </w:p>
        </w:tc>
        <w:tc>
          <w:tcPr>
            <w:tcW w:w="123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米</w:t>
            </w:r>
          </w:p>
        </w:tc>
        <w:tc>
          <w:tcPr>
            <w:tcW w:w="110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default"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5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18</w:t>
            </w:r>
          </w:p>
        </w:tc>
        <w:tc>
          <w:tcPr>
            <w:tcW w:w="42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网络存储主机32（16盘位）</w:t>
            </w:r>
          </w:p>
        </w:tc>
        <w:tc>
          <w:tcPr>
            <w:tcW w:w="123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台</w:t>
            </w:r>
          </w:p>
        </w:tc>
        <w:tc>
          <w:tcPr>
            <w:tcW w:w="110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kern w:val="2"/>
                <w:sz w:val="21"/>
                <w:szCs w:val="18"/>
                <w:highlight w:val="none"/>
                <w:u w:val="none"/>
                <w:lang w:val="en-US" w:eastAsia="zh-CN" w:bidi="ar-SA"/>
              </w:rPr>
            </w:pPr>
            <w:r>
              <w:rPr>
                <w:rFonts w:hint="eastAsia" w:ascii="Times New Roman" w:hAnsi="Times New Roman" w:eastAsia="宋体" w:cs="宋体"/>
                <w:i w:val="0"/>
                <w:iCs w:val="0"/>
                <w:color w:val="auto"/>
                <w:kern w:val="0"/>
                <w:sz w:val="21"/>
                <w:szCs w:val="18"/>
                <w:highlight w:val="none"/>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5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default"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19</w:t>
            </w:r>
          </w:p>
        </w:tc>
        <w:tc>
          <w:tcPr>
            <w:tcW w:w="4216" w:type="dxa"/>
            <w:noWrap w:val="0"/>
            <w:vAlign w:val="center"/>
          </w:tcPr>
          <w:p>
            <w:pPr>
              <w:keepNext w:val="0"/>
              <w:keepLines w:val="0"/>
              <w:pageBreakBefore w:val="0"/>
              <w:kinsoku/>
              <w:wordWrap/>
              <w:overflowPunct/>
              <w:topLinePunct w:val="0"/>
              <w:autoSpaceDE/>
              <w:autoSpaceDN/>
              <w:bidi w:val="0"/>
              <w:adjustRightInd w:val="0"/>
              <w:snapToGrid w:val="0"/>
              <w:spacing w:line="300" w:lineRule="auto"/>
              <w:jc w:val="center"/>
              <w:rPr>
                <w:rFonts w:hint="eastAsia" w:ascii="Times New Roman" w:hAnsi="Times New Roman" w:eastAsia="宋体" w:cs="宋体"/>
                <w:color w:val="auto"/>
                <w:kern w:val="0"/>
                <w:sz w:val="21"/>
                <w:szCs w:val="24"/>
                <w:highlight w:val="none"/>
                <w:lang w:val="en-US" w:eastAsia="zh-CN" w:bidi="ar-SA"/>
              </w:rPr>
            </w:pPr>
            <w:r>
              <w:rPr>
                <w:rFonts w:hint="eastAsia" w:ascii="Times New Roman" w:hAnsi="Times New Roman" w:eastAsia="宋体" w:cs="宋体"/>
                <w:color w:val="auto"/>
                <w:kern w:val="0"/>
                <w:sz w:val="21"/>
                <w:highlight w:val="none"/>
              </w:rPr>
              <w:t>项目集成</w:t>
            </w:r>
          </w:p>
        </w:tc>
        <w:tc>
          <w:tcPr>
            <w:tcW w:w="123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color w:val="auto"/>
                <w:kern w:val="0"/>
                <w:sz w:val="21"/>
                <w:szCs w:val="24"/>
                <w:highlight w:val="none"/>
                <w:lang w:val="en-US" w:eastAsia="zh-CN" w:bidi="ar-SA"/>
              </w:rPr>
            </w:pPr>
            <w:r>
              <w:rPr>
                <w:rFonts w:hint="eastAsia" w:ascii="Times New Roman" w:hAnsi="Times New Roman" w:eastAsia="宋体" w:cs="宋体"/>
                <w:color w:val="auto"/>
                <w:kern w:val="0"/>
                <w:sz w:val="21"/>
                <w:szCs w:val="24"/>
                <w:highlight w:val="none"/>
                <w:lang w:val="en-US" w:eastAsia="zh-CN" w:bidi="ar-SA"/>
              </w:rPr>
              <w:t>项</w:t>
            </w:r>
          </w:p>
        </w:tc>
        <w:tc>
          <w:tcPr>
            <w:tcW w:w="110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auto"/>
              <w:jc w:val="center"/>
              <w:textAlignment w:val="center"/>
              <w:rPr>
                <w:rFonts w:hint="default" w:ascii="Times New Roman" w:hAnsi="Times New Roman" w:eastAsia="宋体" w:cs="宋体"/>
                <w:color w:val="auto"/>
                <w:kern w:val="0"/>
                <w:sz w:val="21"/>
                <w:szCs w:val="24"/>
                <w:highlight w:val="none"/>
                <w:lang w:val="en-US" w:eastAsia="zh-CN" w:bidi="ar-SA"/>
              </w:rPr>
            </w:pPr>
            <w:r>
              <w:rPr>
                <w:rFonts w:hint="eastAsia" w:ascii="Times New Roman" w:hAnsi="Times New Roman" w:eastAsia="宋体" w:cs="宋体"/>
                <w:color w:val="auto"/>
                <w:kern w:val="0"/>
                <w:sz w:val="21"/>
                <w:highlight w:val="none"/>
                <w:lang w:val="en-US" w:eastAsia="zh-CN"/>
              </w:rPr>
              <w:t>47</w:t>
            </w:r>
          </w:p>
        </w:tc>
      </w:tr>
    </w:tbl>
    <w:p>
      <w:pPr>
        <w:numPr>
          <w:ilvl w:val="0"/>
          <w:numId w:val="1"/>
        </w:numPr>
        <w:spacing w:before="156" w:beforeLines="50" w:line="360" w:lineRule="auto"/>
        <w:ind w:left="964" w:hanging="482"/>
        <w:rPr>
          <w:b/>
          <w:color w:val="auto"/>
          <w:sz w:val="24"/>
          <w:highlight w:val="none"/>
        </w:rPr>
      </w:pPr>
      <w:r>
        <w:rPr>
          <w:b/>
          <w:color w:val="auto"/>
          <w:sz w:val="24"/>
          <w:highlight w:val="none"/>
        </w:rPr>
        <w:t>货物技术指标及功能要求：</w:t>
      </w:r>
    </w:p>
    <w:tbl>
      <w:tblPr>
        <w:tblStyle w:val="4"/>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9"/>
        <w:gridCol w:w="1051"/>
        <w:gridCol w:w="5686"/>
        <w:gridCol w:w="539"/>
        <w:gridCol w:w="636"/>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名  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技术参数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高清红外摄像机400万像素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1. 像素≥400万网络摄像机；</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2.内置补光灯，红外补光距离≥30m,白光补光距离≥30m；</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3.支持GB/T28181、GA/T1400和Onvif协议，确保兼容性；</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4.防护等级：IP67；</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5. 靶面≥1/2.7"；</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6.传感器分辨率≥2560×1440；</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7.具有智能分析功能（如场景变更侦测，区域入侵侦测，越界侦测，进入区域侦测，离开区域侦测、停车侦测、快速移动侦测；音频异常侦测，音频陡升侦测，音频陡降侦测）；</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8.信噪比不小于62dB；</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9.支持H.265/H.264/MJPEG编码格式；</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10.供电方式：DC12V、POE ，且在不小于DC12V±30%范围内变化时可以正常工作。</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527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val="0"/>
              <w:snapToGrid w:val="0"/>
              <w:spacing w:line="300" w:lineRule="auto"/>
              <w:rPr>
                <w:rFonts w:hint="eastAsia" w:ascii="Times New Roman" w:hAnsi="Times New Roman" w:eastAsia="宋体" w:cs="宋体"/>
                <w:i w:val="0"/>
                <w:iCs w:val="0"/>
                <w:color w:val="auto"/>
                <w:sz w:val="21"/>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AI智能高速球摄像机400万像素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1. 内置≥2个镜头，可以输出两路视频图像，≥1路全景视频图像、≥1路细节视频图像；</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2. 内置≥2颗GPU芯片；</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3. 全景通道支持最大像素为 2560×1440，细节通道支持最大像素为 2560×1440，红外距离可达≥150米；</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4. 细节镜头支持≥23倍光学变倍，最大焦距≥130mm；</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5. 支持水平手控速度不小于150°/S，垂直速度不小于120°/S，云台定位精度为±0.1°；</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6. 水平旋转范围为360°连续旋转，垂直旋转范围为-15°~90°；</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7. 内置两个扬声器，并可随细节视频图像以及补光灯、白光报警灯360°同步旋转；</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8. 支持对≥150米以外人员进行报警提示，在夜晚无光照环境下，正向人员能明显感觉到报警灯闪烁；</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9. 支持循环跟踪功能，当全景视频图像中有多个目标触发报警事件后，细节视频图像可联动对多个目标循环跟踪；</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10. 支持跟踪报警功能，可对监视画面中的多个目标进行跟踪，并可显示移动目标的属性（人、车、其他）；当移动目标进入监视画面时可报警上传，离开监视画面5s后解除报警；</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11. 支持图片合成功能，报警事件触发后，可联动全景视频图像与细节视频图像进行抓图，并将两张报警图片合成；</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12. 支持300个预置位，可按照所设置的预置位完成不小于6条巡航路径，支持不小于4条模式路径设置，支持预置位视频冻结功能；可实现RS485接口优先或RJ45网络接口优先控制功能；</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13. 具备较好的防护性能环境适应性，支持IP66，6kV防浪涌，工作温度范围可达-30℃-65℃。具备较好的电源适应性，电压在DC36V±30%范围内变化时，设备可正常工作。</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val="0"/>
              <w:snapToGrid w:val="0"/>
              <w:spacing w:line="300" w:lineRule="auto"/>
              <w:rPr>
                <w:rFonts w:hint="eastAsia" w:ascii="Times New Roman" w:hAnsi="Times New Roman" w:eastAsia="宋体" w:cs="宋体"/>
                <w:i w:val="0"/>
                <w:iCs w:val="0"/>
                <w:color w:val="auto"/>
                <w:sz w:val="21"/>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支架</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筒机摄像机壁挂支架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default" w:ascii="Times New Roman" w:hAnsi="Times New Roman" w:eastAsia="宋体" w:cs="宋体"/>
                <w:i w:val="0"/>
                <w:iCs w:val="0"/>
                <w:color w:val="auto"/>
                <w:sz w:val="21"/>
                <w:szCs w:val="18"/>
                <w:highlight w:val="none"/>
                <w:u w:val="none"/>
                <w:lang w:val="en-US"/>
              </w:rPr>
            </w:pPr>
            <w:r>
              <w:rPr>
                <w:rFonts w:hint="eastAsia" w:ascii="Times New Roman" w:hAnsi="Times New Roman" w:eastAsia="宋体" w:cs="宋体"/>
                <w:i w:val="0"/>
                <w:iCs w:val="0"/>
                <w:color w:val="auto"/>
                <w:kern w:val="0"/>
                <w:sz w:val="21"/>
                <w:szCs w:val="18"/>
                <w:highlight w:val="none"/>
                <w:u w:val="none"/>
                <w:lang w:val="en-US" w:eastAsia="zh-CN" w:bidi="ar"/>
              </w:rPr>
              <w:t>527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val="0"/>
              <w:snapToGrid w:val="0"/>
              <w:spacing w:line="300" w:lineRule="auto"/>
              <w:rPr>
                <w:rFonts w:hint="eastAsia" w:ascii="Times New Roman" w:hAnsi="Times New Roman" w:eastAsia="宋体" w:cs="宋体"/>
                <w:i w:val="0"/>
                <w:iCs w:val="0"/>
                <w:color w:val="auto"/>
                <w:sz w:val="21"/>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球机支架</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高速球摄像机壁挂支架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val="0"/>
              <w:snapToGrid w:val="0"/>
              <w:spacing w:line="300" w:lineRule="auto"/>
              <w:rPr>
                <w:rFonts w:hint="eastAsia" w:ascii="Times New Roman" w:hAnsi="Times New Roman" w:eastAsia="宋体" w:cs="宋体"/>
                <w:i w:val="0"/>
                <w:iCs w:val="0"/>
                <w:color w:val="auto"/>
                <w:sz w:val="21"/>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55寸监视器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1. 显示尺寸：≥55 inch</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2. 物理分辨率：3840 × 2160</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3. 背光源类型：D-LED</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4. 亮度：≥450 cd/m²</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5. 可视角：178° (H)/178° (V)</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6. 对比度：≥1200 : 1</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7. 响应时间：6.5 ms</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8. 刷新率：60 Hz</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9. 连续使用时间：7 × 18 H</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10. 音视频输入接口：HDMI 2.0 × 1，VGA×1，DP1.2×1，AUDIO IN×1</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11. 音视频输出接口：AUDIO OUT × 1，Speaker(8Ω 5W) × 2</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12. 数据传输接口：USB2.0 × 1</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13. 控制接口：RS232 IN×1，RS232 OUT×1</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14. 电源：100~240 V , 50/60Hz</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15. 功耗：≤ 145 W</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16. 具有调整γ曲线的功能</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17. 显示单元支持软关机记忆功能，若屏幕在断电前处于待机状态，下一次上电后，仍然处于待机状态</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18. 显示单元支持4 比 3、 16 比 9、点对点等比例显示</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19. 具备智能光感护眼功能，显示单元可自动识别环境光强弱，根据环境光变化调节屏幕亮度</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20. 显示单元具备99%sRGB、85%NTSC 广色域覆盖</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val="0"/>
              <w:snapToGrid w:val="0"/>
              <w:spacing w:line="300" w:lineRule="auto"/>
              <w:rPr>
                <w:rFonts w:hint="eastAsia" w:ascii="Times New Roman" w:hAnsi="Times New Roman" w:eastAsia="宋体" w:cs="宋体"/>
                <w:i w:val="0"/>
                <w:iCs w:val="0"/>
                <w:color w:val="auto"/>
                <w:sz w:val="21"/>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监视器支架</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1. 材质：SPCC高强度钢（主体）</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2. 适用尺寸：32寸-55寸</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val="0"/>
              <w:snapToGrid w:val="0"/>
              <w:spacing w:line="300" w:lineRule="auto"/>
              <w:rPr>
                <w:rFonts w:hint="eastAsia" w:ascii="Times New Roman" w:hAnsi="Times New Roman" w:eastAsia="宋体" w:cs="宋体"/>
                <w:i w:val="0"/>
                <w:iCs w:val="0"/>
                <w:color w:val="auto"/>
                <w:sz w:val="21"/>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立杆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3.5米含立杆基础、接地、地笼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default" w:ascii="Times New Roman" w:hAnsi="Times New Roman" w:eastAsia="宋体" w:cs="宋体"/>
                <w:i w:val="0"/>
                <w:iCs w:val="0"/>
                <w:color w:val="auto"/>
                <w:sz w:val="21"/>
                <w:szCs w:val="18"/>
                <w:highlight w:val="none"/>
                <w:u w:val="none"/>
                <w:lang w:val="en-US"/>
              </w:rPr>
            </w:pPr>
            <w:r>
              <w:rPr>
                <w:rFonts w:hint="eastAsia" w:ascii="Times New Roman" w:hAnsi="Times New Roman" w:eastAsia="宋体" w:cs="宋体"/>
                <w:i w:val="0"/>
                <w:iCs w:val="0"/>
                <w:color w:val="auto"/>
                <w:kern w:val="0"/>
                <w:sz w:val="21"/>
                <w:szCs w:val="18"/>
                <w:highlight w:val="none"/>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val="0"/>
              <w:snapToGrid w:val="0"/>
              <w:spacing w:line="300" w:lineRule="auto"/>
              <w:rPr>
                <w:rFonts w:hint="eastAsia" w:ascii="Times New Roman" w:hAnsi="Times New Roman" w:eastAsia="宋体" w:cs="宋体"/>
                <w:i w:val="0"/>
                <w:iCs w:val="0"/>
                <w:color w:val="auto"/>
                <w:sz w:val="21"/>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交换机</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1. 提供≥24个千兆PoE电口，≥1个千兆电口，≥1个千兆光口</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2. 交换容量：≥52 Gbps</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3. 包转发率：≥38.69 Mpps</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4. 支持IEEE 802.3at/af</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5. 端口最大供电功率：30 W</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6. 整机最大供电功率：370 W</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7. 支持6KV防浪涌（PoE口）</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8. 支持PoE输出功率管理</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9. 坚固式高强度金属外壳</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10. 工作温度：0°C ~ 45°C</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val="0"/>
              <w:snapToGrid w:val="0"/>
              <w:spacing w:line="300" w:lineRule="auto"/>
              <w:rPr>
                <w:rFonts w:hint="eastAsia" w:ascii="Times New Roman" w:hAnsi="Times New Roman" w:eastAsia="宋体" w:cs="宋体"/>
                <w:i w:val="0"/>
                <w:iCs w:val="0"/>
                <w:color w:val="auto"/>
                <w:sz w:val="21"/>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光纤收发器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1. 千兆光纤收发器</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2. 光口：1个千兆光口</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3. 距离20公里</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4. 接口类型：FC口</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5. 单模单纤；</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6. 电口：1个千兆网口；</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7. 安装方式：工业导轨式。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val="0"/>
              <w:snapToGrid w:val="0"/>
              <w:spacing w:line="300" w:lineRule="auto"/>
              <w:rPr>
                <w:rFonts w:hint="eastAsia" w:ascii="Times New Roman" w:hAnsi="Times New Roman" w:eastAsia="宋体" w:cs="宋体"/>
                <w:i w:val="0"/>
                <w:iCs w:val="0"/>
                <w:color w:val="auto"/>
                <w:sz w:val="21"/>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网络存储主机100（36盘位）</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1. 支持内置≥36块SATA接口硬盘，支持硬盘热插拔，可满配20TB硬盘；</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2. 输入带宽：≥512Mbps、输出带宽：≥512Mbps；</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3. 可接入≥100路分辨率为1920×1080的视频图像；</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4. 支持在线检查西数硬盘的运行状态、健康状态，包括低温警报、高温警报、异步信号恢复警报、重新分配扇区技术警报，读取恢复警报、无法修复的错误警报、机械故障警报、接口CRC警报、机械故障警报、硬复位警报、软复位警报、磁头加载率警报、电源接通复位率警报、总工作负载率警报、生命周期内工作负载总量警报、上电复位警报、磁头加载计数警报、电源开启小时警报；</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5. 支持将设备日志上传到日志服务器，可配置日志服务器IP地址和端口。</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val="0"/>
              <w:snapToGrid w:val="0"/>
              <w:spacing w:line="300" w:lineRule="auto"/>
              <w:rPr>
                <w:rFonts w:hint="eastAsia" w:ascii="Times New Roman" w:hAnsi="Times New Roman" w:eastAsia="宋体" w:cs="宋体"/>
                <w:i w:val="0"/>
                <w:iCs w:val="0"/>
                <w:color w:val="auto"/>
                <w:sz w:val="21"/>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硬盘16T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1. 3.5英寸,16TB,SATA 6Gb/s，3.0接口；</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2. 高转速：7200rpm；</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3. 支持RAID应用；</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4. 高达512MB缓冲区，流畅存储视频有效防止丢帧；</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5. MTBF(平均故障间隔时间)：不小于100万小时；</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6. 年写入负载：不小于550TB；</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7. 24×7全天候高效稳定运行；</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1047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val="0"/>
              <w:snapToGrid w:val="0"/>
              <w:spacing w:line="300" w:lineRule="auto"/>
              <w:rPr>
                <w:rFonts w:hint="eastAsia" w:ascii="Times New Roman" w:hAnsi="Times New Roman" w:eastAsia="宋体" w:cs="宋体"/>
                <w:i w:val="0"/>
                <w:iCs w:val="0"/>
                <w:color w:val="auto"/>
                <w:sz w:val="21"/>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辅材</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含光缆熔接、五金辅材、跳线、尾纤、超5类网线、PVC线管、4芯单模光纤、HDMI线等各类配件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val="0"/>
              <w:snapToGrid w:val="0"/>
              <w:spacing w:line="300" w:lineRule="auto"/>
              <w:rPr>
                <w:rFonts w:hint="eastAsia" w:ascii="Times New Roman" w:hAnsi="Times New Roman" w:eastAsia="宋体" w:cs="宋体"/>
                <w:i w:val="0"/>
                <w:iCs w:val="0"/>
                <w:color w:val="auto"/>
                <w:sz w:val="21"/>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网络整改</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原有网络整改升级（端口测试、标签打码、IP段重新部署）</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2903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val="0"/>
              <w:snapToGrid w:val="0"/>
              <w:spacing w:line="300" w:lineRule="auto"/>
              <w:rPr>
                <w:rFonts w:hint="eastAsia" w:ascii="Times New Roman" w:hAnsi="Times New Roman" w:eastAsia="宋体" w:cs="宋体"/>
                <w:i w:val="0"/>
                <w:iCs w:val="0"/>
                <w:color w:val="auto"/>
                <w:sz w:val="21"/>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人工费用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设备安装、布管布线人工费用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val="0"/>
              <w:snapToGrid w:val="0"/>
              <w:spacing w:line="300" w:lineRule="auto"/>
              <w:rPr>
                <w:rFonts w:hint="eastAsia" w:ascii="Times New Roman" w:hAnsi="Times New Roman" w:eastAsia="宋体" w:cs="宋体"/>
                <w:i w:val="0"/>
                <w:iCs w:val="0"/>
                <w:color w:val="auto"/>
                <w:sz w:val="21"/>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超高清解码器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1. 采用嵌入式架构，专用Linux系统，使用DSP解码；</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2. 为保证产品兼容性，需提供设备支持GB/T 28181-2022的证明；</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3. 视频输出接口：≥8路HDMI 1.4，支持4K，视频输入接口：≥2路HDMI 1.4；</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4. 设备接入具有智能分析功能的摄像机，可解码显示智能分析信息，并上传报警信息；；</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5. 支持黑白名单功能，可设置黑白名单；</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6. 支持PC 软件客户端、WEB 浏览器客户端、平台客户端、IPAD、可视化触控平台方式访问管理；</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7. 可通过设备抓屏软件，将远程电脑桌面实时解码上墙显示，画面帧率可达30fps。</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8. 可通过客户端软件导入和导出设备配置参数。</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9. 可通过客户端软件设置HDMI接口输出分辨率为3840*2160(30Hz、1920*1080(50Hz)、1920*1080(60Hz))、1680*1050(60Hz)、1600*1200(60Hz)、1280*1024(60Hz)、1280*720(60Hz)、1280*720(50Hz)、1024*768(60Hz)。</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10. 支持1、2、4、6、8、9、10、12、16画面分割显示；</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11. 视频解码能力：H.264/H.265：支持≥4路3200 W，或≥4路2400 W，或≥8路1200 W，或≥16路800 W，或≥20路600W，或≥32路400W，或≥64路1080P，或≥128路720P及以下分辨率实时解码；</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12. 支持视频轮巡功能，并可在客户端软件设置轮巡计划；</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13. 支持通过客户端软件对接入的云台进行控制，通过RS-485接口连接键盘实现键盘接入的云台进行控制；</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14. 可通过客户端软件对设备进行恢复出厂设置；</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15. 支持NTP校时及客户端软件手动校时两种校时方式；</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16. 音频解码格式支持G.722、G.711A、G.726、G711U、MPEG2-L2、AAC。</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val="0"/>
              <w:snapToGrid w:val="0"/>
              <w:spacing w:line="300" w:lineRule="auto"/>
              <w:rPr>
                <w:rFonts w:hint="eastAsia" w:ascii="Times New Roman" w:hAnsi="Times New Roman" w:eastAsia="宋体" w:cs="宋体"/>
                <w:i w:val="0"/>
                <w:iCs w:val="0"/>
                <w:color w:val="auto"/>
                <w:sz w:val="21"/>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5"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网络存储主机64（16盘位）</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1. 支持内置≥16块SATA接口硬盘，支持硬盘热插拔，可满配20TB硬盘；</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2. 输入带宽：≥512Mbps、输出带宽：≥512Mbps；</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3. 可接入≥64路分辨率为1920×1080的视频图像；</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4. 支持在线检查西数硬盘的运行状态、健康状态，包括低温警报、高温警报、异步信号恢复警报、重新分配扇区技术警报，读取恢复警报、无法修复的错误警报、机械故障警报、接口CRC警报、机械故障警报、硬复位警报、软复位警报、磁头加载率警报、电源接通复位率警报、总工作负载率警报、生命周期内工作负载总量警报、上电复位警报、磁头加载计数警报、电源开启小时警报；</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5. 支持将设备日志上传到日志服务器，可配置日志服务器IP地址和端口。</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val="0"/>
              <w:snapToGrid w:val="0"/>
              <w:spacing w:line="300" w:lineRule="auto"/>
              <w:rPr>
                <w:rFonts w:hint="eastAsia" w:ascii="Times New Roman" w:hAnsi="Times New Roman" w:eastAsia="宋体" w:cs="宋体"/>
                <w:i w:val="0"/>
                <w:iCs w:val="0"/>
                <w:color w:val="auto"/>
                <w:sz w:val="21"/>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移动拒马防撞护栏</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1.采用镀锌钢材；</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2.表面防锈喷漆，黄黑颜色，黄色反光警示；</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3.外管114mm，内管60mm；</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4.宽80cm，高120cm；</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5.壁厚2mm；</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6.底部安装移动便携万向轮，8寸.</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default" w:ascii="Times New Roman" w:hAnsi="Times New Roman" w:eastAsia="宋体" w:cs="宋体"/>
                <w:i w:val="0"/>
                <w:iCs w:val="0"/>
                <w:color w:val="auto"/>
                <w:sz w:val="21"/>
                <w:szCs w:val="18"/>
                <w:highlight w:val="none"/>
                <w:u w:val="none"/>
                <w:lang w:val="en-US"/>
              </w:rPr>
            </w:pPr>
            <w:r>
              <w:rPr>
                <w:rFonts w:hint="eastAsia" w:ascii="Times New Roman" w:hAnsi="Times New Roman" w:eastAsia="宋体" w:cs="宋体"/>
                <w:i w:val="0"/>
                <w:iCs w:val="0"/>
                <w:color w:val="auto"/>
                <w:kern w:val="0"/>
                <w:sz w:val="21"/>
                <w:szCs w:val="18"/>
                <w:highlight w:val="none"/>
                <w:u w:val="none"/>
                <w:lang w:val="en-US" w:eastAsia="zh-CN" w:bidi="ar"/>
              </w:rPr>
              <w:t>234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val="0"/>
              <w:snapToGrid w:val="0"/>
              <w:spacing w:line="300" w:lineRule="auto"/>
              <w:rPr>
                <w:rFonts w:hint="eastAsia" w:ascii="Times New Roman" w:hAnsi="Times New Roman" w:eastAsia="宋体" w:cs="宋体"/>
                <w:i w:val="0"/>
                <w:iCs w:val="0"/>
                <w:color w:val="auto"/>
                <w:sz w:val="21"/>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网络存储主机32（16盘位）</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1. 支持内置≥16块SATA接口硬盘，支持硬盘热插拔，可满配20TB硬盘；</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2. 输入带宽：≥512Mbps、输出带宽：≥512Mbps；</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3. 可接入≥64路分辨率为1920×1080的视频图像；</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4. 支持在线检查西数硬盘的运行状态、健康状态，包括低温警报、高温警报、异步信号恢复警报、重新分配扇区技术警报，读取恢复警报、无法修复的错误警报、机械故障警报、接口CRC警报、机械故障警报、硬复位警报、软复位警报、磁头加载率警报、电源接通复位率警报、总工作负载率警报、生命周期内工作负载总量警报、上电复位警报、磁头加载计数警报、电源开启小时警报；</w:t>
            </w:r>
          </w:p>
          <w:p>
            <w:pPr>
              <w:keepNext w:val="0"/>
              <w:keepLines w:val="0"/>
              <w:pageBreakBefore w:val="0"/>
              <w:widowControl/>
              <w:suppressLineNumbers w:val="0"/>
              <w:kinsoku/>
              <w:wordWrap/>
              <w:overflowPunct/>
              <w:topLinePunct w:val="0"/>
              <w:autoSpaceDE/>
              <w:autoSpaceDN/>
              <w:bidi w:val="0"/>
              <w:adjustRightInd w:val="0"/>
              <w:snapToGrid w:val="0"/>
              <w:spacing w:line="300" w:lineRule="auto"/>
              <w:jc w:val="left"/>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5. 支持将设备日志上传到日志服务器，可配置日志服务器IP地址和端口。</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i w:val="0"/>
                <w:iCs w:val="0"/>
                <w:color w:val="auto"/>
                <w:sz w:val="21"/>
                <w:szCs w:val="18"/>
                <w:highlight w:val="none"/>
                <w:u w:val="none"/>
              </w:rPr>
            </w:pPr>
            <w:r>
              <w:rPr>
                <w:rFonts w:hint="eastAsia" w:ascii="Times New Roman" w:hAnsi="Times New Roman" w:eastAsia="宋体" w:cs="宋体"/>
                <w:i w:val="0"/>
                <w:iCs w:val="0"/>
                <w:color w:val="auto"/>
                <w:kern w:val="0"/>
                <w:sz w:val="21"/>
                <w:szCs w:val="18"/>
                <w:highlight w:val="none"/>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val="0"/>
              <w:snapToGrid w:val="0"/>
              <w:spacing w:line="300" w:lineRule="auto"/>
              <w:rPr>
                <w:rFonts w:hint="eastAsia" w:ascii="Times New Roman" w:hAnsi="Times New Roman" w:eastAsia="宋体" w:cs="宋体"/>
                <w:i w:val="0"/>
                <w:iCs w:val="0"/>
                <w:color w:val="auto"/>
                <w:sz w:val="21"/>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center"/>
              <w:rPr>
                <w:rFonts w:hint="default" w:ascii="Times New Roman" w:hAnsi="Times New Roman" w:eastAsia="宋体" w:cs="宋体"/>
                <w:i w:val="0"/>
                <w:iCs w:val="0"/>
                <w:color w:val="auto"/>
                <w:kern w:val="0"/>
                <w:sz w:val="21"/>
                <w:szCs w:val="18"/>
                <w:highlight w:val="none"/>
                <w:u w:val="none"/>
                <w:lang w:val="en-US" w:eastAsia="zh-CN" w:bidi="ar"/>
              </w:rPr>
            </w:pPr>
            <w:r>
              <w:rPr>
                <w:rFonts w:hint="eastAsia" w:ascii="Times New Roman" w:hAnsi="Times New Roman" w:eastAsia="宋体" w:cs="宋体"/>
                <w:i w:val="0"/>
                <w:iCs w:val="0"/>
                <w:color w:val="auto"/>
                <w:kern w:val="0"/>
                <w:sz w:val="21"/>
                <w:szCs w:val="18"/>
                <w:highlight w:val="none"/>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auto"/>
              <w:jc w:val="center"/>
              <w:rPr>
                <w:rFonts w:hint="eastAsia" w:ascii="Times New Roman" w:hAnsi="Times New Roman" w:eastAsia="宋体" w:cs="宋体"/>
                <w:color w:val="auto"/>
                <w:kern w:val="0"/>
                <w:sz w:val="21"/>
                <w:szCs w:val="24"/>
                <w:highlight w:val="none"/>
                <w:lang w:val="en-US" w:eastAsia="zh-CN" w:bidi="ar-SA"/>
              </w:rPr>
            </w:pPr>
            <w:r>
              <w:rPr>
                <w:rFonts w:hint="eastAsia" w:ascii="Times New Roman" w:hAnsi="Times New Roman" w:eastAsia="宋体" w:cs="宋体"/>
                <w:color w:val="auto"/>
                <w:kern w:val="0"/>
                <w:sz w:val="21"/>
                <w:highlight w:val="none"/>
              </w:rPr>
              <w:t>项目集成</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auto"/>
              <w:rPr>
                <w:rFonts w:hint="eastAsia" w:ascii="Times New Roman" w:hAnsi="Times New Roman" w:eastAsia="宋体" w:cs="宋体"/>
                <w:color w:val="auto"/>
                <w:kern w:val="0"/>
                <w:sz w:val="21"/>
                <w:szCs w:val="24"/>
                <w:highlight w:val="none"/>
                <w:lang w:val="en-US" w:eastAsia="zh-CN" w:bidi="ar-SA"/>
              </w:rPr>
            </w:pPr>
            <w:r>
              <w:rPr>
                <w:rFonts w:hint="eastAsia" w:ascii="Times New Roman" w:hAnsi="Times New Roman" w:eastAsia="宋体" w:cs="宋体"/>
                <w:color w:val="auto"/>
                <w:kern w:val="0"/>
                <w:sz w:val="21"/>
                <w:highlight w:val="none"/>
              </w:rPr>
              <w:t>本项目：所有设备运输、搬运、设备安装所需的线材、管材、五金配件、设备安装、调试、培训、老旧设备拆除、卫生保洁、税费、验收等完成采购文件工作内容所需的一切费用。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00" w:lineRule="auto"/>
              <w:jc w:val="center"/>
              <w:textAlignment w:val="center"/>
              <w:rPr>
                <w:rFonts w:hint="eastAsia" w:ascii="Times New Roman" w:hAnsi="Times New Roman" w:eastAsia="宋体" w:cs="宋体"/>
                <w:color w:val="auto"/>
                <w:kern w:val="0"/>
                <w:sz w:val="21"/>
                <w:szCs w:val="24"/>
                <w:highlight w:val="none"/>
                <w:lang w:val="en-US" w:eastAsia="zh-CN" w:bidi="ar-SA"/>
              </w:rPr>
            </w:pPr>
            <w:r>
              <w:rPr>
                <w:rFonts w:hint="eastAsia" w:ascii="Times New Roman" w:hAnsi="Times New Roman" w:eastAsia="宋体" w:cs="宋体"/>
                <w:color w:val="auto"/>
                <w:kern w:val="0"/>
                <w:sz w:val="21"/>
                <w:szCs w:val="24"/>
                <w:highlight w:val="none"/>
                <w:lang w:val="en-US" w:eastAsia="zh-CN" w:bidi="ar-SA"/>
              </w:rPr>
              <w:t>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00" w:lineRule="auto"/>
              <w:jc w:val="center"/>
              <w:textAlignment w:val="center"/>
              <w:rPr>
                <w:rFonts w:hint="default" w:ascii="Times New Roman" w:hAnsi="Times New Roman" w:eastAsia="宋体" w:cs="宋体"/>
                <w:color w:val="auto"/>
                <w:kern w:val="0"/>
                <w:sz w:val="21"/>
                <w:szCs w:val="24"/>
                <w:highlight w:val="none"/>
                <w:lang w:val="en-US" w:eastAsia="zh-CN" w:bidi="ar-SA"/>
              </w:rPr>
            </w:pPr>
            <w:r>
              <w:rPr>
                <w:rFonts w:hint="eastAsia" w:ascii="Times New Roman" w:hAnsi="Times New Roman" w:eastAsia="宋体" w:cs="宋体"/>
                <w:color w:val="auto"/>
                <w:kern w:val="0"/>
                <w:sz w:val="21"/>
                <w:highlight w:val="none"/>
                <w:lang w:val="en-US" w:eastAsia="zh-CN"/>
              </w:rPr>
              <w:t>47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val="0"/>
              <w:snapToGrid w:val="0"/>
              <w:spacing w:line="300" w:lineRule="auto"/>
              <w:rPr>
                <w:rFonts w:hint="eastAsia" w:ascii="Times New Roman" w:hAnsi="Times New Roman" w:eastAsia="宋体" w:cs="宋体"/>
                <w:i w:val="0"/>
                <w:iCs w:val="0"/>
                <w:color w:val="auto"/>
                <w:sz w:val="21"/>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val="0"/>
              <w:snapToGrid w:val="0"/>
              <w:spacing w:line="300" w:lineRule="auto"/>
              <w:rPr>
                <w:rFonts w:hint="eastAsia" w:ascii="Times New Roman" w:hAnsi="Times New Roman" w:eastAsia="宋体" w:cs="宋体"/>
                <w:b/>
                <w:bCs/>
                <w:i w:val="0"/>
                <w:iCs w:val="0"/>
                <w:color w:val="auto"/>
                <w:sz w:val="21"/>
                <w:szCs w:val="18"/>
                <w:highlight w:val="none"/>
                <w:u w:val="none"/>
                <w:lang w:eastAsia="zh-CN"/>
              </w:rPr>
            </w:pPr>
            <w:r>
              <w:rPr>
                <w:rFonts w:hint="eastAsia" w:ascii="Times New Roman" w:hAnsi="Times New Roman" w:eastAsia="宋体" w:cs="宋体"/>
                <w:b/>
                <w:bCs/>
                <w:i w:val="0"/>
                <w:iCs w:val="0"/>
                <w:color w:val="auto"/>
                <w:sz w:val="21"/>
                <w:szCs w:val="18"/>
                <w:highlight w:val="none"/>
                <w:u w:val="none"/>
              </w:rPr>
              <w:t>备注</w:t>
            </w:r>
            <w:r>
              <w:rPr>
                <w:rFonts w:hint="eastAsia" w:ascii="Times New Roman" w:hAnsi="Times New Roman" w:eastAsia="宋体" w:cs="宋体"/>
                <w:b/>
                <w:bCs/>
                <w:i w:val="0"/>
                <w:iCs w:val="0"/>
                <w:color w:val="auto"/>
                <w:sz w:val="21"/>
                <w:szCs w:val="18"/>
                <w:highlight w:val="none"/>
                <w:u w:val="none"/>
                <w:lang w:eastAsia="zh-CN"/>
              </w:rPr>
              <w:t>：</w:t>
            </w:r>
          </w:p>
          <w:p>
            <w:pPr>
              <w:keepNext w:val="0"/>
              <w:keepLines w:val="0"/>
              <w:pageBreakBefore w:val="0"/>
              <w:kinsoku/>
              <w:wordWrap/>
              <w:overflowPunct/>
              <w:topLinePunct w:val="0"/>
              <w:autoSpaceDE/>
              <w:autoSpaceDN/>
              <w:bidi w:val="0"/>
              <w:adjustRightInd w:val="0"/>
              <w:snapToGrid w:val="0"/>
              <w:spacing w:line="300" w:lineRule="auto"/>
              <w:rPr>
                <w:rFonts w:hint="eastAsia" w:ascii="Times New Roman" w:hAnsi="Times New Roman" w:eastAsia="宋体" w:cs="宋体"/>
                <w:b/>
                <w:bCs/>
                <w:i w:val="0"/>
                <w:iCs w:val="0"/>
                <w:color w:val="auto"/>
                <w:sz w:val="21"/>
                <w:szCs w:val="18"/>
                <w:highlight w:val="none"/>
                <w:u w:val="none"/>
                <w:lang w:eastAsia="zh-CN"/>
              </w:rPr>
            </w:pPr>
            <w:r>
              <w:rPr>
                <w:rFonts w:hint="eastAsia" w:ascii="Times New Roman" w:hAnsi="Times New Roman" w:eastAsia="宋体" w:cs="宋体"/>
                <w:b/>
                <w:bCs/>
                <w:i w:val="0"/>
                <w:iCs w:val="0"/>
                <w:color w:val="auto"/>
                <w:sz w:val="21"/>
                <w:szCs w:val="18"/>
                <w:highlight w:val="none"/>
                <w:u w:val="none"/>
                <w:lang w:eastAsia="zh-CN"/>
              </w:rPr>
              <w:t>1</w:t>
            </w:r>
            <w:r>
              <w:rPr>
                <w:rFonts w:hint="eastAsia" w:ascii="Times New Roman" w:hAnsi="Times New Roman" w:eastAsia="宋体" w:cs="宋体"/>
                <w:b/>
                <w:bCs/>
                <w:i w:val="0"/>
                <w:iCs w:val="0"/>
                <w:color w:val="auto"/>
                <w:sz w:val="21"/>
                <w:szCs w:val="18"/>
                <w:highlight w:val="none"/>
                <w:u w:val="none"/>
                <w:lang w:val="en-US" w:eastAsia="zh-CN"/>
              </w:rPr>
              <w:t>.</w:t>
            </w:r>
            <w:r>
              <w:rPr>
                <w:rFonts w:hint="eastAsia" w:ascii="Times New Roman" w:hAnsi="Times New Roman" w:eastAsia="宋体" w:cs="宋体"/>
                <w:b/>
                <w:bCs/>
                <w:i w:val="0"/>
                <w:iCs w:val="0"/>
                <w:color w:val="auto"/>
                <w:sz w:val="21"/>
                <w:szCs w:val="18"/>
                <w:highlight w:val="none"/>
                <w:u w:val="none"/>
                <w:lang w:eastAsia="zh-CN"/>
              </w:rPr>
              <w:t>采购需求中未列明偏差的除特殊订制类货物以外，列明的尺寸、重量及体积允许±5%偏差。</w:t>
            </w:r>
          </w:p>
          <w:p>
            <w:pPr>
              <w:keepNext w:val="0"/>
              <w:keepLines w:val="0"/>
              <w:pageBreakBefore w:val="0"/>
              <w:kinsoku/>
              <w:wordWrap/>
              <w:overflowPunct/>
              <w:topLinePunct w:val="0"/>
              <w:autoSpaceDE/>
              <w:autoSpaceDN/>
              <w:bidi w:val="0"/>
              <w:adjustRightInd w:val="0"/>
              <w:snapToGrid w:val="0"/>
              <w:spacing w:line="300" w:lineRule="auto"/>
              <w:rPr>
                <w:rFonts w:hint="eastAsia" w:ascii="Times New Roman" w:hAnsi="Times New Roman" w:eastAsia="宋体" w:cs="宋体"/>
                <w:b/>
                <w:bCs/>
                <w:i w:val="0"/>
                <w:iCs w:val="0"/>
                <w:color w:val="auto"/>
                <w:sz w:val="21"/>
                <w:szCs w:val="18"/>
                <w:highlight w:val="none"/>
                <w:u w:val="none"/>
                <w:lang w:eastAsia="zh-CN"/>
              </w:rPr>
            </w:pPr>
            <w:r>
              <w:rPr>
                <w:rFonts w:hint="eastAsia" w:ascii="Times New Roman" w:hAnsi="Times New Roman" w:eastAsia="宋体" w:cs="宋体"/>
                <w:b/>
                <w:bCs/>
                <w:i w:val="0"/>
                <w:iCs w:val="0"/>
                <w:color w:val="auto"/>
                <w:sz w:val="21"/>
                <w:szCs w:val="18"/>
                <w:highlight w:val="none"/>
                <w:u w:val="none"/>
                <w:lang w:eastAsia="zh-CN"/>
              </w:rPr>
              <w:t>2</w:t>
            </w:r>
            <w:r>
              <w:rPr>
                <w:rFonts w:hint="eastAsia" w:ascii="Times New Roman" w:hAnsi="Times New Roman" w:eastAsia="宋体" w:cs="宋体"/>
                <w:b/>
                <w:bCs/>
                <w:i w:val="0"/>
                <w:iCs w:val="0"/>
                <w:color w:val="auto"/>
                <w:sz w:val="21"/>
                <w:szCs w:val="18"/>
                <w:highlight w:val="none"/>
                <w:u w:val="none"/>
                <w:lang w:val="en-US" w:eastAsia="zh-CN"/>
              </w:rPr>
              <w:t>.</w:t>
            </w:r>
            <w:r>
              <w:rPr>
                <w:rFonts w:hint="eastAsia" w:ascii="Times New Roman" w:hAnsi="Times New Roman" w:eastAsia="宋体" w:cs="宋体"/>
                <w:b/>
                <w:bCs/>
                <w:i w:val="0"/>
                <w:iCs w:val="0"/>
                <w:color w:val="auto"/>
                <w:sz w:val="21"/>
                <w:szCs w:val="18"/>
                <w:highlight w:val="none"/>
                <w:u w:val="none"/>
                <w:lang w:eastAsia="zh-CN"/>
              </w:rPr>
              <w:t>采购标的物需按照国家相关标准、行业标准、地方标准或者其他标准、规范执行。</w:t>
            </w:r>
          </w:p>
          <w:p>
            <w:pPr>
              <w:pStyle w:val="2"/>
              <w:ind w:left="0" w:leftChars="0" w:firstLine="0" w:firstLineChars="0"/>
              <w:rPr>
                <w:rFonts w:hint="default"/>
                <w:color w:val="auto"/>
                <w:highlight w:val="none"/>
                <w:lang w:val="en-US" w:eastAsia="zh-CN"/>
              </w:rPr>
            </w:pPr>
            <w:r>
              <w:rPr>
                <w:rFonts w:hint="eastAsia" w:ascii="Times New Roman" w:hAnsi="Times New Roman" w:eastAsia="宋体" w:cs="宋体"/>
                <w:b/>
                <w:bCs/>
                <w:i w:val="0"/>
                <w:iCs w:val="0"/>
                <w:color w:val="auto"/>
                <w:sz w:val="21"/>
                <w:szCs w:val="18"/>
                <w:highlight w:val="none"/>
                <w:u w:val="none"/>
                <w:lang w:val="en-US" w:eastAsia="zh-CN"/>
              </w:rPr>
              <w:t>3、琼中县中小学安防扩容详细清单详见附表：《2024年琼中县中小学安防扩容改造项目清单》</w:t>
            </w:r>
          </w:p>
        </w:tc>
      </w:tr>
    </w:tbl>
    <w:p>
      <w:pPr>
        <w:spacing w:line="360" w:lineRule="auto"/>
        <w:ind w:left="482"/>
        <w:rPr>
          <w:b/>
          <w:color w:val="auto"/>
          <w:sz w:val="24"/>
          <w:highlight w:val="none"/>
        </w:rPr>
      </w:pPr>
      <w:r>
        <w:rPr>
          <w:b/>
          <w:color w:val="auto"/>
          <w:sz w:val="24"/>
          <w:highlight w:val="none"/>
        </w:rPr>
        <w:t>说明：</w:t>
      </w:r>
    </w:p>
    <w:p>
      <w:pPr>
        <w:numPr>
          <w:ilvl w:val="0"/>
          <w:numId w:val="0"/>
        </w:numPr>
        <w:spacing w:after="156" w:afterLines="50" w:line="360" w:lineRule="auto"/>
        <w:ind w:left="482" w:leftChars="0"/>
        <w:rPr>
          <w:b/>
          <w:color w:val="auto"/>
          <w:sz w:val="24"/>
          <w:highlight w:val="none"/>
        </w:rPr>
      </w:pPr>
      <w:r>
        <w:rPr>
          <w:b/>
          <w:color w:val="auto"/>
          <w:sz w:val="24"/>
          <w:highlight w:val="none"/>
        </w:rPr>
        <w:t>本项目核心产品为：</w:t>
      </w:r>
      <w:r>
        <w:rPr>
          <w:rFonts w:hint="eastAsia"/>
          <w:b/>
          <w:color w:val="auto"/>
          <w:sz w:val="24"/>
          <w:highlight w:val="none"/>
          <w:u w:val="single"/>
          <w:lang w:val="en-US" w:eastAsia="zh-CN"/>
        </w:rPr>
        <w:t>高清红外摄像机400万像素</w:t>
      </w:r>
      <w:r>
        <w:rPr>
          <w:rFonts w:hint="eastAsia" w:ascii="Times New Roman" w:hAnsi="Times New Roman" w:eastAsia="宋体" w:cs="Times New Roman"/>
          <w:b/>
          <w:color w:val="auto"/>
          <w:sz w:val="24"/>
          <w:highlight w:val="none"/>
          <w:lang w:val="en-US" w:eastAsia="zh-CN"/>
        </w:rPr>
        <w:t>、</w:t>
      </w:r>
      <w:r>
        <w:rPr>
          <w:rFonts w:hint="eastAsia" w:ascii="Times New Roman" w:hAnsi="Times New Roman" w:eastAsia="宋体" w:cs="Times New Roman"/>
          <w:b/>
          <w:color w:val="auto"/>
          <w:sz w:val="24"/>
          <w:highlight w:val="none"/>
          <w:u w:val="single"/>
          <w:lang w:val="en-US" w:eastAsia="zh-CN"/>
        </w:rPr>
        <w:t>网络存储主机100（36盘位）</w:t>
      </w:r>
      <w:r>
        <w:rPr>
          <w:rFonts w:hint="eastAsia" w:ascii="Times New Roman" w:hAnsi="Times New Roman" w:eastAsia="宋体" w:cs="Times New Roman"/>
          <w:b/>
          <w:color w:val="auto"/>
          <w:sz w:val="24"/>
          <w:highlight w:val="none"/>
          <w:lang w:val="en-US" w:eastAsia="zh-CN"/>
        </w:rPr>
        <w:t>、</w:t>
      </w:r>
      <w:r>
        <w:rPr>
          <w:rFonts w:hint="eastAsia" w:ascii="Times New Roman" w:hAnsi="Times New Roman" w:eastAsia="宋体" w:cs="Times New Roman"/>
          <w:b/>
          <w:color w:val="auto"/>
          <w:sz w:val="24"/>
          <w:highlight w:val="none"/>
          <w:u w:val="single"/>
          <w:lang w:val="en-US" w:eastAsia="zh-CN"/>
        </w:rPr>
        <w:t>交换机</w:t>
      </w:r>
      <w:r>
        <w:rPr>
          <w:rFonts w:hint="eastAsia" w:ascii="Times New Roman" w:hAnsi="Times New Roman" w:eastAsia="宋体" w:cs="Times New Roman"/>
          <w:b/>
          <w:color w:val="auto"/>
          <w:sz w:val="24"/>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2" w:firstLineChars="200"/>
        <w:textAlignment w:val="auto"/>
        <w:rPr>
          <w:rFonts w:hint="eastAsia" w:ascii="Times New Roman" w:hAnsi="Times New Roman" w:eastAsia="宋体" w:cs="Times New Roman"/>
          <w:b/>
          <w:color w:val="auto"/>
          <w:sz w:val="24"/>
          <w:highlight w:val="none"/>
          <w:u w:val="none"/>
          <w:lang w:val="en-US" w:eastAsia="zh-CN"/>
        </w:rPr>
      </w:pPr>
    </w:p>
    <w:p>
      <w:pPr>
        <w:pStyle w:val="2"/>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br w:type="page"/>
      </w:r>
      <w:r>
        <w:rPr>
          <w:rFonts w:hint="eastAsia" w:ascii="宋体" w:hAnsi="宋体" w:eastAsia="宋体" w:cs="宋体"/>
          <w:b/>
          <w:bCs/>
          <w:color w:val="auto"/>
          <w:highlight w:val="none"/>
          <w:lang w:val="en-US" w:eastAsia="zh-CN"/>
        </w:rPr>
        <w:t>附表：《2024年琼中县中小学安防扩容改造项目清单》</w:t>
      </w:r>
    </w:p>
    <w:tbl>
      <w:tblPr>
        <w:tblStyle w:val="4"/>
        <w:tblpPr w:leftFromText="180" w:rightFromText="180" w:vertAnchor="text" w:horzAnchor="page" w:tblpX="1657" w:tblpY="249"/>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83"/>
        <w:gridCol w:w="750"/>
        <w:gridCol w:w="3720"/>
        <w:gridCol w:w="885"/>
        <w:gridCol w:w="1005"/>
        <w:gridCol w:w="855"/>
      </w:tblGrid>
      <w:tr>
        <w:tblPrEx>
          <w:tblCellMar>
            <w:top w:w="0" w:type="dxa"/>
            <w:left w:w="108" w:type="dxa"/>
            <w:bottom w:w="0" w:type="dxa"/>
            <w:right w:w="108" w:type="dxa"/>
          </w:tblCellMar>
        </w:tblPrEx>
        <w:trPr>
          <w:trHeight w:val="375" w:hRule="atLeast"/>
        </w:trPr>
        <w:tc>
          <w:tcPr>
            <w:tcW w:w="8698" w:type="dxa"/>
            <w:gridSpan w:val="6"/>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sz w:val="28"/>
                <w:szCs w:val="28"/>
                <w:highlight w:val="none"/>
                <w:u w:val="none"/>
              </w:rPr>
            </w:pPr>
            <w:r>
              <w:rPr>
                <w:rFonts w:hint="eastAsia" w:ascii="宋体" w:hAnsi="宋体" w:eastAsia="宋体" w:cs="宋体"/>
                <w:b/>
                <w:bCs/>
                <w:i w:val="0"/>
                <w:iCs w:val="0"/>
                <w:color w:val="auto"/>
                <w:kern w:val="0"/>
                <w:sz w:val="28"/>
                <w:szCs w:val="28"/>
                <w:highlight w:val="none"/>
                <w:u w:val="none"/>
                <w:lang w:val="en-US" w:eastAsia="zh-CN" w:bidi="ar"/>
              </w:rPr>
              <w:t>2024年琼中县中小学安防扩容改造项目清单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学校</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序号</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名  称</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单位</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数量</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1.九小附属实验小学</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高清红外摄像机400万像素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AI智能高速球摄像机400万像素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球机支架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55寸监视器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监视器支架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立杆</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交换机</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光纤收发器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网络存储主机100（36盘位）</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硬盘16T</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块</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64</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辅材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网络整改</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路</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180</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人工费用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项目集成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2、琼中中学</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高清红外摄像机400万像素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48</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AI智能高速球摄像机400万像素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48</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球机支架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55寸监视器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监视器支架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立杆</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交换机</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光纤收发器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网络存储主机100（36盘位）</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硬盘16T</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块</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174</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超高清解码器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辅材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网络整改</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路</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540</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人工费用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项目集成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3、琼中县第一小学</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高清红外摄像机400万像素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AI智能高速球摄像机400万像素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球机支架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55寸监视器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监视器支架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立杆</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交换机</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光纤收发器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网络存储主机64（16盘位）</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硬盘16T</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块</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辅材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网络整改</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路</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80</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人工费用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移动拒马防撞护栏</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米</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项目集成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4、红岛小学</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高清红外摄像机400万像素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AI智能高速球摄像机400万像素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球机支架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55寸监视器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监视器支架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立杆</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交换机</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光纤收发器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网络存储主机64（16盘位）</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硬盘16T</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块</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辅材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网络整改</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路</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人工费用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移动拒马防撞护栏</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米</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项目集成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5、琼中县第二小学</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高清红外摄像机400万像素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AI智能高速球摄像机400万像素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球机支架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55寸监视器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监视器支架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立杆</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交换机</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光纤收发器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网络存储主机64（16盘位）</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硬盘16T</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块</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网络整改</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路</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180</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辅材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人工费用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项目集成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6、什运乡中心小学</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高清红外摄像机400万像素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33</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AI智能高速球摄像机400万像素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33</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球机支架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55寸监视器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监视器支架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立杆</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交换机</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光纤收发器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网络存储主机100（36盘位）</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硬盘16T</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块</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辅材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网络整改</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路</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人工费用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移动拒马防撞护栏</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米</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项目集成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7、新伟学校</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高清红外摄像机400万像素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AI智能高速球摄像机400万像素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球机支架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55寸监视器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监视器支架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立杆</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交换机</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光纤收发器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网络存储主机100（36盘位）</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硬盘16T</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块</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44</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辅材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网络整改</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路</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100</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人工费用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移动拒马防撞护栏</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米</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项目集成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8、和平中心小学</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高清红外摄像机400万像素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AI智能高速球摄像机400万像素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球机支架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55寸监视器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监视器支架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立杆</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交换机</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光纤收发器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网络存储主机64（16盘位）</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硬盘16T</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块</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辅材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网络整改</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路</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98</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人工费用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移动拒马防撞护栏</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米</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项目集成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9、长征中心小学</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高清红外摄像机400万像素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55寸监视器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监视器支架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网络存储主机64（16盘位）</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硬盘16T</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块</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辅材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网络整改</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路</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74</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人工费用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移动拒马防撞护栏</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米</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项目集成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10、长征学校</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高清红外摄像机400万像素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AI智能高速球摄像机400万像素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球机支架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55寸监视器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监视器支架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立杆</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交换机</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光纤收发器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网络存储主机100（36盘位）</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硬盘16T</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块</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40</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辅材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网络整改</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路</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90</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人工费用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移动拒马防撞护栏</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米</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148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项目集成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11、民族思源实验学校</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高清红外摄像机400万像素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28</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AI智能高速球摄像机400万像素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28</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球机支架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55寸监视器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监视器支架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立杆</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交换机</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光纤收发器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网络存储主机100（36盘位）</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硬盘16T</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块</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超高清解码器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辅材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网络整改</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路</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260</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人工费用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移动拒马防撞护栏</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米</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7（2个）</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17</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项目集成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12、思源实验学校</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高清红外摄像机400万像素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AI智能高速球摄像机400万像素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球机支架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55寸监视器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监视器支架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立杆</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交换机</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光纤收发器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网络存储主机100（36盘位）</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硬盘16T</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块</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超高清解码器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辅材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网络整改</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路</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260</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人工费用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移动拒马防撞护栏</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米</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17</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项目集成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13、阳江学校</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高清红外摄像机400万像素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AI智能高速球摄像机400万像素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球机支架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立杆</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交换机</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光纤收发器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网络存储主机100（36盘位）</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硬盘16T</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块</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38</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辅材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网络整改</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路</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133</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人工费用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项目集成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14、黎母山学校</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高清红外摄像机400万像素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AI智能高速球摄像机400万像素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球机支架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55寸监视器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监视器支架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立杆</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交换机</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光纤收发器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网络存储主机100（36盘位）</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硬盘16T</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辅材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网络整改</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路</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73</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人工费用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移动拒马防撞护栏</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米</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项目集成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15、新进中学</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高清红外摄像机400万像素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AI智能高速球摄像机400万像素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球机支架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55寸监视器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监视器支架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立杆</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交换机</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光纤收发器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网络存储主机100（36盘位）</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硬盘16T</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块</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48</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辅材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网络整改</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路</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人工费用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移动拒马防撞护栏</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米</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项目集成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16、新进中心小学</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高清红外摄像机400万像素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19</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AI智能高速球摄像机400万像素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19</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球机支架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55寸监视器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监视器支架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立杆</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交换机</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光纤收发器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网络存储主机100（36盘位）</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硬盘16T</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块</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48</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辅材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网络整改</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路</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129</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人工费用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移动拒马防撞护栏</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米</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项目集成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17、湾岭学校</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高清红外摄像机400万像素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58</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AI智能高速球摄像机400万像素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58</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球机支架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55寸监视器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监视器支架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立杆</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交换机</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光纤收发器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网络存储主机100（36盘位）</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硬盘16T</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块</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辅材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网络整改</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路</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46</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人工费用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移动拒马防撞护栏</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米</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项目集成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18、乌石学校</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高清红外摄像机400万像素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AI智能高速球摄像机400万像素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球机支架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55寸监视器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监视器支架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立杆</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交换机</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光纤收发器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网络存储主机100（36盘位）</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硬盘16T</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块</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36</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辅材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网络整改</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路</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118</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人工费用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移动拒马防撞护栏</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米</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项目集成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19、中平镇中心小学</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高清红外摄像机400万像素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AI智能高速球摄像机400万像素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球机支架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55寸监视器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监视器支架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立杆</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交换机</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光纤收发器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网络存储主机100（36盘位）</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硬盘16T</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块</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辅材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网络整改</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路</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人工费用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移动拒马防撞护栏</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米</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项目集成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20、岭头学校</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高清红外摄像机400万像素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33</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AI智能高速球摄像机400万像素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33</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球机支架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55寸监视器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监视器支架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立杆</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交换机</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光纤收发器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网络存储主机100（36盘位）</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硬盘16T</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块</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36</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网络整改</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路</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辅材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人工费用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移动拒马防撞护栏</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米</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项目集成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21、加钗八一爱民小学</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高清红外摄像机400万像素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AI智能高速球摄像机400万像素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球机支架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55寸监视器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监视器支架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立杆</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交换机</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光纤收发器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网络存储主机64（16盘位）</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硬盘16T</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块</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辅材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网络整改</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路</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人工费用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移动拒马防撞护栏</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米</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项目集成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22、里龙教学点</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高清红外摄像机400万像素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AI智能高速球摄像机400万像素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球机支架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55寸监视器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监视器支架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立杆</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交换机</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光纤收发器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网络存储主机32（16盘位）</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硬盘16T</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块</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辅材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网络整改</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路</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人工费用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移动拒马防撞护栏</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米</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项目集成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23、高田小学</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高清红外摄像机400万像素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AI智能高速球摄像机400万像素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球机支架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55寸监视器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监视器支架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立杆</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交换机</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光纤收发器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网络存储主机64（16盘位）</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硬盘16T</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块</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辅材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网络整改</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路</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人工费用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移动拒马防撞护栏</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米</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项目集成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24、罗解教学点</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高清红外摄像机400万像素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AI智能高速球摄像机400万像素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球机支架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55寸监视器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监视器支架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立杆</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交换机</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光纤收发器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网络存储主机32（16盘位）</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硬盘16T</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块</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辅材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网络整改</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路</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人工费用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项目集成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25、那柏小学</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高清红外摄像机400万像素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AI智能高速球摄像机400万像素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球机支架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55寸监视器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监视器支架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立杆</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交换机</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光纤收发器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网络存储主机32（16盘位）</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硬盘16T</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块</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辅材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网络整改</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路</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人工费用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移动拒马防撞护栏</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米</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项目集成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26、响土教学点</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高清红外摄像机400万像素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AI智能高速球摄像机400万像素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球机支架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55寸监视器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监视器支架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立杆</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交换机</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光纤收发器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网络存储主机32（16盘位）</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硬盘16T</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块</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辅材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网络整改</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路</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人工费用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移动拒马防撞护栏</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米</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项目集成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27、南万小学</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高清红外摄像机400万像素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AI智能高速球摄像机400万像素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球机支架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55寸监视器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监视器支架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立杆</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交换机</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光纤收发器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网络存储主机32（16盘位）</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硬盘16T</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块</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辅材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网络整改</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路</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人工费用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移动拒马防撞护栏</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米</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项目集成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0" w:hRule="atLeast"/>
        </w:trPr>
        <w:tc>
          <w:tcPr>
            <w:tcW w:w="148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28、什统教学点</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高清红外摄像机400万像素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AI智能高速球摄像机400万像素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球机支架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55寸监视器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监视器支架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立杆</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交换机</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光纤收发器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网络存储主机32（16盘位）</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硬盘16T</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块</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辅材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网络整改</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路</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人工费用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移动拒马防撞护栏</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米</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项目集成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29、长兴教学点</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高清红外摄像机400万像素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AI智能高速球摄像机400万像素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球机支架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55寸监视器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监视器支架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立杆</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交换机</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光纤收发器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网络存储主机32（16盘位）</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硬盘16T</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块</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辅材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网络整改</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路</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人工费用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移动拒马防撞护栏</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米</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项目集成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30、长沙教学点</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高清红外摄像机400万像素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AI智能高速球摄像机400万像素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球机支架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55寸监视器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监视器支架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立杆</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交换机</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光纤收发器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网络存储主机32（16盘位）</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硬盘16T</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块</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辅材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网络整改</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路</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人工费用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移动拒马防撞护栏</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米</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项目集成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31、松涛小学</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高清红外摄像机400万像素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19</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AI智能高速球摄像机400万像素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19</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球机支架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55寸监视器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监视器支架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立杆</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交换机</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光纤收发器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网络存储主机64（16盘位）</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硬盘16T</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块</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辅材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网络整改</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路</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人工费用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移动拒马防撞护栏</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米</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项目集成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32、加章小学</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高清红外摄像机400万像素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AI智能高速球摄像机400万像素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球机支架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55寸监视器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监视器支架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立杆</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交换机</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光纤收发器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网络存储主机32（16盘位）</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硬盘16T</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块</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辅材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网络整改</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路</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人工费用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项目集成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33、南久小学</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高清红外摄像机400万像素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AI智能高速球摄像机400万像素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球机支架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55寸监视器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监视器支架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立杆</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交换机</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光纤收发器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网络存储主机32（16盘位）</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硬盘16T</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块</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辅材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网络整改</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路</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人工费用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移动拒马防撞护栏</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米</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项目集成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34、新仔教学点</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高清红外摄像机400万像素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AI智能高速球摄像机400万像素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球机支架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55寸监视器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监视器支架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立杆</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交换机</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光纤收发器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网络存储主机32（16盘位）</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硬盘16T</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块</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辅材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网络整改</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路</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人工费用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移动拒马防撞护栏</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米</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项目集成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35、中平教学点</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高清红外摄像机400万像素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AI智能高速球摄像机400万像素</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球机支架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55寸监视器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监视器支架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立杆</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交换机</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光纤收发器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网络存储主机32（16盘位）</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硬盘16T</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块</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辅材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网络整改</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路</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人工费用</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移动拒马防撞护栏</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米</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16</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项目集成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36、太平学校</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硬盘16T</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kern w:val="0"/>
                <w:sz w:val="18"/>
                <w:szCs w:val="18"/>
                <w:highlight w:val="none"/>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项目集成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37、大墩小学</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硬盘16T</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kern w:val="0"/>
                <w:sz w:val="18"/>
                <w:szCs w:val="18"/>
                <w:highlight w:val="none"/>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项目集成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38、红毛希望小学</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网络存储主机32（16盘位）</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硬盘16T</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移动拒马防撞护栏</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米</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4</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项目集成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39、大平小学</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硬盘16T</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移动拒马防撞护栏</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米</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项目集成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40、吊罗山中心小学</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硬盘16T</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移动拒马防撞护栏</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米</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项目集成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41、加钗中心小学</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硬盘16T</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移动拒马防撞护栏</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米</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auto"/>
              <w:jc w:val="center"/>
              <w:rPr>
                <w:rFonts w:hint="eastAsia" w:ascii="宋体" w:hAnsi="宋体" w:eastAsia="宋体" w:cs="宋体"/>
                <w:b/>
                <w:bCs/>
                <w:i w:val="0"/>
                <w:iCs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default" w:ascii="宋体" w:hAnsi="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3</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项目集成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42、上安乡中心小学</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移动拒马防撞护栏</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米</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kern w:val="0"/>
                <w:sz w:val="18"/>
                <w:szCs w:val="18"/>
                <w:highlight w:val="none"/>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项目集成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43、大丰学校</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移动拒马防撞护栏</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米</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5（2个）</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kern w:val="0"/>
                <w:sz w:val="18"/>
                <w:szCs w:val="18"/>
                <w:highlight w:val="none"/>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项目集成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44、南吉教学点</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移动拒马防撞护栏</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米</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kern w:val="0"/>
                <w:sz w:val="18"/>
                <w:szCs w:val="18"/>
                <w:highlight w:val="none"/>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项目集成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45、中平学校</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移动拒马防撞护栏</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米</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kern w:val="0"/>
                <w:sz w:val="18"/>
                <w:szCs w:val="18"/>
                <w:highlight w:val="none"/>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项目集成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46、大坡教学点</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移动拒马防撞护栏</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米</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kern w:val="0"/>
                <w:sz w:val="18"/>
                <w:szCs w:val="18"/>
                <w:highlight w:val="none"/>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2</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项目集成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47、乘坡中学</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移动拒马防撞护栏</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米</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8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b/>
                <w:bCs/>
                <w:i w:val="0"/>
                <w:iCs w:val="0"/>
                <w:color w:val="auto"/>
                <w:kern w:val="0"/>
                <w:sz w:val="18"/>
                <w:szCs w:val="18"/>
                <w:highlight w:val="none"/>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项目集成</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项</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kern w:val="2"/>
                <w:sz w:val="18"/>
                <w:szCs w:val="18"/>
                <w:highlight w:val="none"/>
                <w:u w:val="none"/>
                <w:lang w:val="en-US" w:eastAsia="zh-CN" w:bidi="ar-SA"/>
              </w:rPr>
            </w:pPr>
          </w:p>
        </w:tc>
      </w:tr>
    </w:tbl>
    <w:p>
      <w:pPr>
        <w:pStyle w:val="2"/>
        <w:rPr>
          <w:color w:val="auto"/>
          <w:highlight w:val="none"/>
        </w:rPr>
      </w:pPr>
    </w:p>
    <w:p>
      <w:pPr>
        <w:numPr>
          <w:ilvl w:val="0"/>
          <w:numId w:val="1"/>
        </w:numPr>
        <w:spacing w:line="360" w:lineRule="auto"/>
        <w:ind w:left="964" w:hanging="482"/>
        <w:rPr>
          <w:b/>
          <w:color w:val="auto"/>
          <w:sz w:val="24"/>
          <w:highlight w:val="none"/>
        </w:rPr>
      </w:pPr>
      <w:r>
        <w:rPr>
          <w:rFonts w:hint="eastAsia"/>
          <w:b/>
          <w:color w:val="auto"/>
          <w:sz w:val="24"/>
          <w:highlight w:val="none"/>
          <w:lang w:val="en-US" w:eastAsia="zh-CN"/>
        </w:rPr>
        <w:t>商务要求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（一）设备的安装调试、试运行和验收标准要求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本项目为交付设备承包项目，成交供应商承包及负责采购文件对成交供应商要求的一切事宜及责任。包括项目产品供货、配套设备提供、运输、保管、安装、调试、验收、检测、培训及相关服务等以及投标人认为必要的其他货物、材料、工程、服务；投标人应自行增加系统正常、合法、安全运行及使用所必需但采购文件没有包含的所有设备、版权、专利等一切费用，如果投标人在中标并签署合同后，在供货、安装、调试、培训等工作中出现货物的任何遗漏，均由成交供应商免费提供，买方将不再支付任何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2.成交供应商在本项目中提供的像素≥400万网络摄像机、硬盘等设备后，加上各学校原有的视频监控设备，最终全部必须支持至少90天的录像存储记录，所需设施设备由成交供应商提供并解决。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中标采购设备到达目的地，经安装、调试、技术培训后，成交供应商向业主提请设备验收。业主在接到投标人通知后派人到现场负责组织验收，业主按成交供应商提供的仪器设备清单及检验产品合格证、使用说明书和其它的技术资料。如有进口设备，除提供以上资料外，须会同海关、商检部门共同负责开箱检验、检查仪器设备及随机附件是否全新、完整无损，技术资料与图纸是否与业主的要求相符，可以通过逐一使用主要功能、对比、抽样检测、委托检测等方法对设备的技术指标和性能进行检测验收。所有指标应与投标文件一致或在采购文件允许的范围内并符合响应的国家或行业标准以及符合用户的使用要求。如有损坏、缺件、翻新等情况，应按款额赔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4.所有产品经安装、调试、技术培训、验收合格后，双方书面签字验收。验收标准除采购要求的货物技术参数外，可溯源到国家相关标准，包含但不限于《GB/T 28181-2022公共安全视频监控联网系统信息传输、交换、控制技术要求》。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（二）技术资料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5.投标人应保证所提交给招标人和招标代理机构的资料和数据是真实的，因提交的资料和数据不真实所引起的责任由投标人自行承担。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（三）工具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6.投标人提供产品设备所带专用工具清单，并标明其种类、用途和生产厂，并在货物到货时同时提供给业主，此价格应包含在投标价中。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（四）备件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7.投标人可提供一个在正常情况使用下，保质期满后一年内可保证仪器设备正常使用的备件和材料清单，并标明其种类、生产厂、单价和总价，业主有权决定全部或有选择的购买。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（五）易损件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8.投标人可提供一个易损、易耗件清单，并标明用途、生产厂、常规使用寿命和单价。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（六）质量保质期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本项目的质保期最低为三年，中标商出具针对本项目该产品的售后服务承诺函，厂家出具针对本项目该产品的售后服务承诺函，并将其作为合同附件。质保期从整体验收合格之日起计算，免费上门服务。（采购清单中免费保修期有特殊要求的按照采购清单中的为准），若厂家有超过期限免费保修期的按厂家方案执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（七）售后服务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供货方中标后需在项目所在地具有相应的技术支持及售后服务网点，成交供应商必须根据用户要求负责进行售后技术支持和服务，确保设备使用的用户能够得到及时优质的售后服务。供应商应对所投货物提供3个月的包换期，不少于3年（验收合格之日起计）免费维修服务和终生维修、保养服务（如供应商和生产厂家提供质保期3年以上的以供应商和厂家同时提供针对本项目该产品的售后服务承诺函为准）。在保质期以内，供应商应对由于设计、技术或材料的缺陷而造成货物的任何缺陷或故障负责。成交供应商在接到业主的维修通知后需及时响应，提供上门保修，派出有能力的维修人员赶到业主现场提出解决问题、排除故障的方案,并及时处理，对于非用户人为原因而出现产品质量及安装问题，中标人负责在7天内免费排除缺陷，修理或更换相关货物，所负责包修、包换或包退由此产生的一切费用均由中标人承担。在保质期满后，投标人应保证以合理的价格提供备件和保养服务，当发生故障时，投标人应按保质期内同样的要求进行维修处理，合理收取维修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（八）项目要求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11.除磋商文件明确外，未经业主同意，成交供应商不得以任何方式转包或分包本项目。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（九）签订合同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12.成交供应商在收到《中标通知书》</w:t>
      </w:r>
      <w:r>
        <w:rPr>
          <w:rFonts w:hint="eastAsia" w:ascii="宋体" w:hAnsi="宋体" w:eastAsia="宋体" w:cs="宋体"/>
          <w:color w:val="auto"/>
          <w:sz w:val="24"/>
          <w:szCs w:val="24"/>
          <w:highlight w:val="none"/>
          <w:lang w:val="en-US" w:eastAsia="zh-CN"/>
        </w:rPr>
        <w:t>30日</w:t>
      </w:r>
      <w:r>
        <w:rPr>
          <w:rFonts w:hint="eastAsia" w:ascii="宋体" w:hAnsi="宋体" w:eastAsia="宋体" w:cs="宋体"/>
          <w:color w:val="auto"/>
          <w:sz w:val="24"/>
          <w:szCs w:val="24"/>
          <w:highlight w:val="none"/>
          <w:lang w:val="en-US" w:eastAsia="zh-CN"/>
        </w:rPr>
        <w:t>内与业主签订合同。未尽事宜由双方商议解决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（十）其它注意事项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13.提供正常系统维护和免费提供软件系统升级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14.成交供应商每年不少于两次巡检和设备清洁保养；中标人应根据采购人要求，提供现场免费使用及维护培训。</w:t>
      </w:r>
    </w:p>
    <w:p>
      <w:pPr>
        <w:numPr>
          <w:ilvl w:val="0"/>
          <w:numId w:val="1"/>
        </w:numPr>
        <w:spacing w:line="360" w:lineRule="auto"/>
        <w:ind w:left="964" w:hanging="482"/>
        <w:rPr>
          <w:b/>
          <w:color w:val="auto"/>
          <w:sz w:val="24"/>
          <w:highlight w:val="none"/>
        </w:rPr>
      </w:pPr>
      <w:r>
        <w:rPr>
          <w:rFonts w:hint="eastAsia"/>
          <w:b/>
          <w:color w:val="auto"/>
          <w:sz w:val="24"/>
          <w:highlight w:val="none"/>
          <w:lang w:val="en-US" w:eastAsia="zh-CN"/>
        </w:rPr>
        <w:t>综合说明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color w:val="auto"/>
          <w:sz w:val="24"/>
          <w:highlight w:val="none"/>
          <w:lang w:val="en-US" w:eastAsia="zh-CN"/>
        </w:rPr>
        <w:t>磋商</w:t>
      </w:r>
      <w:r>
        <w:rPr>
          <w:color w:val="auto"/>
          <w:sz w:val="24"/>
          <w:highlight w:val="none"/>
        </w:rPr>
        <w:t>文件对货物品牌和型号的要求仅作为参考指标</w:t>
      </w:r>
      <w:r>
        <w:rPr>
          <w:rFonts w:hint="eastAsia"/>
          <w:color w:val="auto"/>
          <w:sz w:val="24"/>
          <w:highlight w:val="none"/>
          <w:lang w:eastAsia="zh-CN"/>
        </w:rPr>
        <w:t>，</w:t>
      </w:r>
      <w:r>
        <w:rPr>
          <w:rFonts w:hint="eastAsia"/>
          <w:color w:val="auto"/>
          <w:sz w:val="24"/>
          <w:highlight w:val="none"/>
        </w:rPr>
        <w:t>供应商所投产品应能够至少达到磋商文件的要求，同时必须明确所投产品的品牌、型</w:t>
      </w:r>
      <w:r>
        <w:rPr>
          <w:rFonts w:hint="eastAsia"/>
          <w:color w:val="auto"/>
          <w:sz w:val="24"/>
          <w:highlight w:val="none"/>
        </w:rPr>
        <w:t>号、</w:t>
      </w:r>
      <w:r>
        <w:rPr>
          <w:rFonts w:hint="eastAsia"/>
          <w:color w:val="auto"/>
          <w:sz w:val="24"/>
          <w:highlight w:val="none"/>
        </w:rPr>
        <w:t>规格和外形、尺寸、安装尺寸、重量及一些必须说明的技术参数，并提供详细的技术参数、性能说明书、产品图片等资料</w:t>
      </w:r>
      <w:r>
        <w:rPr>
          <w:rFonts w:hint="eastAsia" w:ascii="宋体" w:hAnsi="宋体" w:eastAsia="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r>
        <w:rPr>
          <w:rFonts w:hint="eastAsia"/>
          <w:color w:val="auto"/>
          <w:sz w:val="24"/>
          <w:highlight w:val="none"/>
        </w:rPr>
        <w:t>磋商报价是包括全部货物、运输、辅助材料、安装、调试、国家有关部检测、强制性认证等费用，以及人工、机械、运输、仓储、保险、运费、各种税费、劳保、专利技术及质保期间一切费用的总报价</w:t>
      </w:r>
      <w:r>
        <w:rPr>
          <w:rFonts w:hint="eastAsia" w:ascii="宋体" w:hAnsi="宋体" w:eastAsia="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提供相同品牌产品且通过资格审查、符合性审查的不同供应商参加同一合同项下磋商的，按一家供应商计算，评审后得分最高的同品牌供应商获得成交人推荐资格；评审得分相同的，最后报价最低的同品牌供应商获得成交人推荐资格；其他同品牌供应商不作为成交候选人。多家公司提供的核心产品品牌相同的，按本条款规定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r>
        <w:rPr>
          <w:rFonts w:hint="eastAsia"/>
          <w:color w:val="auto"/>
          <w:sz w:val="24"/>
          <w:highlight w:val="none"/>
        </w:rPr>
        <w:t>供应商必须响应磋商文件中提出的全部技术规格与要求。如果对其中某些条款不响应时，应在响应文件中逐条列出</w:t>
      </w:r>
      <w:r>
        <w:rPr>
          <w:rFonts w:hint="eastAsia" w:ascii="宋体" w:hAnsi="宋体" w:eastAsia="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所有设备和附（配）件应符合其规定的性能，无瑕疵和缺陷，质量为合格产品，同时有明确的生产制造厂商。交货时必须原包装现场拆封验收。供应商对质量问题负责包退、包换和包修，因此发生的费用由供应商负责。</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6.供应商必须对本项目内所有采购标的进行响应，不允许只对其中部分标的进行响应，否则视为无效投标。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highlight w:val="none"/>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rPr>
        <w:t>凡涉及磋商文件的补充说明和修改，均以采购代理机构在海南省政府采购网发布的公告为准</w:t>
      </w:r>
      <w:r>
        <w:rPr>
          <w:rFonts w:hint="eastAsia" w:ascii="宋体" w:hAnsi="宋体" w:cs="宋体"/>
          <w:color w:val="auto"/>
          <w:sz w:val="24"/>
          <w:szCs w:val="24"/>
          <w:highlight w:val="none"/>
          <w:lang w:val="en-US" w:eastAsia="zh-CN"/>
        </w:rPr>
        <w:t>。</w:t>
      </w:r>
    </w:p>
    <w:bookmarkEnd w:id="5"/>
    <w:sectPr>
      <w:pgSz w:w="11906" w:h="16838"/>
      <w:pgMar w:top="1440" w:right="134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E"/>
    <w:multiLevelType w:val="multilevel"/>
    <w:tmpl w:val="0000000E"/>
    <w:lvl w:ilvl="0" w:tentative="0">
      <w:start w:val="1"/>
      <w:numFmt w:val="japaneseCounting"/>
      <w:lvlText w:val="%1、"/>
      <w:lvlJc w:val="left"/>
      <w:pPr>
        <w:tabs>
          <w:tab w:val="left" w:pos="960"/>
        </w:tabs>
        <w:ind w:left="960" w:hanging="480"/>
      </w:pPr>
      <w:rPr>
        <w:rFonts w:hint="default"/>
        <w:lang w:val="en-US"/>
      </w:rPr>
    </w:lvl>
    <w:lvl w:ilvl="1" w:tentative="0">
      <w:start w:val="1000"/>
      <w:numFmt w:val="upperRoman"/>
      <w:lvlText w:val="%2、"/>
      <w:lvlJc w:val="left"/>
      <w:pPr>
        <w:tabs>
          <w:tab w:val="left" w:pos="1620"/>
        </w:tabs>
        <w:ind w:left="1620" w:hanging="720"/>
      </w:pPr>
      <w:rPr>
        <w:rFonts w:hint="default" w:ascii="宋体" w:hAnsi="宋体" w:cs="宋体"/>
      </w:rPr>
    </w:lvl>
    <w:lvl w:ilvl="2" w:tentative="0">
      <w:start w:val="1"/>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1YThkZTg3MjliOWI0ZTJlZGY5NjE3NDYwZDBmYWQifQ=="/>
  </w:docVars>
  <w:rsids>
    <w:rsidRoot w:val="00000000"/>
    <w:rsid w:val="0BE61950"/>
    <w:rsid w:val="39C22218"/>
    <w:rsid w:val="610A4515"/>
    <w:rsid w:val="6FAE057E"/>
    <w:rsid w:val="73204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unhideWhenUsed/>
    <w:qFormat/>
    <w:uiPriority w:val="99"/>
    <w:pPr>
      <w:adjustRightInd w:val="0"/>
      <w:ind w:firstLine="420"/>
      <w:jc w:val="left"/>
      <w:textAlignment w:val="baseline"/>
    </w:pPr>
    <w:rPr>
      <w:rFonts w:eastAsia="楷体_GB2312"/>
      <w:sz w:val="24"/>
      <w:szCs w:val="20"/>
    </w:rPr>
  </w:style>
  <w:style w:type="paragraph" w:styleId="3">
    <w:name w:val="annotation text"/>
    <w:basedOn w:val="1"/>
    <w:unhideWhenUsed/>
    <w:qFormat/>
    <w:uiPriority w:val="99"/>
    <w:pPr>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11372</Words>
  <Characters>13128</Characters>
  <Lines>0</Lines>
  <Paragraphs>0</Paragraphs>
  <TotalTime>0</TotalTime>
  <ScaleCrop>false</ScaleCrop>
  <LinksUpToDate>false</LinksUpToDate>
  <CharactersWithSpaces>13310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2024-07-04T06:42:00Z</dcterms:created>
  <dc:creator>Administrator</dc:creator>
  <cp:lastModifiedBy>菲</cp:lastModifiedBy>
  <dcterms:modified xsi:type="dcterms:W3CDTF">2024-07-08T00:18:57Z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19CD3EDAE52042608C356572051CBAE5_12</vt:lpwstr>
  </property>
</Properties>
</file>