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bidi w:val="0"/>
        <w:jc w:val="center"/>
        <w:rPr>
          <w:rFonts w:hint="eastAsia" w:ascii="宋体" w:hAnsi="宋体" w:eastAsia="宋体" w:cs="宋体"/>
          <w:b/>
          <w:bCs w:val="0"/>
          <w:color w:val="auto"/>
          <w:sz w:val="44"/>
          <w:szCs w:val="44"/>
          <w:lang w:val="en-US" w:eastAsia="zh-CN"/>
        </w:rPr>
      </w:pPr>
      <w:r>
        <w:rPr>
          <w:rFonts w:hint="eastAsia" w:ascii="宋体" w:hAnsi="宋体" w:eastAsia="宋体" w:cs="宋体"/>
          <w:b/>
          <w:bCs w:val="0"/>
          <w:sz w:val="44"/>
          <w:szCs w:val="44"/>
        </w:rPr>
        <w:t xml:space="preserve"> </w:t>
      </w:r>
      <w:bookmarkStart w:id="0" w:name="_Toc8088"/>
      <w:r>
        <w:rPr>
          <w:rFonts w:hint="eastAsia" w:ascii="宋体" w:hAnsi="宋体" w:eastAsia="宋体" w:cs="宋体"/>
          <w:b/>
          <w:bCs/>
          <w:lang w:val="en-US" w:eastAsia="zh-CN"/>
        </w:rPr>
        <w:t>采购</w:t>
      </w:r>
      <w:r>
        <w:rPr>
          <w:rFonts w:hint="eastAsia" w:ascii="宋体" w:hAnsi="宋体" w:eastAsia="宋体" w:cs="宋体"/>
          <w:b/>
          <w:bCs w:val="0"/>
          <w:color w:val="auto"/>
          <w:sz w:val="44"/>
          <w:szCs w:val="44"/>
          <w:lang w:val="en-US" w:eastAsia="zh-CN"/>
        </w:rPr>
        <w:t>需求</w:t>
      </w:r>
      <w:bookmarkEnd w:id="0"/>
    </w:p>
    <w:p>
      <w:pPr>
        <w:shd w:val="solid" w:color="FFFFFF" w:fill="auto"/>
        <w:autoSpaceDN w:val="0"/>
        <w:spacing w:line="560" w:lineRule="exact"/>
        <w:ind w:firstLine="480" w:firstLineChars="200"/>
        <w:rPr>
          <w:rFonts w:hint="default" w:ascii="宋体" w:hAnsi="宋体" w:eastAsia="宋体" w:cs="宋体"/>
          <w:color w:val="auto"/>
          <w:sz w:val="24"/>
          <w:szCs w:val="24"/>
          <w:highlight w:val="yellow"/>
          <w:shd w:val="clear" w:color="auto" w:fill="FFFFFF"/>
          <w:lang w:val="en-US" w:eastAsia="zh-CN"/>
        </w:rPr>
      </w:pPr>
      <w:r>
        <w:rPr>
          <w:rFonts w:hint="eastAsia" w:ascii="宋体" w:hAnsi="宋体" w:eastAsia="宋体" w:cs="宋体"/>
          <w:sz w:val="24"/>
          <w:szCs w:val="24"/>
          <w:shd w:val="clear" w:color="auto" w:fill="FFFFFF"/>
        </w:rPr>
        <w:t>1、项目编号：</w:t>
      </w:r>
      <w:r>
        <w:rPr>
          <w:rFonts w:hint="eastAsia" w:ascii="宋体" w:hAnsi="宋体" w:eastAsia="宋体" w:cs="宋体"/>
          <w:sz w:val="24"/>
          <w:szCs w:val="24"/>
          <w:highlight w:val="none"/>
          <w:shd w:val="clear" w:color="auto" w:fill="FFFFFF"/>
          <w:lang w:eastAsia="zh-CN"/>
        </w:rPr>
        <w:t>ZJGJHN-2024-019</w:t>
      </w:r>
      <w:r>
        <w:rPr>
          <w:rFonts w:hint="eastAsia" w:ascii="宋体" w:hAnsi="宋体" w:cs="宋体"/>
          <w:sz w:val="24"/>
          <w:szCs w:val="24"/>
          <w:highlight w:val="none"/>
          <w:shd w:val="clear" w:color="auto" w:fill="FFFFFF"/>
          <w:lang w:val="en-US" w:eastAsia="zh-CN"/>
        </w:rPr>
        <w:t>RR</w:t>
      </w:r>
    </w:p>
    <w:p>
      <w:pPr>
        <w:shd w:val="solid" w:color="FFFFFF" w:fill="auto"/>
        <w:autoSpaceDN w:val="0"/>
        <w:spacing w:line="480" w:lineRule="auto"/>
        <w:ind w:right="199" w:rightChars="95" w:firstLine="480" w:firstLineChars="200"/>
        <w:rPr>
          <w:rFonts w:hint="default"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rPr>
        <w:t>2、项目名称：</w:t>
      </w:r>
      <w:r>
        <w:rPr>
          <w:rFonts w:hint="eastAsia" w:ascii="宋体" w:hAnsi="宋体" w:cs="宋体"/>
          <w:sz w:val="24"/>
          <w:szCs w:val="24"/>
          <w:shd w:val="clear" w:color="auto" w:fill="FFFFFF"/>
          <w:lang w:eastAsia="zh-CN"/>
        </w:rPr>
        <w:t>海南医学院第二附属医院2024年医疗责任保险</w:t>
      </w:r>
      <w:r>
        <w:rPr>
          <w:rFonts w:hint="eastAsia" w:ascii="宋体" w:hAnsi="宋体" w:cs="宋体"/>
          <w:sz w:val="24"/>
          <w:szCs w:val="24"/>
          <w:shd w:val="clear" w:color="auto" w:fill="FFFFFF"/>
          <w:lang w:val="en-US" w:eastAsia="zh-CN"/>
        </w:rPr>
        <w:t>(第三次采购)</w:t>
      </w:r>
      <w:bookmarkStart w:id="1" w:name="_GoBack"/>
      <w:bookmarkEnd w:id="1"/>
    </w:p>
    <w:p>
      <w:pPr>
        <w:keepNext w:val="0"/>
        <w:keepLines w:val="0"/>
        <w:pageBreakBefore w:val="0"/>
        <w:numPr>
          <w:ilvl w:val="0"/>
          <w:numId w:val="2"/>
        </w:numPr>
        <w:kinsoku/>
        <w:wordWrap/>
        <w:overflowPunct/>
        <w:topLinePunct w:val="0"/>
        <w:autoSpaceDE/>
        <w:autoSpaceDN/>
        <w:bidi w:val="0"/>
        <w:adjustRightInd/>
        <w:snapToGrid/>
        <w:spacing w:line="40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医疗责任保险</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w:t>
      </w:r>
      <w:r>
        <w:rPr>
          <w:rFonts w:hint="eastAsia" w:ascii="宋体" w:hAnsi="宋体" w:eastAsia="宋体" w:cs="宋体"/>
          <w:b/>
          <w:bCs/>
          <w:sz w:val="24"/>
          <w:szCs w:val="24"/>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海南医学院第二附属医院（简称“海医二院”）始建于1952年，是一所集医疗、教学、科研、康复及预防保健为一体的大型综合性三级甲等医院。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医院由主院区、东湖分院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乌石分院</w:t>
      </w:r>
      <w:r>
        <w:rPr>
          <w:rFonts w:hint="eastAsia" w:ascii="宋体" w:hAnsi="宋体" w:eastAsia="宋体" w:cs="宋体"/>
          <w:color w:val="auto"/>
          <w:sz w:val="24"/>
          <w:szCs w:val="24"/>
          <w:lang w:val="en-US" w:eastAsia="zh-CN"/>
        </w:rPr>
        <w:t>以及海南省公共卫生临床中心</w:t>
      </w:r>
      <w:r>
        <w:rPr>
          <w:rFonts w:hint="eastAsia" w:ascii="宋体" w:hAnsi="宋体" w:eastAsia="宋体" w:cs="宋体"/>
          <w:color w:val="auto"/>
          <w:sz w:val="24"/>
          <w:szCs w:val="24"/>
        </w:rPr>
        <w:t>一院</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址组成，占地面积</w:t>
      </w:r>
      <w:r>
        <w:rPr>
          <w:rFonts w:hint="eastAsia" w:ascii="宋体" w:hAnsi="宋体" w:eastAsia="宋体" w:cs="宋体"/>
          <w:color w:val="auto"/>
          <w:sz w:val="24"/>
          <w:szCs w:val="24"/>
          <w:lang w:val="en-US" w:eastAsia="zh-CN"/>
        </w:rPr>
        <w:t>843.7</w:t>
      </w:r>
      <w:r>
        <w:rPr>
          <w:rFonts w:hint="eastAsia" w:ascii="宋体" w:hAnsi="宋体" w:eastAsia="宋体" w:cs="宋体"/>
          <w:color w:val="auto"/>
          <w:sz w:val="24"/>
          <w:szCs w:val="24"/>
        </w:rPr>
        <w:t>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主院区环境优美，树木葱郁，门诊和住院大厅宽敞整洁。医院编制床位</w:t>
      </w:r>
      <w:r>
        <w:rPr>
          <w:rFonts w:hint="eastAsia" w:ascii="宋体" w:hAnsi="宋体" w:cs="宋体"/>
          <w:color w:val="auto"/>
          <w:sz w:val="24"/>
          <w:szCs w:val="24"/>
          <w:lang w:val="en-US" w:eastAsia="zh-CN"/>
        </w:rPr>
        <w:t>2300</w:t>
      </w:r>
      <w:r>
        <w:rPr>
          <w:rFonts w:hint="eastAsia" w:ascii="宋体" w:hAnsi="宋体" w:eastAsia="宋体" w:cs="宋体"/>
          <w:color w:val="auto"/>
          <w:sz w:val="24"/>
          <w:szCs w:val="24"/>
        </w:rPr>
        <w:t>张，现有职工3114名，拥有508名副高及以上专业技术职称人员、992名中级职称人员，1236名初级职称人员，其中博硕士研究生532人、本科生1839人。国务院特殊津贴专家3人、国家新世纪百千万人才工程1人、国家卫生部有突出贡献的中青年专家1人、海南省“515”人才工程8人、省优专家4人、高层次人才：B类1人、C类6人、D类65人、其它类321人。医院移植医学研究团队、心血管病外科治疗医学研究团队获批海南省“双百”人才团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医院以“一部、两所、四院、四中心”发展战略，深入推进学科群打造，目前拥有</w:t>
      </w:r>
      <w:r>
        <w:rPr>
          <w:rFonts w:hint="eastAsia" w:ascii="宋体" w:hAnsi="宋体" w:eastAsia="宋体" w:cs="宋体"/>
          <w:color w:val="auto"/>
          <w:sz w:val="24"/>
          <w:szCs w:val="24"/>
          <w:lang w:val="en-US" w:eastAsia="zh-CN"/>
        </w:rPr>
        <w:t>3个国家级重点专科（心血管外科、重症医学科、胃肠外科），3个国家级医学分中心（国家感染性疾病临床研究中心分中心、国家热带病研究中心海南分中心和国家心血管疾病临床医学研究中心分中心），10个省级重点学科（感染性疾病科、器官移植科、消化内科、普通外科、肝胆外科、心血管内科、心脏大血管外科、热带病科、重症医学科和麻醉科），2个省级医学中心</w:t>
      </w:r>
      <w:r>
        <w:rPr>
          <w:rFonts w:hint="eastAsia" w:ascii="宋体" w:hAnsi="宋体" w:eastAsia="宋体" w:cs="宋体"/>
          <w:color w:val="auto"/>
          <w:sz w:val="24"/>
          <w:szCs w:val="24"/>
        </w:rPr>
        <w:t>（海南省危重孕产妇救治中心、海南省危重新生儿救治中心）</w:t>
      </w:r>
      <w:r>
        <w:rPr>
          <w:rFonts w:hint="eastAsia" w:ascii="宋体" w:hAnsi="宋体" w:eastAsia="宋体" w:cs="宋体"/>
          <w:color w:val="auto"/>
          <w:sz w:val="24"/>
          <w:szCs w:val="24"/>
          <w:lang w:val="en-US" w:eastAsia="zh-CN"/>
        </w:rPr>
        <w:t>，3个省级临床医学研究中心</w:t>
      </w:r>
      <w:r>
        <w:rPr>
          <w:rFonts w:hint="eastAsia" w:ascii="宋体" w:hAnsi="宋体" w:eastAsia="宋体" w:cs="宋体"/>
          <w:color w:val="auto"/>
          <w:sz w:val="24"/>
          <w:szCs w:val="24"/>
        </w:rPr>
        <w:t>（海南省急危重症</w:t>
      </w:r>
      <w:r>
        <w:rPr>
          <w:rFonts w:hint="eastAsia" w:ascii="宋体" w:hAnsi="宋体" w:eastAsia="宋体" w:cs="宋体"/>
          <w:color w:val="auto"/>
          <w:sz w:val="24"/>
          <w:szCs w:val="24"/>
          <w:lang w:val="en-US" w:eastAsia="zh-CN"/>
        </w:rPr>
        <w:t>临床</w:t>
      </w:r>
      <w:r>
        <w:rPr>
          <w:rFonts w:hint="eastAsia" w:ascii="宋体" w:hAnsi="宋体" w:eastAsia="宋体" w:cs="宋体"/>
          <w:color w:val="auto"/>
          <w:sz w:val="24"/>
          <w:szCs w:val="24"/>
        </w:rPr>
        <w:t>医学研究中心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海南省热带疾病临床医学研究中心、海南省泌尿系统疾病临床医学研究中心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，1个国家卫健委重点实验室（国家卫生健康委员会热带病防治重点实验室），2个研究所</w:t>
      </w:r>
      <w:r>
        <w:rPr>
          <w:rFonts w:hint="eastAsia" w:ascii="宋体" w:hAnsi="宋体" w:eastAsia="宋体" w:cs="宋体"/>
          <w:color w:val="auto"/>
          <w:sz w:val="24"/>
          <w:szCs w:val="24"/>
        </w:rPr>
        <w:t>（移植医学研究所、肾脏病研究所）</w:t>
      </w:r>
      <w:r>
        <w:rPr>
          <w:rFonts w:hint="eastAsia" w:ascii="宋体" w:hAnsi="宋体" w:eastAsia="宋体" w:cs="宋体"/>
          <w:color w:val="auto"/>
          <w:sz w:val="24"/>
          <w:szCs w:val="24"/>
          <w:lang w:val="en-US" w:eastAsia="zh-CN"/>
        </w:rPr>
        <w:t>，2个院士创新平台（于金明院士团队创新中心、樊代明院士团队创新中心）。</w:t>
      </w:r>
      <w:r>
        <w:rPr>
          <w:rFonts w:hint="eastAsia" w:ascii="宋体" w:hAnsi="宋体" w:eastAsia="宋体" w:cs="宋体"/>
          <w:color w:val="auto"/>
          <w:sz w:val="24"/>
          <w:szCs w:val="24"/>
        </w:rPr>
        <w:t>医院拥有全球领先的磁共振引导直线加速器1台、PET/MR1台、3.0T/1.5T磁共振4台、超高端256排宝石CT、320排宽体探测器CT及双源CT等共11台CT、双板悬吊DSA及单板DSA共3台，ECMO4台、高端心脏、四维超声等大型高新尖端医疗设备，单价50万以上设备近300台；医院医疗特色鲜明，五大实体器官移植及其联合移植、心脏大血管疾病综合救治、急危重症抢救、神经系统疾病综合治疗、肿瘤高端诊断与治疗、热带病与耐多药结核病诊断与治疗、外科快速康复治疗</w:t>
      </w:r>
      <w:r>
        <w:rPr>
          <w:rFonts w:hint="eastAsia" w:ascii="宋体" w:hAnsi="宋体" w:eastAsia="宋体" w:cs="宋体"/>
          <w:color w:val="auto"/>
          <w:sz w:val="24"/>
          <w:szCs w:val="24"/>
          <w:lang w:val="en-US" w:eastAsia="zh-CN"/>
        </w:rPr>
        <w:t>以及突发公共卫生事件处置能力</w:t>
      </w:r>
      <w:r>
        <w:rPr>
          <w:rFonts w:hint="eastAsia" w:ascii="宋体" w:hAnsi="宋体" w:eastAsia="宋体" w:cs="宋体"/>
          <w:color w:val="auto"/>
          <w:sz w:val="24"/>
          <w:szCs w:val="24"/>
        </w:rPr>
        <w:t>等方面均已达到海南省内领先、国内先进水平。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医院承担海南医学院本科生、硕士研究生、博士研究生、留学生等各个层次人才培养工作；是国家首批住院医师规范化培训基地，国家全科医师规范化培训基地。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海医二院人以执着的医志、高尚的医德、精湛的医术和严谨的学风书写了辉煌的历史。今天的海医二院人正在海南自贸港建设的新征程中，倡导“明德 致知 齐心 济众”的核心理念，秉承“仁善 博学 务实 拓新”的医院精神，践行“竭诚关怀 温情呵护”的服务理念，紧紧围绕“创建国内知名并享誉东南亚的教学研究型医院”的愿景，不忘初心，砥砺前行。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cs="宋体"/>
          <w:b/>
          <w:bCs/>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202</w:t>
      </w:r>
      <w:r>
        <w:rPr>
          <w:rFonts w:hint="eastAsia" w:ascii="宋体" w:hAnsi="宋体" w:cs="宋体"/>
          <w:b/>
          <w:bCs/>
          <w:color w:val="000000"/>
          <w:sz w:val="24"/>
          <w:szCs w:val="24"/>
          <w:highlight w:val="none"/>
          <w:lang w:val="en-US" w:eastAsia="zh-CN"/>
        </w:rPr>
        <w:t>4</w:t>
      </w:r>
      <w:r>
        <w:rPr>
          <w:rFonts w:hint="eastAsia" w:ascii="宋体" w:hAnsi="宋体" w:eastAsia="宋体" w:cs="宋体"/>
          <w:b/>
          <w:bCs/>
          <w:color w:val="000000"/>
          <w:sz w:val="24"/>
          <w:szCs w:val="24"/>
          <w:highlight w:val="none"/>
          <w:lang w:val="en-US" w:eastAsia="zh-CN"/>
        </w:rPr>
        <w:t>年投保数据如下：</w:t>
      </w:r>
    </w:p>
    <w:tbl>
      <w:tblPr>
        <w:tblStyle w:val="4"/>
        <w:tblpPr w:leftFromText="180" w:rightFromText="180" w:vertAnchor="text" w:horzAnchor="page" w:tblpX="817" w:tblpY="31"/>
        <w:tblOverlap w:val="never"/>
        <w:tblW w:w="10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0"/>
        <w:gridCol w:w="960"/>
        <w:gridCol w:w="1590"/>
        <w:gridCol w:w="1530"/>
        <w:gridCol w:w="1270"/>
        <w:gridCol w:w="1270"/>
        <w:gridCol w:w="790"/>
        <w:gridCol w:w="710"/>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床位</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医生</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护士</w:t>
            </w:r>
            <w:r>
              <w:rPr>
                <w:rFonts w:hint="eastAsia" w:ascii="宋体" w:hAnsi="宋体" w:cs="宋体"/>
                <w:i w:val="0"/>
                <w:iCs w:val="0"/>
                <w:color w:val="000000"/>
                <w:kern w:val="0"/>
                <w:sz w:val="24"/>
                <w:szCs w:val="24"/>
                <w:highlight w:val="none"/>
                <w:u w:val="none"/>
                <w:lang w:val="en-US" w:eastAsia="zh-CN" w:bidi="ar"/>
              </w:rPr>
              <w:t>+医技</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门诊数</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住院数</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等级</w:t>
            </w:r>
            <w:r>
              <w:rPr>
                <w:rFonts w:hint="eastAsia" w:ascii="宋体" w:hAnsi="宋体" w:cs="宋体"/>
                <w:i w:val="0"/>
                <w:iCs w:val="0"/>
                <w:color w:val="000000"/>
                <w:kern w:val="0"/>
                <w:sz w:val="24"/>
                <w:szCs w:val="24"/>
                <w:highlight w:val="none"/>
                <w:u w:val="none"/>
                <w:lang w:val="en-US" w:eastAsia="zh-CN" w:bidi="ar"/>
              </w:rPr>
              <w:t>系数</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赔付系数</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保费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收费标准</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280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560</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280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0.18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28</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cs="宋体"/>
                <w:i w:val="0"/>
                <w:iCs w:val="0"/>
                <w:color w:val="000000"/>
                <w:kern w:val="0"/>
                <w:sz w:val="24"/>
                <w:szCs w:val="24"/>
                <w:highlight w:val="none"/>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u w:val="none"/>
                <w:lang w:val="en-US" w:eastAsia="zh-CN" w:bidi="ar"/>
              </w:rPr>
              <w:t>2023年</w:t>
            </w:r>
            <w:r>
              <w:rPr>
                <w:rFonts w:hint="eastAsia" w:ascii="宋体" w:hAnsi="宋体" w:eastAsia="宋体" w:cs="宋体"/>
                <w:i w:val="0"/>
                <w:iCs w:val="0"/>
                <w:color w:val="000000"/>
                <w:kern w:val="0"/>
                <w:sz w:val="21"/>
                <w:szCs w:val="21"/>
                <w:u w:val="none"/>
                <w:lang w:val="en-US" w:eastAsia="zh-CN" w:bidi="ar"/>
              </w:rPr>
              <w:t>数据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sz w:val="24"/>
                <w:szCs w:val="24"/>
                <w:highlight w:val="none"/>
                <w:u w:val="none"/>
                <w:lang w:val="en-US" w:eastAsia="zh-CN"/>
              </w:rPr>
            </w:pPr>
            <w:r>
              <w:rPr>
                <w:rFonts w:hint="eastAsia" w:ascii="宋体" w:hAnsi="宋体" w:cs="宋体"/>
                <w:i w:val="0"/>
                <w:iCs w:val="0"/>
                <w:color w:val="000000"/>
                <w:kern w:val="0"/>
                <w:sz w:val="24"/>
                <w:szCs w:val="24"/>
                <w:u w:val="none"/>
                <w:lang w:val="en-US" w:eastAsia="zh-CN" w:bidi="ar"/>
              </w:rPr>
              <w:t>1200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811</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1063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r>
              <w:rPr>
                <w:rFonts w:hint="eastAsia" w:ascii="宋体" w:hAnsi="宋体" w:cs="宋体"/>
                <w:i w:val="0"/>
                <w:iCs w:val="0"/>
                <w:color w:val="000000"/>
                <w:kern w:val="0"/>
                <w:sz w:val="24"/>
                <w:szCs w:val="24"/>
                <w:u w:val="none"/>
                <w:lang w:val="en-US" w:eastAsia="zh-CN" w:bidi="ar"/>
              </w:rPr>
              <w:t>7508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r>
              <w:rPr>
                <w:rFonts w:hint="eastAsia" w:ascii="宋体" w:hAnsi="宋体" w:cs="宋体"/>
                <w:i w:val="0"/>
                <w:iCs w:val="0"/>
                <w:color w:val="000000"/>
                <w:kern w:val="0"/>
                <w:sz w:val="24"/>
                <w:szCs w:val="24"/>
                <w:u w:val="none"/>
                <w:lang w:val="en-US" w:eastAsia="zh-CN" w:bidi="ar"/>
              </w:rPr>
              <w:t>150</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3067424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21"/>
                <w:szCs w:val="21"/>
                <w:u w:val="none"/>
                <w:lang w:val="en-US" w:eastAsia="zh-CN" w:bidi="ar"/>
              </w:rPr>
              <w:t>2024年数据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1200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985</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1516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623683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45601</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3422923</w:t>
            </w:r>
          </w:p>
        </w:tc>
      </w:tr>
    </w:tbl>
    <w:p>
      <w:pPr>
        <w:rPr>
          <w:rFonts w:hint="eastAsia"/>
          <w:lang w:val="en-US" w:eastAsia="zh-CN"/>
        </w:rPr>
      </w:pPr>
    </w:p>
    <w:p>
      <w:pPr>
        <w:rPr>
          <w:rFonts w:hint="eastAsia"/>
          <w:lang w:val="en-US" w:eastAsia="zh-CN"/>
        </w:rPr>
      </w:pPr>
      <w:r>
        <w:rPr>
          <w:rFonts w:hint="eastAsia" w:ascii="仿宋" w:hAnsi="仿宋" w:eastAsia="仿宋" w:cs="仿宋"/>
          <w:b/>
          <w:bCs/>
          <w:kern w:val="0"/>
          <w:sz w:val="24"/>
          <w:szCs w:val="24"/>
        </w:rPr>
        <w:t>理算公式：（床位数×</w:t>
      </w:r>
      <w:r>
        <w:rPr>
          <w:rFonts w:hint="eastAsia" w:ascii="仿宋" w:hAnsi="仿宋" w:eastAsia="仿宋" w:cs="仿宋"/>
          <w:b/>
          <w:bCs/>
          <w:kern w:val="0"/>
          <w:sz w:val="24"/>
          <w:szCs w:val="24"/>
          <w:lang w:val="en-US" w:eastAsia="zh-CN"/>
        </w:rPr>
        <w:t>280</w:t>
      </w:r>
      <w:r>
        <w:rPr>
          <w:rFonts w:hint="eastAsia" w:ascii="仿宋" w:hAnsi="仿宋" w:eastAsia="仿宋" w:cs="仿宋"/>
          <w:b/>
          <w:bCs/>
          <w:kern w:val="0"/>
          <w:sz w:val="24"/>
          <w:szCs w:val="24"/>
        </w:rPr>
        <w:t>元/张+年出院人数×2</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元/人+年门诊人数×0.1</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人</w:t>
      </w:r>
      <w:r>
        <w:rPr>
          <w:rFonts w:hint="eastAsia" w:ascii="仿宋" w:hAnsi="仿宋" w:eastAsia="仿宋" w:cs="仿宋"/>
          <w:b/>
          <w:bCs/>
          <w:kern w:val="0"/>
          <w:sz w:val="24"/>
          <w:szCs w:val="24"/>
          <w:lang w:val="en-US" w:eastAsia="zh-CN"/>
        </w:rPr>
        <w:t>+</w:t>
      </w:r>
      <w:r>
        <w:rPr>
          <w:rFonts w:hint="eastAsia" w:ascii="仿宋" w:hAnsi="仿宋" w:eastAsia="仿宋" w:cs="仿宋"/>
          <w:b/>
          <w:bCs/>
          <w:kern w:val="0"/>
          <w:sz w:val="24"/>
          <w:szCs w:val="24"/>
        </w:rPr>
        <w:t>医生数×5</w:t>
      </w:r>
      <w:r>
        <w:rPr>
          <w:rFonts w:hint="eastAsia" w:ascii="仿宋" w:hAnsi="仿宋" w:eastAsia="仿宋" w:cs="仿宋"/>
          <w:b/>
          <w:bCs/>
          <w:kern w:val="0"/>
          <w:sz w:val="24"/>
          <w:szCs w:val="24"/>
          <w:lang w:val="en-US" w:eastAsia="zh-CN"/>
        </w:rPr>
        <w:t>6</w:t>
      </w:r>
      <w:r>
        <w:rPr>
          <w:rFonts w:hint="eastAsia" w:ascii="仿宋" w:hAnsi="仿宋" w:eastAsia="仿宋" w:cs="仿宋"/>
          <w:b/>
          <w:bCs/>
          <w:kern w:val="0"/>
          <w:sz w:val="24"/>
          <w:szCs w:val="24"/>
        </w:rPr>
        <w:t>0元/人+护技数×2</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0元/人）×1.2（三级医院风险系数）×1</w:t>
      </w:r>
      <w:r>
        <w:rPr>
          <w:rFonts w:hint="eastAsia" w:ascii="仿宋" w:hAnsi="仿宋" w:eastAsia="仿宋" w:cs="仿宋"/>
          <w:b/>
          <w:bCs/>
          <w:kern w:val="0"/>
          <w:sz w:val="24"/>
          <w:szCs w:val="24"/>
          <w:lang w:val="en-US" w:eastAsia="zh-CN"/>
        </w:rPr>
        <w:t>.2</w:t>
      </w:r>
      <w:r>
        <w:rPr>
          <w:rFonts w:hint="eastAsia" w:ascii="仿宋" w:hAnsi="仿宋" w:eastAsia="仿宋" w:cs="仿宋"/>
          <w:b/>
          <w:bCs/>
          <w:kern w:val="0"/>
          <w:sz w:val="24"/>
          <w:szCs w:val="24"/>
        </w:rPr>
        <w:t>（上年度赔付率调整系数）×</w:t>
      </w:r>
      <w:r>
        <w:rPr>
          <w:rFonts w:hint="eastAsia" w:ascii="仿宋" w:hAnsi="仿宋" w:eastAsia="仿宋" w:cs="仿宋"/>
          <w:b/>
          <w:bCs/>
          <w:kern w:val="0"/>
          <w:sz w:val="24"/>
          <w:szCs w:val="24"/>
          <w:lang w:val="en-US" w:eastAsia="zh-CN"/>
        </w:rPr>
        <w:t>0.88（调整系数）</w:t>
      </w:r>
      <w:r>
        <w:rPr>
          <w:rFonts w:hint="eastAsia" w:ascii="仿宋" w:hAnsi="仿宋" w:eastAsia="仿宋" w:cs="仿宋"/>
          <w:b/>
          <w:bCs/>
          <w:kern w:val="0"/>
          <w:sz w:val="24"/>
          <w:szCs w:val="24"/>
        </w:rPr>
        <w:t xml:space="preserve"> </w:t>
      </w:r>
      <w:r>
        <w:rPr>
          <w:rFonts w:hint="eastAsia" w:ascii="仿宋" w:hAnsi="仿宋" w:eastAsia="仿宋" w:cs="仿宋"/>
          <w:b/>
          <w:bCs/>
          <w:kern w:val="0"/>
          <w:sz w:val="32"/>
          <w:szCs w:val="32"/>
        </w:rPr>
        <w:t xml:space="preserve"> </w:t>
      </w:r>
    </w:p>
    <w:p>
      <w:pPr>
        <w:rPr>
          <w:rFonts w:hint="eastAsia" w:ascii="宋体" w:hAnsi="宋体" w:eastAsia="宋体" w:cs="宋体"/>
          <w:b/>
          <w:bCs/>
          <w:sz w:val="24"/>
          <w:szCs w:val="24"/>
          <w:lang w:val="en-US" w:eastAsia="zh-CN"/>
        </w:rPr>
      </w:pPr>
    </w:p>
    <w:p>
      <w:pPr>
        <w:ind w:firstLine="424" w:firstLineChars="176"/>
        <w:outlineLvl w:val="3"/>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仿宋"/>
          <w:b/>
          <w:snapToGrid w:val="0"/>
          <w:kern w:val="0"/>
          <w:sz w:val="24"/>
        </w:rPr>
        <w:t>服务要求</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1、投保险种：医疗责任保险</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2、保险金额：</w:t>
      </w:r>
      <w:r>
        <w:rPr>
          <w:rFonts w:hint="eastAsia" w:cs="宋体"/>
          <w:b/>
          <w:bCs/>
          <w:sz w:val="24"/>
          <w:szCs w:val="24"/>
          <w:lang w:val="en-US" w:eastAsia="zh-CN"/>
        </w:rPr>
        <w:t>预估300-350</w:t>
      </w:r>
      <w:r>
        <w:rPr>
          <w:rFonts w:hint="eastAsia" w:ascii="宋体" w:hAnsi="宋体" w:eastAsia="宋体" w:cs="宋体"/>
          <w:b/>
          <w:bCs/>
          <w:sz w:val="24"/>
          <w:szCs w:val="24"/>
          <w:lang w:val="en-US" w:eastAsia="zh-CN"/>
        </w:rPr>
        <w:t>万元</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cs="宋体"/>
          <w:b/>
          <w:bCs/>
          <w:sz w:val="24"/>
          <w:szCs w:val="24"/>
          <w:lang w:val="en-US" w:eastAsia="zh-CN"/>
        </w:rPr>
        <w:t>3、</w:t>
      </w:r>
      <w:r>
        <w:rPr>
          <w:rFonts w:hint="eastAsia" w:ascii="宋体" w:hAnsi="宋体" w:eastAsia="宋体" w:cs="宋体"/>
          <w:b/>
          <w:bCs/>
          <w:sz w:val="24"/>
          <w:szCs w:val="24"/>
          <w:lang w:val="en-US" w:eastAsia="zh-CN"/>
        </w:rPr>
        <w:t>保险方案</w:t>
      </w:r>
    </w:p>
    <w:p>
      <w:pPr>
        <w:rPr>
          <w:rFonts w:hint="eastAsia"/>
          <w:lang w:val="en-US" w:eastAsia="zh-CN"/>
        </w:rPr>
      </w:pPr>
    </w:p>
    <w:tbl>
      <w:tblPr>
        <w:tblStyle w:val="7"/>
        <w:tblW w:w="4647" w:type="pct"/>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02"/>
        <w:gridCol w:w="6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000" w:type="pct"/>
            <w:gridSpan w:val="2"/>
            <w:noWrap w:val="0"/>
            <w:vAlign w:val="top"/>
          </w:tcPr>
          <w:p>
            <w:pPr>
              <w:pStyle w:val="6"/>
              <w:spacing w:before="44" w:line="225" w:lineRule="auto"/>
              <w:ind w:left="120"/>
              <w:rPr>
                <w:rFonts w:hint="eastAsia" w:ascii="宋体" w:hAnsi="宋体" w:eastAsia="宋体" w:cs="宋体"/>
                <w:sz w:val="24"/>
                <w:szCs w:val="24"/>
              </w:rPr>
            </w:pPr>
            <w:r>
              <w:rPr>
                <w:rFonts w:hint="eastAsia" w:ascii="宋体" w:hAnsi="宋体" w:eastAsia="宋体" w:cs="宋体"/>
                <w:spacing w:val="-5"/>
                <w:sz w:val="24"/>
                <w:szCs w:val="24"/>
              </w:rPr>
              <w:t>一、投保人名称和地址：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5" w:line="226" w:lineRule="auto"/>
              <w:ind w:left="118"/>
              <w:rPr>
                <w:rFonts w:hint="eastAsia" w:ascii="宋体" w:hAnsi="宋体" w:eastAsia="宋体" w:cs="宋体"/>
                <w:sz w:val="24"/>
                <w:szCs w:val="24"/>
              </w:rPr>
            </w:pPr>
            <w:r>
              <w:rPr>
                <w:rFonts w:hint="eastAsia" w:ascii="宋体" w:hAnsi="宋体" w:eastAsia="宋体" w:cs="宋体"/>
                <w:spacing w:val="-7"/>
                <w:sz w:val="24"/>
                <w:szCs w:val="24"/>
              </w:rPr>
              <w:t>投保人名称：</w:t>
            </w:r>
          </w:p>
        </w:tc>
        <w:tc>
          <w:tcPr>
            <w:tcW w:w="3993" w:type="pct"/>
            <w:noWrap w:val="0"/>
            <w:vAlign w:val="top"/>
          </w:tcPr>
          <w:p>
            <w:pPr>
              <w:pStyle w:val="6"/>
              <w:spacing w:before="129" w:line="217" w:lineRule="auto"/>
              <w:ind w:left="144"/>
              <w:rPr>
                <w:rFonts w:hint="eastAsia" w:ascii="宋体" w:hAnsi="宋体" w:eastAsia="宋体" w:cs="宋体"/>
                <w:sz w:val="24"/>
                <w:szCs w:val="24"/>
              </w:rPr>
            </w:pPr>
            <w:r>
              <w:rPr>
                <w:rFonts w:hint="eastAsia" w:ascii="宋体" w:hAnsi="宋体" w:eastAsia="宋体" w:cs="宋体"/>
                <w:spacing w:val="-3"/>
                <w:sz w:val="24"/>
                <w:szCs w:val="24"/>
                <w:lang w:val="en-US" w:eastAsia="zh-CN"/>
              </w:rPr>
              <w:t>海南省医学院第二附属</w:t>
            </w:r>
            <w:r>
              <w:rPr>
                <w:rFonts w:hint="eastAsia" w:ascii="宋体" w:hAnsi="宋体" w:eastAsia="宋体" w:cs="宋体"/>
                <w:spacing w:val="-3"/>
                <w:sz w:val="24"/>
                <w:szCs w:val="24"/>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5" w:line="226" w:lineRule="auto"/>
              <w:ind w:left="118"/>
              <w:rPr>
                <w:rFonts w:hint="eastAsia" w:ascii="宋体" w:hAnsi="宋体" w:eastAsia="宋体" w:cs="宋体"/>
                <w:sz w:val="24"/>
                <w:szCs w:val="24"/>
              </w:rPr>
            </w:pPr>
            <w:r>
              <w:rPr>
                <w:rFonts w:hint="eastAsia" w:ascii="宋体" w:hAnsi="宋体" w:eastAsia="宋体" w:cs="宋体"/>
                <w:spacing w:val="-7"/>
                <w:sz w:val="24"/>
                <w:szCs w:val="24"/>
              </w:rPr>
              <w:t>投保人地址：</w:t>
            </w:r>
          </w:p>
        </w:tc>
        <w:tc>
          <w:tcPr>
            <w:tcW w:w="3993" w:type="pct"/>
            <w:noWrap w:val="0"/>
            <w:vAlign w:val="top"/>
          </w:tcPr>
          <w:p>
            <w:pPr>
              <w:pStyle w:val="6"/>
              <w:spacing w:before="129" w:line="218" w:lineRule="auto"/>
              <w:ind w:left="12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000" w:type="pct"/>
            <w:gridSpan w:val="2"/>
            <w:noWrap w:val="0"/>
            <w:vAlign w:val="top"/>
          </w:tcPr>
          <w:p>
            <w:pPr>
              <w:pStyle w:val="6"/>
              <w:spacing w:before="36" w:line="225" w:lineRule="auto"/>
              <w:ind w:left="117"/>
              <w:rPr>
                <w:rFonts w:hint="eastAsia" w:ascii="宋体" w:hAnsi="宋体" w:eastAsia="宋体" w:cs="宋体"/>
                <w:sz w:val="24"/>
                <w:szCs w:val="24"/>
              </w:rPr>
            </w:pPr>
            <w:r>
              <w:rPr>
                <w:rFonts w:hint="eastAsia" w:ascii="宋体" w:hAnsi="宋体" w:eastAsia="宋体" w:cs="宋体"/>
                <w:spacing w:val="-1"/>
                <w:sz w:val="24"/>
                <w:szCs w:val="24"/>
              </w:rPr>
              <w:t>二、被保险人名称和地址：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06" w:type="pct"/>
            <w:noWrap w:val="0"/>
            <w:vAlign w:val="top"/>
          </w:tcPr>
          <w:p>
            <w:pPr>
              <w:pStyle w:val="6"/>
              <w:spacing w:before="32" w:line="225" w:lineRule="auto"/>
              <w:ind w:left="110"/>
              <w:rPr>
                <w:rFonts w:hint="eastAsia" w:ascii="宋体" w:hAnsi="宋体" w:eastAsia="宋体" w:cs="宋体"/>
                <w:sz w:val="24"/>
                <w:szCs w:val="24"/>
              </w:rPr>
            </w:pPr>
            <w:r>
              <w:rPr>
                <w:rFonts w:hint="eastAsia" w:ascii="宋体" w:hAnsi="宋体" w:eastAsia="宋体" w:cs="宋体"/>
                <w:spacing w:val="-1"/>
                <w:sz w:val="24"/>
                <w:szCs w:val="24"/>
              </w:rPr>
              <w:t>被保险人名称：</w:t>
            </w:r>
          </w:p>
        </w:tc>
        <w:tc>
          <w:tcPr>
            <w:tcW w:w="3993" w:type="pct"/>
            <w:noWrap w:val="0"/>
            <w:vAlign w:val="top"/>
          </w:tcPr>
          <w:p>
            <w:pPr>
              <w:pStyle w:val="6"/>
              <w:spacing w:before="91" w:line="217" w:lineRule="auto"/>
              <w:ind w:left="144"/>
              <w:rPr>
                <w:rFonts w:hint="eastAsia" w:ascii="宋体" w:hAnsi="宋体" w:eastAsia="宋体" w:cs="宋体"/>
                <w:sz w:val="24"/>
                <w:szCs w:val="24"/>
              </w:rPr>
            </w:pPr>
            <w:r>
              <w:rPr>
                <w:rFonts w:hint="eastAsia" w:ascii="宋体" w:hAnsi="宋体" w:eastAsia="宋体" w:cs="宋体"/>
                <w:spacing w:val="-3"/>
                <w:sz w:val="24"/>
                <w:szCs w:val="24"/>
                <w:lang w:val="en-US" w:eastAsia="zh-CN"/>
              </w:rPr>
              <w:t>海南省医学院第二附属</w:t>
            </w:r>
            <w:r>
              <w:rPr>
                <w:rFonts w:hint="eastAsia" w:ascii="宋体" w:hAnsi="宋体" w:eastAsia="宋体" w:cs="宋体"/>
                <w:spacing w:val="-3"/>
                <w:sz w:val="24"/>
                <w:szCs w:val="24"/>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06" w:type="pct"/>
            <w:noWrap w:val="0"/>
            <w:vAlign w:val="top"/>
          </w:tcPr>
          <w:p>
            <w:pPr>
              <w:pStyle w:val="6"/>
              <w:spacing w:before="32" w:line="225" w:lineRule="auto"/>
              <w:ind w:left="110"/>
              <w:rPr>
                <w:rFonts w:hint="eastAsia" w:ascii="宋体" w:hAnsi="宋体" w:eastAsia="宋体" w:cs="宋体"/>
                <w:sz w:val="24"/>
                <w:szCs w:val="24"/>
              </w:rPr>
            </w:pPr>
            <w:r>
              <w:rPr>
                <w:rFonts w:hint="eastAsia" w:ascii="宋体" w:hAnsi="宋体" w:eastAsia="宋体" w:cs="宋体"/>
                <w:spacing w:val="-1"/>
                <w:sz w:val="24"/>
                <w:szCs w:val="24"/>
              </w:rPr>
              <w:t>被保险人地址：</w:t>
            </w:r>
          </w:p>
        </w:tc>
        <w:tc>
          <w:tcPr>
            <w:tcW w:w="3993" w:type="pct"/>
            <w:noWrap w:val="0"/>
            <w:vAlign w:val="top"/>
          </w:tcPr>
          <w:p>
            <w:pPr>
              <w:pStyle w:val="6"/>
              <w:spacing w:before="91" w:line="218" w:lineRule="auto"/>
              <w:ind w:left="12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7" w:line="220" w:lineRule="auto"/>
              <w:jc w:val="both"/>
              <w:rPr>
                <w:rFonts w:hint="eastAsia" w:ascii="宋体" w:hAnsi="宋体" w:eastAsia="宋体" w:cs="宋体"/>
                <w:sz w:val="24"/>
                <w:szCs w:val="24"/>
              </w:rPr>
            </w:pPr>
            <w:r>
              <w:rPr>
                <w:rFonts w:hint="eastAsia" w:ascii="宋体" w:hAnsi="宋体" w:eastAsia="宋体" w:cs="宋体"/>
                <w:spacing w:val="-16"/>
                <w:sz w:val="24"/>
                <w:szCs w:val="24"/>
              </w:rPr>
              <w:t>三、营业性质：</w:t>
            </w:r>
          </w:p>
        </w:tc>
        <w:tc>
          <w:tcPr>
            <w:tcW w:w="3993" w:type="pct"/>
            <w:noWrap w:val="0"/>
            <w:vAlign w:val="top"/>
          </w:tcPr>
          <w:p>
            <w:pPr>
              <w:pStyle w:val="6"/>
              <w:spacing w:before="37" w:line="219" w:lineRule="auto"/>
              <w:ind w:left="149"/>
              <w:rPr>
                <w:rFonts w:hint="eastAsia" w:ascii="宋体" w:hAnsi="宋体" w:eastAsia="宋体" w:cs="宋体"/>
                <w:sz w:val="24"/>
                <w:szCs w:val="24"/>
              </w:rPr>
            </w:pPr>
            <w:r>
              <w:rPr>
                <w:rFonts w:hint="eastAsia" w:ascii="宋体" w:hAnsi="宋体" w:eastAsia="宋体" w:cs="宋体"/>
                <w:spacing w:val="-9"/>
                <w:sz w:val="24"/>
                <w:szCs w:val="24"/>
              </w:rPr>
              <w:t>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006" w:type="pct"/>
            <w:noWrap w:val="0"/>
            <w:vAlign w:val="top"/>
          </w:tcPr>
          <w:p>
            <w:pPr>
              <w:pStyle w:val="6"/>
              <w:spacing w:before="37" w:line="221" w:lineRule="auto"/>
              <w:jc w:val="both"/>
              <w:rPr>
                <w:rFonts w:hint="eastAsia" w:ascii="宋体" w:hAnsi="宋体" w:eastAsia="宋体" w:cs="宋体"/>
                <w:sz w:val="24"/>
                <w:szCs w:val="24"/>
              </w:rPr>
            </w:pPr>
            <w:r>
              <w:rPr>
                <w:rFonts w:hint="eastAsia" w:ascii="宋体" w:hAnsi="宋体" w:eastAsia="宋体" w:cs="宋体"/>
                <w:spacing w:val="-18"/>
                <w:sz w:val="24"/>
                <w:szCs w:val="24"/>
              </w:rPr>
              <w:t>四、地区范围：</w:t>
            </w:r>
          </w:p>
        </w:tc>
        <w:tc>
          <w:tcPr>
            <w:tcW w:w="3993" w:type="pct"/>
            <w:noWrap w:val="0"/>
            <w:vAlign w:val="top"/>
          </w:tcPr>
          <w:p>
            <w:pPr>
              <w:pStyle w:val="6"/>
              <w:spacing w:before="37" w:line="217" w:lineRule="auto"/>
              <w:ind w:left="144"/>
              <w:rPr>
                <w:rFonts w:hint="eastAsia" w:ascii="宋体" w:hAnsi="宋体" w:eastAsia="宋体" w:cs="宋体"/>
                <w:sz w:val="24"/>
                <w:szCs w:val="24"/>
              </w:rPr>
            </w:pPr>
            <w:r>
              <w:rPr>
                <w:rFonts w:hint="eastAsia" w:ascii="宋体" w:hAnsi="宋体" w:eastAsia="宋体" w:cs="宋体"/>
                <w:spacing w:val="-5"/>
                <w:sz w:val="24"/>
                <w:szCs w:val="24"/>
              </w:rPr>
              <w:t>中华人民共和国境内（不含港、澳、台）</w:t>
            </w:r>
          </w:p>
        </w:tc>
      </w:tr>
    </w:tbl>
    <w:tbl>
      <w:tblPr>
        <w:tblStyle w:val="4"/>
        <w:tblW w:w="9350" w:type="dxa"/>
        <w:jc w:val="center"/>
        <w:tblLayout w:type="fixed"/>
        <w:tblCellMar>
          <w:top w:w="0" w:type="dxa"/>
          <w:left w:w="108" w:type="dxa"/>
          <w:bottom w:w="0" w:type="dxa"/>
          <w:right w:w="108" w:type="dxa"/>
        </w:tblCellMar>
      </w:tblPr>
      <w:tblGrid>
        <w:gridCol w:w="1897"/>
        <w:gridCol w:w="7453"/>
      </w:tblGrid>
      <w:tr>
        <w:tblPrEx>
          <w:tblCellMar>
            <w:top w:w="0" w:type="dxa"/>
            <w:left w:w="108" w:type="dxa"/>
            <w:bottom w:w="0" w:type="dxa"/>
            <w:right w:w="108" w:type="dxa"/>
          </w:tblCellMar>
        </w:tblPrEx>
        <w:trPr>
          <w:trHeight w:val="602"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、责任限额：</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sz w:val="24"/>
                <w:szCs w:val="24"/>
              </w:rPr>
            </w:pPr>
            <w:r>
              <w:rPr>
                <w:rFonts w:hint="eastAsia" w:ascii="宋体" w:hAnsi="宋体" w:eastAsia="宋体" w:cs="宋体"/>
                <w:b/>
                <w:color w:val="auto"/>
                <w:kern w:val="2"/>
                <w:sz w:val="24"/>
                <w:szCs w:val="24"/>
                <w:highlight w:val="none"/>
              </w:rPr>
              <w:t>（一）主险</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全年累计责任限额：</w:t>
            </w:r>
            <w:r>
              <w:rPr>
                <w:rFonts w:hint="eastAsia" w:ascii="宋体" w:hAnsi="宋体" w:cs="宋体"/>
                <w:b w:val="0"/>
                <w:bCs w:val="0"/>
                <w:color w:val="auto"/>
                <w:kern w:val="2"/>
                <w:sz w:val="24"/>
                <w:szCs w:val="24"/>
                <w:highlight w:val="none"/>
                <w:lang w:val="en-US" w:eastAsia="zh-CN"/>
              </w:rPr>
              <w:t>400</w:t>
            </w:r>
            <w:r>
              <w:rPr>
                <w:rFonts w:hint="eastAsia" w:ascii="宋体" w:hAnsi="宋体" w:eastAsia="宋体" w:cs="宋体"/>
                <w:b w:val="0"/>
                <w:bCs w:val="0"/>
                <w:color w:val="auto"/>
                <w:kern w:val="2"/>
                <w:sz w:val="24"/>
                <w:szCs w:val="24"/>
                <w:highlight w:val="none"/>
              </w:rPr>
              <w:t>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每次事故赔偿限额：</w:t>
            </w:r>
            <w:r>
              <w:rPr>
                <w:rFonts w:hint="eastAsia" w:ascii="宋体" w:hAnsi="宋体" w:cs="宋体"/>
                <w:b w:val="0"/>
                <w:bCs w:val="0"/>
                <w:color w:val="auto"/>
                <w:kern w:val="2"/>
                <w:sz w:val="24"/>
                <w:szCs w:val="24"/>
                <w:highlight w:val="none"/>
                <w:lang w:val="en-US" w:eastAsia="zh-CN"/>
              </w:rPr>
              <w:t>6</w:t>
            </w:r>
            <w:r>
              <w:rPr>
                <w:rFonts w:hint="eastAsia" w:ascii="宋体" w:hAnsi="宋体" w:eastAsia="宋体" w:cs="宋体"/>
                <w:b w:val="0"/>
                <w:bCs w:val="0"/>
                <w:color w:val="auto"/>
                <w:kern w:val="2"/>
                <w:sz w:val="24"/>
                <w:szCs w:val="24"/>
                <w:highlight w:val="none"/>
              </w:rPr>
              <w:t>0万</w:t>
            </w:r>
            <w:r>
              <w:rPr>
                <w:rFonts w:hint="eastAsia" w:ascii="宋体" w:hAnsi="宋体" w:cs="宋体"/>
                <w:b w:val="0"/>
                <w:bCs w:val="0"/>
                <w:color w:val="auto"/>
                <w:kern w:val="2"/>
                <w:sz w:val="24"/>
                <w:szCs w:val="24"/>
                <w:highlight w:val="none"/>
                <w:lang w:val="en-US" w:eastAsia="zh-CN"/>
              </w:rPr>
              <w:t>元</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每次每位患者赔偿责任限额：</w:t>
            </w:r>
            <w:r>
              <w:rPr>
                <w:rFonts w:hint="eastAsia" w:ascii="宋体" w:hAnsi="宋体" w:cs="宋体"/>
                <w:b w:val="0"/>
                <w:bCs w:val="0"/>
                <w:color w:val="auto"/>
                <w:kern w:val="2"/>
                <w:sz w:val="24"/>
                <w:szCs w:val="24"/>
                <w:highlight w:val="none"/>
                <w:lang w:val="en-US" w:eastAsia="zh-CN"/>
              </w:rPr>
              <w:t>50</w:t>
            </w:r>
            <w:r>
              <w:rPr>
                <w:rFonts w:hint="eastAsia" w:ascii="宋体" w:hAnsi="宋体" w:eastAsia="宋体" w:cs="宋体"/>
                <w:b w:val="0"/>
                <w:bCs w:val="0"/>
                <w:color w:val="auto"/>
                <w:kern w:val="2"/>
                <w:sz w:val="24"/>
                <w:szCs w:val="24"/>
                <w:highlight w:val="none"/>
              </w:rPr>
              <w:t>万元</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每位患者医疗美容整形诊疗赔偿限额：</w:t>
            </w:r>
            <w:r>
              <w:rPr>
                <w:rFonts w:hint="eastAsia" w:ascii="宋体" w:hAnsi="宋体" w:cs="宋体"/>
                <w:b w:val="0"/>
                <w:bCs w:val="0"/>
                <w:color w:val="auto"/>
                <w:kern w:val="2"/>
                <w:sz w:val="24"/>
                <w:szCs w:val="24"/>
                <w:highlight w:val="none"/>
                <w:lang w:val="en-US" w:eastAsia="zh-CN"/>
              </w:rPr>
              <w:t>3</w:t>
            </w:r>
            <w:r>
              <w:rPr>
                <w:rFonts w:hint="eastAsia" w:ascii="宋体" w:hAnsi="宋体" w:eastAsia="宋体" w:cs="宋体"/>
                <w:b w:val="0"/>
                <w:bCs w:val="0"/>
                <w:color w:val="auto"/>
                <w:kern w:val="2"/>
                <w:sz w:val="24"/>
                <w:szCs w:val="24"/>
                <w:highlight w:val="none"/>
              </w:rPr>
              <w:t>0万元</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sz w:val="24"/>
                <w:szCs w:val="24"/>
                <w:lang w:val="en-US" w:eastAsia="zh-CN"/>
              </w:rPr>
            </w:pPr>
            <w:r>
              <w:rPr>
                <w:rFonts w:hint="eastAsia" w:ascii="宋体" w:hAnsi="宋体" w:eastAsia="宋体" w:cs="宋体"/>
                <w:b w:val="0"/>
                <w:bCs w:val="0"/>
                <w:color w:val="auto"/>
                <w:kern w:val="2"/>
                <w:sz w:val="24"/>
                <w:szCs w:val="24"/>
                <w:highlight w:val="none"/>
                <w:lang w:val="en-US" w:eastAsia="zh-CN"/>
              </w:rPr>
              <w:t>每位患者外请会诊医师费用赔偿限额：2万元；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法律费用累计限额：</w:t>
            </w:r>
            <w:r>
              <w:rPr>
                <w:rFonts w:hint="eastAsia" w:ascii="宋体" w:hAnsi="宋体" w:cs="宋体"/>
                <w:b w:val="0"/>
                <w:bCs w:val="0"/>
                <w:color w:val="auto"/>
                <w:kern w:val="2"/>
                <w:sz w:val="24"/>
                <w:szCs w:val="24"/>
                <w:highlight w:val="none"/>
                <w:lang w:val="en-US" w:eastAsia="zh-CN"/>
              </w:rPr>
              <w:t>10</w:t>
            </w:r>
            <w:r>
              <w:rPr>
                <w:rFonts w:hint="eastAsia" w:ascii="宋体" w:hAnsi="宋体" w:eastAsia="宋体" w:cs="宋体"/>
                <w:b w:val="0"/>
                <w:bCs w:val="0"/>
                <w:color w:val="auto"/>
                <w:kern w:val="2"/>
                <w:sz w:val="24"/>
                <w:szCs w:val="24"/>
                <w:highlight w:val="none"/>
              </w:rPr>
              <w:t>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val="en-US" w:eastAsia="zh-CN"/>
              </w:rPr>
            </w:pP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（二）附加险</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1、医护人员新增自动承保保障。兹经保险人与投保人商议，在被保险人全体医务人员（包括医生、护士及医技人员）全体投保医疗机构医疗责任保险的前提下，保险人同意自动承保被保险人新增的医务人员，但新增或变动人员数量不超过投保医务人员总数的10%。</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2、附加多点执业医务人员责任。兹经双方同意并约定，鉴于被保险人已交付了附加保险费，本附加险扩展承保在保险期内和保单明细表列明的场所范围内，符合省级卫生行政部门规定条件的多点执业医师人员在开展诊疗活动中，因过错造成患者的人身损害，保险人按照主险条款规定负责赔偿。</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3、附加外请会诊医师特别费用，本附加险每位患者赔偿限额为2万元，保险期限内累计赔偿限额为10万元。</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4、附加外请会诊医师执业责任。兹经双方同意并约定，鉴于被保险人已交付了附加保险费，本附加险扩展承担医疗损害事件发生后，被保险人为防止或减少患者的人身损害，当超出被保险人医疗水平时，被保险人按照卫生行政部门关于《医师外出会诊管理暂行规定》等文件中相关规定，外请会诊医师在会诊过程中，因过错造成患者的人身损害，本附加险每位患者赔偿限额为10万元，保险期限内累计赔偿限额为50万元.</w:t>
            </w:r>
          </w:p>
          <w:p>
            <w:pPr>
              <w:widowControl/>
              <w:spacing w:after="156" w:afterLines="50"/>
              <w:rPr>
                <w:rFonts w:hint="eastAsia" w:ascii="宋体" w:hAnsi="宋体" w:eastAsia="宋体" w:cs="宋体"/>
                <w:b/>
                <w:bCs/>
                <w:color w:val="auto"/>
                <w:kern w:val="2"/>
                <w:sz w:val="24"/>
                <w:szCs w:val="24"/>
                <w:highlight w:val="none"/>
              </w:rPr>
            </w:pPr>
            <w:r>
              <w:rPr>
                <w:rFonts w:hint="eastAsia" w:ascii="宋体" w:hAnsi="宋体" w:eastAsia="宋体" w:cs="宋体"/>
                <w:b w:val="0"/>
                <w:bCs w:val="0"/>
                <w:color w:val="auto"/>
                <w:kern w:val="2"/>
                <w:sz w:val="24"/>
                <w:szCs w:val="24"/>
                <w:highlight w:val="none"/>
              </w:rPr>
              <w:t>5、附加外请会诊医师执业责任。兹经双方同意并约定，鉴于被保险人已交付了附加保险费，本附加险扩展承担被保险人按照卫生部关于《医师外出会诊管理暂行规定》的文件中相关规定，外请会诊医师在会诊过程中，因过错造成患者的人身损害，保险人本附加险每位患者赔偿限额为10万元，保险期限内累计赔偿限额为50万元。</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六、保险责任</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在保险单中列明的保险期限或追溯期内，被保险人及其医务人员在从事与其资格相符的诊疗活动中，发生下列情形，患者或其近亲属或其代理人在保险期限内首次向被保险人提出人身损害赔偿请求，依照中华人民共和国法律（不包括港澳台地区法律）应由被保险人承担的经济赔偿责任，保险人按照本保险合同约定负责赔偿：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一）医疗机构及医务人员在从事病情的检验、诊断、治疗方法的选择，治疗措施的执行，病情发展过程的追踪，以及术后照护等诊疗活动中，发生不符合当时既存的医疗专业知识或技术水准或诊疗技术规范的过错行为，造成患者人身损害的；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（二）医务人员有下列情形，造成患者人身损害的: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1、医务人员在诊疗活动中未向患者或其近亲属充分说明病情和医疗措施的；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2、需要实施手术、特殊检查、特殊治疗，医务人员未及时向患者或其近亲属说明医疗风险、替代医疗方案等情况并取得其书面同意的；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3、不宜向患者说明的，未向患者的近亲属说明并取得其书面同意的；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（三）因药品（不含一类疫苗）、消毒药剂、医疗器械的缺陷，造成患者人身损害的；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（四）在医务人员指导下，医学生、试用期医学毕业生进行诊疗活动，造成患者人身损害的。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（五） 患者在接受以治疗和功能恢复为目的的医疗美容整形诊疗活动中</w:t>
            </w:r>
            <w:r>
              <w:rPr>
                <w:rFonts w:hint="eastAsia" w:ascii="宋体" w:hAnsi="宋体" w:eastAsia="宋体" w:cs="宋体"/>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发生本保险合同项下的保险事故后，产生的合理、必要的外请会诊医师费用，保险人依照本保险合同约定负责赔偿。</w:t>
            </w:r>
          </w:p>
          <w:p>
            <w:pPr>
              <w:keepNext w:val="0"/>
              <w:keepLines w:val="0"/>
              <w:pageBreakBefore w:val="0"/>
              <w:widowControl/>
              <w:kinsoku/>
              <w:wordWrap/>
              <w:overflowPunct/>
              <w:topLinePunct w:val="0"/>
              <w:autoSpaceDE/>
              <w:autoSpaceDN/>
              <w:bidi w:val="0"/>
              <w:adjustRightInd/>
              <w:snapToGrid/>
              <w:spacing w:line="400" w:lineRule="exact"/>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发生可能引起本保险合同项下赔偿的情形时，被保险</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人被提起诉讼或仲裁</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事先经保险人书面同意支付的合理</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的、必要的诉讼费、鉴定费、评估费、公证费、律师费、</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仲裁费及其他相关费用等（以下简称法律费用），保险人</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依照本保险合同约定负责赔偿。</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、免赔额：</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kern w:val="2"/>
                <w:sz w:val="24"/>
                <w:szCs w:val="24"/>
                <w:highlight w:val="none"/>
              </w:rPr>
              <w:t>）主险：无免赔</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（二）附加险：无免赔。</w:t>
            </w:r>
          </w:p>
        </w:tc>
      </w:tr>
      <w:tr>
        <w:tblPrEx>
          <w:tblCellMar>
            <w:top w:w="0" w:type="dxa"/>
            <w:left w:w="108" w:type="dxa"/>
            <w:bottom w:w="0" w:type="dxa"/>
            <w:right w:w="108" w:type="dxa"/>
          </w:tblCellMar>
        </w:tblPrEx>
        <w:trPr>
          <w:trHeight w:val="978"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、保险期间：</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28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共12个月，自</w:t>
            </w:r>
            <w:r>
              <w:rPr>
                <w:rFonts w:hint="eastAsia" w:ascii="宋体" w:hAnsi="宋体" w:eastAsia="宋体" w:cs="宋体"/>
                <w:color w:val="auto"/>
                <w:sz w:val="24"/>
                <w:szCs w:val="24"/>
                <w:highlight w:val="none"/>
                <w:lang w:val="en-US" w:eastAsia="zh-CN"/>
              </w:rPr>
              <w:t xml:space="preserve">202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日0时起至</w:t>
            </w:r>
            <w:r>
              <w:rPr>
                <w:rFonts w:hint="eastAsia" w:ascii="宋体" w:hAnsi="宋体" w:eastAsia="宋体" w:cs="宋体"/>
                <w:color w:val="auto"/>
                <w:sz w:val="24"/>
                <w:szCs w:val="24"/>
                <w:highlight w:val="none"/>
                <w:lang w:val="en-US" w:eastAsia="zh-CN"/>
              </w:rPr>
              <w:t xml:space="preserve">202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eastAsia="zh-CN"/>
              </w:rPr>
              <w:t>二十四</w:t>
            </w:r>
            <w:r>
              <w:rPr>
                <w:rFonts w:hint="eastAsia" w:ascii="宋体" w:hAnsi="宋体" w:eastAsia="宋体" w:cs="宋体"/>
                <w:color w:val="auto"/>
                <w:sz w:val="24"/>
                <w:szCs w:val="24"/>
                <w:highlight w:val="none"/>
              </w:rPr>
              <w:t>时止，时间以</w:t>
            </w:r>
            <w:r>
              <w:rPr>
                <w:rFonts w:hint="eastAsia" w:ascii="宋体" w:hAnsi="宋体" w:eastAsia="宋体" w:cs="宋体"/>
                <w:color w:val="auto"/>
                <w:sz w:val="24"/>
                <w:szCs w:val="24"/>
                <w:highlight w:val="none"/>
                <w:lang w:val="en-US" w:eastAsia="zh-CN"/>
              </w:rPr>
              <w:t>签定合同之日</w:t>
            </w:r>
            <w:r>
              <w:rPr>
                <w:rFonts w:hint="eastAsia" w:ascii="宋体" w:hAnsi="宋体" w:eastAsia="宋体" w:cs="宋体"/>
                <w:color w:val="auto"/>
                <w:sz w:val="24"/>
                <w:szCs w:val="24"/>
                <w:highlight w:val="none"/>
              </w:rPr>
              <w:t>为准。</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、承保基础：</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期内索赔式</w:t>
            </w:r>
          </w:p>
        </w:tc>
      </w:tr>
      <w:tr>
        <w:tblPrEx>
          <w:tblCellMar>
            <w:top w:w="0" w:type="dxa"/>
            <w:left w:w="108" w:type="dxa"/>
            <w:bottom w:w="0" w:type="dxa"/>
            <w:right w:w="108" w:type="dxa"/>
          </w:tblCellMar>
        </w:tblPrEx>
        <w:trPr>
          <w:trHeight w:val="494"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rPr>
              <w:t>、追溯期：</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首次投保追溯期设定：首次投保的医疗机构无追溯期，为首次合同生效日； 连续投保追溯期设定；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连续投保，本保险追溯期从首次投保合同生效之日起算，最长不超过三年。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如有扩展</w:t>
            </w:r>
            <w:r>
              <w:rPr>
                <w:rFonts w:hint="eastAsia" w:ascii="宋体" w:hAnsi="宋体" w:eastAsia="宋体" w:cs="宋体"/>
                <w:sz w:val="24"/>
                <w:szCs w:val="24"/>
                <w:highlight w:val="none"/>
                <w:lang w:val="en-US" w:eastAsia="zh-CN"/>
              </w:rPr>
              <w:t>追溯期为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月，</w:t>
            </w:r>
            <w:r>
              <w:rPr>
                <w:rFonts w:hint="eastAsia" w:ascii="宋体" w:hAnsi="宋体" w:eastAsia="宋体" w:cs="宋体"/>
                <w:sz w:val="24"/>
                <w:szCs w:val="24"/>
                <w:highlight w:val="none"/>
                <w:lang w:val="en-US" w:eastAsia="zh-CN"/>
              </w:rPr>
              <w:t>追溯期</w:t>
            </w:r>
            <w:r>
              <w:rPr>
                <w:rFonts w:hint="eastAsia" w:ascii="宋体" w:hAnsi="宋体" w:cs="宋体"/>
                <w:sz w:val="24"/>
                <w:szCs w:val="24"/>
                <w:highlight w:val="none"/>
                <w:lang w:val="en-US" w:eastAsia="zh-CN"/>
              </w:rPr>
              <w:t>为</w:t>
            </w:r>
            <w:r>
              <w:rPr>
                <w:rFonts w:hint="eastAsia" w:ascii="宋体" w:hAnsi="宋体" w:eastAsia="宋体" w:cs="宋体"/>
                <w:sz w:val="24"/>
                <w:szCs w:val="24"/>
                <w:highlight w:val="none"/>
                <w:lang w:val="en-US" w:eastAsia="zh-CN"/>
              </w:rPr>
              <w:t>202年  月1日零时至202  年 月 日二十四时。</w:t>
            </w:r>
          </w:p>
        </w:tc>
      </w:tr>
      <w:tr>
        <w:tblPrEx>
          <w:tblCellMar>
            <w:top w:w="0" w:type="dxa"/>
            <w:left w:w="108" w:type="dxa"/>
            <w:bottom w:w="0" w:type="dxa"/>
            <w:right w:w="108" w:type="dxa"/>
          </w:tblCellMar>
        </w:tblPrEx>
        <w:trPr>
          <w:trHeight w:val="558"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rPr>
              <w:t>、发现期：</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保险合同的保险期间到期时，若投保人未续保，被保险人将自动获得自保险期间到期日第二天起120天的免费发现期。</w:t>
            </w:r>
          </w:p>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如投保人在本保险合同到期日第二天起30天内，向保险人提出申请，并支付相当于年保险费百分之五十的附加保险费，保险人同意被保险人获得自免费发现期到期日第二天起十二个月的缴费发现期。</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十二</w:t>
            </w:r>
            <w:r>
              <w:rPr>
                <w:rFonts w:hint="eastAsia" w:ascii="宋体" w:hAnsi="宋体" w:eastAsia="宋体" w:cs="宋体"/>
                <w:b/>
                <w:bCs/>
                <w:color w:val="auto"/>
                <w:sz w:val="24"/>
                <w:szCs w:val="24"/>
                <w:highlight w:val="none"/>
              </w:rPr>
              <w:t>、司法管辖：</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中华人民共和国司法管辖（不包括港、澳、台地区法律）</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十三</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其他</w:t>
            </w:r>
            <w:r>
              <w:rPr>
                <w:rFonts w:hint="eastAsia" w:ascii="宋体" w:hAnsi="宋体" w:eastAsia="宋体" w:cs="宋体"/>
                <w:b/>
                <w:bCs/>
                <w:color w:val="auto"/>
                <w:sz w:val="24"/>
                <w:szCs w:val="24"/>
                <w:highlight w:val="none"/>
              </w:rPr>
              <w:t>约定：</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医疗机构在本保险合同生效之前已经参与</w:t>
            </w:r>
            <w:r>
              <w:rPr>
                <w:rFonts w:hint="eastAsia" w:ascii="宋体" w:hAnsi="宋体" w:eastAsia="宋体" w:cs="宋体"/>
                <w:color w:val="auto"/>
                <w:sz w:val="24"/>
                <w:szCs w:val="24"/>
                <w:highlight w:val="none"/>
                <w:lang w:eastAsia="zh-CN"/>
              </w:rPr>
              <w:t>海南省医疗机构医疗责任保险示范</w:t>
            </w:r>
            <w:r>
              <w:rPr>
                <w:rFonts w:hint="eastAsia" w:ascii="宋体" w:hAnsi="宋体" w:eastAsia="宋体" w:cs="宋体"/>
                <w:color w:val="auto"/>
                <w:sz w:val="24"/>
                <w:szCs w:val="24"/>
                <w:highlight w:val="none"/>
                <w:lang w:val="en-US" w:eastAsia="zh-CN"/>
              </w:rPr>
              <w:t>共保</w:t>
            </w:r>
            <w:r>
              <w:rPr>
                <w:rFonts w:hint="eastAsia" w:ascii="宋体" w:hAnsi="宋体" w:eastAsia="宋体" w:cs="宋体"/>
                <w:color w:val="auto"/>
                <w:sz w:val="24"/>
                <w:szCs w:val="24"/>
                <w:highlight w:val="none"/>
                <w:lang w:eastAsia="zh-CN"/>
              </w:rPr>
              <w:t>产品</w:t>
            </w:r>
            <w:r>
              <w:rPr>
                <w:rFonts w:hint="eastAsia" w:ascii="宋体" w:hAnsi="宋体" w:eastAsia="宋体" w:cs="宋体"/>
                <w:color w:val="auto"/>
                <w:sz w:val="24"/>
                <w:szCs w:val="24"/>
                <w:highlight w:val="none"/>
              </w:rPr>
              <w:t>的，在已投保的保险单到期之后，如医疗机构选择投保本医疗</w:t>
            </w:r>
            <w:r>
              <w:rPr>
                <w:rFonts w:hint="eastAsia" w:ascii="宋体" w:hAnsi="宋体" w:eastAsia="宋体" w:cs="宋体"/>
                <w:color w:val="auto"/>
                <w:sz w:val="24"/>
                <w:szCs w:val="24"/>
                <w:highlight w:val="none"/>
                <w:lang w:val="en-US" w:eastAsia="zh-CN"/>
              </w:rPr>
              <w:t>机构医疗</w:t>
            </w:r>
            <w:r>
              <w:rPr>
                <w:rFonts w:hint="eastAsia" w:ascii="宋体" w:hAnsi="宋体" w:eastAsia="宋体" w:cs="宋体"/>
                <w:color w:val="auto"/>
                <w:sz w:val="24"/>
                <w:szCs w:val="24"/>
                <w:highlight w:val="none"/>
              </w:rPr>
              <w:t>责任保险，且其上一张医疗责任保险保单到期日与投保的本医疗责任保险合同起始日连续的，视为连续投保，适用赔付率调整因子、连续追溯期等相关约定。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三、202</w:t>
      </w:r>
      <w:r>
        <w:rPr>
          <w:rFonts w:hint="eastAsia" w:ascii="宋体" w:hAnsi="宋体" w:cs="宋体"/>
          <w:b/>
          <w:bCs/>
          <w:sz w:val="24"/>
          <w:szCs w:val="24"/>
          <w:lang w:val="en-US" w:eastAsia="zh-CN"/>
        </w:rPr>
        <w:t>4</w:t>
      </w:r>
      <w:r>
        <w:rPr>
          <w:rFonts w:hint="eastAsia" w:ascii="宋体" w:hAnsi="宋体" w:eastAsia="宋体" w:cs="宋体"/>
          <w:b/>
          <w:bCs/>
          <w:sz w:val="24"/>
          <w:szCs w:val="24"/>
          <w:lang w:val="en-US" w:eastAsia="zh-CN"/>
        </w:rPr>
        <w:t>年保险费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拟投标的保险公司，根据</w:t>
      </w:r>
      <w:r>
        <w:rPr>
          <w:rFonts w:hint="eastAsia" w:ascii="宋体" w:hAnsi="宋体" w:cs="宋体"/>
          <w:color w:val="000000"/>
          <w:sz w:val="24"/>
          <w:szCs w:val="24"/>
          <w:lang w:val="en-US" w:eastAsia="zh-CN"/>
        </w:rPr>
        <w:t>海南医学院第二附属医院</w:t>
      </w:r>
      <w:r>
        <w:rPr>
          <w:rFonts w:hint="eastAsia" w:ascii="宋体" w:hAnsi="宋体" w:eastAsia="宋体" w:cs="宋体"/>
          <w:sz w:val="24"/>
          <w:szCs w:val="24"/>
          <w:lang w:val="en-US" w:eastAsia="zh-CN"/>
        </w:rPr>
        <w:t>基本情况，按照往年的费率机制测算保险费，参考我院总保费预算进行自主报价。</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售后服务</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（一）简易程序约定服务。</w:t>
      </w:r>
      <w:r>
        <w:rPr>
          <w:rFonts w:hint="eastAsia" w:ascii="宋体" w:hAnsi="宋体" w:cs="宋体"/>
          <w:b w:val="0"/>
          <w:bCs w:val="0"/>
          <w:color w:val="auto"/>
          <w:sz w:val="24"/>
          <w:szCs w:val="24"/>
          <w:highlight w:val="none"/>
          <w:lang w:val="en-US" w:eastAsia="zh-CN"/>
        </w:rPr>
        <w:t>根据国家相关法律法规，医疗纠纷可以通过以下途径进行处理：按自行协商、第三方调解、司法诉讼、行政调解、其他法律法规允许的方式。保险人给与投保人（被保险人）在符合保险责任情况下，医患自行协商处理医疗纠纷的权限，每次赔偿金额不高于10000元，全年的赔付次数不超过5次（含5次），医患双方达成协商后签订医患自行结案协议书，保险公司认可并按保险合同约定进行赔偿，如赔偿金额大于10000元，则需按相关规定流程进行责任认定，在保险责任范围内进行赔偿；</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（二）医务人员投保范围约定。</w:t>
      </w:r>
      <w:r>
        <w:rPr>
          <w:rFonts w:hint="eastAsia" w:ascii="宋体" w:hAnsi="宋体" w:cs="宋体"/>
          <w:b w:val="0"/>
          <w:bCs w:val="0"/>
          <w:color w:val="auto"/>
          <w:sz w:val="24"/>
          <w:szCs w:val="24"/>
          <w:highlight w:val="none"/>
          <w:lang w:val="en-US" w:eastAsia="zh-CN"/>
        </w:rPr>
        <w:t>是指在被保险人执业的经过国家有关部门考核、批准或承认，取得相应资格的各 级各类卫生技术人员。在本保险合同中，卫生技术人员也包括医疗管理人员、外聘医务人员、 进修生、符合多点执业条件的医务人员、按照《医师外出会诊管理暂行规定》外请的会诊医务人员；在被保险医疗机构进行城乡医院对口支援、支援基层，与被保险医疗机构签订医疗机构帮扶或托管协议、来自同一医疗集团或同一医疗联合体在被保险医疗机构多点执业的医务人员；在被保险医疗机构参加慈善或公益性巡回医疗、义诊（指按照《卫生部关于组织义 诊活动实行备案管理的通知》（卫医发[2001]365号）的要求，提供医疗、预防、保健等咨询服务的非商业性社会公益活动）、突发事件或灾害事故的医疗救援工作,参与实施公共卫生服务项的医务人员以及在被保险医疗机构依法从事诊疗活动的其他医务人员。</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（三）本保险合同中诊疗活动范围约定。</w:t>
      </w:r>
      <w:r>
        <w:rPr>
          <w:rFonts w:hint="eastAsia" w:ascii="宋体" w:hAnsi="宋体" w:cs="宋体"/>
          <w:b w:val="0"/>
          <w:bCs w:val="0"/>
          <w:color w:val="auto"/>
          <w:sz w:val="24"/>
          <w:szCs w:val="24"/>
          <w:highlight w:val="none"/>
          <w:lang w:val="en-US" w:eastAsia="zh-CN"/>
        </w:rPr>
        <w:t>本保险合同中诊疗活动是指通过各种检查，使用药物、器械及手术等方法，对疾病作出判断和消除疾病、缓解 病情、减轻痛苦、改善功能、延长生命、帮助患者恢复健康的活动。本保险合同中诊疗活动 包含护理工作，护理工作主要是指医疗机构的医务人员的下述行为：密切观察患者的生命体 征和病情变化；正确实施治疗、给药及护理措施，并观察、了解患者的反应；根据患者病情 和生活自理能力提供照顾和帮助；提供护理相关的健康指导。本保险合同中诊疗活动同时包括医疗美容诊疗活动、健康体检诊疗活动以及被保险人提供健康教育、预防接种、儿童健康管理、孕产妇健康管理、老年人健康管理、慢性病（高血压、糖尿病）患者健康管理、严重精神障碍患者管理、肺结核患者健康管理、中医药健康管 理等基本公共卫生服务活动，其中健康体检是指通过医学手段和方法对受检者进行身体检 查，了解受检者健康状况、早期发现疾病线索和健康隐患的诊疗行为。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（四）责任限额特别约定。</w:t>
      </w:r>
      <w:r>
        <w:rPr>
          <w:rFonts w:hint="eastAsia" w:ascii="宋体" w:hAnsi="宋体" w:cs="宋体"/>
          <w:b w:val="0"/>
          <w:bCs w:val="0"/>
          <w:color w:val="auto"/>
          <w:sz w:val="24"/>
          <w:szCs w:val="24"/>
          <w:highlight w:val="none"/>
          <w:lang w:val="en-US" w:eastAsia="zh-CN"/>
        </w:rPr>
        <w:t>发生保险事故后，保险人对每位医务人员累计赔偿金额不超过每位医务人员累计责任限额；保险人对每次事故每位患者的特别会诊费赔偿金额不超过每次事故每位患者特别会诊费用责任限额；保险人对每次事故损失的赔偿金额不超过每次事故责任限额；保险人对多次事故损失的累计赔偿金额不超过累计责任限额；保险人所承担的法律费用不超过累计法律费用责任限额，累计法律费用责任限额在累计责任限额以外计算。</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（五）法律依据特别约定。</w:t>
      </w:r>
      <w:r>
        <w:rPr>
          <w:rFonts w:hint="eastAsia" w:ascii="宋体" w:hAnsi="宋体" w:cs="宋体"/>
          <w:b w:val="0"/>
          <w:bCs w:val="0"/>
          <w:color w:val="auto"/>
          <w:sz w:val="24"/>
          <w:szCs w:val="24"/>
          <w:highlight w:val="none"/>
          <w:lang w:val="en-US" w:eastAsia="zh-CN"/>
        </w:rPr>
        <w:t>特此明确以下内容：1.若合同依据的《中华人民共和国民法典》《最高人民法院关于审理人身损害赔偿案件适用法律若干问题的解释》等法律文件修订、废止或被其他法律所替代的，则合同依据的法律基础以新的法律法规为准。2.对于医疗机构医疗责任保险中涉及人身损害赔偿部分，关于死亡赔偿金、残疾赔偿金、被扶养人生活费的计算，根据《最高人民法院关于修改&lt;最高人民法院关于审理人身损害赔偿案件适用法律若干问题的解释&gt;的决定》，统一采用城镇居民标准计算。</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（六）赔偿处理特别约定。</w:t>
      </w:r>
      <w:r>
        <w:rPr>
          <w:rFonts w:hint="eastAsia" w:ascii="宋体" w:hAnsi="宋体" w:cs="宋体"/>
          <w:b w:val="0"/>
          <w:bCs w:val="0"/>
          <w:color w:val="auto"/>
          <w:sz w:val="24"/>
          <w:szCs w:val="24"/>
          <w:highlight w:val="none"/>
          <w:lang w:val="en-US" w:eastAsia="zh-CN"/>
        </w:rPr>
        <w:t>被保险人在公正、自愿、高效原则下，经保险人同意认可下可以通过人民调解、民商事调解等具有专业调解资质的第三方组织或主持调解下，被保险人与患方达成的调解协议或结案协议等。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（七）风险管理服务。</w:t>
      </w:r>
      <w:r>
        <w:rPr>
          <w:rFonts w:hint="eastAsia" w:ascii="宋体" w:hAnsi="宋体" w:cs="宋体"/>
          <w:b w:val="0"/>
          <w:bCs w:val="0"/>
          <w:color w:val="auto"/>
          <w:sz w:val="24"/>
          <w:szCs w:val="24"/>
          <w:highlight w:val="none"/>
          <w:lang w:val="en-US" w:eastAsia="zh-CN"/>
        </w:rPr>
        <w:t>中标保险公司应组织专业的项目服务小组加强对承保项目的风险管理，提供项目服务小组成员名单、职务及联系方式，其中专职理赔服务人员不少于2人，协助处理医疗责任纠纷，提供专业法律服务意见，共同提高风险管理水平，尽可能防患于未然，最大限度地减少风险损失。在被保险人允许的范围内，不定期地进行面商沟通，就承保项目运营提出服务意见。</w:t>
      </w:r>
    </w:p>
    <w:p>
      <w:pPr>
        <w:spacing w:line="360" w:lineRule="auto"/>
        <w:ind w:firstLine="424" w:firstLineChars="176"/>
        <w:outlineLvl w:val="3"/>
        <w:rPr>
          <w:rFonts w:ascii="宋体" w:hAnsi="宋体" w:eastAsia="宋体" w:cs="仿宋"/>
          <w:snapToGrid w:val="0"/>
          <w:color w:val="000000"/>
          <w:kern w:val="0"/>
          <w:sz w:val="24"/>
        </w:rPr>
      </w:pPr>
      <w:r>
        <w:rPr>
          <w:rFonts w:hint="eastAsia" w:ascii="宋体" w:hAnsi="宋体" w:eastAsia="宋体" w:cs="仿宋"/>
          <w:b/>
          <w:snapToGrid w:val="0"/>
          <w:kern w:val="0"/>
          <w:sz w:val="24"/>
          <w:lang w:val="en-US" w:eastAsia="zh-CN"/>
        </w:rPr>
        <w:t>五、</w:t>
      </w:r>
      <w:r>
        <w:rPr>
          <w:rFonts w:hint="eastAsia" w:ascii="宋体" w:hAnsi="宋体" w:eastAsia="宋体" w:cs="仿宋"/>
          <w:b/>
          <w:bCs/>
          <w:snapToGrid w:val="0"/>
          <w:color w:val="000000"/>
          <w:kern w:val="0"/>
          <w:sz w:val="24"/>
        </w:rPr>
        <w:t>商务要求</w:t>
      </w:r>
      <w:r>
        <w:rPr>
          <w:rFonts w:hint="eastAsia" w:ascii="宋体" w:hAnsi="宋体" w:eastAsia="宋体" w:cs="仿宋"/>
          <w:snapToGrid w:val="0"/>
          <w:color w:val="000000"/>
          <w:kern w:val="0"/>
          <w:sz w:val="24"/>
        </w:rPr>
        <w:t>：</w:t>
      </w:r>
    </w:p>
    <w:p>
      <w:pPr>
        <w:spacing w:line="360" w:lineRule="auto"/>
        <w:ind w:firstLine="426" w:firstLineChars="177"/>
        <w:rPr>
          <w:rFonts w:ascii="宋体" w:hAnsi="宋体" w:eastAsia="宋体" w:cs="仿宋"/>
          <w:snapToGrid w:val="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一</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付款方式：</w:t>
      </w:r>
      <w:r>
        <w:rPr>
          <w:rFonts w:hint="eastAsia" w:ascii="宋体" w:hAnsi="宋体" w:eastAsia="宋体" w:cs="仿宋"/>
          <w:snapToGrid w:val="0"/>
          <w:kern w:val="0"/>
          <w:sz w:val="24"/>
        </w:rPr>
        <w:t>签订合同后医院</w:t>
      </w:r>
      <w:r>
        <w:rPr>
          <w:rFonts w:hint="eastAsia" w:ascii="宋体" w:hAnsi="宋体" w:eastAsia="宋体" w:cs="仿宋"/>
          <w:snapToGrid w:val="0"/>
          <w:kern w:val="0"/>
          <w:sz w:val="24"/>
          <w:lang w:val="en-US" w:eastAsia="zh-CN"/>
        </w:rPr>
        <w:t>先转付保险费以后，由</w:t>
      </w:r>
      <w:r>
        <w:rPr>
          <w:rFonts w:hint="eastAsia" w:ascii="宋体" w:hAnsi="宋体" w:eastAsia="宋体" w:cs="仿宋"/>
          <w:snapToGrid w:val="0"/>
          <w:kern w:val="0"/>
          <w:sz w:val="24"/>
        </w:rPr>
        <w:t>保险公司</w:t>
      </w:r>
      <w:r>
        <w:rPr>
          <w:rFonts w:hint="eastAsia" w:ascii="宋体" w:hAnsi="宋体" w:eastAsia="宋体" w:cs="仿宋"/>
          <w:snapToGrid w:val="0"/>
          <w:kern w:val="0"/>
          <w:sz w:val="24"/>
          <w:lang w:val="en-US" w:eastAsia="zh-CN"/>
        </w:rPr>
        <w:t>于5个工作日以内</w:t>
      </w:r>
      <w:r>
        <w:rPr>
          <w:rFonts w:hint="eastAsia" w:ascii="宋体" w:hAnsi="宋体" w:eastAsia="宋体" w:cs="仿宋"/>
          <w:snapToGrid w:val="0"/>
          <w:kern w:val="0"/>
          <w:sz w:val="24"/>
        </w:rPr>
        <w:t>开具</w:t>
      </w:r>
      <w:r>
        <w:rPr>
          <w:rFonts w:hint="eastAsia" w:ascii="宋体" w:hAnsi="宋体" w:eastAsia="宋体" w:cs="仿宋"/>
          <w:snapToGrid w:val="0"/>
          <w:kern w:val="0"/>
          <w:sz w:val="24"/>
          <w:lang w:val="en-US" w:eastAsia="zh-CN"/>
        </w:rPr>
        <w:t>正式保险发票，</w:t>
      </w:r>
      <w:r>
        <w:rPr>
          <w:rFonts w:hint="eastAsia" w:ascii="宋体" w:hAnsi="宋体" w:eastAsia="宋体" w:cs="仿宋"/>
          <w:snapToGrid w:val="0"/>
          <w:kern w:val="0"/>
          <w:sz w:val="24"/>
        </w:rPr>
        <w:t>一次性付清。</w:t>
      </w:r>
    </w:p>
    <w:p>
      <w:pPr>
        <w:spacing w:line="360" w:lineRule="auto"/>
        <w:ind w:firstLine="426" w:firstLineChars="177"/>
        <w:rPr>
          <w:rFonts w:ascii="宋体" w:hAnsi="宋体" w:eastAsia="宋体" w:cs="仿宋"/>
          <w:snapToGrid w:val="0"/>
          <w:color w:val="00000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二</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服务期限及地点：</w:t>
      </w:r>
      <w:r>
        <w:rPr>
          <w:rFonts w:hint="eastAsia" w:ascii="宋体" w:hAnsi="宋体" w:eastAsia="宋体" w:cs="仿宋"/>
          <w:snapToGrid w:val="0"/>
          <w:color w:val="000000"/>
          <w:kern w:val="0"/>
          <w:sz w:val="24"/>
        </w:rPr>
        <w:t>签订合同后1年，地点为</w:t>
      </w:r>
      <w:r>
        <w:rPr>
          <w:rFonts w:hint="eastAsia" w:ascii="宋体" w:hAnsi="宋体" w:eastAsia="宋体" w:cs="仿宋"/>
          <w:snapToGrid w:val="0"/>
          <w:color w:val="000000"/>
          <w:kern w:val="0"/>
          <w:sz w:val="24"/>
          <w:lang w:val="en-US" w:eastAsia="zh-CN"/>
        </w:rPr>
        <w:t>海南医学院第二附属医院</w:t>
      </w:r>
      <w:r>
        <w:rPr>
          <w:rFonts w:hint="eastAsia" w:ascii="宋体" w:hAnsi="宋体" w:eastAsia="宋体" w:cs="仿宋"/>
          <w:snapToGrid w:val="0"/>
          <w:color w:val="000000"/>
          <w:kern w:val="0"/>
          <w:sz w:val="24"/>
        </w:rPr>
        <w:t>指定地点。</w:t>
      </w:r>
    </w:p>
    <w:p>
      <w:pPr>
        <w:spacing w:line="360" w:lineRule="auto"/>
        <w:ind w:firstLine="426" w:firstLineChars="177"/>
        <w:rPr>
          <w:rFonts w:hint="eastAsia" w:ascii="宋体" w:hAnsi="宋体" w:eastAsia="宋体" w:cs="仿宋"/>
          <w:snapToGrid w:val="0"/>
          <w:color w:val="00000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三</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验收方式：</w:t>
      </w:r>
      <w:r>
        <w:rPr>
          <w:rFonts w:hint="eastAsia" w:ascii="宋体" w:hAnsi="宋体" w:eastAsia="宋体" w:cs="仿宋"/>
          <w:snapToGrid w:val="0"/>
          <w:color w:val="000000"/>
          <w:kern w:val="0"/>
          <w:sz w:val="24"/>
        </w:rPr>
        <w:t>自行验收。</w:t>
      </w:r>
    </w:p>
    <w:p>
      <w:pPr>
        <w:spacing w:line="360" w:lineRule="auto"/>
        <w:ind w:firstLine="426" w:firstLineChars="177"/>
        <w:rPr>
          <w:rFonts w:hint="eastAsia" w:ascii="宋体" w:hAnsi="宋体" w:eastAsia="宋体" w:cs="仿宋"/>
          <w:b/>
          <w:bCs/>
          <w:snapToGrid w:val="0"/>
          <w:color w:val="000000"/>
          <w:kern w:val="0"/>
          <w:sz w:val="24"/>
          <w:highlight w:val="none"/>
          <w:lang w:eastAsia="zh-CN"/>
        </w:rPr>
      </w:pPr>
      <w:r>
        <w:rPr>
          <w:rFonts w:hint="eastAsia" w:ascii="宋体" w:hAnsi="宋体" w:eastAsia="宋体" w:cs="仿宋"/>
          <w:b/>
          <w:bCs/>
          <w:snapToGrid w:val="0"/>
          <w:color w:val="000000"/>
          <w:kern w:val="0"/>
          <w:sz w:val="24"/>
          <w:highlight w:val="none"/>
          <w:lang w:val="en-US" w:eastAsia="zh-CN"/>
        </w:rPr>
        <w:t>注：</w:t>
      </w:r>
      <w:r>
        <w:rPr>
          <w:rFonts w:hint="eastAsia" w:ascii="宋体" w:hAnsi="宋体" w:eastAsia="宋体" w:cs="仿宋"/>
          <w:b/>
          <w:bCs/>
          <w:snapToGrid w:val="0"/>
          <w:color w:val="000000"/>
          <w:kern w:val="0"/>
          <w:sz w:val="24"/>
          <w:highlight w:val="none"/>
        </w:rPr>
        <w:t>以上参数及要求需全部满足，并提供承诺函加盖公章，其中一项不满足则废标</w:t>
      </w:r>
      <w:r>
        <w:rPr>
          <w:rFonts w:hint="eastAsia" w:ascii="宋体" w:hAnsi="宋体" w:eastAsia="宋体" w:cs="仿宋"/>
          <w:b/>
          <w:bCs/>
          <w:snapToGrid w:val="0"/>
          <w:color w:val="000000"/>
          <w:kern w:val="0"/>
          <w:sz w:val="24"/>
          <w:highlight w:val="none"/>
          <w:lang w:eastAsia="zh-CN"/>
        </w:rPr>
        <w:t>。</w:t>
      </w:r>
    </w:p>
    <w:p/>
    <w:sectPr>
      <w:pgSz w:w="11906" w:h="16838"/>
      <w:pgMar w:top="1157" w:right="1406" w:bottom="1157"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EC4AD"/>
    <w:multiLevelType w:val="singleLevel"/>
    <w:tmpl w:val="88AEC4AD"/>
    <w:lvl w:ilvl="0" w:tentative="0">
      <w:start w:val="1"/>
      <w:numFmt w:val="chineseCounting"/>
      <w:suff w:val="nothing"/>
      <w:lvlText w:val="%1、"/>
      <w:lvlJc w:val="left"/>
      <w:rPr>
        <w:rFonts w:hint="eastAsia"/>
      </w:rPr>
    </w:lvl>
  </w:abstractNum>
  <w:abstractNum w:abstractNumId="1">
    <w:nsid w:val="A0DFC927"/>
    <w:multiLevelType w:val="singleLevel"/>
    <w:tmpl w:val="A0DFC927"/>
    <w:lvl w:ilvl="0" w:tentative="0">
      <w:start w:val="3"/>
      <w:numFmt w:val="chineseCounting"/>
      <w:suff w:val="space"/>
      <w:lvlText w:val="第%1部分"/>
      <w:lvlJc w:val="left"/>
      <w:rPr>
        <w:rFonts w:hint="eastAsia"/>
      </w:rPr>
    </w:lvl>
  </w:abstractNum>
  <w:abstractNum w:abstractNumId="2">
    <w:nsid w:val="77B45C58"/>
    <w:multiLevelType w:val="singleLevel"/>
    <w:tmpl w:val="77B45C5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zEwMGQ1ZTE0MzdkNjdkNDVkZjgzMWY1MWMzOTEifQ=="/>
  </w:docVars>
  <w:rsids>
    <w:rsidRoot w:val="0DB866C1"/>
    <w:rsid w:val="070333CA"/>
    <w:rsid w:val="0DB866C1"/>
    <w:rsid w:val="57D111ED"/>
    <w:rsid w:val="730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8"/>
    </w:rPr>
  </w:style>
  <w:style w:type="paragraph" w:customStyle="1" w:styleId="6">
    <w:name w:val="Table Text"/>
    <w:basedOn w:val="1"/>
    <w:autoRedefine/>
    <w:semiHidden/>
    <w:qFormat/>
    <w:uiPriority w:val="0"/>
    <w:rPr>
      <w:rFonts w:ascii="楷体" w:hAnsi="楷体" w:eastAsia="楷体" w:cs="楷体"/>
      <w:sz w:val="28"/>
      <w:szCs w:val="28"/>
      <w:lang w:val="en-US" w:eastAsia="en-US" w:bidi="ar-SA"/>
    </w:rPr>
  </w:style>
  <w:style w:type="table" w:customStyle="1" w:styleId="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5351</Words>
  <Characters>5582</Characters>
  <Lines>0</Lines>
  <Paragraphs>0</Paragraphs>
  <TotalTime>1</TotalTime>
  <ScaleCrop>false</ScaleCrop>
  <LinksUpToDate>false</LinksUpToDate>
  <CharactersWithSpaces>5627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2024-04-12T03:27:00Z</dcterms:created>
  <dc:creator>⚅⚅⚅</dc:creator>
  <cp:lastModifiedBy>⚅⚅⚅</cp:lastModifiedBy>
  <dcterms:modified xsi:type="dcterms:W3CDTF">2024-07-02T07:41:57Z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A4B1A54EFE564915BBEBCF83F6B61622_11</vt:lpwstr>
  </property>
</Properties>
</file>