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color w:val="auto"/>
          <w:sz w:val="72"/>
          <w:szCs w:val="72"/>
          <w:highlight w:val="none"/>
          <w:lang w:eastAsia="zh-CN"/>
        </w:rPr>
      </w:pPr>
    </w:p>
    <w:p>
      <w:pPr>
        <w:jc w:val="center"/>
        <w:rPr>
          <w:color w:val="auto"/>
          <w:highlight w:val="none"/>
        </w:rPr>
      </w:pPr>
      <w:r>
        <w:rPr>
          <w:rFonts w:hint="eastAsia" w:ascii="宋体" w:hAnsi="宋体"/>
          <w:b/>
          <w:color w:val="auto"/>
          <w:sz w:val="56"/>
          <w:szCs w:val="56"/>
          <w:highlight w:val="none"/>
          <w:lang w:eastAsia="zh-CN"/>
        </w:rPr>
        <w:t>保亭县响水镇金江居大社区综合服务中心文化配套采购项目</w:t>
      </w:r>
    </w:p>
    <w:p>
      <w:pPr>
        <w:spacing w:line="360" w:lineRule="auto"/>
        <w:jc w:val="both"/>
        <w:rPr>
          <w:rFonts w:hint="eastAsia" w:ascii="宋体" w:hAnsi="宋体"/>
          <w:b/>
          <w:color w:val="auto"/>
          <w:sz w:val="84"/>
          <w:szCs w:val="84"/>
          <w:highlight w:val="none"/>
        </w:rPr>
      </w:pPr>
    </w:p>
    <w:p>
      <w:pPr>
        <w:spacing w:line="360" w:lineRule="auto"/>
        <w:jc w:val="center"/>
        <w:rPr>
          <w:rFonts w:hint="eastAsia" w:ascii="宋体" w:hAnsi="宋体"/>
          <w:b/>
          <w:color w:val="auto"/>
          <w:sz w:val="56"/>
          <w:szCs w:val="56"/>
          <w:highlight w:val="none"/>
        </w:rPr>
      </w:pPr>
    </w:p>
    <w:p>
      <w:pPr>
        <w:spacing w:line="360" w:lineRule="auto"/>
        <w:jc w:val="center"/>
        <w:rPr>
          <w:rFonts w:ascii="宋体" w:hAnsi="宋体"/>
          <w:b/>
          <w:color w:val="auto"/>
          <w:sz w:val="56"/>
          <w:szCs w:val="56"/>
          <w:highlight w:val="none"/>
        </w:rPr>
      </w:pPr>
      <w:r>
        <w:rPr>
          <w:rFonts w:hint="eastAsia" w:ascii="宋体" w:hAnsi="宋体"/>
          <w:b/>
          <w:color w:val="auto"/>
          <w:sz w:val="56"/>
          <w:szCs w:val="56"/>
          <w:highlight w:val="none"/>
        </w:rPr>
        <w:t>竞争性磋商文件</w:t>
      </w:r>
    </w:p>
    <w:p>
      <w:pPr>
        <w:spacing w:line="360" w:lineRule="auto"/>
        <w:rPr>
          <w:rFonts w:ascii="宋体" w:hAnsi="宋体"/>
          <w:b/>
          <w:color w:val="auto"/>
          <w:spacing w:val="100"/>
          <w:sz w:val="30"/>
          <w:highlight w:val="none"/>
        </w:rPr>
      </w:pPr>
    </w:p>
    <w:p>
      <w:pPr>
        <w:spacing w:line="360" w:lineRule="auto"/>
        <w:rPr>
          <w:rFonts w:ascii="宋体" w:hAnsi="宋体"/>
          <w:b/>
          <w:color w:val="auto"/>
          <w:spacing w:val="100"/>
          <w:sz w:val="30"/>
          <w:highlight w:val="none"/>
        </w:rPr>
      </w:pPr>
    </w:p>
    <w:p>
      <w:pPr>
        <w:spacing w:line="360" w:lineRule="auto"/>
        <w:rPr>
          <w:rFonts w:ascii="宋体" w:hAnsi="宋体"/>
          <w:b/>
          <w:color w:val="auto"/>
          <w:spacing w:val="100"/>
          <w:sz w:val="30"/>
          <w:highlight w:val="none"/>
        </w:rPr>
      </w:pPr>
    </w:p>
    <w:p>
      <w:pPr>
        <w:spacing w:line="360" w:lineRule="auto"/>
        <w:ind w:firstLine="1504" w:firstLineChars="300"/>
        <w:rPr>
          <w:rFonts w:hint="eastAsia" w:ascii="宋体" w:hAnsi="宋体" w:eastAsia="宋体"/>
          <w:b/>
          <w:color w:val="auto"/>
          <w:sz w:val="30"/>
          <w:szCs w:val="30"/>
          <w:highlight w:val="none"/>
          <w:lang w:eastAsia="zh-CN"/>
        </w:rPr>
      </w:pPr>
      <w:r>
        <w:rPr>
          <w:rFonts w:hint="eastAsia" w:ascii="宋体" w:hAnsi="宋体"/>
          <w:b/>
          <w:color w:val="auto"/>
          <w:spacing w:val="100"/>
          <w:sz w:val="30"/>
          <w:szCs w:val="30"/>
          <w:highlight w:val="none"/>
        </w:rPr>
        <w:t>项目编</w:t>
      </w:r>
      <w:r>
        <w:rPr>
          <w:rFonts w:hint="eastAsia" w:ascii="宋体" w:hAnsi="宋体"/>
          <w:b/>
          <w:color w:val="auto"/>
          <w:sz w:val="30"/>
          <w:szCs w:val="30"/>
          <w:highlight w:val="none"/>
        </w:rPr>
        <w:t>号：</w:t>
      </w:r>
      <w:r>
        <w:rPr>
          <w:rFonts w:hint="eastAsia" w:ascii="宋体" w:hAnsi="宋体"/>
          <w:b/>
          <w:color w:val="auto"/>
          <w:sz w:val="30"/>
          <w:szCs w:val="30"/>
          <w:highlight w:val="none"/>
          <w:lang w:eastAsia="zh-CN"/>
        </w:rPr>
        <w:t>HNJY2024【52】</w:t>
      </w:r>
    </w:p>
    <w:p>
      <w:pPr>
        <w:spacing w:line="360" w:lineRule="auto"/>
        <w:ind w:firstLine="298" w:firstLineChars="99"/>
        <w:rPr>
          <w:rFonts w:ascii="宋体" w:hAnsi="宋体"/>
          <w:b/>
          <w:color w:val="auto"/>
          <w:sz w:val="30"/>
          <w:szCs w:val="30"/>
          <w:highlight w:val="none"/>
          <w:u w:val="single"/>
        </w:rPr>
      </w:pPr>
    </w:p>
    <w:p>
      <w:pPr>
        <w:spacing w:line="360" w:lineRule="auto"/>
        <w:ind w:firstLine="1506" w:firstLineChars="500"/>
        <w:rPr>
          <w:rFonts w:hint="eastAsia" w:ascii="宋体" w:hAnsi="宋体"/>
          <w:b/>
          <w:color w:val="auto"/>
          <w:sz w:val="30"/>
          <w:szCs w:val="30"/>
          <w:highlight w:val="none"/>
        </w:rPr>
      </w:pPr>
    </w:p>
    <w:p>
      <w:pPr>
        <w:spacing w:line="360" w:lineRule="auto"/>
        <w:ind w:firstLine="1506" w:firstLineChars="500"/>
        <w:rPr>
          <w:rFonts w:hint="eastAsia" w:ascii="宋体" w:hAnsi="宋体" w:eastAsia="宋体"/>
          <w:b/>
          <w:color w:val="auto"/>
          <w:sz w:val="30"/>
          <w:szCs w:val="30"/>
          <w:highlight w:val="none"/>
          <w:lang w:eastAsia="zh-CN"/>
        </w:rPr>
      </w:pPr>
      <w:r>
        <w:rPr>
          <w:rFonts w:hint="eastAsia" w:ascii="宋体" w:hAnsi="宋体"/>
          <w:b/>
          <w:color w:val="auto"/>
          <w:sz w:val="30"/>
          <w:szCs w:val="30"/>
          <w:highlight w:val="none"/>
        </w:rPr>
        <w:t xml:space="preserve">采 购 </w:t>
      </w:r>
      <w:r>
        <w:rPr>
          <w:rFonts w:hint="eastAsia" w:ascii="宋体" w:hAnsi="宋体"/>
          <w:b/>
          <w:color w:val="auto"/>
          <w:sz w:val="30"/>
          <w:szCs w:val="30"/>
          <w:highlight w:val="none"/>
          <w:lang w:val="en-US" w:eastAsia="zh-CN"/>
        </w:rPr>
        <w:t>人</w:t>
      </w:r>
      <w:r>
        <w:rPr>
          <w:rFonts w:hint="eastAsia" w:ascii="宋体" w:hAnsi="宋体"/>
          <w:b/>
          <w:color w:val="auto"/>
          <w:sz w:val="30"/>
          <w:szCs w:val="30"/>
          <w:highlight w:val="none"/>
        </w:rPr>
        <w:t>：</w:t>
      </w:r>
      <w:r>
        <w:rPr>
          <w:rFonts w:hint="eastAsia" w:ascii="宋体" w:hAnsi="宋体"/>
          <w:b/>
          <w:color w:val="auto"/>
          <w:sz w:val="30"/>
          <w:szCs w:val="30"/>
          <w:highlight w:val="none"/>
          <w:lang w:eastAsia="zh-CN"/>
        </w:rPr>
        <w:t>保亭黎族苗族自治县民政局</w:t>
      </w:r>
    </w:p>
    <w:p>
      <w:pPr>
        <w:spacing w:line="360" w:lineRule="auto"/>
        <w:ind w:firstLine="465" w:firstLineChars="155"/>
        <w:rPr>
          <w:rFonts w:ascii="宋体" w:hAnsi="宋体"/>
          <w:color w:val="auto"/>
          <w:sz w:val="30"/>
          <w:szCs w:val="30"/>
          <w:highlight w:val="none"/>
        </w:rPr>
      </w:pPr>
    </w:p>
    <w:p>
      <w:pPr>
        <w:spacing w:line="360" w:lineRule="auto"/>
        <w:ind w:firstLine="1506" w:firstLineChars="500"/>
        <w:rPr>
          <w:rFonts w:hint="eastAsia" w:ascii="宋体" w:hAnsi="宋体"/>
          <w:b/>
          <w:color w:val="auto"/>
          <w:sz w:val="30"/>
          <w:szCs w:val="30"/>
          <w:highlight w:val="none"/>
        </w:rPr>
      </w:pPr>
    </w:p>
    <w:p>
      <w:pPr>
        <w:spacing w:line="360" w:lineRule="auto"/>
        <w:ind w:firstLine="1506" w:firstLineChars="500"/>
        <w:rPr>
          <w:rFonts w:ascii="宋体" w:hAnsi="宋体"/>
          <w:b/>
          <w:color w:val="auto"/>
          <w:sz w:val="30"/>
          <w:szCs w:val="30"/>
          <w:highlight w:val="none"/>
        </w:rPr>
      </w:pPr>
      <w:r>
        <w:rPr>
          <w:rFonts w:hint="eastAsia" w:ascii="宋体" w:hAnsi="宋体"/>
          <w:b/>
          <w:color w:val="auto"/>
          <w:sz w:val="30"/>
          <w:szCs w:val="30"/>
          <w:highlight w:val="none"/>
        </w:rPr>
        <w:t>采 购 代 理：海南建云项目管理有限公司</w:t>
      </w:r>
    </w:p>
    <w:p>
      <w:pPr>
        <w:spacing w:line="360" w:lineRule="auto"/>
        <w:rPr>
          <w:rFonts w:ascii="宋体" w:hAnsi="宋体"/>
          <w:b/>
          <w:color w:val="auto"/>
          <w:sz w:val="30"/>
          <w:highlight w:val="none"/>
        </w:rPr>
      </w:pPr>
    </w:p>
    <w:p>
      <w:pPr>
        <w:spacing w:line="360" w:lineRule="auto"/>
        <w:jc w:val="center"/>
        <w:rPr>
          <w:color w:val="auto"/>
          <w:sz w:val="24"/>
          <w:highlight w:val="none"/>
        </w:rPr>
      </w:pPr>
      <w:r>
        <w:rPr>
          <w:rFonts w:hint="eastAsia" w:ascii="宋体" w:hAnsi="宋体" w:cs="Courier New"/>
          <w:b/>
          <w:color w:val="auto"/>
          <w:w w:val="95"/>
          <w:sz w:val="36"/>
          <w:szCs w:val="36"/>
          <w:highlight w:val="none"/>
        </w:rPr>
        <w:t>202</w:t>
      </w:r>
      <w:r>
        <w:rPr>
          <w:rFonts w:hint="eastAsia" w:ascii="宋体" w:hAnsi="宋体" w:cs="Courier New"/>
          <w:b/>
          <w:color w:val="auto"/>
          <w:w w:val="95"/>
          <w:sz w:val="36"/>
          <w:szCs w:val="36"/>
          <w:highlight w:val="none"/>
          <w:lang w:val="en-US" w:eastAsia="zh-CN"/>
        </w:rPr>
        <w:t>4</w:t>
      </w:r>
      <w:r>
        <w:rPr>
          <w:rFonts w:hint="eastAsia" w:ascii="宋体" w:hAnsi="宋体" w:cs="Courier New"/>
          <w:b/>
          <w:color w:val="auto"/>
          <w:w w:val="95"/>
          <w:sz w:val="36"/>
          <w:szCs w:val="36"/>
          <w:highlight w:val="none"/>
        </w:rPr>
        <w:t>年</w:t>
      </w:r>
      <w:r>
        <w:rPr>
          <w:rFonts w:hint="eastAsia" w:ascii="宋体" w:hAnsi="宋体" w:cs="Courier New"/>
          <w:b/>
          <w:color w:val="auto"/>
          <w:w w:val="95"/>
          <w:sz w:val="36"/>
          <w:szCs w:val="36"/>
          <w:highlight w:val="none"/>
          <w:lang w:val="en-US" w:eastAsia="zh-CN"/>
        </w:rPr>
        <w:t>07</w:t>
      </w:r>
      <w:r>
        <w:rPr>
          <w:rFonts w:hint="eastAsia" w:ascii="宋体" w:hAnsi="宋体" w:cs="Courier New"/>
          <w:b/>
          <w:color w:val="auto"/>
          <w:w w:val="95"/>
          <w:sz w:val="36"/>
          <w:szCs w:val="36"/>
          <w:highlight w:val="none"/>
        </w:rPr>
        <w:t>月</w:t>
      </w:r>
    </w:p>
    <w:p>
      <w:pPr>
        <w:rPr>
          <w:color w:val="auto"/>
          <w:sz w:val="24"/>
          <w:highlight w:val="none"/>
        </w:rPr>
      </w:pPr>
    </w:p>
    <w:p>
      <w:pPr>
        <w:rPr>
          <w:color w:val="auto"/>
          <w:sz w:val="24"/>
          <w:highlight w:val="none"/>
        </w:rPr>
        <w:sectPr>
          <w:footerReference r:id="rId7" w:type="first"/>
          <w:headerReference r:id="rId3" w:type="default"/>
          <w:footerReference r:id="rId5" w:type="default"/>
          <w:headerReference r:id="rId4" w:type="even"/>
          <w:footerReference r:id="rId6" w:type="even"/>
          <w:pgSz w:w="11906" w:h="16838"/>
          <w:pgMar w:top="1247" w:right="1247" w:bottom="1134" w:left="1644" w:header="851" w:footer="851" w:gutter="0"/>
          <w:cols w:space="720" w:num="1"/>
          <w:titlePg/>
          <w:docGrid w:type="lines" w:linePitch="312" w:charSpace="0"/>
        </w:sectPr>
      </w:pPr>
    </w:p>
    <w:p>
      <w:pPr>
        <w:pStyle w:val="18"/>
        <w:adjustRightInd w:val="0"/>
        <w:snapToGrid w:val="0"/>
        <w:spacing w:before="100" w:after="100"/>
        <w:jc w:val="center"/>
        <w:rPr>
          <w:caps w:val="0"/>
          <w:color w:val="auto"/>
          <w:sz w:val="48"/>
          <w:szCs w:val="48"/>
          <w:highlight w:val="none"/>
        </w:rPr>
      </w:pPr>
      <w:r>
        <w:rPr>
          <w:rFonts w:hint="eastAsia"/>
          <w:caps w:val="0"/>
          <w:color w:val="auto"/>
          <w:sz w:val="48"/>
          <w:szCs w:val="48"/>
          <w:highlight w:val="none"/>
        </w:rPr>
        <w:t>目   录</w:t>
      </w:r>
    </w:p>
    <w:p>
      <w:pPr>
        <w:rPr>
          <w:color w:val="auto"/>
          <w:highlight w:val="none"/>
        </w:rPr>
      </w:pPr>
    </w:p>
    <w:p>
      <w:pPr>
        <w:pStyle w:val="18"/>
        <w:tabs>
          <w:tab w:val="right" w:leader="dot" w:pos="9015"/>
        </w:tabs>
        <w:spacing w:line="360" w:lineRule="auto"/>
        <w:rPr>
          <w:color w:val="auto"/>
        </w:rPr>
      </w:pPr>
      <w:r>
        <w:rPr>
          <w:rFonts w:hint="eastAsia" w:ascii="宋体" w:hAnsi="宋体" w:cs="宋体"/>
          <w:smallCaps/>
          <w:color w:val="auto"/>
          <w:sz w:val="28"/>
          <w:szCs w:val="28"/>
          <w:highlight w:val="none"/>
        </w:rPr>
        <w:fldChar w:fldCharType="begin"/>
      </w:r>
      <w:r>
        <w:rPr>
          <w:rFonts w:hint="eastAsia" w:ascii="宋体" w:hAnsi="宋体" w:cs="宋体"/>
          <w:smallCaps/>
          <w:color w:val="auto"/>
          <w:sz w:val="28"/>
          <w:szCs w:val="28"/>
          <w:highlight w:val="none"/>
        </w:rPr>
        <w:instrText xml:space="preserve">TOC \o "1-3" \h \u </w:instrText>
      </w:r>
      <w:r>
        <w:rPr>
          <w:rFonts w:hint="eastAsia" w:ascii="宋体" w:hAnsi="宋体" w:cs="宋体"/>
          <w:smallCaps/>
          <w:color w:val="auto"/>
          <w:sz w:val="28"/>
          <w:szCs w:val="28"/>
          <w:highlight w:val="none"/>
        </w:rPr>
        <w:fldChar w:fldCharType="separate"/>
      </w:r>
      <w:r>
        <w:rPr>
          <w:rFonts w:hint="eastAsia" w:ascii="宋体" w:hAnsi="宋体" w:cs="宋体"/>
          <w:smallCaps/>
          <w:color w:val="auto"/>
          <w:szCs w:val="28"/>
          <w:highlight w:val="none"/>
        </w:rPr>
        <w:fldChar w:fldCharType="begin"/>
      </w:r>
      <w:r>
        <w:rPr>
          <w:rFonts w:hint="eastAsia" w:ascii="宋体" w:hAnsi="宋体" w:cs="宋体"/>
          <w:smallCaps/>
          <w:color w:val="auto"/>
          <w:szCs w:val="28"/>
          <w:highlight w:val="none"/>
        </w:rPr>
        <w:instrText xml:space="preserve"> HYPERLINK \l _Toc10880 </w:instrText>
      </w:r>
      <w:r>
        <w:rPr>
          <w:rFonts w:hint="eastAsia" w:ascii="宋体" w:hAnsi="宋体" w:cs="宋体"/>
          <w:smallCaps/>
          <w:color w:val="auto"/>
          <w:szCs w:val="28"/>
          <w:highlight w:val="none"/>
        </w:rPr>
        <w:fldChar w:fldCharType="separate"/>
      </w:r>
      <w:r>
        <w:rPr>
          <w:rFonts w:hint="eastAsia"/>
          <w:color w:val="auto"/>
          <w:highlight w:val="none"/>
          <w:lang w:val="en-US" w:eastAsia="zh-CN"/>
        </w:rPr>
        <w:t>第</w:t>
      </w:r>
      <w:r>
        <w:rPr>
          <w:rFonts w:hint="eastAsia"/>
          <w:color w:val="auto"/>
          <w:highlight w:val="none"/>
        </w:rPr>
        <w:t>一部分</w:t>
      </w:r>
      <w:r>
        <w:rPr>
          <w:rFonts w:hint="eastAsia"/>
          <w:color w:val="auto"/>
          <w:highlight w:val="none"/>
          <w:lang w:val="en-US" w:eastAsia="zh-CN"/>
        </w:rPr>
        <w:t xml:space="preserve">  </w:t>
      </w:r>
      <w:r>
        <w:rPr>
          <w:rFonts w:hint="eastAsia"/>
          <w:color w:val="auto"/>
          <w:highlight w:val="none"/>
        </w:rPr>
        <w:t>竞争性磋商公告</w:t>
      </w:r>
      <w:r>
        <w:rPr>
          <w:color w:val="auto"/>
        </w:rPr>
        <w:tab/>
      </w:r>
      <w:r>
        <w:rPr>
          <w:color w:val="auto"/>
        </w:rPr>
        <w:fldChar w:fldCharType="begin"/>
      </w:r>
      <w:r>
        <w:rPr>
          <w:color w:val="auto"/>
        </w:rPr>
        <w:instrText xml:space="preserve"> PAGEREF _Toc10880 \h </w:instrText>
      </w:r>
      <w:r>
        <w:rPr>
          <w:color w:val="auto"/>
        </w:rPr>
        <w:fldChar w:fldCharType="separate"/>
      </w:r>
      <w:r>
        <w:rPr>
          <w:color w:val="auto"/>
        </w:rPr>
        <w:t>1</w:t>
      </w:r>
      <w:r>
        <w:rPr>
          <w:color w:val="auto"/>
        </w:rPr>
        <w:fldChar w:fldCharType="end"/>
      </w:r>
      <w:r>
        <w:rPr>
          <w:rFonts w:hint="eastAsia" w:ascii="宋体" w:hAnsi="宋体" w:cs="宋体"/>
          <w:smallCaps/>
          <w:color w:val="auto"/>
          <w:szCs w:val="28"/>
          <w:highlight w:val="none"/>
        </w:rPr>
        <w:fldChar w:fldCharType="end"/>
      </w:r>
    </w:p>
    <w:p>
      <w:pPr>
        <w:pStyle w:val="18"/>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_Toc2526 </w:instrText>
      </w:r>
      <w:r>
        <w:rPr>
          <w:rFonts w:hint="eastAsia" w:ascii="宋体" w:hAnsi="宋体" w:cs="宋体"/>
          <w:smallCaps w:val="0"/>
          <w:color w:val="auto"/>
          <w:szCs w:val="28"/>
          <w:highlight w:val="none"/>
        </w:rPr>
        <w:fldChar w:fldCharType="separate"/>
      </w:r>
      <w:r>
        <w:rPr>
          <w:rFonts w:hint="eastAsia"/>
          <w:color w:val="auto"/>
          <w:highlight w:val="none"/>
        </w:rPr>
        <w:t>第二部分  供应商须知</w:t>
      </w:r>
      <w:r>
        <w:rPr>
          <w:color w:val="auto"/>
        </w:rPr>
        <w:tab/>
      </w:r>
      <w:r>
        <w:rPr>
          <w:color w:val="auto"/>
        </w:rPr>
        <w:fldChar w:fldCharType="begin"/>
      </w:r>
      <w:r>
        <w:rPr>
          <w:color w:val="auto"/>
        </w:rPr>
        <w:instrText xml:space="preserve"> PAGEREF _Toc2526 \h </w:instrText>
      </w:r>
      <w:r>
        <w:rPr>
          <w:color w:val="auto"/>
        </w:rPr>
        <w:fldChar w:fldCharType="separate"/>
      </w:r>
      <w:r>
        <w:rPr>
          <w:color w:val="auto"/>
        </w:rPr>
        <w:t>7</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_Toc30279 </w:instrText>
      </w:r>
      <w:r>
        <w:rPr>
          <w:rFonts w:hint="eastAsia" w:ascii="宋体" w:hAnsi="宋体" w:cs="宋体"/>
          <w:smallCaps w:val="0"/>
          <w:color w:val="auto"/>
          <w:szCs w:val="28"/>
          <w:highlight w:val="none"/>
        </w:rPr>
        <w:fldChar w:fldCharType="separate"/>
      </w:r>
      <w:r>
        <w:rPr>
          <w:rFonts w:hint="eastAsia"/>
          <w:color w:val="auto"/>
          <w:highlight w:val="none"/>
        </w:rPr>
        <w:t>供应商须知前附表</w:t>
      </w:r>
      <w:r>
        <w:rPr>
          <w:color w:val="auto"/>
        </w:rPr>
        <w:tab/>
      </w:r>
      <w:r>
        <w:rPr>
          <w:color w:val="auto"/>
        </w:rPr>
        <w:fldChar w:fldCharType="begin"/>
      </w:r>
      <w:r>
        <w:rPr>
          <w:color w:val="auto"/>
        </w:rPr>
        <w:instrText xml:space="preserve"> PAGEREF _Toc30279 \h </w:instrText>
      </w:r>
      <w:r>
        <w:rPr>
          <w:color w:val="auto"/>
        </w:rPr>
        <w:fldChar w:fldCharType="separate"/>
      </w:r>
      <w:r>
        <w:rPr>
          <w:color w:val="auto"/>
        </w:rPr>
        <w:t>7</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_Toc13425 </w:instrText>
      </w:r>
      <w:r>
        <w:rPr>
          <w:rFonts w:hint="eastAsia" w:ascii="宋体" w:hAnsi="宋体" w:cs="宋体"/>
          <w:smallCaps w:val="0"/>
          <w:color w:val="auto"/>
          <w:szCs w:val="28"/>
          <w:highlight w:val="none"/>
        </w:rPr>
        <w:fldChar w:fldCharType="separate"/>
      </w:r>
      <w:r>
        <w:rPr>
          <w:rFonts w:hint="eastAsia"/>
          <w:color w:val="auto"/>
        </w:rPr>
        <w:t>说明和释义</w:t>
      </w:r>
      <w:r>
        <w:rPr>
          <w:color w:val="auto"/>
        </w:rPr>
        <w:tab/>
      </w:r>
      <w:r>
        <w:rPr>
          <w:color w:val="auto"/>
        </w:rPr>
        <w:fldChar w:fldCharType="begin"/>
      </w:r>
      <w:r>
        <w:rPr>
          <w:color w:val="auto"/>
        </w:rPr>
        <w:instrText xml:space="preserve"> PAGEREF _Toc13425 \h </w:instrText>
      </w:r>
      <w:r>
        <w:rPr>
          <w:color w:val="auto"/>
        </w:rPr>
        <w:fldChar w:fldCharType="separate"/>
      </w:r>
      <w:r>
        <w:rPr>
          <w:color w:val="auto"/>
        </w:rPr>
        <w:t>14</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_Toc2673 </w:instrText>
      </w:r>
      <w:r>
        <w:rPr>
          <w:rFonts w:hint="eastAsia" w:ascii="宋体" w:hAnsi="宋体" w:cs="宋体"/>
          <w:smallCaps w:val="0"/>
          <w:color w:val="auto"/>
          <w:szCs w:val="28"/>
          <w:highlight w:val="none"/>
        </w:rPr>
        <w:fldChar w:fldCharType="separate"/>
      </w:r>
      <w:r>
        <w:rPr>
          <w:color w:val="auto"/>
        </w:rPr>
        <w:t xml:space="preserve">A. </w:t>
      </w:r>
      <w:r>
        <w:rPr>
          <w:rFonts w:hint="eastAsia"/>
          <w:color w:val="auto"/>
        </w:rPr>
        <w:t>磋商文件</w:t>
      </w:r>
      <w:r>
        <w:rPr>
          <w:color w:val="auto"/>
        </w:rPr>
        <w:tab/>
      </w:r>
      <w:r>
        <w:rPr>
          <w:color w:val="auto"/>
        </w:rPr>
        <w:fldChar w:fldCharType="begin"/>
      </w:r>
      <w:r>
        <w:rPr>
          <w:color w:val="auto"/>
        </w:rPr>
        <w:instrText xml:space="preserve"> PAGEREF _Toc2673 \h </w:instrText>
      </w:r>
      <w:r>
        <w:rPr>
          <w:color w:val="auto"/>
        </w:rPr>
        <w:fldChar w:fldCharType="separate"/>
      </w:r>
      <w:r>
        <w:rPr>
          <w:color w:val="auto"/>
        </w:rPr>
        <w:t>15</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_Toc18159 </w:instrText>
      </w:r>
      <w:r>
        <w:rPr>
          <w:rFonts w:hint="eastAsia" w:ascii="宋体" w:hAnsi="宋体" w:cs="宋体"/>
          <w:smallCaps w:val="0"/>
          <w:color w:val="auto"/>
          <w:szCs w:val="28"/>
          <w:highlight w:val="none"/>
        </w:rPr>
        <w:fldChar w:fldCharType="separate"/>
      </w:r>
      <w:r>
        <w:rPr>
          <w:color w:val="auto"/>
        </w:rPr>
        <w:t xml:space="preserve">B. </w:t>
      </w:r>
      <w:r>
        <w:rPr>
          <w:rFonts w:hint="eastAsia"/>
          <w:color w:val="auto"/>
        </w:rPr>
        <w:t>响应文件</w:t>
      </w:r>
      <w:r>
        <w:rPr>
          <w:color w:val="auto"/>
        </w:rPr>
        <w:tab/>
      </w:r>
      <w:r>
        <w:rPr>
          <w:color w:val="auto"/>
        </w:rPr>
        <w:fldChar w:fldCharType="begin"/>
      </w:r>
      <w:r>
        <w:rPr>
          <w:color w:val="auto"/>
        </w:rPr>
        <w:instrText xml:space="preserve"> PAGEREF _Toc18159 \h </w:instrText>
      </w:r>
      <w:r>
        <w:rPr>
          <w:color w:val="auto"/>
        </w:rPr>
        <w:fldChar w:fldCharType="separate"/>
      </w:r>
      <w:r>
        <w:rPr>
          <w:color w:val="auto"/>
        </w:rPr>
        <w:t>15</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_Toc17962 </w:instrText>
      </w:r>
      <w:r>
        <w:rPr>
          <w:rFonts w:hint="eastAsia" w:ascii="宋体" w:hAnsi="宋体" w:cs="宋体"/>
          <w:smallCaps w:val="0"/>
          <w:color w:val="auto"/>
          <w:szCs w:val="28"/>
          <w:highlight w:val="none"/>
        </w:rPr>
        <w:fldChar w:fldCharType="separate"/>
      </w:r>
      <w:r>
        <w:rPr>
          <w:color w:val="auto"/>
        </w:rPr>
        <w:t xml:space="preserve">C. </w:t>
      </w:r>
      <w:r>
        <w:rPr>
          <w:rFonts w:hint="eastAsia"/>
          <w:color w:val="auto"/>
        </w:rPr>
        <w:t>响应文件的递交</w:t>
      </w:r>
      <w:r>
        <w:rPr>
          <w:color w:val="auto"/>
        </w:rPr>
        <w:tab/>
      </w:r>
      <w:r>
        <w:rPr>
          <w:color w:val="auto"/>
        </w:rPr>
        <w:fldChar w:fldCharType="begin"/>
      </w:r>
      <w:r>
        <w:rPr>
          <w:color w:val="auto"/>
        </w:rPr>
        <w:instrText xml:space="preserve"> PAGEREF _Toc17962 \h </w:instrText>
      </w:r>
      <w:r>
        <w:rPr>
          <w:color w:val="auto"/>
        </w:rPr>
        <w:fldChar w:fldCharType="separate"/>
      </w:r>
      <w:r>
        <w:rPr>
          <w:color w:val="auto"/>
        </w:rPr>
        <w:t>17</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_Toc6602 </w:instrText>
      </w:r>
      <w:r>
        <w:rPr>
          <w:rFonts w:hint="eastAsia" w:ascii="宋体" w:hAnsi="宋体" w:cs="宋体"/>
          <w:smallCaps w:val="0"/>
          <w:color w:val="auto"/>
          <w:szCs w:val="28"/>
          <w:highlight w:val="none"/>
        </w:rPr>
        <w:fldChar w:fldCharType="separate"/>
      </w:r>
      <w:r>
        <w:rPr>
          <w:color w:val="auto"/>
        </w:rPr>
        <w:t xml:space="preserve">D. </w:t>
      </w:r>
      <w:r>
        <w:rPr>
          <w:rFonts w:hint="eastAsia"/>
          <w:color w:val="auto"/>
        </w:rPr>
        <w:t>磋商程序</w:t>
      </w:r>
      <w:r>
        <w:rPr>
          <w:color w:val="auto"/>
        </w:rPr>
        <w:tab/>
      </w:r>
      <w:r>
        <w:rPr>
          <w:color w:val="auto"/>
        </w:rPr>
        <w:fldChar w:fldCharType="begin"/>
      </w:r>
      <w:r>
        <w:rPr>
          <w:color w:val="auto"/>
        </w:rPr>
        <w:instrText xml:space="preserve"> PAGEREF _Toc6602 \h </w:instrText>
      </w:r>
      <w:r>
        <w:rPr>
          <w:color w:val="auto"/>
        </w:rPr>
        <w:fldChar w:fldCharType="separate"/>
      </w:r>
      <w:r>
        <w:rPr>
          <w:color w:val="auto"/>
        </w:rPr>
        <w:t>17</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_Toc7336 </w:instrText>
      </w:r>
      <w:r>
        <w:rPr>
          <w:rFonts w:hint="eastAsia" w:ascii="宋体" w:hAnsi="宋体" w:cs="宋体"/>
          <w:smallCaps w:val="0"/>
          <w:color w:val="auto"/>
          <w:szCs w:val="28"/>
          <w:highlight w:val="none"/>
        </w:rPr>
        <w:fldChar w:fldCharType="separate"/>
      </w:r>
      <w:r>
        <w:rPr>
          <w:color w:val="auto"/>
        </w:rPr>
        <w:t xml:space="preserve">E. </w:t>
      </w:r>
      <w:r>
        <w:rPr>
          <w:rFonts w:hint="eastAsia"/>
          <w:color w:val="auto"/>
        </w:rPr>
        <w:t>授予合同</w:t>
      </w:r>
      <w:r>
        <w:rPr>
          <w:color w:val="auto"/>
        </w:rPr>
        <w:tab/>
      </w:r>
      <w:r>
        <w:rPr>
          <w:color w:val="auto"/>
        </w:rPr>
        <w:fldChar w:fldCharType="begin"/>
      </w:r>
      <w:r>
        <w:rPr>
          <w:color w:val="auto"/>
        </w:rPr>
        <w:instrText xml:space="preserve"> PAGEREF _Toc7336 \h </w:instrText>
      </w:r>
      <w:r>
        <w:rPr>
          <w:color w:val="auto"/>
        </w:rPr>
        <w:fldChar w:fldCharType="separate"/>
      </w:r>
      <w:r>
        <w:rPr>
          <w:color w:val="auto"/>
        </w:rPr>
        <w:t>19</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_Toc1476 </w:instrText>
      </w:r>
      <w:r>
        <w:rPr>
          <w:rFonts w:hint="eastAsia" w:ascii="宋体" w:hAnsi="宋体" w:cs="宋体"/>
          <w:smallCaps w:val="0"/>
          <w:color w:val="auto"/>
          <w:szCs w:val="28"/>
          <w:highlight w:val="none"/>
        </w:rPr>
        <w:fldChar w:fldCharType="separate"/>
      </w:r>
      <w:r>
        <w:rPr>
          <w:color w:val="auto"/>
        </w:rPr>
        <w:t xml:space="preserve">F. </w:t>
      </w:r>
      <w:r>
        <w:rPr>
          <w:rFonts w:hint="eastAsia"/>
          <w:color w:val="auto"/>
        </w:rPr>
        <w:t>询问、质疑和投诉</w:t>
      </w:r>
      <w:r>
        <w:rPr>
          <w:color w:val="auto"/>
        </w:rPr>
        <w:tab/>
      </w:r>
      <w:r>
        <w:rPr>
          <w:color w:val="auto"/>
        </w:rPr>
        <w:fldChar w:fldCharType="begin"/>
      </w:r>
      <w:r>
        <w:rPr>
          <w:color w:val="auto"/>
        </w:rPr>
        <w:instrText xml:space="preserve"> PAGEREF _Toc1476 \h </w:instrText>
      </w:r>
      <w:r>
        <w:rPr>
          <w:color w:val="auto"/>
        </w:rPr>
        <w:fldChar w:fldCharType="separate"/>
      </w:r>
      <w:r>
        <w:rPr>
          <w:color w:val="auto"/>
        </w:rPr>
        <w:t>20</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_Toc29821 </w:instrText>
      </w:r>
      <w:r>
        <w:rPr>
          <w:rFonts w:hint="eastAsia" w:ascii="宋体" w:hAnsi="宋体" w:cs="宋体"/>
          <w:smallCaps w:val="0"/>
          <w:color w:val="auto"/>
          <w:szCs w:val="28"/>
          <w:highlight w:val="none"/>
        </w:rPr>
        <w:fldChar w:fldCharType="separate"/>
      </w:r>
      <w:r>
        <w:rPr>
          <w:color w:val="auto"/>
        </w:rPr>
        <w:t xml:space="preserve">G. </w:t>
      </w:r>
      <w:r>
        <w:rPr>
          <w:rFonts w:hint="eastAsia"/>
          <w:color w:val="auto"/>
        </w:rPr>
        <w:t>纪律和监督</w:t>
      </w:r>
      <w:r>
        <w:rPr>
          <w:color w:val="auto"/>
        </w:rPr>
        <w:tab/>
      </w:r>
      <w:r>
        <w:rPr>
          <w:color w:val="auto"/>
        </w:rPr>
        <w:fldChar w:fldCharType="begin"/>
      </w:r>
      <w:r>
        <w:rPr>
          <w:color w:val="auto"/>
        </w:rPr>
        <w:instrText xml:space="preserve"> PAGEREF _Toc29821 \h </w:instrText>
      </w:r>
      <w:r>
        <w:rPr>
          <w:color w:val="auto"/>
        </w:rPr>
        <w:fldChar w:fldCharType="separate"/>
      </w:r>
      <w:r>
        <w:rPr>
          <w:color w:val="auto"/>
        </w:rPr>
        <w:t>21</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_Toc27799 </w:instrText>
      </w:r>
      <w:r>
        <w:rPr>
          <w:rFonts w:hint="eastAsia" w:ascii="宋体" w:hAnsi="宋体" w:cs="宋体"/>
          <w:smallCaps w:val="0"/>
          <w:color w:val="auto"/>
          <w:szCs w:val="28"/>
          <w:highlight w:val="none"/>
        </w:rPr>
        <w:fldChar w:fldCharType="separate"/>
      </w:r>
      <w:r>
        <w:rPr>
          <w:color w:val="auto"/>
        </w:rPr>
        <w:t xml:space="preserve">H. </w:t>
      </w:r>
      <w:r>
        <w:rPr>
          <w:rFonts w:hint="eastAsia"/>
          <w:color w:val="auto"/>
        </w:rPr>
        <w:t>政策功能</w:t>
      </w:r>
      <w:r>
        <w:rPr>
          <w:color w:val="auto"/>
        </w:rPr>
        <w:tab/>
      </w:r>
      <w:r>
        <w:rPr>
          <w:color w:val="auto"/>
        </w:rPr>
        <w:fldChar w:fldCharType="begin"/>
      </w:r>
      <w:r>
        <w:rPr>
          <w:color w:val="auto"/>
        </w:rPr>
        <w:instrText xml:space="preserve"> PAGEREF _Toc27799 \h </w:instrText>
      </w:r>
      <w:r>
        <w:rPr>
          <w:color w:val="auto"/>
        </w:rPr>
        <w:fldChar w:fldCharType="separate"/>
      </w:r>
      <w:r>
        <w:rPr>
          <w:color w:val="auto"/>
        </w:rPr>
        <w:t>22</w:t>
      </w:r>
      <w:r>
        <w:rPr>
          <w:color w:val="auto"/>
        </w:rPr>
        <w:fldChar w:fldCharType="end"/>
      </w:r>
      <w:r>
        <w:rPr>
          <w:rFonts w:hint="eastAsia" w:ascii="宋体" w:hAnsi="宋体" w:cs="宋体"/>
          <w:smallCaps w:val="0"/>
          <w:color w:val="auto"/>
          <w:szCs w:val="28"/>
          <w:highlight w:val="none"/>
        </w:rPr>
        <w:fldChar w:fldCharType="end"/>
      </w:r>
    </w:p>
    <w:p>
      <w:pPr>
        <w:pStyle w:val="18"/>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_Toc12327 </w:instrText>
      </w:r>
      <w:r>
        <w:rPr>
          <w:rFonts w:hint="eastAsia" w:ascii="宋体" w:hAnsi="宋体" w:cs="宋体"/>
          <w:smallCaps w:val="0"/>
          <w:color w:val="auto"/>
          <w:szCs w:val="28"/>
          <w:highlight w:val="none"/>
        </w:rPr>
        <w:fldChar w:fldCharType="separate"/>
      </w:r>
      <w:r>
        <w:rPr>
          <w:rFonts w:hint="eastAsia"/>
          <w:color w:val="auto"/>
          <w:lang w:val="en-US" w:eastAsia="zh-CN"/>
        </w:rPr>
        <w:t xml:space="preserve">第三部分  </w:t>
      </w:r>
      <w:r>
        <w:rPr>
          <w:rFonts w:hint="eastAsia"/>
          <w:color w:val="auto"/>
        </w:rPr>
        <w:t>采购需求</w:t>
      </w:r>
      <w:r>
        <w:rPr>
          <w:color w:val="auto"/>
        </w:rPr>
        <w:tab/>
      </w:r>
      <w:r>
        <w:rPr>
          <w:color w:val="auto"/>
        </w:rPr>
        <w:fldChar w:fldCharType="begin"/>
      </w:r>
      <w:r>
        <w:rPr>
          <w:color w:val="auto"/>
        </w:rPr>
        <w:instrText xml:space="preserve"> PAGEREF _Toc12327 \h </w:instrText>
      </w:r>
      <w:r>
        <w:rPr>
          <w:color w:val="auto"/>
        </w:rPr>
        <w:fldChar w:fldCharType="separate"/>
      </w:r>
      <w:r>
        <w:rPr>
          <w:color w:val="auto"/>
        </w:rPr>
        <w:t>24</w:t>
      </w:r>
      <w:r>
        <w:rPr>
          <w:color w:val="auto"/>
        </w:rPr>
        <w:fldChar w:fldCharType="end"/>
      </w:r>
      <w:r>
        <w:rPr>
          <w:rFonts w:hint="eastAsia" w:ascii="宋体" w:hAnsi="宋体" w:cs="宋体"/>
          <w:smallCaps w:val="0"/>
          <w:color w:val="auto"/>
          <w:szCs w:val="28"/>
          <w:highlight w:val="none"/>
        </w:rPr>
        <w:fldChar w:fldCharType="end"/>
      </w:r>
    </w:p>
    <w:p>
      <w:pPr>
        <w:pStyle w:val="18"/>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_Toc14288 </w:instrText>
      </w:r>
      <w:r>
        <w:rPr>
          <w:rFonts w:hint="eastAsia" w:ascii="宋体" w:hAnsi="宋体" w:cs="宋体"/>
          <w:smallCaps w:val="0"/>
          <w:color w:val="auto"/>
          <w:szCs w:val="28"/>
          <w:highlight w:val="none"/>
        </w:rPr>
        <w:fldChar w:fldCharType="separate"/>
      </w:r>
      <w:r>
        <w:rPr>
          <w:rFonts w:hint="eastAsia"/>
          <w:color w:val="auto"/>
        </w:rPr>
        <w:t>第四部分  采购合同</w:t>
      </w:r>
      <w:r>
        <w:rPr>
          <w:color w:val="auto"/>
        </w:rPr>
        <w:tab/>
      </w:r>
      <w:r>
        <w:rPr>
          <w:color w:val="auto"/>
        </w:rPr>
        <w:fldChar w:fldCharType="begin"/>
      </w:r>
      <w:r>
        <w:rPr>
          <w:color w:val="auto"/>
        </w:rPr>
        <w:instrText xml:space="preserve"> PAGEREF _Toc14288 \h </w:instrText>
      </w:r>
      <w:r>
        <w:rPr>
          <w:color w:val="auto"/>
        </w:rPr>
        <w:fldChar w:fldCharType="separate"/>
      </w:r>
      <w:r>
        <w:rPr>
          <w:color w:val="auto"/>
        </w:rPr>
        <w:t>24</w:t>
      </w:r>
      <w:r>
        <w:rPr>
          <w:color w:val="auto"/>
        </w:rPr>
        <w:fldChar w:fldCharType="end"/>
      </w:r>
      <w:r>
        <w:rPr>
          <w:rFonts w:hint="eastAsia" w:ascii="宋体" w:hAnsi="宋体" w:cs="宋体"/>
          <w:smallCaps w:val="0"/>
          <w:color w:val="auto"/>
          <w:szCs w:val="28"/>
          <w:highlight w:val="none"/>
        </w:rPr>
        <w:fldChar w:fldCharType="end"/>
      </w:r>
    </w:p>
    <w:p>
      <w:pPr>
        <w:pStyle w:val="18"/>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_Toc1928 </w:instrText>
      </w:r>
      <w:r>
        <w:rPr>
          <w:rFonts w:hint="eastAsia" w:ascii="宋体" w:hAnsi="宋体" w:cs="宋体"/>
          <w:smallCaps w:val="0"/>
          <w:color w:val="auto"/>
          <w:szCs w:val="28"/>
          <w:highlight w:val="none"/>
        </w:rPr>
        <w:fldChar w:fldCharType="separate"/>
      </w:r>
      <w:r>
        <w:rPr>
          <w:rFonts w:hint="eastAsia"/>
          <w:color w:val="auto"/>
          <w:highlight w:val="none"/>
        </w:rPr>
        <w:t>第五部分  评审程序、方法和标准</w:t>
      </w:r>
      <w:r>
        <w:rPr>
          <w:color w:val="auto"/>
        </w:rPr>
        <w:tab/>
      </w:r>
      <w:r>
        <w:rPr>
          <w:color w:val="auto"/>
        </w:rPr>
        <w:fldChar w:fldCharType="begin"/>
      </w:r>
      <w:r>
        <w:rPr>
          <w:color w:val="auto"/>
        </w:rPr>
        <w:instrText xml:space="preserve"> PAGEREF _Toc1928 \h </w:instrText>
      </w:r>
      <w:r>
        <w:rPr>
          <w:color w:val="auto"/>
        </w:rPr>
        <w:fldChar w:fldCharType="separate"/>
      </w:r>
      <w:r>
        <w:rPr>
          <w:color w:val="auto"/>
        </w:rPr>
        <w:t>138</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_Toc18544 </w:instrText>
      </w:r>
      <w:r>
        <w:rPr>
          <w:rFonts w:hint="eastAsia" w:ascii="宋体" w:hAnsi="宋体" w:cs="宋体"/>
          <w:smallCaps w:val="0"/>
          <w:color w:val="auto"/>
          <w:szCs w:val="28"/>
          <w:highlight w:val="none"/>
        </w:rPr>
        <w:fldChar w:fldCharType="separate"/>
      </w:r>
      <w:r>
        <w:rPr>
          <w:rFonts w:hint="eastAsia"/>
          <w:color w:val="auto"/>
        </w:rPr>
        <w:t>一、总则</w:t>
      </w:r>
      <w:r>
        <w:rPr>
          <w:color w:val="auto"/>
        </w:rPr>
        <w:tab/>
      </w:r>
      <w:r>
        <w:rPr>
          <w:color w:val="auto"/>
        </w:rPr>
        <w:fldChar w:fldCharType="begin"/>
      </w:r>
      <w:r>
        <w:rPr>
          <w:color w:val="auto"/>
        </w:rPr>
        <w:instrText xml:space="preserve"> PAGEREF _Toc18544 \h </w:instrText>
      </w:r>
      <w:r>
        <w:rPr>
          <w:color w:val="auto"/>
        </w:rPr>
        <w:fldChar w:fldCharType="separate"/>
      </w:r>
      <w:r>
        <w:rPr>
          <w:color w:val="auto"/>
        </w:rPr>
        <w:t>138</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_Toc22496 </w:instrText>
      </w:r>
      <w:r>
        <w:rPr>
          <w:rFonts w:hint="eastAsia" w:ascii="宋体" w:hAnsi="宋体" w:cs="宋体"/>
          <w:smallCaps w:val="0"/>
          <w:color w:val="auto"/>
          <w:szCs w:val="28"/>
          <w:highlight w:val="none"/>
        </w:rPr>
        <w:fldChar w:fldCharType="separate"/>
      </w:r>
      <w:r>
        <w:rPr>
          <w:rFonts w:hint="eastAsia"/>
          <w:color w:val="auto"/>
        </w:rPr>
        <w:t>二、评审程序、评审方法和评审标准</w:t>
      </w:r>
      <w:r>
        <w:rPr>
          <w:color w:val="auto"/>
        </w:rPr>
        <w:tab/>
      </w:r>
      <w:r>
        <w:rPr>
          <w:color w:val="auto"/>
        </w:rPr>
        <w:fldChar w:fldCharType="begin"/>
      </w:r>
      <w:r>
        <w:rPr>
          <w:color w:val="auto"/>
        </w:rPr>
        <w:instrText xml:space="preserve"> PAGEREF _Toc22496 \h </w:instrText>
      </w:r>
      <w:r>
        <w:rPr>
          <w:color w:val="auto"/>
        </w:rPr>
        <w:fldChar w:fldCharType="separate"/>
      </w:r>
      <w:r>
        <w:rPr>
          <w:color w:val="auto"/>
        </w:rPr>
        <w:t>138</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_Toc24644 </w:instrText>
      </w:r>
      <w:r>
        <w:rPr>
          <w:rFonts w:hint="eastAsia" w:ascii="宋体" w:hAnsi="宋体" w:cs="宋体"/>
          <w:smallCaps w:val="0"/>
          <w:color w:val="auto"/>
          <w:szCs w:val="28"/>
          <w:highlight w:val="none"/>
        </w:rPr>
        <w:fldChar w:fldCharType="separate"/>
      </w:r>
      <w:r>
        <w:rPr>
          <w:rFonts w:hint="eastAsia"/>
          <w:color w:val="auto"/>
          <w:highlight w:val="none"/>
        </w:rPr>
        <w:t>附件1：资格性审查表</w:t>
      </w:r>
      <w:r>
        <w:rPr>
          <w:color w:val="auto"/>
        </w:rPr>
        <w:tab/>
      </w:r>
      <w:r>
        <w:rPr>
          <w:color w:val="auto"/>
        </w:rPr>
        <w:fldChar w:fldCharType="begin"/>
      </w:r>
      <w:r>
        <w:rPr>
          <w:color w:val="auto"/>
        </w:rPr>
        <w:instrText xml:space="preserve"> PAGEREF _Toc24644 \h </w:instrText>
      </w:r>
      <w:r>
        <w:rPr>
          <w:color w:val="auto"/>
        </w:rPr>
        <w:fldChar w:fldCharType="separate"/>
      </w:r>
      <w:r>
        <w:rPr>
          <w:color w:val="auto"/>
        </w:rPr>
        <w:t>143</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_Toc17306 </w:instrText>
      </w:r>
      <w:r>
        <w:rPr>
          <w:rFonts w:hint="eastAsia" w:ascii="宋体" w:hAnsi="宋体" w:cs="宋体"/>
          <w:smallCaps w:val="0"/>
          <w:color w:val="auto"/>
          <w:szCs w:val="28"/>
          <w:highlight w:val="none"/>
        </w:rPr>
        <w:fldChar w:fldCharType="separate"/>
      </w:r>
      <w:r>
        <w:rPr>
          <w:rFonts w:hint="eastAsia"/>
          <w:color w:val="auto"/>
          <w:highlight w:val="none"/>
        </w:rPr>
        <w:t>附件2：符合性审查表</w:t>
      </w:r>
      <w:r>
        <w:rPr>
          <w:color w:val="auto"/>
        </w:rPr>
        <w:tab/>
      </w:r>
      <w:r>
        <w:rPr>
          <w:color w:val="auto"/>
        </w:rPr>
        <w:fldChar w:fldCharType="begin"/>
      </w:r>
      <w:r>
        <w:rPr>
          <w:color w:val="auto"/>
        </w:rPr>
        <w:instrText xml:space="preserve"> PAGEREF _Toc17306 \h </w:instrText>
      </w:r>
      <w:r>
        <w:rPr>
          <w:color w:val="auto"/>
        </w:rPr>
        <w:fldChar w:fldCharType="separate"/>
      </w:r>
      <w:r>
        <w:rPr>
          <w:color w:val="auto"/>
        </w:rPr>
        <w:t>148</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_Toc31231 </w:instrText>
      </w:r>
      <w:r>
        <w:rPr>
          <w:rFonts w:hint="eastAsia" w:ascii="宋体" w:hAnsi="宋体" w:cs="宋体"/>
          <w:smallCaps w:val="0"/>
          <w:color w:val="auto"/>
          <w:szCs w:val="28"/>
          <w:highlight w:val="none"/>
        </w:rPr>
        <w:fldChar w:fldCharType="separate"/>
      </w:r>
      <w:r>
        <w:rPr>
          <w:rFonts w:hint="eastAsia"/>
          <w:color w:val="auto"/>
          <w:highlight w:val="none"/>
        </w:rPr>
        <w:t>附件3：评审标准和方法</w:t>
      </w:r>
      <w:r>
        <w:rPr>
          <w:color w:val="auto"/>
        </w:rPr>
        <w:tab/>
      </w:r>
      <w:r>
        <w:rPr>
          <w:color w:val="auto"/>
        </w:rPr>
        <w:fldChar w:fldCharType="begin"/>
      </w:r>
      <w:r>
        <w:rPr>
          <w:color w:val="auto"/>
        </w:rPr>
        <w:instrText xml:space="preserve"> PAGEREF _Toc31231 \h </w:instrText>
      </w:r>
      <w:r>
        <w:rPr>
          <w:color w:val="auto"/>
        </w:rPr>
        <w:fldChar w:fldCharType="separate"/>
      </w:r>
      <w:r>
        <w:rPr>
          <w:color w:val="auto"/>
        </w:rPr>
        <w:t>149</w:t>
      </w:r>
      <w:r>
        <w:rPr>
          <w:color w:val="auto"/>
        </w:rPr>
        <w:fldChar w:fldCharType="end"/>
      </w:r>
      <w:r>
        <w:rPr>
          <w:rFonts w:hint="eastAsia" w:ascii="宋体" w:hAnsi="宋体" w:cs="宋体"/>
          <w:smallCaps w:val="0"/>
          <w:color w:val="auto"/>
          <w:szCs w:val="28"/>
          <w:highlight w:val="none"/>
        </w:rPr>
        <w:fldChar w:fldCharType="end"/>
      </w:r>
    </w:p>
    <w:p>
      <w:pPr>
        <w:pStyle w:val="18"/>
        <w:tabs>
          <w:tab w:val="right" w:leader="dot" w:pos="9015"/>
        </w:tabs>
        <w:spacing w:line="360" w:lineRule="auto"/>
        <w:rPr>
          <w:color w:val="auto"/>
        </w:rPr>
      </w:pPr>
      <w:r>
        <w:rPr>
          <w:rFonts w:hint="eastAsia" w:ascii="宋体" w:hAnsi="宋体" w:cs="宋体"/>
          <w:smallCaps w:val="0"/>
          <w:color w:val="auto"/>
          <w:szCs w:val="28"/>
          <w:highlight w:val="none"/>
        </w:rPr>
        <w:fldChar w:fldCharType="begin"/>
      </w:r>
      <w:r>
        <w:rPr>
          <w:rFonts w:hint="eastAsia" w:ascii="宋体" w:hAnsi="宋体" w:cs="宋体"/>
          <w:smallCaps w:val="0"/>
          <w:color w:val="auto"/>
          <w:szCs w:val="28"/>
          <w:highlight w:val="none"/>
        </w:rPr>
        <w:instrText xml:space="preserve"> HYPERLINK \l _Toc7752 </w:instrText>
      </w:r>
      <w:r>
        <w:rPr>
          <w:rFonts w:hint="eastAsia" w:ascii="宋体" w:hAnsi="宋体" w:cs="宋体"/>
          <w:smallCaps w:val="0"/>
          <w:color w:val="auto"/>
          <w:szCs w:val="28"/>
          <w:highlight w:val="none"/>
        </w:rPr>
        <w:fldChar w:fldCharType="separate"/>
      </w:r>
      <w:r>
        <w:rPr>
          <w:rFonts w:hint="eastAsia"/>
          <w:color w:val="auto"/>
          <w:highlight w:val="none"/>
        </w:rPr>
        <w:t>第六部分  响应文件格式</w:t>
      </w:r>
      <w:r>
        <w:rPr>
          <w:color w:val="auto"/>
        </w:rPr>
        <w:tab/>
      </w:r>
      <w:r>
        <w:rPr>
          <w:color w:val="auto"/>
        </w:rPr>
        <w:fldChar w:fldCharType="begin"/>
      </w:r>
      <w:r>
        <w:rPr>
          <w:color w:val="auto"/>
        </w:rPr>
        <w:instrText xml:space="preserve"> PAGEREF _Toc7752 \h </w:instrText>
      </w:r>
      <w:r>
        <w:rPr>
          <w:color w:val="auto"/>
        </w:rPr>
        <w:fldChar w:fldCharType="separate"/>
      </w:r>
      <w:r>
        <w:rPr>
          <w:color w:val="auto"/>
        </w:rPr>
        <w:t>155</w:t>
      </w:r>
      <w:r>
        <w:rPr>
          <w:color w:val="auto"/>
        </w:rPr>
        <w:fldChar w:fldCharType="end"/>
      </w:r>
      <w:r>
        <w:rPr>
          <w:rFonts w:hint="eastAsia" w:ascii="宋体" w:hAnsi="宋体" w:cs="宋体"/>
          <w:smallCaps w:val="0"/>
          <w:color w:val="auto"/>
          <w:szCs w:val="28"/>
          <w:highlight w:val="none"/>
        </w:rPr>
        <w:fldChar w:fldCharType="end"/>
      </w:r>
    </w:p>
    <w:p>
      <w:pPr>
        <w:pStyle w:val="20"/>
        <w:tabs>
          <w:tab w:val="right" w:leader="dot" w:pos="9015"/>
        </w:tabs>
        <w:rPr>
          <w:color w:val="auto"/>
        </w:rPr>
      </w:pPr>
    </w:p>
    <w:p>
      <w:pPr>
        <w:pStyle w:val="20"/>
        <w:tabs>
          <w:tab w:val="right" w:leader="dot" w:pos="9015"/>
        </w:tabs>
        <w:adjustRightInd w:val="0"/>
        <w:snapToGrid w:val="0"/>
        <w:spacing w:line="360" w:lineRule="auto"/>
        <w:rPr>
          <w:smallCaps w:val="0"/>
          <w:color w:val="auto"/>
          <w:sz w:val="24"/>
          <w:highlight w:val="none"/>
        </w:rPr>
      </w:pPr>
      <w:r>
        <w:rPr>
          <w:rFonts w:hint="eastAsia" w:ascii="宋体" w:hAnsi="宋体" w:cs="宋体"/>
          <w:smallCaps w:val="0"/>
          <w:color w:val="auto"/>
          <w:szCs w:val="28"/>
          <w:highlight w:val="none"/>
        </w:rPr>
        <w:fldChar w:fldCharType="end"/>
      </w:r>
    </w:p>
    <w:p>
      <w:pPr>
        <w:pStyle w:val="17"/>
        <w:rPr>
          <w:color w:val="auto"/>
          <w:highlight w:val="none"/>
        </w:rPr>
      </w:pPr>
    </w:p>
    <w:p>
      <w:pPr>
        <w:jc w:val="center"/>
        <w:outlineLvl w:val="0"/>
        <w:rPr>
          <w:b/>
          <w:color w:val="auto"/>
          <w:sz w:val="48"/>
          <w:szCs w:val="48"/>
          <w:highlight w:val="none"/>
        </w:rPr>
      </w:pPr>
      <w:bookmarkStart w:id="0" w:name="_Toc12710"/>
      <w:bookmarkStart w:id="1" w:name="_Toc17487"/>
      <w:bookmarkStart w:id="2" w:name="_Toc31346"/>
      <w:bookmarkStart w:id="3" w:name="_Toc317237597"/>
    </w:p>
    <w:p>
      <w:pPr>
        <w:tabs>
          <w:tab w:val="right" w:pos="9015"/>
        </w:tabs>
        <w:bidi w:val="0"/>
        <w:jc w:val="left"/>
        <w:rPr>
          <w:rFonts w:ascii="Calibri" w:hAnsi="Calibri" w:eastAsia="宋体" w:cs="Times New Roman"/>
          <w:color w:val="auto"/>
          <w:kern w:val="2"/>
          <w:sz w:val="21"/>
          <w:szCs w:val="24"/>
          <w:highlight w:val="none"/>
          <w:lang w:val="en-US" w:eastAsia="zh-CN" w:bidi="ar-SA"/>
        </w:rPr>
        <w:sectPr>
          <w:footerReference r:id="rId8" w:type="default"/>
          <w:pgSz w:w="11906" w:h="16838"/>
          <w:pgMar w:top="1247" w:right="1247" w:bottom="1134" w:left="1644" w:header="851" w:footer="851" w:gutter="0"/>
          <w:pgNumType w:fmt="decimal" w:start="1"/>
          <w:cols w:space="720" w:num="1"/>
          <w:docGrid w:type="lines" w:linePitch="312" w:charSpace="0"/>
        </w:sectPr>
      </w:pPr>
      <w:r>
        <w:rPr>
          <w:rFonts w:hint="eastAsia" w:cs="Times New Roman"/>
          <w:color w:val="auto"/>
          <w:kern w:val="2"/>
          <w:sz w:val="21"/>
          <w:szCs w:val="24"/>
          <w:highlight w:val="none"/>
          <w:lang w:val="en-US" w:eastAsia="zh-CN" w:bidi="ar-SA"/>
        </w:rPr>
        <w:tab/>
      </w:r>
    </w:p>
    <w:p>
      <w:pPr>
        <w:pStyle w:val="3"/>
        <w:rPr>
          <w:color w:val="auto"/>
          <w:highlight w:val="none"/>
        </w:rPr>
      </w:pPr>
      <w:r>
        <w:rPr>
          <w:rFonts w:hint="eastAsia"/>
          <w:color w:val="auto"/>
          <w:highlight w:val="none"/>
        </w:rPr>
        <w:t xml:space="preserve"> </w:t>
      </w:r>
      <w:bookmarkEnd w:id="0"/>
      <w:bookmarkEnd w:id="1"/>
      <w:bookmarkEnd w:id="2"/>
      <w:bookmarkEnd w:id="3"/>
      <w:r>
        <w:rPr>
          <w:rFonts w:hint="eastAsia"/>
          <w:color w:val="auto"/>
          <w:highlight w:val="none"/>
        </w:rPr>
        <w:t xml:space="preserve"> </w:t>
      </w:r>
      <w:bookmarkStart w:id="4" w:name="_Toc10880"/>
      <w:r>
        <w:rPr>
          <w:rFonts w:hint="eastAsia"/>
          <w:color w:val="auto"/>
          <w:highlight w:val="none"/>
          <w:lang w:val="en-US" w:eastAsia="zh-CN"/>
        </w:rPr>
        <w:t>第</w:t>
      </w:r>
      <w:r>
        <w:rPr>
          <w:rFonts w:hint="eastAsia"/>
          <w:color w:val="auto"/>
          <w:highlight w:val="none"/>
        </w:rPr>
        <w:t>一部分</w:t>
      </w:r>
      <w:r>
        <w:rPr>
          <w:rFonts w:hint="eastAsia"/>
          <w:color w:val="auto"/>
          <w:highlight w:val="none"/>
          <w:lang w:val="en-US" w:eastAsia="zh-CN"/>
        </w:rPr>
        <w:t xml:space="preserve">  </w:t>
      </w:r>
      <w:r>
        <w:rPr>
          <w:rFonts w:hint="eastAsia"/>
          <w:color w:val="auto"/>
          <w:highlight w:val="none"/>
        </w:rPr>
        <w:t>竞争性磋商公告</w:t>
      </w:r>
      <w:bookmarkEnd w:id="4"/>
      <w:bookmarkStart w:id="5" w:name="_Toc5183"/>
      <w:bookmarkStart w:id="6" w:name="_Toc317237598"/>
      <w:bookmarkStart w:id="7" w:name="_Toc20211"/>
      <w:bookmarkStart w:id="8" w:name="_Toc1239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lang w:eastAsia="zh-CN"/>
        </w:rPr>
        <w:t>保亭县响水镇金江居大社区综合服务中心文化配套采购项目</w:t>
      </w:r>
      <w:r>
        <w:rPr>
          <w:rFonts w:hint="eastAsia" w:asciiTheme="minorEastAsia" w:hAnsiTheme="minorEastAsia" w:eastAsiaTheme="minorEastAsia" w:cstheme="minorEastAsia"/>
          <w:color w:val="auto"/>
          <w:sz w:val="24"/>
          <w:highlight w:val="none"/>
        </w:rPr>
        <w:t>采购项目的潜在供应商应在</w:t>
      </w:r>
      <w:r>
        <w:rPr>
          <w:rFonts w:hint="eastAsia" w:asciiTheme="minorEastAsia" w:hAnsiTheme="minorEastAsia" w:eastAsiaTheme="minorEastAsia" w:cstheme="minorEastAsia"/>
          <w:color w:val="auto"/>
          <w:sz w:val="24"/>
          <w:highlight w:val="none"/>
          <w:u w:val="single"/>
          <w:lang w:eastAsia="zh-CN"/>
        </w:rPr>
        <w:t>海南省政府采购网(www.ccgp-hainan.gov.cn)-海南省政府采购电子化交易管理系统(新)</w:t>
      </w:r>
      <w:r>
        <w:rPr>
          <w:rFonts w:hint="eastAsia" w:asciiTheme="minorEastAsia" w:hAnsiTheme="minorEastAsia" w:eastAsiaTheme="minorEastAsia" w:cstheme="minorEastAsia"/>
          <w:color w:val="auto"/>
          <w:sz w:val="24"/>
          <w:highlight w:val="none"/>
        </w:rPr>
        <w:t>获取竞争性磋商文件，并于</w:t>
      </w:r>
      <w:r>
        <w:rPr>
          <w:rFonts w:hint="eastAsia" w:asciiTheme="minorEastAsia" w:hAnsiTheme="minorEastAsia" w:eastAsiaTheme="minorEastAsia" w:cstheme="minorEastAsia"/>
          <w:color w:val="auto"/>
          <w:sz w:val="24"/>
          <w:highlight w:val="none"/>
          <w:u w:val="single"/>
          <w:lang w:eastAsia="zh-CN"/>
        </w:rPr>
        <w:t>2024年</w:t>
      </w:r>
      <w:r>
        <w:rPr>
          <w:rFonts w:hint="eastAsia" w:asciiTheme="minorEastAsia" w:hAnsiTheme="minorEastAsia" w:eastAsiaTheme="minorEastAsia" w:cstheme="minorEastAsia"/>
          <w:color w:val="auto"/>
          <w:sz w:val="24"/>
          <w:highlight w:val="none"/>
          <w:u w:val="single"/>
          <w:lang w:val="en-US" w:eastAsia="zh-CN"/>
        </w:rPr>
        <w:t>07</w:t>
      </w:r>
      <w:r>
        <w:rPr>
          <w:rFonts w:hint="eastAsia" w:asciiTheme="minorEastAsia" w:hAnsiTheme="minorEastAsia" w:eastAsiaTheme="minorEastAsia" w:cstheme="minorEastAsia"/>
          <w:color w:val="auto"/>
          <w:sz w:val="24"/>
          <w:highlight w:val="none"/>
          <w:u w:val="single"/>
          <w:lang w:eastAsia="zh-CN"/>
        </w:rPr>
        <w:t>月</w:t>
      </w:r>
      <w:r>
        <w:rPr>
          <w:rFonts w:hint="eastAsia" w:asciiTheme="minorEastAsia" w:hAnsiTheme="minorEastAsia" w:eastAsiaTheme="minorEastAsia" w:cstheme="minorEastAsia"/>
          <w:color w:val="auto"/>
          <w:sz w:val="24"/>
          <w:highlight w:val="none"/>
          <w:u w:val="single"/>
          <w:lang w:val="en-US" w:eastAsia="zh-CN"/>
        </w:rPr>
        <w:t>29</w:t>
      </w:r>
      <w:r>
        <w:rPr>
          <w:rFonts w:hint="eastAsia" w:asciiTheme="minorEastAsia" w:hAnsiTheme="minorEastAsia" w:eastAsiaTheme="minorEastAsia" w:cstheme="minorEastAsia"/>
          <w:color w:val="auto"/>
          <w:sz w:val="24"/>
          <w:highlight w:val="none"/>
          <w:u w:val="single"/>
          <w:lang w:eastAsia="zh-CN"/>
        </w:rPr>
        <w:t>日</w:t>
      </w:r>
      <w:r>
        <w:rPr>
          <w:rFonts w:hint="eastAsia" w:asciiTheme="minorEastAsia" w:hAnsiTheme="minorEastAsia" w:eastAsiaTheme="minorEastAsia" w:cstheme="minorEastAsia"/>
          <w:color w:val="auto"/>
          <w:sz w:val="24"/>
          <w:highlight w:val="none"/>
          <w:u w:val="single"/>
          <w:lang w:val="en-US" w:eastAsia="zh-CN"/>
        </w:rPr>
        <w:t>09</w:t>
      </w:r>
      <w:r>
        <w:rPr>
          <w:rFonts w:hint="eastAsia" w:asciiTheme="minorEastAsia" w:hAnsiTheme="minorEastAsia" w:eastAsiaTheme="minorEastAsia" w:cstheme="minorEastAsia"/>
          <w:color w:val="auto"/>
          <w:sz w:val="24"/>
          <w:highlight w:val="none"/>
          <w:u w:val="single"/>
          <w:lang w:eastAsia="zh-CN"/>
        </w:rPr>
        <w:t>点</w:t>
      </w:r>
      <w:r>
        <w:rPr>
          <w:rFonts w:hint="eastAsia" w:asciiTheme="minorEastAsia" w:hAnsiTheme="minorEastAsia" w:eastAsiaTheme="minorEastAsia" w:cstheme="minorEastAsia"/>
          <w:color w:val="auto"/>
          <w:sz w:val="24"/>
          <w:highlight w:val="none"/>
          <w:u w:val="single"/>
          <w:lang w:val="en-US" w:eastAsia="zh-CN"/>
        </w:rPr>
        <w:t>30</w:t>
      </w:r>
      <w:r>
        <w:rPr>
          <w:rFonts w:hint="eastAsia" w:asciiTheme="minorEastAsia" w:hAnsiTheme="minorEastAsia" w:eastAsiaTheme="minorEastAsia" w:cstheme="minorEastAsia"/>
          <w:color w:val="auto"/>
          <w:sz w:val="24"/>
          <w:highlight w:val="none"/>
          <w:u w:val="single"/>
          <w:lang w:eastAsia="zh-CN"/>
        </w:rPr>
        <w:t>分</w:t>
      </w:r>
      <w:r>
        <w:rPr>
          <w:rFonts w:hint="eastAsia" w:asciiTheme="minorEastAsia" w:hAnsiTheme="minorEastAsia" w:eastAsiaTheme="minorEastAsia" w:cstheme="minorEastAsia"/>
          <w:bCs/>
          <w:color w:val="auto"/>
          <w:sz w:val="24"/>
          <w:highlight w:val="none"/>
        </w:rPr>
        <w:t>（北京时间）前提交响应文件</w:t>
      </w:r>
      <w:r>
        <w:rPr>
          <w:rFonts w:hint="eastAsia" w:asciiTheme="minorEastAsia" w:hAnsiTheme="minorEastAsia" w:eastAsiaTheme="minorEastAsia" w:cstheme="minorEastAsia"/>
          <w:color w:val="auto"/>
          <w:sz w:val="24"/>
          <w:highlight w:val="none"/>
        </w:rPr>
        <w:t>。</w:t>
      </w:r>
    </w:p>
    <w:p>
      <w:pPr>
        <w:rPr>
          <w:color w:val="auto"/>
          <w:highlight w:val="none"/>
        </w:rPr>
      </w:pPr>
    </w:p>
    <w:p>
      <w:pPr>
        <w:pStyle w:val="4"/>
        <w:rPr>
          <w:rFonts w:asciiTheme="minorEastAsia" w:hAnsiTheme="minorEastAsia" w:eastAsiaTheme="minorEastAsia" w:cstheme="minorEastAsia"/>
          <w:bCs w:val="0"/>
          <w:color w:val="auto"/>
          <w:sz w:val="24"/>
          <w:szCs w:val="24"/>
          <w:highlight w:val="none"/>
        </w:rPr>
      </w:pPr>
      <w:bookmarkStart w:id="9" w:name="_Toc28359012"/>
      <w:bookmarkStart w:id="10" w:name="_Toc28359089"/>
      <w:bookmarkStart w:id="11" w:name="_Toc23843"/>
      <w:bookmarkStart w:id="12" w:name="_Toc35393629"/>
      <w:bookmarkStart w:id="13" w:name="_Toc26692"/>
      <w:bookmarkStart w:id="14" w:name="_Toc11160"/>
      <w:bookmarkStart w:id="15" w:name="_Toc35393798"/>
      <w:bookmarkStart w:id="16" w:name="_Toc28787"/>
      <w:r>
        <w:rPr>
          <w:rFonts w:hint="eastAsia" w:asciiTheme="minorEastAsia" w:hAnsiTheme="minorEastAsia" w:eastAsiaTheme="minorEastAsia" w:cstheme="minorEastAsia"/>
          <w:bCs w:val="0"/>
          <w:color w:val="auto"/>
          <w:sz w:val="24"/>
          <w:szCs w:val="24"/>
          <w:highlight w:val="none"/>
        </w:rPr>
        <w:t>一、项目基本情况</w:t>
      </w:r>
      <w:bookmarkEnd w:id="9"/>
      <w:bookmarkEnd w:id="10"/>
      <w:bookmarkEnd w:id="11"/>
      <w:bookmarkEnd w:id="12"/>
      <w:bookmarkEnd w:id="13"/>
      <w:bookmarkEnd w:id="14"/>
      <w:bookmarkEnd w:id="15"/>
      <w:bookmarkEnd w:id="16"/>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HNJY2024【52】；</w:t>
      </w:r>
    </w:p>
    <w:p>
      <w:pPr>
        <w:spacing w:line="360" w:lineRule="auto"/>
        <w:ind w:firstLine="480" w:firstLineChars="2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eastAsiaTheme="minorEastAsia" w:cstheme="minorEastAsia"/>
          <w:color w:val="auto"/>
          <w:sz w:val="24"/>
          <w:highlight w:val="none"/>
          <w:lang w:eastAsia="zh-CN"/>
        </w:rPr>
        <w:t>保亭县响水镇金江居大社区综合服务中心文化配套采购项目；</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采购方式：竞争性磋商；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预算金额：</w:t>
      </w:r>
    </w:p>
    <w:p>
      <w:pPr>
        <w:spacing w:line="360" w:lineRule="auto"/>
        <w:ind w:firstLine="960" w:firstLineChars="4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3127745.31元（其中A包：1383883.80元；B包：1743861.51元）；</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5、最高限价： </w:t>
      </w:r>
    </w:p>
    <w:p>
      <w:pPr>
        <w:spacing w:line="360" w:lineRule="auto"/>
        <w:ind w:firstLine="720" w:firstLineChars="3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A包：1383883.80元（超出采购最高限价的报价，按无效报价处理）；</w:t>
      </w:r>
    </w:p>
    <w:p>
      <w:pPr>
        <w:spacing w:line="360" w:lineRule="auto"/>
        <w:ind w:firstLine="720" w:firstLineChars="3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B包：1743861.51元（超出采购最高限价的报价，按无效报价处理）；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、采购内容：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A包：家具采购及设备采购，详见《竞争性磋商文件》第三部分采购需求；</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B包：市政工程、装饰工程、安装工程、绿化工程、广告工程等（具体以工程量清单及图纸内容为准）；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简要技术要求或项目基本概况、性质：详见《竞争性磋商文件》第三部分采购需求</w:t>
      </w:r>
      <w:r>
        <w:rPr>
          <w:rFonts w:hint="eastAsia" w:asciiTheme="minorEastAsia" w:hAnsiTheme="minorEastAsia" w:eastAsiaTheme="minorEastAsia" w:cstheme="minor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asciiTheme="minorEastAsia" w:hAnsiTheme="minorEastAsia" w:cstheme="minorEastAsia"/>
          <w:color w:val="auto"/>
          <w:sz w:val="24"/>
          <w:highlight w:val="none"/>
          <w:lang w:val="en-US" w:eastAsia="zh-CN"/>
        </w:rPr>
      </w:pPr>
      <w:r>
        <w:rPr>
          <w:rFonts w:hint="eastAsia" w:ascii="宋体" w:hAnsi="宋体" w:cs="宋体"/>
          <w:color w:val="auto"/>
          <w:sz w:val="24"/>
        </w:rPr>
        <w:t>6.3</w:t>
      </w:r>
      <w:r>
        <w:rPr>
          <w:rFonts w:hint="eastAsia" w:ascii="宋体" w:hAnsi="宋体" w:cs="宋体"/>
          <w:color w:val="auto"/>
          <w:sz w:val="24"/>
          <w:lang w:val="en-US" w:eastAsia="zh-CN"/>
        </w:rPr>
        <w:t>、</w:t>
      </w:r>
      <w:r>
        <w:rPr>
          <w:rFonts w:hint="eastAsia" w:ascii="宋体" w:hAnsi="宋体" w:cs="宋体"/>
          <w:color w:val="auto"/>
          <w:sz w:val="24"/>
        </w:rPr>
        <w:t>数量及分包：</w:t>
      </w:r>
      <w:r>
        <w:rPr>
          <w:rFonts w:hint="eastAsia" w:asciiTheme="minorEastAsia" w:hAnsiTheme="minorEastAsia" w:eastAsiaTheme="minorEastAsia" w:cstheme="minorEastAsia"/>
          <w:color w:val="auto"/>
          <w:sz w:val="24"/>
          <w:highlight w:val="none"/>
          <w:lang w:val="en-US" w:eastAsia="zh-CN"/>
        </w:rPr>
        <w:t>本项目共分为2个包</w:t>
      </w:r>
      <w:r>
        <w:rPr>
          <w:rFonts w:hint="eastAsia" w:ascii="宋体" w:hAnsi="宋体" w:cs="宋体"/>
          <w:color w:val="auto"/>
          <w:sz w:val="24"/>
          <w:lang w:eastAsia="zh-CN"/>
        </w:rPr>
        <w:t>；</w:t>
      </w:r>
    </w:p>
    <w:p>
      <w:pPr>
        <w:spacing w:line="360" w:lineRule="auto"/>
        <w:ind w:firstLine="480" w:firstLineChars="2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7、 合同履行期限</w:t>
      </w:r>
    </w:p>
    <w:p>
      <w:pPr>
        <w:spacing w:line="360" w:lineRule="auto"/>
        <w:ind w:firstLine="960" w:firstLineChars="4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A包交货期：自合同签订生效之日起 90 日历天内</w:t>
      </w:r>
      <w:r>
        <w:rPr>
          <w:rFonts w:hint="eastAsia" w:asciiTheme="minorEastAsia" w:hAnsiTheme="minorEastAsia" w:eastAsiaTheme="minorEastAsia" w:cstheme="minorEastAsia"/>
          <w:color w:val="auto"/>
          <w:sz w:val="24"/>
          <w:highlight w:val="none"/>
          <w:lang w:eastAsia="zh-CN"/>
        </w:rPr>
        <w:t>；</w:t>
      </w:r>
      <w:bookmarkStart w:id="17" w:name="_Toc16155"/>
      <w:bookmarkStart w:id="18" w:name="_Toc26468"/>
      <w:bookmarkStart w:id="19" w:name="_Toc31833"/>
      <w:bookmarkStart w:id="20" w:name="_Toc25148"/>
    </w:p>
    <w:p>
      <w:pPr>
        <w:pStyle w:val="6"/>
        <w:ind w:firstLine="960" w:firstLineChars="400"/>
        <w:rPr>
          <w:rFonts w:hint="default"/>
          <w:color w:val="auto"/>
          <w:lang w:val="en-US" w:eastAsia="zh-CN"/>
        </w:rPr>
      </w:pPr>
      <w:r>
        <w:rPr>
          <w:rFonts w:hint="eastAsia" w:asciiTheme="minorEastAsia" w:hAnsiTheme="minorEastAsia" w:eastAsiaTheme="minorEastAsia" w:cstheme="minorEastAsia"/>
          <w:color w:val="auto"/>
          <w:sz w:val="24"/>
          <w:highlight w:val="none"/>
          <w:lang w:val="en-US" w:eastAsia="zh-CN"/>
        </w:rPr>
        <w:t>B包工  期：自合同签订生效之日起 90 日历天内；</w:t>
      </w:r>
    </w:p>
    <w:p>
      <w:pPr>
        <w:spacing w:line="360" w:lineRule="auto"/>
        <w:ind w:firstLine="480" w:firstLineChars="200"/>
        <w:rPr>
          <w:rFonts w:hint="eastAsia" w:asciiTheme="minorEastAsia" w:hAnsiTheme="minorEastAsia" w:eastAsiaTheme="minorEastAsia" w:cstheme="minorEastAsia"/>
          <w:color w:val="auto"/>
          <w:sz w:val="24"/>
          <w:highlight w:val="none"/>
          <w:lang w:eastAsia="zh-CN"/>
        </w:rPr>
      </w:pPr>
      <w:bookmarkStart w:id="21" w:name="_Toc22688"/>
      <w:r>
        <w:rPr>
          <w:rFonts w:hint="eastAsia" w:asciiTheme="minorEastAsia" w:hAnsiTheme="minorEastAsia" w:eastAsiaTheme="minorEastAsia" w:cstheme="minorEastAsia"/>
          <w:color w:val="auto"/>
          <w:sz w:val="24"/>
          <w:highlight w:val="none"/>
          <w:lang w:val="en-US" w:eastAsia="zh-CN"/>
        </w:rPr>
        <w:t>8</w:t>
      </w:r>
      <w:bookmarkEnd w:id="17"/>
      <w:bookmarkEnd w:id="18"/>
      <w:r>
        <w:rPr>
          <w:rFonts w:hint="eastAsia" w:asciiTheme="minorEastAsia" w:hAnsiTheme="minorEastAsia" w:eastAsiaTheme="minorEastAsia" w:cstheme="minorEastAsia"/>
          <w:color w:val="auto"/>
          <w:sz w:val="24"/>
          <w:highlight w:val="none"/>
          <w:lang w:val="en-US" w:eastAsia="zh-CN"/>
        </w:rPr>
        <w:t>、 A包</w:t>
      </w:r>
      <w:r>
        <w:rPr>
          <w:rFonts w:hint="eastAsia" w:asciiTheme="minorEastAsia" w:hAnsiTheme="minorEastAsia" w:eastAsiaTheme="minorEastAsia" w:cstheme="minorEastAsia"/>
          <w:color w:val="auto"/>
          <w:sz w:val="24"/>
          <w:highlight w:val="none"/>
        </w:rPr>
        <w:t>（是/否）接受联合体</w:t>
      </w:r>
      <w:r>
        <w:rPr>
          <w:rFonts w:hint="eastAsia" w:asciiTheme="minorEastAsia" w:hAnsiTheme="minorEastAsia" w:eastAsiaTheme="minorEastAsia" w:cstheme="minorEastAsia"/>
          <w:color w:val="auto"/>
          <w:sz w:val="24"/>
          <w:highlight w:val="none"/>
          <w:lang w:val="en-US" w:eastAsia="zh-CN"/>
        </w:rPr>
        <w:t>响应</w:t>
      </w:r>
      <w:r>
        <w:rPr>
          <w:rFonts w:hint="eastAsia" w:asciiTheme="minorEastAsia" w:hAnsiTheme="minorEastAsia" w:eastAsiaTheme="minorEastAsia" w:cstheme="minorEastAsia"/>
          <w:color w:val="auto"/>
          <w:sz w:val="24"/>
          <w:highlight w:val="none"/>
        </w:rPr>
        <w:t>：否</w:t>
      </w:r>
      <w:r>
        <w:rPr>
          <w:rFonts w:hint="eastAsia" w:asciiTheme="minorEastAsia" w:hAnsiTheme="minorEastAsia" w:eastAsiaTheme="minorEastAsia" w:cstheme="minorEastAsia"/>
          <w:color w:val="auto"/>
          <w:sz w:val="24"/>
          <w:highlight w:val="none"/>
          <w:lang w:eastAsia="zh-CN"/>
        </w:rPr>
        <w:t>；</w:t>
      </w:r>
      <w:bookmarkEnd w:id="19"/>
      <w:bookmarkEnd w:id="20"/>
      <w:bookmarkEnd w:id="21"/>
    </w:p>
    <w:p>
      <w:pPr>
        <w:spacing w:line="360" w:lineRule="auto"/>
        <w:ind w:firstLine="720" w:firstLineChars="3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B包</w:t>
      </w:r>
      <w:r>
        <w:rPr>
          <w:rFonts w:hint="eastAsia" w:asciiTheme="minorEastAsia" w:hAnsiTheme="minorEastAsia" w:eastAsiaTheme="minorEastAsia" w:cstheme="minorEastAsia"/>
          <w:color w:val="auto"/>
          <w:sz w:val="24"/>
          <w:highlight w:val="none"/>
        </w:rPr>
        <w:t>（是/否）接受联合体</w:t>
      </w:r>
      <w:r>
        <w:rPr>
          <w:rFonts w:hint="eastAsia" w:asciiTheme="minorEastAsia" w:hAnsiTheme="minorEastAsia" w:eastAsiaTheme="minorEastAsia" w:cstheme="minorEastAsia"/>
          <w:color w:val="auto"/>
          <w:sz w:val="24"/>
          <w:highlight w:val="none"/>
          <w:lang w:val="en-US" w:eastAsia="zh-CN"/>
        </w:rPr>
        <w:t>响应</w:t>
      </w:r>
      <w:r>
        <w:rPr>
          <w:rFonts w:hint="eastAsia" w:asciiTheme="minorEastAsia" w:hAnsiTheme="minorEastAsia" w:eastAsiaTheme="minorEastAsia" w:cstheme="minorEastAsia"/>
          <w:color w:val="auto"/>
          <w:sz w:val="24"/>
          <w:highlight w:val="none"/>
        </w:rPr>
        <w:t>：否</w:t>
      </w:r>
      <w:r>
        <w:rPr>
          <w:rFonts w:hint="eastAsia" w:asciiTheme="minorEastAsia" w:hAnsiTheme="minorEastAsia" w:eastAsiaTheme="minorEastAsia" w:cstheme="minorEastAsia"/>
          <w:color w:val="auto"/>
          <w:sz w:val="24"/>
          <w:highlight w:val="none"/>
          <w:lang w:eastAsia="zh-CN"/>
        </w:rPr>
        <w:t>；</w:t>
      </w:r>
    </w:p>
    <w:p>
      <w:pPr>
        <w:pStyle w:val="2"/>
        <w:numPr>
          <w:ilvl w:val="0"/>
          <w:numId w:val="0"/>
        </w:numPr>
        <w:spacing w:after="0" w:line="360" w:lineRule="auto"/>
        <w:ind w:firstLine="480" w:firstLineChars="200"/>
        <w:outlineLvl w:val="1"/>
        <w:rPr>
          <w:rFonts w:hint="default"/>
          <w:color w:val="auto"/>
          <w:lang w:val="en-US" w:eastAsia="zh-CN"/>
        </w:rPr>
      </w:pPr>
      <w:bookmarkStart w:id="22" w:name="_Toc3583"/>
      <w:bookmarkStart w:id="23" w:name="_Toc6998"/>
      <w:bookmarkStart w:id="24" w:name="_Toc7631"/>
      <w:r>
        <w:rPr>
          <w:rFonts w:hint="eastAsia" w:ascii="宋体" w:hAnsi="宋体" w:cs="宋体"/>
          <w:bCs/>
          <w:color w:val="auto"/>
          <w:kern w:val="2"/>
          <w:sz w:val="24"/>
          <w:szCs w:val="24"/>
          <w:highlight w:val="none"/>
          <w:lang w:val="en-US" w:eastAsia="zh-CN" w:bidi="ar-SA"/>
        </w:rPr>
        <w:t>9、</w:t>
      </w:r>
      <w:r>
        <w:rPr>
          <w:rFonts w:hint="eastAsia" w:ascii="宋体" w:hAnsi="宋体" w:eastAsia="宋体" w:cs="宋体"/>
          <w:bCs/>
          <w:color w:val="auto"/>
          <w:kern w:val="2"/>
          <w:sz w:val="24"/>
          <w:szCs w:val="24"/>
          <w:highlight w:val="none"/>
          <w:lang w:val="en-US" w:eastAsia="zh-CN" w:bidi="ar-SA"/>
        </w:rPr>
        <w:t>供应商必须对所投的包号内所有的内容进行响应，不允许只对其中部分内容进行响应，否则视为无效报价</w:t>
      </w:r>
      <w:r>
        <w:rPr>
          <w:rFonts w:hint="eastAsia" w:ascii="宋体" w:hAnsi="宋体" w:cs="宋体"/>
          <w:bCs/>
          <w:color w:val="auto"/>
          <w:kern w:val="2"/>
          <w:sz w:val="24"/>
          <w:szCs w:val="24"/>
          <w:highlight w:val="none"/>
          <w:lang w:val="en-US" w:eastAsia="zh-CN" w:bidi="ar-SA"/>
        </w:rPr>
        <w:t>。</w:t>
      </w:r>
      <w:bookmarkEnd w:id="22"/>
      <w:bookmarkEnd w:id="23"/>
      <w:bookmarkEnd w:id="24"/>
    </w:p>
    <w:p>
      <w:pPr>
        <w:pStyle w:val="4"/>
        <w:rPr>
          <w:rFonts w:asciiTheme="minorEastAsia" w:hAnsiTheme="minorEastAsia" w:eastAsiaTheme="minorEastAsia" w:cstheme="minorEastAsia"/>
          <w:bCs w:val="0"/>
          <w:color w:val="auto"/>
          <w:sz w:val="24"/>
          <w:szCs w:val="24"/>
          <w:highlight w:val="none"/>
        </w:rPr>
      </w:pPr>
      <w:bookmarkStart w:id="25" w:name="_Toc28182"/>
      <w:bookmarkStart w:id="26" w:name="_Toc28359090"/>
      <w:bookmarkStart w:id="27" w:name="_Toc35393630"/>
      <w:bookmarkStart w:id="28" w:name="_Toc28359013"/>
      <w:bookmarkStart w:id="29" w:name="_Toc22673"/>
      <w:bookmarkStart w:id="30" w:name="_Toc1727"/>
      <w:bookmarkStart w:id="31" w:name="_Toc4158"/>
      <w:bookmarkStart w:id="32" w:name="_Toc35393799"/>
      <w:r>
        <w:rPr>
          <w:rFonts w:hint="eastAsia" w:asciiTheme="minorEastAsia" w:hAnsiTheme="minorEastAsia" w:eastAsiaTheme="minorEastAsia" w:cstheme="minorEastAsia"/>
          <w:bCs w:val="0"/>
          <w:color w:val="auto"/>
          <w:sz w:val="24"/>
          <w:szCs w:val="24"/>
          <w:highlight w:val="none"/>
        </w:rPr>
        <w:t>二、申请人的资格要求：</w:t>
      </w:r>
      <w:bookmarkEnd w:id="25"/>
      <w:bookmarkEnd w:id="26"/>
      <w:bookmarkEnd w:id="27"/>
      <w:bookmarkEnd w:id="28"/>
      <w:bookmarkEnd w:id="29"/>
      <w:bookmarkEnd w:id="30"/>
      <w:bookmarkEnd w:id="31"/>
      <w:bookmarkEnd w:id="32"/>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bookmarkStart w:id="33" w:name="_Toc4414"/>
      <w:bookmarkStart w:id="34" w:name="_Toc28359014"/>
      <w:bookmarkStart w:id="35" w:name="_Toc35393800"/>
      <w:bookmarkStart w:id="36" w:name="_Toc28359091"/>
      <w:bookmarkStart w:id="37" w:name="_Toc35393631"/>
      <w:r>
        <w:rPr>
          <w:rFonts w:hint="eastAsia" w:ascii="宋体" w:hAnsi="宋体" w:cs="宋体"/>
          <w:color w:val="auto"/>
          <w:sz w:val="24"/>
          <w:highlight w:val="none"/>
        </w:rPr>
        <w:t>1.满足《中华人民共和国政府采购法》第二十二条规定；</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(一)具有独立承担民事责任的能力【注：①</w:t>
      </w:r>
      <w:r>
        <w:rPr>
          <w:rFonts w:hint="eastAsia" w:cs="宋体"/>
          <w:color w:val="auto"/>
          <w:sz w:val="24"/>
          <w:highlight w:val="none"/>
          <w:lang w:val="en-US" w:eastAsia="zh-CN"/>
        </w:rPr>
        <w:t>供应商</w:t>
      </w:r>
      <w:r>
        <w:rPr>
          <w:rFonts w:hint="eastAsia" w:ascii="宋体" w:hAnsi="宋体" w:cs="宋体"/>
          <w:color w:val="auto"/>
          <w:sz w:val="24"/>
          <w:highlight w:val="none"/>
        </w:rPr>
        <w:t>若为企业法人：提供“统一社会信用代码营业执照”；②若为事业法人：提供“事业单位法人证书副本”；③若为其他组织：提供“对应主管部门颁发的准许执业证明文件或营业执照”；④若为自然人：提供“提供工商主管部门颁发的个体营业执照/身份证明文件”以上均提供复印件加盖公章】；</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(五)参加政府采购活动前三年内，在经营活动中没有重大违法记录【</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(六)法律、行政法规规定的其他条件【</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2.落实政府采购政策需满足的资格要求：本项目支持政府采购促进中小企业发展政策、政府采购支持监狱企业发展政策、促进残疾人就业政府采购政策、扶持不发达地区和少数民族地区等相关政策。</w:t>
      </w:r>
    </w:p>
    <w:p>
      <w:pPr>
        <w:pStyle w:val="22"/>
        <w:shd w:val="clear" w:color="auto" w:fill="FFFFFF"/>
        <w:adjustRightInd w:val="0"/>
        <w:snapToGrid w:val="0"/>
        <w:spacing w:before="0" w:after="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cs="宋体"/>
          <w:color w:val="auto"/>
          <w:sz w:val="24"/>
          <w:highlight w:val="none"/>
          <w:lang w:val="en-US" w:eastAsia="zh-CN"/>
        </w:rPr>
        <w:t>供应商</w:t>
      </w:r>
      <w:r>
        <w:rPr>
          <w:rFonts w:hint="eastAsia" w:ascii="宋体" w:hAnsi="宋体" w:cs="宋体"/>
          <w:color w:val="auto"/>
          <w:sz w:val="24"/>
          <w:highlight w:val="none"/>
        </w:rPr>
        <w:t>必须未被列入“信用中国”网站(www.creditchina.gov.cn)政府采购严重违法失信行为记录名单、重大税收违法失信主体和中国政府采购网( www.ccgp.gov.cn ) 的“政府采购严重违法失信行为记录名单”及中国执行信息公开网（http://zxgk.court.gov.cn/shixin/）的失信被执行人的</w:t>
      </w:r>
      <w:r>
        <w:rPr>
          <w:rFonts w:hint="eastAsia" w:cs="宋体"/>
          <w:color w:val="auto"/>
          <w:sz w:val="24"/>
          <w:highlight w:val="none"/>
          <w:lang w:val="en-US" w:eastAsia="zh-CN"/>
        </w:rPr>
        <w:t>供应商</w:t>
      </w:r>
      <w:r>
        <w:rPr>
          <w:rFonts w:hint="eastAsia" w:ascii="宋体" w:hAnsi="宋体" w:cs="宋体"/>
          <w:color w:val="auto"/>
          <w:sz w:val="24"/>
          <w:highlight w:val="none"/>
        </w:rPr>
        <w:t>【以上内容提供承诺函加盖公章，格式自拟】。</w:t>
      </w:r>
    </w:p>
    <w:p>
      <w:pPr>
        <w:pStyle w:val="22"/>
        <w:shd w:val="clear" w:color="auto" w:fill="FFFFFF"/>
        <w:adjustRightInd w:val="0"/>
        <w:snapToGrid w:val="0"/>
        <w:spacing w:before="0" w:after="0" w:line="360" w:lineRule="auto"/>
        <w:ind w:right="74" w:firstLine="480" w:firstLineChars="200"/>
        <w:rPr>
          <w:color w:val="auto"/>
          <w:highlight w:val="none"/>
        </w:rPr>
      </w:pPr>
      <w:r>
        <w:rPr>
          <w:rFonts w:hint="eastAsia" w:ascii="宋体" w:hAnsi="宋体" w:cs="宋体"/>
          <w:color w:val="auto"/>
          <w:sz w:val="24"/>
          <w:highlight w:val="none"/>
        </w:rPr>
        <w:t>4.参加政府采购活动前三年内（成立不足三年的从成立之日起算），在经营活动无环保类行政处罚记录【提供声明书加盖公章，格式自拟】。</w:t>
      </w:r>
    </w:p>
    <w:p>
      <w:pPr>
        <w:pStyle w:val="22"/>
        <w:shd w:val="clear" w:color="auto" w:fill="FFFFFF"/>
        <w:adjustRightInd w:val="0"/>
        <w:snapToGrid w:val="0"/>
        <w:spacing w:before="0" w:after="0" w:line="360" w:lineRule="auto"/>
        <w:ind w:left="74" w:right="74" w:firstLine="480" w:firstLineChars="200"/>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rPr>
        <w:t>.本项目的特定资格要求：</w:t>
      </w:r>
    </w:p>
    <w:p>
      <w:pPr>
        <w:pStyle w:val="22"/>
        <w:shd w:val="clear" w:color="auto" w:fill="FFFFFF"/>
        <w:adjustRightInd w:val="0"/>
        <w:snapToGrid w:val="0"/>
        <w:spacing w:before="0" w:after="0" w:line="360" w:lineRule="auto"/>
        <w:ind w:left="74" w:right="74"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A包：无。</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cs="宋体"/>
          <w:color w:val="auto"/>
          <w:sz w:val="24"/>
          <w:szCs w:val="24"/>
          <w:lang w:val="en-US" w:eastAsia="zh-CN"/>
        </w:rPr>
      </w:pPr>
      <w:r>
        <w:rPr>
          <w:rFonts w:hint="eastAsia" w:asciiTheme="minorEastAsia" w:hAnsiTheme="minorEastAsia" w:eastAsiaTheme="minorEastAsia" w:cstheme="minorEastAsia"/>
          <w:color w:val="auto"/>
          <w:sz w:val="24"/>
          <w:highlight w:val="none"/>
          <w:lang w:val="en-US" w:eastAsia="zh-CN"/>
        </w:rPr>
        <w:t>B包：</w:t>
      </w:r>
      <w:r>
        <w:rPr>
          <w:rFonts w:hint="eastAsia" w:cs="宋体"/>
          <w:color w:val="auto"/>
          <w:sz w:val="24"/>
          <w:szCs w:val="24"/>
          <w:lang w:val="en-US" w:eastAsia="zh-CN"/>
        </w:rPr>
        <w:t>（1）具有建设行政主管部门颁发的有效的建筑装修装饰工程专业承包二级（含）以上资质。（或根据《住房和城乡建设部关于印发建设工程企业资质管理制度改革方案的通知（【建市〔2020〕94号】）换发的建筑装修装饰工程专业承包乙级（含）以上资质，具有有效的安全生产许可证，并在人员、设备、资金等方面具有相应的施工能力；拟派项目负责人（项目经理）需具有在本单位注册的建筑工程专业二级或以上注册建造师执业资格，并未担任其他在施建设工程项目的项目负责人；【提供相应的企业资质证书、安全生产许可证、项目负责人（项目经理）注册证、</w:t>
      </w:r>
      <w:r>
        <w:rPr>
          <w:rFonts w:hint="eastAsia" w:ascii="宋体" w:hAnsi="宋体" w:cs="宋体"/>
          <w:color w:val="auto"/>
          <w:szCs w:val="21"/>
        </w:rPr>
        <w:t>202</w:t>
      </w:r>
      <w:r>
        <w:rPr>
          <w:rFonts w:hint="eastAsia" w:ascii="宋体" w:hAnsi="宋体" w:cs="宋体"/>
          <w:color w:val="auto"/>
          <w:szCs w:val="21"/>
          <w:lang w:val="en-US" w:eastAsia="zh-CN"/>
        </w:rPr>
        <w:t>4</w:t>
      </w:r>
      <w:r>
        <w:rPr>
          <w:rFonts w:hint="eastAsia" w:ascii="宋体" w:hAnsi="宋体" w:cs="宋体"/>
          <w:color w:val="auto"/>
          <w:szCs w:val="21"/>
        </w:rPr>
        <w:t>年1月1日至今任意一个月</w:t>
      </w:r>
      <w:r>
        <w:rPr>
          <w:rFonts w:hint="eastAsia" w:ascii="宋体" w:hAnsi="宋体" w:cs="宋体"/>
          <w:color w:val="auto"/>
          <w:szCs w:val="21"/>
          <w:lang w:val="en-US" w:eastAsia="zh-CN"/>
        </w:rPr>
        <w:t>在本单位缴纳</w:t>
      </w:r>
      <w:r>
        <w:rPr>
          <w:rFonts w:hint="eastAsia" w:ascii="宋体" w:hAnsi="宋体" w:cs="宋体"/>
          <w:color w:val="auto"/>
          <w:szCs w:val="21"/>
        </w:rPr>
        <w:t>的社保证明材料（新入职人员以入职时间提供缴纳社保证明为准；须由社会保障部门盖章确认）</w:t>
      </w:r>
      <w:r>
        <w:rPr>
          <w:rFonts w:hint="eastAsia" w:cs="宋体"/>
          <w:color w:val="auto"/>
          <w:sz w:val="24"/>
          <w:szCs w:val="24"/>
          <w:lang w:val="en-US" w:eastAsia="zh-CN"/>
        </w:rPr>
        <w:t>及未担任其他在施建设工程项目的承诺函。</w:t>
      </w:r>
      <w:r>
        <w:rPr>
          <w:rFonts w:hint="eastAsia" w:ascii="宋体" w:hAnsi="宋体" w:cs="宋体"/>
          <w:color w:val="auto"/>
          <w:szCs w:val="21"/>
        </w:rPr>
        <w:t>项目经理注册在本单位的证明，以《全国建筑市场监管公共服务平台》查询截图为准</w:t>
      </w:r>
      <w:r>
        <w:rPr>
          <w:rFonts w:hint="eastAsia" w:cs="宋体"/>
          <w:color w:val="auto"/>
          <w:sz w:val="24"/>
          <w:szCs w:val="24"/>
          <w:lang w:val="en-US" w:eastAsia="zh-CN"/>
        </w:rPr>
        <w:t>】</w:t>
      </w:r>
    </w:p>
    <w:p>
      <w:pPr>
        <w:pStyle w:val="22"/>
        <w:shd w:val="clear" w:color="auto" w:fill="FFFFFF"/>
        <w:adjustRightInd w:val="0"/>
        <w:snapToGrid w:val="0"/>
        <w:spacing w:before="0" w:after="0" w:line="360" w:lineRule="auto"/>
        <w:ind w:left="74" w:right="74" w:firstLine="480" w:firstLineChars="200"/>
        <w:rPr>
          <w:rFonts w:hint="eastAsia" w:cs="宋体"/>
          <w:color w:val="auto"/>
          <w:sz w:val="24"/>
          <w:szCs w:val="24"/>
          <w:lang w:val="en-US" w:eastAsia="zh-CN"/>
        </w:rPr>
      </w:pPr>
      <w:r>
        <w:rPr>
          <w:rFonts w:hint="eastAsia" w:cs="宋体"/>
          <w:color w:val="auto"/>
          <w:sz w:val="24"/>
          <w:szCs w:val="24"/>
          <w:lang w:val="en-US" w:eastAsia="zh-CN"/>
        </w:rPr>
        <w:t>（2）项目管理机构其他最低配备人员：施工员 1 人，安全员 1 人；技术负责人1人（可兼任）、机械员 1 人（可兼任），劳资专管员1人，资料员1人（可兼任）。【提供相应证书（可提供电子证书）及2024年1月1日至今任意一个月在本单位缴纳的社保证明材料（新入职人员以入职时间提供缴纳社保证明为准；须由社会保障部门盖章确认）复印件加盖单位公章】；</w:t>
      </w:r>
    </w:p>
    <w:p>
      <w:pPr>
        <w:pStyle w:val="22"/>
        <w:shd w:val="clear" w:color="auto" w:fill="FFFFFF"/>
        <w:adjustRightInd w:val="0"/>
        <w:snapToGrid w:val="0"/>
        <w:spacing w:before="0" w:after="0" w:line="360" w:lineRule="auto"/>
        <w:ind w:left="74" w:right="74" w:firstLine="480" w:firstLineChars="200"/>
        <w:rPr>
          <w:rFonts w:hint="eastAsia" w:cs="宋体"/>
          <w:color w:val="auto"/>
          <w:sz w:val="24"/>
          <w:szCs w:val="24"/>
          <w:lang w:val="en-US" w:eastAsia="zh-CN"/>
        </w:rPr>
      </w:pPr>
      <w:r>
        <w:rPr>
          <w:rFonts w:hint="eastAsia" w:cs="宋体"/>
          <w:color w:val="auto"/>
          <w:sz w:val="24"/>
          <w:szCs w:val="24"/>
          <w:lang w:val="en-US" w:eastAsia="zh-CN"/>
        </w:rPr>
        <w:t>（3）应在海南省住房和城乡建设厅海南省房屋建筑工程全过程监管信息平台完成《海南省建筑企业诚信档案手册》登记，并打印信息平台生成的诚信档案手册。</w:t>
      </w:r>
    </w:p>
    <w:p>
      <w:pPr>
        <w:pStyle w:val="22"/>
        <w:shd w:val="clear" w:color="auto" w:fill="FFFFFF"/>
        <w:adjustRightInd w:val="0"/>
        <w:snapToGrid w:val="0"/>
        <w:spacing w:before="0" w:after="0" w:line="360" w:lineRule="auto"/>
        <w:ind w:left="74" w:right="74" w:firstLine="480" w:firstLineChars="200"/>
        <w:rPr>
          <w:rFonts w:hint="eastAsia" w:ascii="宋体" w:hAnsi="宋体" w:cs="宋体"/>
          <w:color w:val="auto"/>
          <w:szCs w:val="21"/>
        </w:rPr>
      </w:pPr>
      <w:r>
        <w:rPr>
          <w:rFonts w:hint="eastAsia" w:cs="宋体"/>
          <w:color w:val="auto"/>
          <w:sz w:val="24"/>
          <w:szCs w:val="24"/>
          <w:lang w:val="en-US" w:eastAsia="zh-CN"/>
        </w:rPr>
        <w:t>（4）信誉要求：</w:t>
      </w:r>
      <w:r>
        <w:rPr>
          <w:rFonts w:hint="eastAsia" w:ascii="宋体" w:hAnsi="宋体" w:cs="宋体"/>
          <w:color w:val="auto"/>
          <w:szCs w:val="21"/>
        </w:rPr>
        <w:t>近三年（202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 1 日至今）</w:t>
      </w:r>
      <w:r>
        <w:rPr>
          <w:rFonts w:hint="eastAsia" w:ascii="宋体" w:hAnsi="宋体" w:cs="宋体"/>
          <w:color w:val="auto"/>
          <w:szCs w:val="21"/>
          <w:lang w:val="en-US" w:eastAsia="zh-CN"/>
        </w:rPr>
        <w:t>供应商</w:t>
      </w:r>
      <w:r>
        <w:rPr>
          <w:rFonts w:hint="eastAsia" w:ascii="宋体" w:hAnsi="宋体" w:cs="宋体"/>
          <w:color w:val="auto"/>
          <w:szCs w:val="21"/>
        </w:rPr>
        <w:t>无以下情形：</w:t>
      </w:r>
    </w:p>
    <w:p>
      <w:pPr>
        <w:pStyle w:val="22"/>
        <w:shd w:val="clear" w:color="auto" w:fill="FFFFFF"/>
        <w:adjustRightInd w:val="0"/>
        <w:snapToGrid w:val="0"/>
        <w:spacing w:before="0" w:after="0" w:line="360" w:lineRule="auto"/>
        <w:ind w:left="74" w:right="74" w:firstLine="480" w:firstLineChars="200"/>
        <w:rPr>
          <w:rFonts w:hint="eastAsia" w:cs="宋体"/>
          <w:color w:val="auto"/>
          <w:sz w:val="24"/>
          <w:szCs w:val="24"/>
          <w:lang w:val="en-US" w:eastAsia="zh-CN"/>
        </w:rPr>
      </w:pPr>
      <w:r>
        <w:rPr>
          <w:rFonts w:hint="eastAsia" w:ascii="宋体" w:hAnsi="宋体" w:cs="宋体"/>
          <w:color w:val="auto"/>
          <w:szCs w:val="21"/>
          <w:lang w:val="en-US" w:eastAsia="zh-CN"/>
        </w:rPr>
        <w:t>①供应商</w:t>
      </w:r>
      <w:r>
        <w:rPr>
          <w:rFonts w:hint="eastAsia" w:ascii="宋体" w:hAnsi="宋体" w:cs="宋体"/>
          <w:color w:val="auto"/>
          <w:szCs w:val="21"/>
        </w:rPr>
        <w:t>被海南省建设行政主管部门认定的责令其不得参加投标的行为；</w:t>
      </w:r>
      <w:r>
        <w:rPr>
          <w:rFonts w:hint="eastAsia" w:ascii="宋体" w:hAnsi="宋体" w:cs="宋体"/>
          <w:color w:val="auto"/>
          <w:szCs w:val="21"/>
          <w:lang w:val="en-US" w:eastAsia="zh-CN"/>
        </w:rPr>
        <w:t>②供应商</w:t>
      </w:r>
      <w:r>
        <w:rPr>
          <w:rFonts w:hint="eastAsia" w:ascii="宋体" w:hAnsi="宋体" w:cs="宋体"/>
          <w:color w:val="auto"/>
          <w:szCs w:val="21"/>
        </w:rPr>
        <w:t>的投标资格被暂停或取消，处于被责令停业、财产被接管或冻结或破产状态；</w:t>
      </w:r>
      <w:r>
        <w:rPr>
          <w:rFonts w:hint="eastAsia" w:ascii="宋体" w:hAnsi="宋体" w:cs="宋体"/>
          <w:color w:val="auto"/>
          <w:szCs w:val="21"/>
          <w:lang w:val="en-US" w:eastAsia="zh-CN"/>
        </w:rPr>
        <w:t>③</w:t>
      </w:r>
      <w:r>
        <w:rPr>
          <w:rFonts w:hint="eastAsia" w:ascii="宋体" w:hAnsi="宋体" w:cs="宋体"/>
          <w:color w:val="auto"/>
          <w:szCs w:val="21"/>
        </w:rPr>
        <w:t>重大工程质量问题。若存在上述问题，按废标处理。【提供承诺函加盖公章，格式自拟】</w:t>
      </w:r>
      <w:r>
        <w:rPr>
          <w:rFonts w:hint="eastAsia" w:cs="宋体"/>
          <w:color w:val="auto"/>
          <w:sz w:val="24"/>
          <w:szCs w:val="24"/>
          <w:lang w:val="en-US" w:eastAsia="zh-CN"/>
        </w:rPr>
        <w:t>。</w:t>
      </w:r>
    </w:p>
    <w:p>
      <w:pPr>
        <w:pStyle w:val="4"/>
        <w:rPr>
          <w:rFonts w:asciiTheme="minorEastAsia" w:hAnsiTheme="minorEastAsia" w:eastAsiaTheme="minorEastAsia" w:cstheme="minorEastAsia"/>
          <w:bCs w:val="0"/>
          <w:color w:val="auto"/>
          <w:sz w:val="24"/>
          <w:szCs w:val="24"/>
          <w:highlight w:val="none"/>
        </w:rPr>
      </w:pPr>
      <w:bookmarkStart w:id="38" w:name="_Toc10772"/>
      <w:bookmarkStart w:id="39" w:name="_Toc18440"/>
      <w:bookmarkStart w:id="40" w:name="_Toc16735"/>
      <w:r>
        <w:rPr>
          <w:rFonts w:hint="eastAsia" w:asciiTheme="minorEastAsia" w:hAnsiTheme="minorEastAsia" w:eastAsiaTheme="minorEastAsia" w:cstheme="minorEastAsia"/>
          <w:bCs w:val="0"/>
          <w:color w:val="auto"/>
          <w:sz w:val="24"/>
          <w:szCs w:val="24"/>
          <w:highlight w:val="none"/>
        </w:rPr>
        <w:t>三、获取采购文件</w:t>
      </w:r>
      <w:bookmarkEnd w:id="33"/>
      <w:bookmarkEnd w:id="34"/>
      <w:bookmarkEnd w:id="35"/>
      <w:bookmarkEnd w:id="36"/>
      <w:bookmarkEnd w:id="37"/>
      <w:bookmarkEnd w:id="38"/>
      <w:bookmarkEnd w:id="39"/>
      <w:bookmarkEnd w:id="40"/>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时间：2024</w:t>
      </w:r>
      <w:r>
        <w:rPr>
          <w:rFonts w:hint="eastAsia" w:asciiTheme="minorEastAsia" w:hAnsiTheme="minorEastAsia" w:eastAsiaTheme="minorEastAsia" w:cstheme="minorEastAsia"/>
          <w:color w:val="auto"/>
          <w:sz w:val="24"/>
          <w:highlight w:val="none"/>
          <w:lang w:val="en-US" w:eastAsia="zh-CN"/>
        </w:rPr>
        <w:t>年07月17日18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30</w:t>
      </w:r>
      <w:r>
        <w:rPr>
          <w:rFonts w:hint="eastAsia" w:asciiTheme="minorEastAsia" w:hAnsiTheme="minorEastAsia" w:eastAsiaTheme="minorEastAsia" w:cstheme="minorEastAsia"/>
          <w:color w:val="auto"/>
          <w:sz w:val="24"/>
          <w:highlight w:val="none"/>
        </w:rPr>
        <w:t>:00至2024</w:t>
      </w:r>
      <w:r>
        <w:rPr>
          <w:rFonts w:hint="eastAsia" w:asciiTheme="minorEastAsia" w:hAnsiTheme="minorEastAsia" w:eastAsiaTheme="minorEastAsia" w:cstheme="minorEastAsia"/>
          <w:color w:val="auto"/>
          <w:sz w:val="24"/>
          <w:highlight w:val="none"/>
          <w:lang w:val="en-US" w:eastAsia="zh-CN"/>
        </w:rPr>
        <w:t>年07月24日23</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59</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59</w:t>
      </w:r>
      <w:r>
        <w:rPr>
          <w:rFonts w:hint="eastAsia" w:asciiTheme="minorEastAsia" w:hAnsiTheme="minorEastAsia" w:eastAsiaTheme="minorEastAsia" w:cstheme="minorEastAsia"/>
          <w:color w:val="auto"/>
          <w:sz w:val="24"/>
          <w:highlight w:val="none"/>
        </w:rPr>
        <w:t>，每天上午 00:00 至 12:00 ，下午 12:00 至 24:00（北京时间）；</w:t>
      </w:r>
    </w:p>
    <w:p>
      <w:pPr>
        <w:spacing w:line="360" w:lineRule="auto"/>
        <w:ind w:firstLine="54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地点：海南省政府采购网(www.ccgp-hainan.gov.cn)-海南省政府采购电子化交易管理系统(新)；</w:t>
      </w:r>
    </w:p>
    <w:p>
      <w:pPr>
        <w:spacing w:line="360" w:lineRule="auto"/>
        <w:ind w:firstLine="54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方式：网上下载；</w:t>
      </w:r>
    </w:p>
    <w:p>
      <w:pPr>
        <w:spacing w:line="360" w:lineRule="auto"/>
        <w:ind w:firstLine="54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售价：磋商文件每套售价0.00 元。</w:t>
      </w:r>
    </w:p>
    <w:p>
      <w:pPr>
        <w:pStyle w:val="4"/>
        <w:rPr>
          <w:rFonts w:asciiTheme="minorEastAsia" w:hAnsiTheme="minorEastAsia" w:eastAsiaTheme="minorEastAsia" w:cstheme="minorEastAsia"/>
          <w:bCs w:val="0"/>
          <w:color w:val="auto"/>
          <w:sz w:val="24"/>
          <w:szCs w:val="24"/>
          <w:highlight w:val="none"/>
        </w:rPr>
      </w:pPr>
      <w:bookmarkStart w:id="41" w:name="_Toc21967"/>
      <w:bookmarkStart w:id="42" w:name="_Toc28359015"/>
      <w:bookmarkStart w:id="43" w:name="_Toc28359092"/>
      <w:bookmarkStart w:id="44" w:name="_Toc8672"/>
      <w:bookmarkStart w:id="45" w:name="_Toc4950"/>
      <w:bookmarkStart w:id="46" w:name="_Toc27024"/>
      <w:bookmarkStart w:id="47" w:name="_Toc35393632"/>
      <w:bookmarkStart w:id="48" w:name="_Toc35393801"/>
      <w:r>
        <w:rPr>
          <w:rFonts w:hint="eastAsia" w:asciiTheme="minorEastAsia" w:hAnsiTheme="minorEastAsia" w:eastAsiaTheme="minorEastAsia" w:cstheme="minorEastAsia"/>
          <w:bCs w:val="0"/>
          <w:color w:val="auto"/>
          <w:sz w:val="24"/>
          <w:szCs w:val="24"/>
          <w:highlight w:val="none"/>
        </w:rPr>
        <w:t>四、响应文件提交</w:t>
      </w:r>
      <w:bookmarkEnd w:id="41"/>
      <w:bookmarkEnd w:id="42"/>
      <w:bookmarkEnd w:id="43"/>
      <w:bookmarkEnd w:id="44"/>
      <w:bookmarkEnd w:id="45"/>
      <w:bookmarkEnd w:id="46"/>
      <w:bookmarkEnd w:id="47"/>
      <w:bookmarkEnd w:id="48"/>
    </w:p>
    <w:p>
      <w:pPr>
        <w:spacing w:line="360" w:lineRule="auto"/>
        <w:ind w:firstLine="480" w:firstLineChars="200"/>
        <w:rPr>
          <w:rFonts w:asciiTheme="minorEastAsia" w:hAnsiTheme="minorEastAsia" w:eastAsiaTheme="minorEastAsia" w:cstheme="minorEastAsia"/>
          <w:bCs/>
          <w:color w:val="auto"/>
          <w:sz w:val="24"/>
          <w:highlight w:val="none"/>
        </w:rPr>
      </w:pPr>
      <w:bookmarkStart w:id="49" w:name="_Toc35393802"/>
      <w:bookmarkStart w:id="50" w:name="_Toc17742"/>
      <w:bookmarkStart w:id="51" w:name="_Toc28359016"/>
      <w:bookmarkStart w:id="52" w:name="_Toc35393633"/>
      <w:bookmarkStart w:id="53" w:name="_Toc21685"/>
      <w:bookmarkStart w:id="54" w:name="_Toc28359093"/>
      <w:bookmarkStart w:id="55" w:name="_Toc4609"/>
      <w:bookmarkStart w:id="56" w:name="_Toc29747"/>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截止时间：</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u w:val="single"/>
          <w:lang w:eastAsia="zh-CN"/>
        </w:rPr>
        <w:t>024年07月29日09点30分</w:t>
      </w:r>
      <w:r>
        <w:rPr>
          <w:rFonts w:hint="eastAsia" w:asciiTheme="minorEastAsia" w:hAnsiTheme="minorEastAsia" w:eastAsiaTheme="minorEastAsia" w:cstheme="minorEastAsia"/>
          <w:bCs/>
          <w:color w:val="auto"/>
          <w:sz w:val="24"/>
          <w:highlight w:val="none"/>
        </w:rPr>
        <w:t>（北京时间）；</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网络递交：海南政府采购网(www.ccgp-hainan.gov.cn)-海南省政府采购电子化交易管理系统(新)（本项目采用全流程线上公开，</w:t>
      </w: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须提前准备海南省公共资源交易平台CA锁通过海南省政府采购电子化交易管理系统(新)进行签到、解密等操作。）</w:t>
      </w:r>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lang w:val="en-US" w:eastAsia="zh-CN"/>
        </w:rPr>
        <w:t>3.供应商</w:t>
      </w:r>
      <w:r>
        <w:rPr>
          <w:rFonts w:hint="eastAsia" w:asciiTheme="minorEastAsia" w:hAnsiTheme="minorEastAsia" w:eastAsiaTheme="minorEastAsia" w:cstheme="minorEastAsia"/>
          <w:color w:val="auto"/>
          <w:sz w:val="24"/>
          <w:highlight w:val="none"/>
        </w:rPr>
        <w:t>应在响应截止时间前将签字盖章版的响应文件上传至海南政府采购网(www.ccgp-hainan.gov.cn)-海南省政府采购电子化交易管理系统(新)，并于响应截止时间前30分内登录系统完成签到，否则视同未递交响应文件。</w:t>
      </w:r>
    </w:p>
    <w:p>
      <w:pPr>
        <w:pStyle w:val="4"/>
        <w:rPr>
          <w:rFonts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五、</w:t>
      </w:r>
      <w:bookmarkEnd w:id="49"/>
      <w:bookmarkEnd w:id="50"/>
      <w:bookmarkEnd w:id="51"/>
      <w:bookmarkEnd w:id="52"/>
      <w:bookmarkEnd w:id="53"/>
      <w:bookmarkEnd w:id="54"/>
      <w:bookmarkEnd w:id="55"/>
      <w:bookmarkEnd w:id="56"/>
      <w:bookmarkStart w:id="57" w:name="_Toc28359017"/>
      <w:bookmarkStart w:id="58" w:name="_Toc2840"/>
      <w:bookmarkStart w:id="59" w:name="_Toc12846"/>
      <w:bookmarkStart w:id="60" w:name="_Toc35393634"/>
      <w:bookmarkStart w:id="61" w:name="_Toc28359094"/>
      <w:bookmarkStart w:id="62" w:name="_Toc35393803"/>
      <w:bookmarkStart w:id="63" w:name="_Toc2586"/>
      <w:bookmarkStart w:id="64" w:name="_Toc25807"/>
      <w:r>
        <w:rPr>
          <w:rFonts w:hint="eastAsia" w:asciiTheme="minorEastAsia" w:hAnsiTheme="minorEastAsia" w:eastAsiaTheme="minorEastAsia" w:cstheme="minorEastAsia"/>
          <w:bCs w:val="0"/>
          <w:color w:val="auto"/>
          <w:sz w:val="24"/>
          <w:szCs w:val="24"/>
          <w:highlight w:val="none"/>
        </w:rPr>
        <w:t>公告期限</w:t>
      </w:r>
      <w:bookmarkEnd w:id="57"/>
      <w:bookmarkEnd w:id="58"/>
      <w:bookmarkEnd w:id="59"/>
      <w:bookmarkEnd w:id="60"/>
      <w:bookmarkEnd w:id="61"/>
      <w:bookmarkEnd w:id="62"/>
      <w:bookmarkEnd w:id="63"/>
      <w:bookmarkEnd w:id="64"/>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自本公告发布之日起3个工作日。</w:t>
      </w:r>
      <w:bookmarkStart w:id="65" w:name="_Toc35393635"/>
      <w:bookmarkStart w:id="66" w:name="_Toc35393804"/>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val="en-US" w:eastAsia="zh-CN"/>
        </w:rPr>
        <w:t>六、</w:t>
      </w:r>
      <w:r>
        <w:rPr>
          <w:rFonts w:hint="eastAsia" w:asciiTheme="minorEastAsia" w:hAnsiTheme="minorEastAsia" w:eastAsiaTheme="minorEastAsia" w:cstheme="minorEastAsia"/>
          <w:b/>
          <w:bCs/>
          <w:color w:val="auto"/>
          <w:sz w:val="24"/>
          <w:highlight w:val="none"/>
        </w:rPr>
        <w:t>其他补充事宜</w:t>
      </w:r>
      <w:bookmarkEnd w:id="65"/>
      <w:bookmarkEnd w:id="66"/>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1.本项目采购信息指定发布媒体：</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海南省政府采购网：</w:t>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HYPERLINK "https://www.ccgp-hainan.gov.cn/zhuzhan/；" </w:instrText>
      </w:r>
      <w:r>
        <w:rPr>
          <w:rFonts w:hint="eastAsia" w:asciiTheme="minorEastAsia" w:hAnsiTheme="minorEastAsia" w:eastAsiaTheme="minorEastAsia" w:cstheme="minorEastAsia"/>
          <w:color w:val="auto"/>
          <w:sz w:val="24"/>
          <w:highlight w:val="none"/>
        </w:rPr>
        <w:fldChar w:fldCharType="separate"/>
      </w:r>
      <w:r>
        <w:rPr>
          <w:rStyle w:val="30"/>
          <w:rFonts w:hint="eastAsia" w:asciiTheme="minorEastAsia" w:hAnsiTheme="minorEastAsia" w:eastAsiaTheme="minorEastAsia" w:cstheme="minorEastAsia"/>
          <w:sz w:val="24"/>
          <w:highlight w:val="none"/>
        </w:rPr>
        <w:t>https://www.ccgp-hainan.gov.cn/zhuzhan/；</w:t>
      </w:r>
      <w:r>
        <w:rPr>
          <w:rFonts w:hint="eastAsia" w:asciiTheme="minorEastAsia" w:hAnsiTheme="minorEastAsia" w:eastAsiaTheme="minorEastAsia" w:cstheme="minorEastAsia"/>
          <w:color w:val="auto"/>
          <w:sz w:val="24"/>
          <w:highlight w:val="none"/>
        </w:rPr>
        <w:fldChar w:fldCharType="end"/>
      </w:r>
    </w:p>
    <w:p>
      <w:pPr>
        <w:spacing w:line="360" w:lineRule="auto"/>
        <w:ind w:firstLine="720" w:firstLineChars="300"/>
        <w:rPr>
          <w:rFonts w:hint="eastAsia" w:eastAsiaTheme="minorEastAsia"/>
          <w:lang w:eastAsia="zh-CN"/>
        </w:rPr>
      </w:pPr>
      <w:r>
        <w:rPr>
          <w:rFonts w:hint="eastAsia" w:asciiTheme="minorEastAsia" w:hAnsiTheme="minorEastAsia" w:eastAsiaTheme="minorEastAsia" w:cstheme="minorEastAsia"/>
          <w:color w:val="auto"/>
          <w:sz w:val="24"/>
          <w:highlight w:val="none"/>
        </w:rPr>
        <w:t>海南省政府采购行业协会</w:t>
      </w:r>
      <w:r>
        <w:rPr>
          <w:rFonts w:hint="eastAsia" w:asciiTheme="minorEastAsia" w:hAnsiTheme="minorEastAsia" w:eastAsiaTheme="minorEastAsia" w:cstheme="minorEastAsia"/>
          <w:color w:val="auto"/>
          <w:sz w:val="24"/>
          <w:highlight w:val="none"/>
          <w:lang w:eastAsia="zh-CN"/>
        </w:rPr>
        <w:t>：http://hnzfcgxh.com/</w:t>
      </w:r>
      <w:bookmarkStart w:id="794" w:name="_GoBack"/>
      <w:bookmarkEnd w:id="794"/>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2.有关本项目采购文件的补遗、澄清及变更信息以上述网站公告与下载为准，采购代理机构不再另行通知，采购文件与更正公告的内容相互矛盾时，以最后发出的更正公告内容为准。</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本项目采用全程电子化公开，供应商应当在响应截止时间前将签字盖章版的响应文件加密上传至海南政府采购网(www.ccgp-hainan.gov.cn)-海南省政府采购电子化交易管理系统(新)，并于响应截止时间前30分内登录系统完成签到，签到时请正确填写授权委托人信息，委托人电话要保持畅通。供应商须提前准备海南省公共资源交易平台CA锁通过海南省政府采购电子化交易管理系统(新)进行签到、解密等操作。如因供应商自身原因导致系统操作不及时或未按要求在系统中上传签字盖章版响应文件等情形，响应无效做否决响应处理。</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4.电子化公开</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4.1.获取采购文件方式（按以下步骤报名并获取文件）：（1）网上注册报名：供应商须在海南省政府采购网(https://www.ccgp-hainan.gov.cn/zhuzhan/)中的海南省政府采购电子化交易管理系统平台进行注册报名。（2）未按时在系统平台注册报名视为无效报名。 </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4.2.供应商须在海南政府采购网(www.ccgp-hainan.gov.cn)-海南省政府采购电子化交易管理系统(新)中下载、查看电子版的磋商文件及其他文件。</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4.3.电子标：必须使用最新版本的电子投标工具在海南政府采购网(www.ccgp-hainan.gov.cn)-海南省政府采购电子化交易管理系统(新)中下载；</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4.4.必须使用最新版本的电子投标书编制工具制作电子版响应文件并使用 CA 数字证书（含手机 CA）的电子印章进行签章，且使用 CA 数字证书（含手机 CA）进行加密后在提交响应文件截止时间前上传至交易系统，否则视为无效投标（投标文件制作工具是配合政府采购交易系统制作投标文件的工具。供应商/供应商使用该工具打开从系统下载的招投标文件包【为wtbwj格式】，离线编辑完成的投标文件各组成部分导入pdf格式签章，最终生成加密的投标文件【为wenc格式】）。 电子投标书编制工具、投标工具使用手册及供应商使用手册等均可在海南省政府采购电子化交易管理系统（http://218.77.183.212:8199/u/loginu/）-帮助中心下载。</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本项目为全程电子化开标项目。开标时供应商使用个人电脑登入海南政府采购网(www.ccgp-hainan.gov.cn)-海南省政府采购电子化交易管理系统(新)(实体CA数字证书或移动CA数字证书，必须是生成投标文件时使用的使用数字认证锁) 进行远程解密。在开标前，供应商应利用参与开标的电脑提前登入开标系统进行电脑配置环境检测，并按提示设置电脑环境。</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4.6.供应商使用交易系统遇到问题可进入https://www.yuque.com/haonan123/bzzx/ahre46查看《【全程电子化】供应商使用手册》或致电技术支持： 0898-68546705 。</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注意：供应商签到需选择key签章，海南CA数字证书办理所需材料及地址：（1）CA数字证书所需材料：登录海南省数字证书认证中心网站（网址：http://www.hndca.com/CA/） “服务支持”中的“海南省电子招投标用户办理数字证书业务指南”下载。（可在线办理，也可现场办理） ；（2）CA 数字证书现场办理地址：海南省海口市美兰区大英山东三路2号海南数据谷二号营地2层212室。数字证书咨询电话：0898-66668096、0898-66664947，电子签章咨询电话0898-68546705。 已注册备案通过并取得数字证书和电子签章的供应商不需要再重新备案。 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pStyle w:val="4"/>
        <w:ind w:firstLine="482" w:firstLineChars="200"/>
        <w:rPr>
          <w:rFonts w:asciiTheme="minorEastAsia" w:hAnsiTheme="minorEastAsia" w:eastAsiaTheme="minorEastAsia" w:cstheme="minorEastAsia"/>
          <w:bCs w:val="0"/>
          <w:color w:val="auto"/>
          <w:sz w:val="24"/>
          <w:szCs w:val="24"/>
          <w:highlight w:val="none"/>
        </w:rPr>
      </w:pPr>
      <w:bookmarkStart w:id="67" w:name="_Toc6963"/>
      <w:bookmarkStart w:id="68" w:name="_Toc2514"/>
      <w:bookmarkStart w:id="69" w:name="_Toc28359018"/>
      <w:bookmarkStart w:id="70" w:name="_Toc28359095"/>
      <w:bookmarkStart w:id="71" w:name="_Toc21627"/>
      <w:bookmarkStart w:id="72" w:name="_Toc35393636"/>
      <w:bookmarkStart w:id="73" w:name="_Toc35393805"/>
      <w:bookmarkStart w:id="74" w:name="_Toc8365"/>
      <w:r>
        <w:rPr>
          <w:rFonts w:hint="eastAsia" w:asciiTheme="minorEastAsia" w:hAnsiTheme="minorEastAsia" w:eastAsiaTheme="minorEastAsia" w:cstheme="minorEastAsia"/>
          <w:bCs w:val="0"/>
          <w:color w:val="auto"/>
          <w:sz w:val="24"/>
          <w:szCs w:val="24"/>
          <w:highlight w:val="none"/>
          <w:lang w:val="en-US" w:eastAsia="zh-CN"/>
        </w:rPr>
        <w:t>七</w:t>
      </w:r>
      <w:r>
        <w:rPr>
          <w:rFonts w:hint="eastAsia" w:asciiTheme="minorEastAsia" w:hAnsiTheme="minorEastAsia" w:eastAsiaTheme="minorEastAsia" w:cstheme="minorEastAsia"/>
          <w:bCs w:val="0"/>
          <w:color w:val="auto"/>
          <w:sz w:val="24"/>
          <w:szCs w:val="24"/>
          <w:highlight w:val="none"/>
        </w:rPr>
        <w:t>、凡对本次采购提出询问，请按以下方式联系</w:t>
      </w:r>
      <w:bookmarkEnd w:id="67"/>
      <w:bookmarkEnd w:id="68"/>
      <w:bookmarkEnd w:id="69"/>
      <w:bookmarkEnd w:id="70"/>
      <w:bookmarkEnd w:id="71"/>
      <w:bookmarkEnd w:id="72"/>
      <w:bookmarkEnd w:id="73"/>
      <w:bookmarkEnd w:id="74"/>
    </w:p>
    <w:p>
      <w:pPr>
        <w:pStyle w:val="4"/>
        <w:ind w:firstLine="723" w:firstLineChars="300"/>
        <w:rPr>
          <w:rFonts w:asciiTheme="minorEastAsia" w:hAnsiTheme="minorEastAsia" w:eastAsiaTheme="minorEastAsia" w:cstheme="minorEastAsia"/>
          <w:bCs w:val="0"/>
          <w:color w:val="auto"/>
          <w:sz w:val="24"/>
          <w:szCs w:val="24"/>
          <w:highlight w:val="none"/>
        </w:rPr>
      </w:pPr>
      <w:bookmarkStart w:id="75" w:name="_Toc35393637"/>
      <w:bookmarkStart w:id="76" w:name="_Toc35393806"/>
      <w:bookmarkStart w:id="77" w:name="_Toc28359096"/>
      <w:bookmarkStart w:id="78" w:name="_Toc15023"/>
      <w:bookmarkStart w:id="79" w:name="_Toc1409"/>
      <w:bookmarkStart w:id="80" w:name="_Toc8650"/>
      <w:bookmarkStart w:id="81" w:name="_Toc28359019"/>
      <w:bookmarkStart w:id="82" w:name="_Toc32002"/>
      <w:r>
        <w:rPr>
          <w:rFonts w:hint="eastAsia" w:asciiTheme="minorEastAsia" w:hAnsiTheme="minorEastAsia" w:eastAsiaTheme="minorEastAsia" w:cstheme="minorEastAsia"/>
          <w:bCs w:val="0"/>
          <w:color w:val="auto"/>
          <w:sz w:val="24"/>
          <w:szCs w:val="24"/>
          <w:highlight w:val="none"/>
        </w:rPr>
        <w:t>1.采购人信息</w:t>
      </w:r>
      <w:bookmarkEnd w:id="75"/>
      <w:bookmarkEnd w:id="76"/>
      <w:bookmarkEnd w:id="77"/>
      <w:bookmarkEnd w:id="78"/>
      <w:bookmarkEnd w:id="79"/>
      <w:bookmarkEnd w:id="80"/>
      <w:bookmarkEnd w:id="81"/>
      <w:bookmarkEnd w:id="82"/>
    </w:p>
    <w:p>
      <w:pPr>
        <w:spacing w:line="360" w:lineRule="auto"/>
        <w:ind w:left="1079" w:leftChars="371" w:hanging="300" w:hangingChars="125"/>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eastAsiaTheme="minorEastAsia" w:cstheme="minorEastAsia"/>
          <w:color w:val="auto"/>
          <w:sz w:val="24"/>
          <w:highlight w:val="none"/>
          <w:lang w:eastAsia="zh-CN"/>
        </w:rPr>
        <w:t>保亭黎族苗族自治县民政局</w:t>
      </w:r>
    </w:p>
    <w:p>
      <w:pPr>
        <w:widowControl w:val="0"/>
        <w:spacing w:line="360" w:lineRule="auto"/>
        <w:ind w:left="1079" w:leftChars="371" w:hanging="300" w:hangingChars="125"/>
        <w:rPr>
          <w:rFonts w:hint="eastAsia" w:ascii="宋体" w:hAnsi="宋体" w:eastAsia="宋体" w:cs="宋体"/>
          <w:color w:val="auto"/>
          <w:sz w:val="24"/>
          <w:szCs w:val="24"/>
          <w:u w:val="none"/>
          <w:lang w:eastAsia="zh-CN"/>
        </w:rPr>
      </w:pPr>
      <w:bookmarkStart w:id="83" w:name="_Toc35393807"/>
      <w:bookmarkStart w:id="84" w:name="_Toc28359020"/>
      <w:bookmarkStart w:id="85" w:name="_Toc35393638"/>
      <w:bookmarkStart w:id="86" w:name="_Toc616"/>
      <w:bookmarkStart w:id="87" w:name="_Toc28359097"/>
      <w:r>
        <w:rPr>
          <w:rFonts w:hint="eastAsia" w:ascii="宋体" w:hAnsi="宋体" w:eastAsia="宋体" w:cs="宋体"/>
          <w:color w:val="auto"/>
          <w:sz w:val="24"/>
          <w:szCs w:val="24"/>
          <w:u w:val="none"/>
        </w:rPr>
        <w:t>地    址：</w:t>
      </w:r>
      <w:r>
        <w:rPr>
          <w:rFonts w:hint="eastAsia" w:ascii="宋体" w:hAnsi="宋体" w:cs="宋体"/>
          <w:color w:val="auto"/>
          <w:sz w:val="24"/>
          <w:szCs w:val="24"/>
          <w:u w:val="none"/>
          <w:lang w:eastAsia="zh-CN"/>
        </w:rPr>
        <w:t>保亭黎族苗族自治县文明北路</w:t>
      </w:r>
    </w:p>
    <w:p>
      <w:pPr>
        <w:widowControl w:val="0"/>
        <w:spacing w:line="360" w:lineRule="auto"/>
        <w:ind w:left="1079" w:leftChars="371" w:hanging="300" w:hangingChars="12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联 系 人：</w:t>
      </w:r>
      <w:r>
        <w:rPr>
          <w:rFonts w:hint="eastAsia" w:ascii="宋体" w:hAnsi="宋体" w:cs="宋体"/>
          <w:color w:val="auto"/>
          <w:sz w:val="24"/>
          <w:szCs w:val="24"/>
          <w:u w:val="none"/>
          <w:lang w:eastAsia="zh-CN"/>
        </w:rPr>
        <w:t>李先生</w:t>
      </w:r>
    </w:p>
    <w:p>
      <w:pPr>
        <w:widowControl w:val="0"/>
        <w:spacing w:line="360" w:lineRule="auto"/>
        <w:ind w:left="1079" w:leftChars="371" w:hanging="300" w:hangingChars="125"/>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联系方式：</w:t>
      </w:r>
      <w:r>
        <w:rPr>
          <w:rFonts w:hint="eastAsia" w:asciiTheme="minorEastAsia" w:hAnsiTheme="minorEastAsia" w:eastAsiaTheme="minorEastAsia" w:cstheme="minorEastAsia"/>
          <w:color w:val="auto"/>
          <w:sz w:val="24"/>
          <w:highlight w:val="none"/>
          <w:lang w:eastAsia="zh-CN"/>
        </w:rPr>
        <w:t>0898-83668380</w:t>
      </w:r>
    </w:p>
    <w:p>
      <w:pPr>
        <w:pStyle w:val="4"/>
        <w:ind w:firstLine="723" w:firstLineChars="300"/>
        <w:rPr>
          <w:rFonts w:asciiTheme="minorEastAsia" w:hAnsiTheme="minorEastAsia" w:eastAsiaTheme="minorEastAsia" w:cstheme="minorEastAsia"/>
          <w:bCs w:val="0"/>
          <w:color w:val="auto"/>
          <w:sz w:val="24"/>
          <w:szCs w:val="24"/>
          <w:highlight w:val="none"/>
        </w:rPr>
      </w:pPr>
      <w:bookmarkStart w:id="88" w:name="_Toc5881"/>
      <w:bookmarkStart w:id="89" w:name="_Toc26390"/>
      <w:bookmarkStart w:id="90" w:name="_Toc5691"/>
      <w:r>
        <w:rPr>
          <w:rFonts w:hint="eastAsia" w:asciiTheme="minorEastAsia" w:hAnsiTheme="minorEastAsia" w:eastAsiaTheme="minorEastAsia" w:cstheme="minorEastAsia"/>
          <w:bCs w:val="0"/>
          <w:color w:val="auto"/>
          <w:sz w:val="24"/>
          <w:szCs w:val="24"/>
          <w:highlight w:val="none"/>
        </w:rPr>
        <w:t>2.采购代理机构信息（如有）</w:t>
      </w:r>
      <w:bookmarkEnd w:id="83"/>
      <w:bookmarkEnd w:id="84"/>
      <w:bookmarkEnd w:id="85"/>
      <w:bookmarkEnd w:id="86"/>
      <w:bookmarkEnd w:id="87"/>
      <w:bookmarkEnd w:id="88"/>
      <w:bookmarkEnd w:id="89"/>
      <w:bookmarkEnd w:id="90"/>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称：海南建云项目管理有限公司</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址：海口市美兰区大英山东一路8号国瑞城名仕苑4号楼2单元2层201房</w:t>
      </w:r>
    </w:p>
    <w:p>
      <w:pPr>
        <w:spacing w:line="360" w:lineRule="auto"/>
        <w:ind w:left="1079" w:leftChars="371" w:hanging="300" w:hangingChars="1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 系 人：</w:t>
      </w:r>
      <w:r>
        <w:rPr>
          <w:rFonts w:hint="eastAsia" w:ascii="宋体" w:hAnsi="宋体" w:eastAsia="宋体" w:cs="宋体"/>
          <w:color w:val="auto"/>
          <w:sz w:val="24"/>
          <w:highlight w:val="none"/>
        </w:rPr>
        <w:t>王工</w:t>
      </w:r>
    </w:p>
    <w:p>
      <w:pPr>
        <w:spacing w:line="360" w:lineRule="auto"/>
        <w:ind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联系方式：0898-65819810</w:t>
      </w:r>
    </w:p>
    <w:p>
      <w:pPr>
        <w:spacing w:line="360" w:lineRule="auto"/>
        <w:ind w:firstLine="720" w:firstLineChars="300"/>
        <w:rPr>
          <w:rFonts w:hint="eastAsia" w:asciiTheme="minorEastAsia" w:hAnsiTheme="minorEastAsia" w:eastAsiaTheme="minorEastAsia" w:cstheme="minorEastAsia"/>
          <w:color w:val="auto"/>
          <w:sz w:val="24"/>
          <w:highlight w:val="none"/>
        </w:rPr>
      </w:pPr>
    </w:p>
    <w:p>
      <w:pPr>
        <w:pStyle w:val="4"/>
        <w:ind w:firstLine="723" w:firstLineChars="300"/>
        <w:rPr>
          <w:rFonts w:asciiTheme="minorEastAsia" w:hAnsiTheme="minorEastAsia" w:eastAsiaTheme="minorEastAsia" w:cstheme="minorEastAsia"/>
          <w:bCs w:val="0"/>
          <w:color w:val="auto"/>
          <w:sz w:val="24"/>
          <w:szCs w:val="24"/>
          <w:highlight w:val="none"/>
        </w:rPr>
      </w:pPr>
      <w:bookmarkStart w:id="91" w:name="_Toc30656"/>
      <w:bookmarkStart w:id="92" w:name="_Toc35393808"/>
      <w:bookmarkStart w:id="93" w:name="_Toc28359021"/>
      <w:bookmarkStart w:id="94" w:name="_Toc35393639"/>
      <w:bookmarkStart w:id="95" w:name="_Toc20648"/>
      <w:bookmarkStart w:id="96" w:name="_Toc5986"/>
      <w:bookmarkStart w:id="97" w:name="_Toc26083"/>
      <w:bookmarkStart w:id="98" w:name="_Toc28359098"/>
      <w:r>
        <w:rPr>
          <w:rFonts w:hint="eastAsia" w:asciiTheme="minorEastAsia" w:hAnsiTheme="minorEastAsia" w:eastAsiaTheme="minorEastAsia" w:cstheme="minorEastAsia"/>
          <w:bCs w:val="0"/>
          <w:color w:val="auto"/>
          <w:sz w:val="24"/>
          <w:szCs w:val="24"/>
          <w:highlight w:val="none"/>
        </w:rPr>
        <w:t>3.项目联系方式</w:t>
      </w:r>
      <w:bookmarkEnd w:id="91"/>
      <w:bookmarkEnd w:id="92"/>
      <w:bookmarkEnd w:id="93"/>
      <w:bookmarkEnd w:id="94"/>
      <w:bookmarkEnd w:id="95"/>
      <w:bookmarkEnd w:id="96"/>
      <w:bookmarkEnd w:id="97"/>
      <w:bookmarkEnd w:id="98"/>
    </w:p>
    <w:p>
      <w:pPr>
        <w:pStyle w:val="12"/>
        <w:spacing w:line="360" w:lineRule="auto"/>
        <w:ind w:firstLine="720" w:firstLineChars="300"/>
        <w:rPr>
          <w:rFonts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项目联系人：</w:t>
      </w:r>
      <w:r>
        <w:rPr>
          <w:rFonts w:hint="eastAsia" w:asciiTheme="minorEastAsia" w:hAnsiTheme="minorEastAsia" w:cstheme="minorEastAsia"/>
          <w:b w:val="0"/>
          <w:bCs/>
          <w:color w:val="auto"/>
          <w:sz w:val="24"/>
          <w:szCs w:val="24"/>
          <w:highlight w:val="none"/>
        </w:rPr>
        <w:t>王</w:t>
      </w:r>
      <w:r>
        <w:rPr>
          <w:rFonts w:hint="eastAsia" w:asciiTheme="minorEastAsia" w:hAnsiTheme="minorEastAsia" w:eastAsiaTheme="minorEastAsia" w:cstheme="minorEastAsia"/>
          <w:b w:val="0"/>
          <w:bCs/>
          <w:color w:val="auto"/>
          <w:sz w:val="24"/>
          <w:szCs w:val="24"/>
          <w:highlight w:val="none"/>
        </w:rPr>
        <w:t>工</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话：0898-65819810</w:t>
      </w:r>
    </w:p>
    <w:p>
      <w:pPr>
        <w:rPr>
          <w:color w:val="auto"/>
          <w:highlight w:val="none"/>
        </w:rPr>
      </w:pPr>
      <w:r>
        <w:rPr>
          <w:rFonts w:hint="eastAsia"/>
          <w:color w:val="auto"/>
          <w:highlight w:val="none"/>
        </w:rPr>
        <w:br w:type="page"/>
      </w:r>
    </w:p>
    <w:p>
      <w:pPr>
        <w:pStyle w:val="3"/>
        <w:rPr>
          <w:color w:val="auto"/>
          <w:highlight w:val="none"/>
        </w:rPr>
      </w:pPr>
      <w:bookmarkStart w:id="99" w:name="_Toc2526"/>
      <w:r>
        <w:rPr>
          <w:rFonts w:hint="eastAsia"/>
          <w:color w:val="auto"/>
          <w:highlight w:val="none"/>
        </w:rPr>
        <w:t>第二部分  供应商须知</w:t>
      </w:r>
      <w:bookmarkEnd w:id="5"/>
      <w:bookmarkEnd w:id="6"/>
      <w:bookmarkEnd w:id="7"/>
      <w:bookmarkEnd w:id="8"/>
      <w:bookmarkEnd w:id="99"/>
    </w:p>
    <w:p>
      <w:pPr>
        <w:pStyle w:val="4"/>
        <w:jc w:val="center"/>
        <w:rPr>
          <w:rFonts w:cs="宋体"/>
          <w:color w:val="auto"/>
          <w:szCs w:val="36"/>
          <w:highlight w:val="none"/>
        </w:rPr>
      </w:pPr>
      <w:bookmarkStart w:id="100" w:name="_Toc30764"/>
      <w:bookmarkStart w:id="101" w:name="_Toc20746"/>
      <w:bookmarkStart w:id="102" w:name="_Toc19728"/>
      <w:bookmarkStart w:id="103" w:name="_Toc30279"/>
      <w:r>
        <w:rPr>
          <w:rFonts w:hint="eastAsia"/>
          <w:color w:val="auto"/>
          <w:highlight w:val="none"/>
        </w:rPr>
        <w:t>供应商须知前附表</w:t>
      </w:r>
      <w:bookmarkEnd w:id="100"/>
      <w:bookmarkEnd w:id="101"/>
      <w:bookmarkEnd w:id="102"/>
      <w:bookmarkEnd w:id="103"/>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955"/>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auto"/>
                <w:sz w:val="24"/>
                <w:szCs w:val="24"/>
              </w:rPr>
            </w:pPr>
            <w:bookmarkStart w:id="104" w:name="_Toc32161"/>
            <w:bookmarkStart w:id="105" w:name="_Toc5616048"/>
            <w:r>
              <w:rPr>
                <w:rFonts w:hint="eastAsia" w:ascii="宋体" w:hAnsi="宋体" w:eastAsia="宋体" w:cs="宋体"/>
                <w:b/>
                <w:bCs/>
                <w:color w:val="auto"/>
                <w:sz w:val="24"/>
                <w:szCs w:val="24"/>
                <w:lang w:eastAsia="zh-CN"/>
              </w:rPr>
              <w:t>序</w:t>
            </w:r>
            <w:r>
              <w:rPr>
                <w:rFonts w:hint="eastAsia" w:ascii="宋体" w:hAnsi="宋体" w:eastAsia="宋体" w:cs="宋体"/>
                <w:b/>
                <w:bCs/>
                <w:color w:val="auto"/>
                <w:sz w:val="24"/>
                <w:szCs w:val="24"/>
              </w:rPr>
              <w:t>号</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条款名称</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编列</w:t>
            </w:r>
            <w:r>
              <w:rPr>
                <w:rFonts w:hint="eastAsia" w:ascii="宋体" w:hAnsi="宋体" w:eastAsia="宋体" w:cs="宋体"/>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保亭县响水镇金江居大社区综合服务中心文化配套采购项目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HNJY2024【</w:t>
            </w:r>
            <w:r>
              <w:rPr>
                <w:rFonts w:hint="eastAsia" w:ascii="宋体" w:hAnsi="宋体" w:cs="宋体"/>
                <w:color w:val="auto"/>
                <w:sz w:val="24"/>
                <w:szCs w:val="24"/>
                <w:lang w:val="en-US" w:eastAsia="zh-CN"/>
              </w:rPr>
              <w:t>52</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采购人</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称：保亭黎族苗族自治县民政局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 系 人：李先生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联系方式：0898-83668380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代理机构</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称：海南建云项目管理有限公司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联系人：王工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电</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话：0898-65819810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采购预算</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 xml:space="preserve"> 3127745.31</w:t>
            </w:r>
            <w:r>
              <w:rPr>
                <w:rFonts w:hint="eastAsia" w:ascii="宋体" w:hAnsi="宋体" w:eastAsia="宋体" w:cs="宋体"/>
                <w:color w:val="auto"/>
                <w:sz w:val="24"/>
                <w:szCs w:val="24"/>
                <w:lang w:val="en-US" w:eastAsia="zh-CN"/>
              </w:rPr>
              <w:t>元</w:t>
            </w:r>
            <w:r>
              <w:rPr>
                <w:rFonts w:hint="eastAsia" w:ascii="宋体" w:hAnsi="宋体" w:cs="宋体"/>
                <w:color w:val="auto"/>
                <w:sz w:val="24"/>
                <w:szCs w:val="24"/>
                <w:lang w:val="en-US" w:eastAsia="zh-CN"/>
              </w:rPr>
              <w:t>（其中</w:t>
            </w:r>
            <w:r>
              <w:rPr>
                <w:rFonts w:hint="eastAsia" w:asciiTheme="minorEastAsia" w:hAnsiTheme="minorEastAsia" w:eastAsiaTheme="minorEastAsia" w:cstheme="minorEastAsia"/>
                <w:color w:val="auto"/>
                <w:sz w:val="24"/>
                <w:highlight w:val="none"/>
                <w:lang w:val="en-US" w:eastAsia="zh-CN"/>
              </w:rPr>
              <w:t>A包：1383883.80元；B包：1743861.51元）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投资模式</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财政</w:t>
            </w:r>
            <w:r>
              <w:rPr>
                <w:rFonts w:hint="eastAsia" w:ascii="宋体" w:hAnsi="宋体" w:eastAsia="宋体" w:cs="宋体"/>
                <w:color w:val="auto"/>
                <w:sz w:val="24"/>
                <w:szCs w:val="24"/>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供应商资格</w:t>
            </w:r>
          </w:p>
        </w:tc>
        <w:tc>
          <w:tcPr>
            <w:tcW w:w="5908" w:type="dxa"/>
            <w:noWrap/>
            <w:vAlign w:val="center"/>
          </w:tcPr>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(一)具有独立承担民事责任的能力【注：①</w:t>
            </w:r>
            <w:r>
              <w:rPr>
                <w:rFonts w:hint="eastAsia" w:cs="宋体"/>
                <w:color w:val="auto"/>
                <w:sz w:val="24"/>
                <w:highlight w:val="none"/>
                <w:lang w:val="en-US" w:eastAsia="zh-CN"/>
              </w:rPr>
              <w:t>供应商</w:t>
            </w:r>
            <w:r>
              <w:rPr>
                <w:rFonts w:hint="eastAsia" w:ascii="宋体" w:hAnsi="宋体" w:cs="宋体"/>
                <w:color w:val="auto"/>
                <w:sz w:val="24"/>
                <w:highlight w:val="none"/>
              </w:rPr>
              <w:t>若为企业法人：提供“统一社会信用代码营业执照”；②若为事业法人：提供“事业单位法人证书副本”；③若为其他组织：提供“对应主管部门颁发的准许执业证明文件或营业执照”；④若为自然人：提供“提供工商主管部门颁发的个体营业执照/身份证明文件”以上均提供复印件加盖公章】；</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(五)参加政府采购活动前三年内，在经营活动中没有重大违法记录【</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(六)法律、行政法规规定的其他条件【</w:t>
            </w: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2.落实政府采购政策需满足的资格要求：本项目支持政府采购促进中小企业发展政策、政府采购支持监狱企业发展政策、促进残疾人就业政府采购政策、扶持不发达地区和少数民族地区等相关政策。</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cs="宋体"/>
                <w:color w:val="auto"/>
                <w:sz w:val="24"/>
                <w:highlight w:val="none"/>
                <w:lang w:val="en-US" w:eastAsia="zh-CN"/>
              </w:rPr>
              <w:t>供应商</w:t>
            </w:r>
            <w:r>
              <w:rPr>
                <w:rFonts w:hint="eastAsia" w:ascii="宋体" w:hAnsi="宋体" w:cs="宋体"/>
                <w:color w:val="auto"/>
                <w:sz w:val="24"/>
                <w:highlight w:val="none"/>
              </w:rPr>
              <w:t>必须未被列入“信用中国”网站(www.creditchina.gov.cn)政府采购严重违法失信行为记录名单、重大税收违法失信主体和中国政府采购网( www.ccgp.gov.cn ) 的“政府采购严重违法失信行为记录名单”及中国执行信息公开网（http://zxgk.court.gov.cn/shixin/）的失信被执行人的</w:t>
            </w:r>
            <w:r>
              <w:rPr>
                <w:rFonts w:hint="eastAsia" w:cs="宋体"/>
                <w:color w:val="auto"/>
                <w:sz w:val="24"/>
                <w:highlight w:val="none"/>
                <w:lang w:val="en-US" w:eastAsia="zh-CN"/>
              </w:rPr>
              <w:t>供应商</w:t>
            </w:r>
            <w:r>
              <w:rPr>
                <w:rFonts w:hint="eastAsia" w:ascii="宋体" w:hAnsi="宋体" w:cs="宋体"/>
                <w:color w:val="auto"/>
                <w:sz w:val="24"/>
                <w:highlight w:val="none"/>
              </w:rPr>
              <w:t>【以上内容提供承诺函加盖公章，格式自拟】。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right="74" w:firstLine="480" w:firstLineChars="200"/>
              <w:rPr>
                <w:rFonts w:hint="default"/>
                <w:color w:val="auto"/>
                <w:highlight w:val="none"/>
              </w:rPr>
            </w:pPr>
            <w:r>
              <w:rPr>
                <w:rFonts w:hint="eastAsia" w:ascii="宋体" w:hAnsi="宋体" w:cs="宋体"/>
                <w:color w:val="auto"/>
                <w:sz w:val="24"/>
                <w:highlight w:val="none"/>
              </w:rPr>
              <w:t>4.参加政府采购活动前三年内（成立不足三年的从成立之日起算），在经营活动无环保类行政处罚记录【提供声明书加盖公章，格式自拟】。</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rPr>
              <w:t>.本项目的特定资格要求：</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A包：无。</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cs="宋体"/>
                <w:color w:val="auto"/>
                <w:sz w:val="24"/>
                <w:szCs w:val="24"/>
                <w:lang w:val="en-US" w:eastAsia="zh-CN"/>
              </w:rPr>
            </w:pPr>
            <w:r>
              <w:rPr>
                <w:rFonts w:hint="eastAsia" w:cs="宋体"/>
                <w:color w:val="auto"/>
                <w:sz w:val="24"/>
                <w:szCs w:val="24"/>
                <w:lang w:val="en-US" w:eastAsia="zh-CN"/>
              </w:rPr>
              <w:t>B包：（1）具有建设行政主管部门颁发的有效的建筑装修装饰工程专业承包二级（含）以上资质。（或根据《住房和城乡建设部关于印发建设工程企业资质管理制度改革方案的通知（【建市〔2020〕94号】）换发的建筑装修装饰工程专业承包乙级（含）以上资质，具有有效的安全生产许可证，并在人员、设备、资金等方面具有相应的施工能力；拟派项目负责人（项目经理）需具有在本单位注册的建筑工程专业二级或以上注册建造师执业资格，并未担任其他在施建设工程项目的项目负责人；【提供相应的企业资质证书、安全生产许可证、项目负责人（项目经理）注册证、</w:t>
            </w:r>
            <w:r>
              <w:rPr>
                <w:rFonts w:hint="eastAsia" w:ascii="宋体" w:hAnsi="宋体" w:cs="宋体"/>
                <w:color w:val="auto"/>
                <w:szCs w:val="21"/>
              </w:rPr>
              <w:t>202</w:t>
            </w:r>
            <w:r>
              <w:rPr>
                <w:rFonts w:hint="eastAsia" w:ascii="宋体" w:hAnsi="宋体" w:cs="宋体"/>
                <w:color w:val="auto"/>
                <w:szCs w:val="21"/>
                <w:lang w:val="en-US" w:eastAsia="zh-CN"/>
              </w:rPr>
              <w:t>4</w:t>
            </w:r>
            <w:r>
              <w:rPr>
                <w:rFonts w:hint="eastAsia" w:ascii="宋体" w:hAnsi="宋体" w:cs="宋体"/>
                <w:color w:val="auto"/>
                <w:szCs w:val="21"/>
              </w:rPr>
              <w:t>年1月1日至今任意一个月</w:t>
            </w:r>
            <w:r>
              <w:rPr>
                <w:rFonts w:hint="eastAsia" w:ascii="宋体" w:hAnsi="宋体" w:cs="宋体"/>
                <w:color w:val="auto"/>
                <w:szCs w:val="21"/>
                <w:lang w:val="en-US" w:eastAsia="zh-CN"/>
              </w:rPr>
              <w:t>在本单位缴纳</w:t>
            </w:r>
            <w:r>
              <w:rPr>
                <w:rFonts w:hint="eastAsia" w:ascii="宋体" w:hAnsi="宋体" w:cs="宋体"/>
                <w:color w:val="auto"/>
                <w:szCs w:val="21"/>
              </w:rPr>
              <w:t>的社保证明材料（新入职人员以入职时间提供缴纳社保证明为准；须由社会保障部门盖章确认）</w:t>
            </w:r>
            <w:r>
              <w:rPr>
                <w:rFonts w:hint="eastAsia" w:cs="宋体"/>
                <w:color w:val="auto"/>
                <w:sz w:val="24"/>
                <w:szCs w:val="24"/>
                <w:lang w:val="en-US" w:eastAsia="zh-CN"/>
              </w:rPr>
              <w:t>及未担任其他在施建设工程项目的承诺函。</w:t>
            </w:r>
            <w:r>
              <w:rPr>
                <w:rFonts w:hint="eastAsia" w:ascii="宋体" w:hAnsi="宋体" w:cs="宋体"/>
                <w:color w:val="auto"/>
                <w:szCs w:val="21"/>
              </w:rPr>
              <w:t>项目经理注册在本单位的证明，以《全国建筑市场监管公共服务平台》查询截图为准</w:t>
            </w:r>
            <w:r>
              <w:rPr>
                <w:rFonts w:hint="eastAsia" w:cs="宋体"/>
                <w:color w:val="auto"/>
                <w:sz w:val="24"/>
                <w:szCs w:val="24"/>
                <w:lang w:val="en-US" w:eastAsia="zh-CN"/>
              </w:rPr>
              <w:t>】</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cs="宋体"/>
                <w:color w:val="auto"/>
                <w:sz w:val="24"/>
                <w:szCs w:val="24"/>
                <w:lang w:val="en-US" w:eastAsia="zh-CN"/>
              </w:rPr>
            </w:pPr>
            <w:r>
              <w:rPr>
                <w:rFonts w:hint="eastAsia" w:cs="宋体"/>
                <w:color w:val="auto"/>
                <w:sz w:val="24"/>
                <w:szCs w:val="24"/>
                <w:lang w:val="en-US" w:eastAsia="zh-CN"/>
              </w:rPr>
              <w:t>（2）项目管理机构其他最低配备人员：施工员 1 人，安全员 1 人；技术负责人1人（可兼任）、机械员 1 人（可兼任），劳资专管员1人，资料员1人（可兼任）。【提供相应证书（可提供电子证书）及在2024年1月1日至今任意一个月的社保证明材料（新入职人员以入职时间提供缴纳社保证明为准；须由社会保障部门盖章确认）复印件加盖单位公章】；</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cs="宋体"/>
                <w:color w:val="auto"/>
                <w:sz w:val="24"/>
                <w:szCs w:val="24"/>
                <w:lang w:val="en-US" w:eastAsia="zh-CN"/>
              </w:rPr>
            </w:pPr>
            <w:r>
              <w:rPr>
                <w:rFonts w:hint="eastAsia" w:cs="宋体"/>
                <w:color w:val="auto"/>
                <w:sz w:val="24"/>
                <w:szCs w:val="24"/>
                <w:lang w:val="en-US" w:eastAsia="zh-CN"/>
              </w:rPr>
              <w:t>（3）应在海南省住房和城乡建设厅海南省房屋建筑工程全过程监管信息平台完成《海南省建筑企业诚信档案手册》登记，并打印信息平台生成的诚信档案手册。</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cs="宋体"/>
                <w:color w:val="auto"/>
                <w:sz w:val="24"/>
                <w:szCs w:val="24"/>
                <w:lang w:val="en-US" w:eastAsia="zh-CN"/>
              </w:rPr>
            </w:pPr>
            <w:r>
              <w:rPr>
                <w:rFonts w:hint="eastAsia" w:cs="宋体"/>
                <w:color w:val="auto"/>
                <w:sz w:val="24"/>
                <w:szCs w:val="24"/>
                <w:lang w:val="en-US" w:eastAsia="zh-CN"/>
              </w:rPr>
              <w:t>（4）信誉要求：</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ascii="宋体" w:hAnsi="宋体" w:eastAsia="宋体" w:cs="宋体"/>
                <w:color w:val="auto"/>
                <w:sz w:val="24"/>
                <w:szCs w:val="24"/>
              </w:rPr>
            </w:pPr>
            <w:r>
              <w:rPr>
                <w:rFonts w:hint="eastAsia" w:ascii="宋体" w:hAnsi="宋体" w:cs="宋体"/>
                <w:color w:val="auto"/>
                <w:szCs w:val="21"/>
              </w:rPr>
              <w:t>近三年（202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 1 日至今）</w:t>
            </w:r>
            <w:r>
              <w:rPr>
                <w:rFonts w:hint="eastAsia" w:ascii="宋体" w:hAnsi="宋体" w:cs="宋体"/>
                <w:color w:val="auto"/>
                <w:szCs w:val="21"/>
                <w:lang w:val="en-US" w:eastAsia="zh-CN"/>
              </w:rPr>
              <w:t>供应商</w:t>
            </w:r>
            <w:r>
              <w:rPr>
                <w:rFonts w:hint="eastAsia" w:ascii="宋体" w:hAnsi="宋体" w:cs="宋体"/>
                <w:color w:val="auto"/>
                <w:szCs w:val="21"/>
              </w:rPr>
              <w:t>无以下情形：（1）</w:t>
            </w:r>
            <w:r>
              <w:rPr>
                <w:rFonts w:hint="eastAsia" w:ascii="宋体" w:hAnsi="宋体" w:cs="宋体"/>
                <w:color w:val="auto"/>
                <w:szCs w:val="21"/>
                <w:lang w:val="en-US" w:eastAsia="zh-CN"/>
              </w:rPr>
              <w:t>供应商</w:t>
            </w:r>
            <w:r>
              <w:rPr>
                <w:rFonts w:hint="eastAsia" w:ascii="宋体" w:hAnsi="宋体" w:cs="宋体"/>
                <w:color w:val="auto"/>
                <w:szCs w:val="21"/>
              </w:rPr>
              <w:t>被海南省建设行政主管部门认定的责令其不得参加投标的行为；（2）</w:t>
            </w:r>
            <w:r>
              <w:rPr>
                <w:rFonts w:hint="eastAsia" w:ascii="宋体" w:hAnsi="宋体" w:cs="宋体"/>
                <w:color w:val="auto"/>
                <w:szCs w:val="21"/>
                <w:lang w:val="en-US" w:eastAsia="zh-CN"/>
              </w:rPr>
              <w:t>供应商</w:t>
            </w:r>
            <w:r>
              <w:rPr>
                <w:rFonts w:hint="eastAsia" w:ascii="宋体" w:hAnsi="宋体" w:cs="宋体"/>
                <w:color w:val="auto"/>
                <w:szCs w:val="21"/>
              </w:rPr>
              <w:t>的投标资格被暂停或取消，处于被责令停业、财产被接管或冻结或破产状态；（3）重大工程质量问题。若存在上述问题，按废标处理。【提供承诺函加盖公章，格式自拟】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是否接受联合体</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不</w:t>
            </w:r>
            <w:r>
              <w:rPr>
                <w:rFonts w:hint="eastAsia" w:ascii="宋体" w:hAnsi="宋体" w:eastAsia="宋体" w:cs="宋体"/>
                <w:color w:val="auto"/>
                <w:sz w:val="24"/>
                <w:szCs w:val="24"/>
                <w:lang w:val="en-US"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合同</w:t>
            </w:r>
            <w:r>
              <w:rPr>
                <w:rFonts w:hint="eastAsia" w:ascii="宋体" w:hAnsi="宋体" w:eastAsia="宋体" w:cs="宋体"/>
                <w:color w:val="auto"/>
                <w:sz w:val="24"/>
                <w:szCs w:val="24"/>
              </w:rPr>
              <w:t>履行期限</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A包</w:t>
            </w:r>
            <w:r>
              <w:rPr>
                <w:rFonts w:hint="eastAsia" w:ascii="宋体" w:hAnsi="宋体" w:eastAsia="宋体" w:cs="宋体"/>
                <w:color w:val="auto"/>
                <w:sz w:val="24"/>
                <w:szCs w:val="24"/>
                <w:lang w:eastAsia="zh-CN"/>
              </w:rPr>
              <w:t>交货期：</w:t>
            </w:r>
            <w:r>
              <w:rPr>
                <w:rFonts w:hint="eastAsia" w:ascii="宋体" w:hAnsi="宋体" w:cs="宋体"/>
                <w:color w:val="auto"/>
                <w:sz w:val="24"/>
                <w:szCs w:val="24"/>
                <w:lang w:eastAsia="zh-CN"/>
              </w:rPr>
              <w:t>自合同签订生效之日起 90 日历天内</w:t>
            </w:r>
            <w:r>
              <w:rPr>
                <w:rFonts w:hint="eastAsia" w:ascii="宋体" w:hAnsi="宋体" w:eastAsia="宋体" w:cs="宋体"/>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B包</w:t>
            </w:r>
            <w:r>
              <w:rPr>
                <w:rFonts w:hint="eastAsia" w:ascii="宋体" w:hAnsi="宋体" w:eastAsia="宋体" w:cs="宋体"/>
                <w:color w:val="auto"/>
                <w:sz w:val="24"/>
                <w:szCs w:val="24"/>
                <w:lang w:eastAsia="zh-CN"/>
              </w:rPr>
              <w:t>工期：</w:t>
            </w:r>
            <w:r>
              <w:rPr>
                <w:rFonts w:hint="eastAsia" w:ascii="宋体" w:hAnsi="宋体" w:cs="宋体"/>
                <w:color w:val="auto"/>
                <w:sz w:val="24"/>
                <w:szCs w:val="24"/>
                <w:lang w:eastAsia="zh-CN"/>
              </w:rPr>
              <w:t>自合同签订生效之日起 90 日历天内</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委托代表人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的资格条件</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需提供法定代表人授权委托书、法定代表人身份证复印件及被授权人身份证复印件。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1</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委托代表人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的代理权限</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2</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现场考察和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答疑会</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本项目不收取保证金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4</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有效期</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自</w:t>
            </w:r>
            <w:r>
              <w:rPr>
                <w:rFonts w:hint="eastAsia" w:ascii="宋体" w:hAnsi="宋体" w:eastAsia="宋体" w:cs="宋体"/>
                <w:color w:val="auto"/>
                <w:sz w:val="24"/>
                <w:szCs w:val="24"/>
                <w:lang w:eastAsia="zh-CN"/>
              </w:rPr>
              <w:t>响应文件开启之</w:t>
            </w:r>
            <w:r>
              <w:rPr>
                <w:rFonts w:hint="eastAsia" w:ascii="宋体" w:hAnsi="宋体" w:eastAsia="宋体" w:cs="宋体"/>
                <w:color w:val="auto"/>
                <w:sz w:val="24"/>
                <w:szCs w:val="24"/>
              </w:rPr>
              <w:t>日起</w:t>
            </w:r>
            <w:r>
              <w:rPr>
                <w:rFonts w:hint="eastAsia" w:ascii="宋体" w:hAnsi="宋体" w:eastAsia="宋体" w:cs="宋体"/>
                <w:color w:val="auto"/>
                <w:sz w:val="24"/>
                <w:szCs w:val="24"/>
                <w:lang w:eastAsia="zh-CN"/>
              </w:rPr>
              <w:t>6</w:t>
            </w:r>
            <w:r>
              <w:rPr>
                <w:rFonts w:hint="eastAsia" w:ascii="宋体" w:hAnsi="宋体" w:eastAsia="宋体" w:cs="宋体"/>
                <w:color w:val="auto"/>
                <w:sz w:val="24"/>
                <w:szCs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5</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响应文件份数</w:t>
            </w:r>
          </w:p>
        </w:tc>
        <w:tc>
          <w:tcPr>
            <w:tcW w:w="5908" w:type="dxa"/>
            <w:noWrap/>
            <w:vAlign w:val="center"/>
          </w:tcPr>
          <w:p>
            <w:pPr>
              <w:pStyle w:val="33"/>
              <w:keepNext w:val="0"/>
              <w:keepLines w:val="0"/>
              <w:suppressLineNumbers w:val="0"/>
              <w:spacing w:before="0" w:beforeAutospacing="0" w:after="0" w:afterAutospacing="0" w:line="360" w:lineRule="auto"/>
              <w:ind w:left="0" w:right="0"/>
              <w:rPr>
                <w:rFonts w:hint="default"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需在开标签到后将1份与上传系统一致已盖章签字的PDF格式</w:t>
            </w:r>
            <w:r>
              <w:rPr>
                <w:rFonts w:hint="eastAsia" w:ascii="宋体" w:hAnsi="宋体" w:cs="宋体"/>
                <w:color w:val="auto"/>
                <w:sz w:val="24"/>
                <w:szCs w:val="24"/>
                <w:lang w:val="en-US" w:eastAsia="zh-CN"/>
              </w:rPr>
              <w:t>响应</w:t>
            </w:r>
            <w:r>
              <w:rPr>
                <w:rFonts w:hint="eastAsia" w:ascii="宋体" w:hAnsi="宋体" w:cs="宋体"/>
                <w:color w:val="auto"/>
                <w:sz w:val="24"/>
                <w:szCs w:val="24"/>
                <w:lang w:eastAsia="zh-CN"/>
              </w:rPr>
              <w:t>文件</w:t>
            </w:r>
            <w:r>
              <w:rPr>
                <w:rFonts w:hint="eastAsia" w:ascii="宋体" w:hAnsi="宋体" w:cs="宋体"/>
                <w:color w:val="auto"/>
                <w:sz w:val="24"/>
                <w:szCs w:val="24"/>
              </w:rPr>
              <w:t>发送至我公司邮箱。（邮箱：hainanjianyun@163.com）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cs="宋体"/>
                <w:b/>
                <w:bCs w:val="0"/>
                <w:color w:val="auto"/>
                <w:sz w:val="24"/>
                <w:szCs w:val="24"/>
              </w:rPr>
              <w:t>注：</w:t>
            </w:r>
            <w:r>
              <w:rPr>
                <w:rFonts w:hint="eastAsia" w:ascii="宋体" w:hAnsi="宋体" w:cs="宋体"/>
                <w:b/>
                <w:bCs w:val="0"/>
                <w:color w:val="auto"/>
                <w:sz w:val="24"/>
                <w:szCs w:val="24"/>
                <w:lang w:eastAsia="zh-CN"/>
              </w:rPr>
              <w:t>成交</w:t>
            </w:r>
            <w:r>
              <w:rPr>
                <w:rFonts w:hint="eastAsia" w:ascii="宋体" w:hAnsi="宋体" w:cs="宋体"/>
                <w:b/>
                <w:bCs w:val="0"/>
                <w:color w:val="auto"/>
                <w:sz w:val="24"/>
                <w:szCs w:val="24"/>
              </w:rPr>
              <w:t>单位须在</w:t>
            </w:r>
            <w:r>
              <w:rPr>
                <w:rFonts w:hint="eastAsia" w:ascii="宋体" w:hAnsi="宋体" w:cs="宋体"/>
                <w:b/>
                <w:bCs w:val="0"/>
                <w:color w:val="auto"/>
                <w:sz w:val="24"/>
                <w:szCs w:val="24"/>
                <w:lang w:val="en-US" w:eastAsia="zh-CN"/>
              </w:rPr>
              <w:t>成交</w:t>
            </w:r>
            <w:r>
              <w:rPr>
                <w:rFonts w:hint="eastAsia" w:ascii="宋体" w:hAnsi="宋体" w:cs="宋体"/>
                <w:b/>
                <w:bCs w:val="0"/>
                <w:color w:val="auto"/>
                <w:sz w:val="24"/>
                <w:szCs w:val="24"/>
              </w:rPr>
              <w:t>后根据采购人或采购代理机构要求提供纸质文件</w:t>
            </w:r>
            <w:r>
              <w:rPr>
                <w:rFonts w:hint="eastAsia" w:ascii="宋体" w:hAnsi="宋体" w:cs="宋体"/>
                <w:b/>
                <w:bCs w:val="0"/>
                <w:color w:val="auto"/>
                <w:sz w:val="24"/>
                <w:szCs w:val="24"/>
                <w:lang w:val="en-US" w:eastAsia="zh-CN"/>
              </w:rPr>
              <w:t>不得拒绝</w:t>
            </w:r>
            <w:r>
              <w:rPr>
                <w:rFonts w:hint="eastAsia" w:ascii="宋体" w:hAnsi="宋体" w:cs="宋体"/>
                <w:b/>
                <w:bCs w:val="0"/>
                <w:color w:val="auto"/>
                <w:sz w:val="24"/>
                <w:szCs w:val="24"/>
              </w:rPr>
              <w:t>，且与上传系统电子版投标时文件内容一致。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6</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是否退还</w:t>
            </w:r>
            <w:r>
              <w:rPr>
                <w:rFonts w:hint="eastAsia" w:ascii="宋体" w:hAnsi="宋体" w:eastAsia="宋体" w:cs="宋体"/>
                <w:color w:val="auto"/>
                <w:sz w:val="24"/>
                <w:szCs w:val="24"/>
                <w:lang w:eastAsia="zh-CN"/>
              </w:rPr>
              <w:t>响应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文件</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7</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签字或盖章要求</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响应文件应按</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文件要求加盖单位公章和法人或授权委托人盖章或签字。</w:t>
            </w:r>
          </w:p>
          <w:p>
            <w:pPr>
              <w:pStyle w:val="2"/>
              <w:keepNext w:val="0"/>
              <w:keepLines w:val="0"/>
              <w:suppressLineNumbers w:val="0"/>
              <w:spacing w:before="0" w:beforeAutospacing="0" w:afterAutospacing="0" w:line="400" w:lineRule="exact"/>
              <w:ind w:left="0" w:right="0" w:firstLine="480" w:firstLineChars="200"/>
              <w:rPr>
                <w:rFonts w:hint="default" w:ascii="宋体" w:hAnsi="宋体"/>
                <w:color w:val="auto"/>
                <w:sz w:val="24"/>
                <w:szCs w:val="24"/>
              </w:rPr>
            </w:pPr>
            <w:r>
              <w:rPr>
                <w:rFonts w:hint="eastAsia" w:ascii="宋体" w:hAnsi="宋体"/>
                <w:color w:val="auto"/>
                <w:sz w:val="24"/>
                <w:szCs w:val="24"/>
                <w:lang w:val="en-US" w:eastAsia="zh-CN"/>
              </w:rPr>
              <w:t>B</w:t>
            </w:r>
            <w:r>
              <w:rPr>
                <w:rFonts w:hint="eastAsia" w:ascii="宋体" w:hAnsi="宋体"/>
                <w:color w:val="auto"/>
                <w:sz w:val="24"/>
                <w:szCs w:val="24"/>
              </w:rPr>
              <w:t>包工程量清单盖章要求：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olor w:val="auto"/>
                <w:sz w:val="24"/>
                <w:szCs w:val="24"/>
              </w:rPr>
            </w:pPr>
            <w:r>
              <w:rPr>
                <w:rFonts w:hint="eastAsia" w:ascii="宋体" w:hAnsi="宋体"/>
                <w:color w:val="auto"/>
                <w:sz w:val="24"/>
                <w:szCs w:val="24"/>
                <w:lang w:val="en-US" w:eastAsia="zh-CN"/>
              </w:rPr>
              <w:t>响应</w:t>
            </w:r>
            <w:r>
              <w:rPr>
                <w:rFonts w:hint="eastAsia" w:ascii="宋体" w:hAnsi="宋体"/>
                <w:color w:val="auto"/>
                <w:sz w:val="24"/>
                <w:szCs w:val="24"/>
              </w:rPr>
              <w:t>报价文件中的造价专业人员签章处的签章要求：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color w:val="auto"/>
                <w:sz w:val="24"/>
                <w:szCs w:val="24"/>
                <w:lang w:val="en-US" w:eastAsia="zh-CN"/>
              </w:rPr>
              <w:t>响应</w:t>
            </w:r>
            <w:r>
              <w:rPr>
                <w:rFonts w:hint="eastAsia" w:ascii="宋体" w:hAnsi="宋体"/>
                <w:color w:val="auto"/>
                <w:sz w:val="24"/>
                <w:szCs w:val="24"/>
              </w:rPr>
              <w:t>报价应由注册在本单位的一级或二级造价工程师编制加盖注册造价师执业专用章；</w:t>
            </w:r>
            <w:r>
              <w:rPr>
                <w:rFonts w:hint="eastAsia" w:ascii="宋体" w:hAnsi="宋体"/>
                <w:color w:val="auto"/>
                <w:sz w:val="24"/>
                <w:szCs w:val="24"/>
                <w:lang w:val="en-US" w:eastAsia="zh-CN"/>
              </w:rPr>
              <w:t>供应商</w:t>
            </w:r>
            <w:r>
              <w:rPr>
                <w:rFonts w:hint="eastAsia" w:ascii="宋体" w:hAnsi="宋体"/>
                <w:color w:val="auto"/>
                <w:sz w:val="24"/>
                <w:szCs w:val="24"/>
              </w:rPr>
              <w:t>委托他人编制</w:t>
            </w:r>
            <w:r>
              <w:rPr>
                <w:rFonts w:hint="eastAsia" w:ascii="宋体" w:hAnsi="宋体"/>
                <w:color w:val="auto"/>
                <w:sz w:val="24"/>
                <w:szCs w:val="24"/>
                <w:lang w:val="en-US" w:eastAsia="zh-CN"/>
              </w:rPr>
              <w:t>响应</w:t>
            </w:r>
            <w:r>
              <w:rPr>
                <w:rFonts w:hint="eastAsia" w:ascii="宋体" w:hAnsi="宋体"/>
                <w:color w:val="auto"/>
                <w:sz w:val="24"/>
                <w:szCs w:val="24"/>
              </w:rPr>
              <w:t>报价文件</w:t>
            </w:r>
            <w:r>
              <w:rPr>
                <w:rFonts w:hint="eastAsia" w:ascii="宋体" w:hAnsi="宋体"/>
                <w:color w:val="auto"/>
                <w:sz w:val="24"/>
                <w:szCs w:val="24"/>
                <w:lang w:val="en-US" w:eastAsia="zh-CN"/>
              </w:rPr>
              <w:t>清单</w:t>
            </w:r>
            <w:r>
              <w:rPr>
                <w:rFonts w:hint="eastAsia" w:ascii="宋体" w:hAnsi="宋体"/>
                <w:color w:val="auto"/>
                <w:sz w:val="24"/>
                <w:szCs w:val="24"/>
              </w:rPr>
              <w:t>的，应当委托具有相应资质的工程造价咨询单位编制，在</w:t>
            </w:r>
            <w:r>
              <w:rPr>
                <w:rFonts w:hint="eastAsia" w:ascii="宋体" w:hAnsi="宋体"/>
                <w:color w:val="auto"/>
                <w:sz w:val="24"/>
                <w:szCs w:val="24"/>
                <w:lang w:val="en-US" w:eastAsia="zh-CN"/>
              </w:rPr>
              <w:t>响应</w:t>
            </w:r>
            <w:r>
              <w:rPr>
                <w:rFonts w:hint="eastAsia" w:ascii="宋体" w:hAnsi="宋体"/>
                <w:color w:val="auto"/>
                <w:sz w:val="24"/>
                <w:szCs w:val="24"/>
              </w:rPr>
              <w:t>文件中提供加盖双方单位公章的委托书，并在已标价工程量清单上加盖负责编制的工程造价咨询企业公章以及负责审核的一级注册造价师执业印章。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递交响应文件地点</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磋商小组的组成</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磋商小组由3人组成，其中采购</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lang w:eastAsia="zh-CN"/>
              </w:rPr>
              <w:t>人代表 0 名</w:t>
            </w:r>
            <w:r>
              <w:rPr>
                <w:rFonts w:hint="eastAsia" w:ascii="宋体" w:hAnsi="宋体" w:eastAsia="宋体" w:cs="宋体"/>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评审专家从海南省专家库中随机抽取。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评</w:t>
            </w:r>
            <w:r>
              <w:rPr>
                <w:rFonts w:hint="eastAsia" w:ascii="宋体" w:hAnsi="宋体" w:eastAsia="宋体" w:cs="宋体"/>
                <w:color w:val="auto"/>
                <w:sz w:val="24"/>
                <w:szCs w:val="24"/>
                <w:lang w:eastAsia="zh-CN"/>
              </w:rPr>
              <w:t>审</w:t>
            </w:r>
            <w:r>
              <w:rPr>
                <w:rFonts w:hint="eastAsia" w:ascii="宋体" w:hAnsi="宋体" w:eastAsia="宋体" w:cs="宋体"/>
                <w:color w:val="auto"/>
                <w:sz w:val="24"/>
                <w:szCs w:val="24"/>
              </w:rPr>
              <w:t>方法</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成交候选人数量</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需要补充的其他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内容</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1、代理服务费根据保亭县响水镇金江居大社区综合服务中心文化配套采购项目代理协议约定向采购人收取；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付款方式：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A包：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①本合同签订生效之日起10个工作日内采购人向中标（成交）供应商支付合同金额30%作为预付款；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②核心设备运达采购人指定地点，经采购人点验合格后，10个工作日内采购人向中标（成交）供应商支付合同总金额30％的设备款；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③所有设备安装调试完成并通过初步验收后，10个工作日内采购人向中标（成交）供应商支付合同总金额的</w:t>
            </w:r>
            <w:r>
              <w:rPr>
                <w:rFonts w:hint="eastAsia" w:ascii="宋体" w:hAnsi="宋体" w:cs="宋体"/>
                <w:color w:val="auto"/>
                <w:sz w:val="24"/>
                <w:szCs w:val="24"/>
                <w:lang w:val="en-US" w:eastAsia="zh-CN"/>
              </w:rPr>
              <w:t>20%</w:t>
            </w:r>
            <w:r>
              <w:rPr>
                <w:rFonts w:hint="eastAsia" w:ascii="宋体" w:hAnsi="宋体" w:eastAsia="宋体" w:cs="宋体"/>
                <w:color w:val="auto"/>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④</w:t>
            </w:r>
            <w:r>
              <w:rPr>
                <w:rFonts w:hint="eastAsia" w:ascii="宋体" w:hAnsi="宋体" w:cs="宋体"/>
                <w:color w:val="auto"/>
                <w:sz w:val="24"/>
                <w:szCs w:val="24"/>
                <w:lang w:val="en-US" w:eastAsia="zh-CN"/>
              </w:rPr>
              <w:t>所有设备通过初步验收后三个月内运行正常的，视为正式验收合格，结算经采购人审定批复且采购人办理竣工审计结算后，付至工程结算价的100%，在采购人向中标（成交）供应商支付合同剩余金额前，中标（成交）供应商需向采购人以支票、汇票、本票、保函等非现金形式缴纳合同额5%的履约保证金。履约保证金在设备正式验收合格一年后（不计利息）退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w:t>
            </w:r>
            <w:r>
              <w:rPr>
                <w:rFonts w:hint="eastAsia" w:ascii="宋体" w:hAnsi="宋体" w:cs="宋体"/>
                <w:color w:val="auto"/>
                <w:sz w:val="24"/>
                <w:szCs w:val="24"/>
                <w:lang w:val="en-US" w:eastAsia="zh-CN"/>
              </w:rPr>
              <w:t>采购人每次付款前，中标（成交）供应商需向采购人提供等额有效发票，否则，采购人可拒绝支付，并无需承担违约责任。</w:t>
            </w:r>
            <w:r>
              <w:rPr>
                <w:rFonts w:hint="eastAsia" w:ascii="宋体" w:hAnsi="宋体" w:eastAsia="宋体" w:cs="宋体"/>
                <w:color w:val="auto"/>
                <w:sz w:val="24"/>
                <w:szCs w:val="24"/>
                <w:lang w:val="en-US" w:eastAsia="zh-CN"/>
              </w:rPr>
              <w:t>因政府政策或财政拨款延迟等非采购人原因导致合同款需延迟支付的，中标（成交）供应商同意采购人相应顺延且不视为采购人违约。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B包</w:t>
            </w:r>
            <w:r>
              <w:rPr>
                <w:rFonts w:hint="eastAsia" w:ascii="宋体" w:hAnsi="宋体" w:eastAsia="宋体" w:cs="宋体"/>
                <w:color w:val="auto"/>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①承包方进场施工后，发包方7个工作日内向承包方支付工程预付款(合同款30%);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w:t>
            </w:r>
            <w:r>
              <w:rPr>
                <w:rFonts w:hint="eastAsia" w:ascii="宋体" w:hAnsi="宋体" w:cs="宋体"/>
                <w:color w:val="auto"/>
                <w:sz w:val="24"/>
                <w:szCs w:val="24"/>
                <w:lang w:val="en-US" w:eastAsia="zh-CN"/>
              </w:rPr>
              <w:t>发包方按照工程量进度向承包方支付工程进度款，但竣工验收合格前向承包方累计支付进度款不超过合同总价80%（含预付款）；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w:t>
            </w:r>
            <w:r>
              <w:rPr>
                <w:rFonts w:hint="eastAsia" w:ascii="宋体" w:hAnsi="宋体" w:cs="宋体"/>
                <w:color w:val="auto"/>
                <w:sz w:val="24"/>
                <w:szCs w:val="24"/>
                <w:lang w:val="en-US" w:eastAsia="zh-CN"/>
              </w:rPr>
              <w:t>工程竣工验收合格后发包方委托第三方进行结算审核，双方认可第三方的结算审定金额作为工程结算价款，完成结算后，发包方向承包方支付至结算价款的97%，留3%作为质量保证金。质量保证金待工程竣工验收合格之日起1年后15个工作日内发包方向承包方一次结算付清（保修金不计利息），但不免除承包人在项目保修期内的保修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color w:val="auto"/>
                <w:lang w:val="en-US" w:eastAsia="zh-CN"/>
              </w:rPr>
            </w:pPr>
            <w:r>
              <w:rPr>
                <w:rFonts w:hint="eastAsia" w:ascii="宋体" w:hAnsi="宋体" w:eastAsia="宋体" w:cs="宋体"/>
                <w:color w:val="auto"/>
                <w:sz w:val="24"/>
                <w:szCs w:val="24"/>
                <w:lang w:val="en-US" w:eastAsia="zh-CN"/>
              </w:rPr>
              <w:t>④</w:t>
            </w:r>
            <w:r>
              <w:rPr>
                <w:rFonts w:hint="eastAsia" w:ascii="宋体" w:hAnsi="宋体" w:cs="宋体"/>
                <w:color w:val="auto"/>
                <w:sz w:val="24"/>
                <w:szCs w:val="24"/>
                <w:lang w:val="en-US" w:eastAsia="zh-CN"/>
              </w:rPr>
              <w:t>发包方每次付款前，承包方需向发包方提供等额有效发票，否则，发包方可拒绝支付，并无需承担违约责任。</w:t>
            </w:r>
            <w:r>
              <w:rPr>
                <w:rFonts w:hint="eastAsia" w:ascii="宋体" w:hAnsi="宋体" w:eastAsia="宋体" w:cs="宋体"/>
                <w:color w:val="auto"/>
                <w:sz w:val="24"/>
                <w:szCs w:val="24"/>
                <w:lang w:val="en-US" w:eastAsia="zh-CN"/>
              </w:rPr>
              <w:t>因政府政策或财政拨款延迟等非采购人原因导致合同款需延迟支付的，</w:t>
            </w:r>
            <w:r>
              <w:rPr>
                <w:rFonts w:hint="eastAsia" w:ascii="宋体" w:hAnsi="宋体" w:cs="宋体"/>
                <w:color w:val="auto"/>
                <w:sz w:val="24"/>
                <w:szCs w:val="24"/>
                <w:lang w:val="en-US" w:eastAsia="zh-CN"/>
              </w:rPr>
              <w:t>承包方</w:t>
            </w:r>
            <w:r>
              <w:rPr>
                <w:rFonts w:hint="eastAsia" w:ascii="宋体" w:hAnsi="宋体" w:eastAsia="宋体" w:cs="宋体"/>
                <w:color w:val="auto"/>
                <w:sz w:val="24"/>
                <w:szCs w:val="24"/>
                <w:lang w:val="en-US" w:eastAsia="zh-CN"/>
              </w:rPr>
              <w:t>同意</w:t>
            </w:r>
            <w:r>
              <w:rPr>
                <w:rFonts w:hint="eastAsia" w:ascii="宋体" w:hAnsi="宋体" w:cs="宋体"/>
                <w:color w:val="auto"/>
                <w:sz w:val="24"/>
                <w:szCs w:val="24"/>
                <w:lang w:val="en-US" w:eastAsia="zh-CN"/>
              </w:rPr>
              <w:t>发包方</w:t>
            </w:r>
            <w:r>
              <w:rPr>
                <w:rFonts w:hint="eastAsia" w:ascii="宋体" w:hAnsi="宋体" w:eastAsia="宋体" w:cs="宋体"/>
                <w:color w:val="auto"/>
                <w:sz w:val="24"/>
                <w:szCs w:val="24"/>
                <w:lang w:val="en-US" w:eastAsia="zh-CN"/>
              </w:rPr>
              <w:t>相应顺延且不视为采购人违约。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其他要求</w:t>
            </w:r>
          </w:p>
        </w:tc>
        <w:tc>
          <w:tcPr>
            <w:tcW w:w="5908" w:type="dxa"/>
            <w:noWrap/>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单位负责人为同一人或者存在直接控股、管理关系的不同供应商，不得参加同一合同项下的政府采购活</w:t>
            </w:r>
            <w:r>
              <w:rPr>
                <w:rFonts w:hint="eastAsia" w:ascii="宋体" w:hAnsi="宋体" w:eastAsia="宋体" w:cs="宋体"/>
                <w:b w:val="0"/>
                <w:bCs w:val="0"/>
                <w:color w:val="auto"/>
                <w:sz w:val="24"/>
                <w:szCs w:val="24"/>
                <w:lang w:eastAsia="zh-CN"/>
              </w:rPr>
              <w:t>动【提供声明书加盖公章，格式自拟】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中小企业促进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政策</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（1）根据财政部、工业和信息化部 2020 年 12 月 18 日颁布的 《政府采购促进中小企业发展暂行办法》（财库〔2020〕46号） 第九条规定及财政部2022年5月30日颁布的《关于进一步加 大政府采购支持中小企业力度的通知》（财库〔2022〕19 号） 第二条规定，采购人、采购代理机构应当对符合以上办法、通知规定的小微企业报价给予10%（工程项目为3%）的扣除，用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扣除后的价格参加评审。适用招标投标法的政府采购工程建设项目，采用综合评估法但未采用低价优先法计算价格分的，评标时应当在采用原报价进行评分的基础上增加其价格得分的3%作为其价格分。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eastAsia="zh-CN"/>
              </w:rPr>
              <w:t>）根据《政府采购促进中小企业发展管理办法》（财库〔2020〕46 号）第十一条规定，中小企业参加政府采购活动，应当出具本办法规定的《中小企业声明函》，否则不得享受相关中小企业扶持政策。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04"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1955"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所属行业</w:t>
            </w:r>
          </w:p>
        </w:tc>
        <w:tc>
          <w:tcPr>
            <w:tcW w:w="5908" w:type="dxa"/>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lang w:val="en-US" w:eastAsia="zh-CN"/>
              </w:rPr>
            </w:pPr>
            <w:r>
              <w:rPr>
                <w:rFonts w:hint="eastAsia" w:ascii="宋体" w:hAnsi="宋体" w:cs="宋体"/>
                <w:color w:val="auto"/>
                <w:kern w:val="2"/>
                <w:sz w:val="24"/>
                <w:szCs w:val="24"/>
                <w:lang w:val="en-US" w:eastAsia="zh-CN" w:bidi="ar-SA"/>
              </w:rPr>
              <w:t>A包</w:t>
            </w:r>
            <w:r>
              <w:rPr>
                <w:rFonts w:hint="eastAsia" w:ascii="宋体" w:hAnsi="宋体" w:eastAsia="宋体" w:cs="宋体"/>
                <w:color w:val="auto"/>
                <w:sz w:val="24"/>
                <w:szCs w:val="24"/>
                <w:lang w:val="en-US" w:eastAsia="zh-CN"/>
              </w:rPr>
              <w:t>所属行业：制造业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B包</w:t>
            </w:r>
            <w:r>
              <w:rPr>
                <w:rFonts w:hint="eastAsia" w:ascii="宋体" w:hAnsi="宋体" w:eastAsia="宋体" w:cs="宋体"/>
                <w:color w:val="auto"/>
                <w:sz w:val="24"/>
                <w:szCs w:val="24"/>
                <w:lang w:val="en-US" w:eastAsia="zh-CN"/>
              </w:rPr>
              <w:t>所属行业：建筑业</w:t>
            </w:r>
          </w:p>
        </w:tc>
      </w:tr>
    </w:tbl>
    <w:p>
      <w:pPr>
        <w:rPr>
          <w:color w:val="auto"/>
        </w:rPr>
      </w:pPr>
      <w:r>
        <w:rPr>
          <w:rFonts w:hint="eastAsia"/>
          <w:color w:val="auto"/>
        </w:rPr>
        <w:br w:type="page"/>
      </w:r>
    </w:p>
    <w:p>
      <w:pPr>
        <w:pStyle w:val="4"/>
        <w:bidi w:val="0"/>
        <w:rPr>
          <w:color w:val="auto"/>
        </w:rPr>
      </w:pPr>
      <w:bookmarkStart w:id="106" w:name="_Toc13425"/>
      <w:r>
        <w:rPr>
          <w:rFonts w:hint="eastAsia"/>
          <w:color w:val="auto"/>
        </w:rPr>
        <w:t>说明和释义</w:t>
      </w:r>
      <w:bookmarkEnd w:id="106"/>
    </w:p>
    <w:p>
      <w:pPr>
        <w:rPr>
          <w:rFonts w:hint="eastAsia"/>
          <w:color w:val="auto"/>
        </w:rPr>
      </w:pPr>
    </w:p>
    <w:bookmarkEnd w:id="104"/>
    <w:bookmarkEnd w:id="105"/>
    <w:p>
      <w:pPr>
        <w:numPr>
          <w:ilvl w:val="0"/>
          <w:numId w:val="3"/>
        </w:numPr>
        <w:spacing w:line="360" w:lineRule="auto"/>
        <w:rPr>
          <w:b/>
          <w:color w:val="auto"/>
          <w:sz w:val="24"/>
        </w:rPr>
      </w:pPr>
      <w:r>
        <w:rPr>
          <w:rFonts w:hint="eastAsia"/>
          <w:b/>
          <w:color w:val="auto"/>
          <w:sz w:val="24"/>
        </w:rPr>
        <w:t>适用范围</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default" w:ascii="Times New Roman" w:hAnsi="Times New Roman" w:eastAsia="宋体" w:cs="Times New Roman"/>
          <w:bCs/>
          <w:color w:val="auto"/>
          <w:kern w:val="2"/>
          <w:sz w:val="24"/>
          <w:szCs w:val="28"/>
          <w:lang w:val="en-US" w:eastAsia="zh-CN" w:bidi="ar-SA"/>
        </w:rPr>
        <w:t>1.1</w:t>
      </w:r>
      <w:r>
        <w:rPr>
          <w:rFonts w:hint="eastAsia" w:ascii="Times New Roman" w:hAnsi="Times New Roman"/>
          <w:color w:val="auto"/>
        </w:rPr>
        <w:t>本磋商文件仅适用于本</w:t>
      </w:r>
      <w:r>
        <w:rPr>
          <w:rFonts w:hint="eastAsia" w:ascii="Times New Roman" w:hAnsi="Times New Roman"/>
          <w:color w:val="auto"/>
          <w:lang w:val="en-US" w:eastAsia="zh-CN"/>
        </w:rPr>
        <w:t>采购</w:t>
      </w:r>
      <w:r>
        <w:rPr>
          <w:rFonts w:hint="eastAsia" w:ascii="Times New Roman" w:hAnsi="Times New Roman"/>
          <w:color w:val="auto"/>
        </w:rPr>
        <w:t>活动。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default" w:ascii="Times New Roman" w:hAnsi="Times New Roman" w:eastAsia="宋体" w:cs="Times New Roman"/>
          <w:bCs/>
          <w:color w:val="auto"/>
          <w:kern w:val="2"/>
          <w:sz w:val="24"/>
          <w:szCs w:val="28"/>
          <w:lang w:val="en-US" w:eastAsia="zh-CN" w:bidi="ar-SA"/>
        </w:rPr>
        <w:t>1.2</w:t>
      </w:r>
      <w:r>
        <w:rPr>
          <w:rFonts w:hint="eastAsia" w:ascii="Times New Roman" w:hAnsi="Times New Roman"/>
          <w:color w:val="auto"/>
        </w:rPr>
        <w:t>本</w:t>
      </w:r>
      <w:r>
        <w:rPr>
          <w:rFonts w:hint="eastAsia" w:ascii="Times New Roman" w:hAnsi="Times New Roman"/>
          <w:color w:val="auto"/>
          <w:lang w:val="en-US" w:eastAsia="zh-CN"/>
        </w:rPr>
        <w:t>采购</w:t>
      </w:r>
      <w:r>
        <w:rPr>
          <w:rFonts w:hint="eastAsia" w:ascii="Times New Roman" w:hAnsi="Times New Roman"/>
          <w:color w:val="auto"/>
        </w:rPr>
        <w:t>活动及结果受中国法律的制约和保护。</w:t>
      </w:r>
    </w:p>
    <w:p>
      <w:pPr>
        <w:numPr>
          <w:ilvl w:val="0"/>
          <w:numId w:val="3"/>
        </w:numPr>
        <w:spacing w:line="360" w:lineRule="auto"/>
        <w:rPr>
          <w:b/>
          <w:color w:val="auto"/>
          <w:sz w:val="24"/>
        </w:rPr>
      </w:pPr>
      <w:r>
        <w:rPr>
          <w:rFonts w:hint="eastAsia"/>
          <w:b/>
          <w:color w:val="auto"/>
          <w:sz w:val="24"/>
        </w:rPr>
        <w:t>采购说明</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.3</w:t>
      </w:r>
      <w:r>
        <w:rPr>
          <w:rFonts w:hint="eastAsia" w:ascii="Times New Roman" w:hAnsi="Times New Roman"/>
          <w:color w:val="auto"/>
        </w:rPr>
        <w:t>项目名称：见供应商须知前附表。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.4</w:t>
      </w:r>
      <w:r>
        <w:rPr>
          <w:rFonts w:hint="eastAsia" w:ascii="Times New Roman" w:hAnsi="Times New Roman"/>
          <w:color w:val="auto"/>
        </w:rPr>
        <w:t>项目编号：见供应商须知前附表。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.5</w:t>
      </w:r>
      <w:r>
        <w:rPr>
          <w:rFonts w:hint="eastAsia" w:ascii="Times New Roman" w:hAnsi="Times New Roman"/>
          <w:color w:val="auto"/>
          <w:lang w:val="en-US" w:eastAsia="zh-CN"/>
        </w:rPr>
        <w:t>采购</w:t>
      </w:r>
      <w:r>
        <w:rPr>
          <w:rFonts w:hint="eastAsia" w:ascii="Times New Roman" w:hAnsi="Times New Roman"/>
          <w:color w:val="auto"/>
        </w:rPr>
        <w:t>人：见供应商须知前附表。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.6</w:t>
      </w:r>
      <w:r>
        <w:rPr>
          <w:rFonts w:hint="eastAsia" w:ascii="Times New Roman" w:hAnsi="Times New Roman" w:cs="Times New Roman"/>
          <w:bCs/>
          <w:color w:val="auto"/>
          <w:kern w:val="2"/>
          <w:sz w:val="24"/>
          <w:szCs w:val="28"/>
          <w:lang w:val="en-US" w:eastAsia="zh-CN" w:bidi="ar-SA"/>
        </w:rPr>
        <w:t>采购</w:t>
      </w:r>
      <w:r>
        <w:rPr>
          <w:rFonts w:hint="eastAsia" w:ascii="Times New Roman" w:hAnsi="Times New Roman"/>
          <w:color w:val="auto"/>
        </w:rPr>
        <w:t>代理机构：见供应商须知前附表。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.7</w:t>
      </w:r>
      <w:r>
        <w:rPr>
          <w:rFonts w:hint="eastAsia" w:ascii="Times New Roman" w:hAnsi="Times New Roman"/>
          <w:color w:val="auto"/>
        </w:rPr>
        <w:t>采购预算：见供应商须知前附表。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.8</w:t>
      </w:r>
      <w:r>
        <w:rPr>
          <w:rFonts w:hint="eastAsia" w:ascii="Times New Roman" w:hAnsi="Times New Roman"/>
          <w:color w:val="auto"/>
        </w:rPr>
        <w:t>投资模式：见供应商须知前附表。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w:t>
      </w:r>
      <w:r>
        <w:rPr>
          <w:rFonts w:hint="default" w:ascii="Times New Roman" w:hAnsi="Times New Roman" w:eastAsia="宋体" w:cs="Times New Roman"/>
          <w:bCs/>
          <w:color w:val="auto"/>
          <w:kern w:val="2"/>
          <w:sz w:val="24"/>
          <w:szCs w:val="28"/>
          <w:lang w:val="en-US" w:eastAsia="zh-CN" w:bidi="ar-SA"/>
        </w:rPr>
        <w:t>.9</w:t>
      </w:r>
      <w:r>
        <w:rPr>
          <w:rFonts w:hint="eastAsia" w:ascii="Times New Roman" w:hAnsi="Times New Roman"/>
          <w:color w:val="auto"/>
        </w:rPr>
        <w:t>供应商资格要求：见供应商须知前附表；但不得存在以下情况之一，否则按投标无效处理：</w:t>
      </w:r>
    </w:p>
    <w:p>
      <w:pPr>
        <w:spacing w:line="500" w:lineRule="exact"/>
        <w:ind w:firstLine="480" w:firstLineChars="200"/>
        <w:rPr>
          <w:bCs/>
          <w:color w:val="auto"/>
          <w:sz w:val="24"/>
          <w:szCs w:val="28"/>
        </w:rPr>
      </w:pPr>
      <w:r>
        <w:rPr>
          <w:rFonts w:hint="eastAsia"/>
          <w:bCs/>
          <w:color w:val="auto"/>
          <w:sz w:val="24"/>
          <w:szCs w:val="28"/>
        </w:rPr>
        <w:t>①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bCs/>
          <w:color w:val="auto"/>
          <w:sz w:val="24"/>
          <w:szCs w:val="28"/>
        </w:rPr>
      </w:pPr>
      <w:r>
        <w:rPr>
          <w:rFonts w:hint="eastAsia"/>
          <w:bCs/>
          <w:color w:val="auto"/>
          <w:sz w:val="24"/>
          <w:szCs w:val="28"/>
        </w:rPr>
        <w:t>②如为信息系统采购项目，供应商不得为该整体项目或其中分项目前期工作提供过设计、编制、管理等服务的法人及附属单位。</w:t>
      </w:r>
    </w:p>
    <w:p>
      <w:pPr>
        <w:pStyle w:val="55"/>
        <w:spacing w:line="360" w:lineRule="auto"/>
        <w:ind w:firstLine="480" w:firstLineChars="200"/>
        <w:rPr>
          <w:rFonts w:ascii="Times New Roman"/>
          <w:bCs/>
          <w:color w:val="auto"/>
          <w:kern w:val="2"/>
          <w:sz w:val="24"/>
          <w:szCs w:val="28"/>
        </w:rPr>
      </w:pPr>
      <w:r>
        <w:rPr>
          <w:rFonts w:hint="eastAsia" w:ascii="Times New Roman"/>
          <w:bCs/>
          <w:color w:val="auto"/>
          <w:kern w:val="2"/>
          <w:sz w:val="24"/>
          <w:szCs w:val="28"/>
        </w:rPr>
        <w:t>③招标（采购）文件中未明确规定允许进口产品参加的，均视为拒绝进口产品参加。（进口产品是指通过中国海关报关验放进入中国境内且产自关境外的产品）。</w:t>
      </w:r>
    </w:p>
    <w:p>
      <w:pPr>
        <w:pStyle w:val="55"/>
        <w:spacing w:line="360" w:lineRule="auto"/>
        <w:ind w:firstLine="480" w:firstLineChars="200"/>
        <w:rPr>
          <w:rFonts w:ascii="Times New Roman"/>
          <w:bCs/>
          <w:color w:val="auto"/>
          <w:kern w:val="2"/>
          <w:sz w:val="24"/>
          <w:szCs w:val="28"/>
        </w:rPr>
      </w:pPr>
      <w:r>
        <w:rPr>
          <w:rFonts w:hint="eastAsia" w:ascii="Times New Roman"/>
          <w:bCs/>
          <w:color w:val="auto"/>
          <w:kern w:val="2"/>
          <w:sz w:val="24"/>
          <w:szCs w:val="28"/>
        </w:rPr>
        <w:t>④供应商在本项目招标公告前三年内被列入失信被执行人、重大税收违法案件当事人名单、政府采购严重违法失信行为记录名单，以及存在其他不符合《中华人民共和国政府采购法》第二十二条规定的情况的供应商不得参与投标。</w:t>
      </w:r>
    </w:p>
    <w:p>
      <w:pPr>
        <w:numPr>
          <w:ilvl w:val="0"/>
          <w:numId w:val="3"/>
        </w:numPr>
        <w:spacing w:line="360" w:lineRule="auto"/>
        <w:rPr>
          <w:b/>
          <w:color w:val="auto"/>
          <w:sz w:val="24"/>
        </w:rPr>
      </w:pPr>
      <w:r>
        <w:rPr>
          <w:rFonts w:hint="eastAsia"/>
          <w:b/>
          <w:color w:val="auto"/>
          <w:sz w:val="24"/>
        </w:rPr>
        <w:t>磋商授权委托</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olor w:val="auto"/>
          <w:lang w:val="en-US" w:eastAsia="zh-CN"/>
        </w:rPr>
        <w:t>3.1</w:t>
      </w:r>
      <w:r>
        <w:rPr>
          <w:rFonts w:hint="eastAsia" w:ascii="Times New Roman" w:hAnsi="Times New Roman"/>
          <w:color w:val="auto"/>
        </w:rPr>
        <w:t>供应商的法定代表人可以委托代表人处理磋商事务。</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3.2</w:t>
      </w:r>
      <w:r>
        <w:rPr>
          <w:rFonts w:hint="eastAsia" w:ascii="Times New Roman" w:hAnsi="Times New Roman"/>
          <w:color w:val="auto"/>
        </w:rPr>
        <w:t>委托代表人的资格条件：见供应商须知前附表。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3.3</w:t>
      </w:r>
      <w:r>
        <w:rPr>
          <w:rFonts w:hint="eastAsia" w:ascii="Times New Roman" w:hAnsi="Times New Roman"/>
          <w:color w:val="auto"/>
        </w:rPr>
        <w:t>委托代表人的代理权限：见供应商须知前附表。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3.4</w:t>
      </w:r>
      <w:r>
        <w:rPr>
          <w:rFonts w:hint="eastAsia" w:ascii="Times New Roman" w:hAnsi="Times New Roman"/>
          <w:color w:val="auto"/>
        </w:rPr>
        <w:t>委托代表人须持有法定代表人出具的符合格式要求的《授权委托书》（格式见附件）。</w:t>
      </w:r>
    </w:p>
    <w:p>
      <w:pPr>
        <w:numPr>
          <w:ilvl w:val="0"/>
          <w:numId w:val="3"/>
        </w:numPr>
        <w:spacing w:line="360" w:lineRule="auto"/>
        <w:rPr>
          <w:b/>
          <w:color w:val="auto"/>
          <w:sz w:val="24"/>
        </w:rPr>
      </w:pPr>
      <w:r>
        <w:rPr>
          <w:rFonts w:hint="eastAsia"/>
          <w:b/>
          <w:color w:val="auto"/>
          <w:sz w:val="24"/>
        </w:rPr>
        <w:t>磋商费用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olor w:val="auto"/>
          <w:lang w:val="en-US" w:eastAsia="zh-CN"/>
        </w:rPr>
        <w:t>4.1</w:t>
      </w:r>
      <w:r>
        <w:rPr>
          <w:rFonts w:hint="eastAsia" w:ascii="Times New Roman" w:hAnsi="Times New Roman"/>
          <w:color w:val="auto"/>
        </w:rPr>
        <w:t>供应商自行承担参加磋商的全部费用。</w:t>
      </w:r>
    </w:p>
    <w:p>
      <w:pPr>
        <w:pStyle w:val="4"/>
        <w:numPr>
          <w:ilvl w:val="0"/>
          <w:numId w:val="4"/>
        </w:numPr>
        <w:rPr>
          <w:color w:val="auto"/>
        </w:rPr>
      </w:pPr>
      <w:bookmarkStart w:id="107" w:name="_Toc2673"/>
      <w:bookmarkStart w:id="108" w:name="_Toc668"/>
      <w:bookmarkStart w:id="109" w:name="_Toc5616049"/>
      <w:r>
        <w:rPr>
          <w:rFonts w:hint="eastAsia"/>
          <w:color w:val="auto"/>
        </w:rPr>
        <w:t>磋商文件</w:t>
      </w:r>
      <w:bookmarkEnd w:id="107"/>
      <w:bookmarkEnd w:id="108"/>
      <w:bookmarkEnd w:id="109"/>
    </w:p>
    <w:p>
      <w:pPr>
        <w:numPr>
          <w:ilvl w:val="0"/>
          <w:numId w:val="3"/>
        </w:numPr>
        <w:spacing w:line="360" w:lineRule="auto"/>
        <w:rPr>
          <w:b/>
          <w:color w:val="auto"/>
          <w:sz w:val="24"/>
        </w:rPr>
      </w:pPr>
      <w:r>
        <w:rPr>
          <w:rFonts w:hint="eastAsia"/>
          <w:b/>
          <w:color w:val="auto"/>
          <w:sz w:val="24"/>
        </w:rPr>
        <w:t>磋商文件的构成</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5.1</w:t>
      </w:r>
      <w:r>
        <w:rPr>
          <w:rFonts w:hint="eastAsia" w:ascii="Times New Roman" w:hAnsi="Times New Roman"/>
          <w:color w:val="auto"/>
        </w:rPr>
        <w:t>磋商文件包括以下内容：</w:t>
      </w:r>
    </w:p>
    <w:p>
      <w:pPr>
        <w:spacing w:line="360" w:lineRule="auto"/>
        <w:ind w:firstLine="480" w:firstLineChars="200"/>
        <w:rPr>
          <w:color w:val="auto"/>
          <w:sz w:val="24"/>
        </w:rPr>
      </w:pPr>
      <w:r>
        <w:rPr>
          <w:rFonts w:hint="eastAsia"/>
          <w:color w:val="auto"/>
          <w:sz w:val="24"/>
        </w:rPr>
        <w:t>（一）竞争性磋商公告；</w:t>
      </w:r>
    </w:p>
    <w:p>
      <w:pPr>
        <w:spacing w:line="360" w:lineRule="auto"/>
        <w:ind w:firstLine="480" w:firstLineChars="200"/>
        <w:rPr>
          <w:color w:val="auto"/>
          <w:sz w:val="24"/>
        </w:rPr>
      </w:pPr>
      <w:r>
        <w:rPr>
          <w:rFonts w:hint="eastAsia"/>
          <w:color w:val="auto"/>
          <w:sz w:val="24"/>
        </w:rPr>
        <w:t>（二）供应商须知；</w:t>
      </w:r>
    </w:p>
    <w:p>
      <w:pPr>
        <w:spacing w:line="360" w:lineRule="auto"/>
        <w:ind w:firstLine="480" w:firstLineChars="200"/>
        <w:rPr>
          <w:color w:val="auto"/>
          <w:sz w:val="24"/>
        </w:rPr>
      </w:pPr>
      <w:r>
        <w:rPr>
          <w:rFonts w:hint="eastAsia"/>
          <w:color w:val="auto"/>
          <w:sz w:val="24"/>
        </w:rPr>
        <w:t>（三）采购需</w:t>
      </w:r>
      <w:r>
        <w:rPr>
          <w:rFonts w:hint="eastAsia"/>
          <w:color w:val="auto"/>
          <w:sz w:val="24"/>
          <w:lang w:val="en-US" w:eastAsia="zh-CN"/>
        </w:rPr>
        <w:t>求</w:t>
      </w:r>
      <w:r>
        <w:rPr>
          <w:rFonts w:hint="eastAsia"/>
          <w:color w:val="auto"/>
          <w:sz w:val="24"/>
        </w:rPr>
        <w:t>；</w:t>
      </w:r>
    </w:p>
    <w:p>
      <w:pPr>
        <w:spacing w:line="360" w:lineRule="auto"/>
        <w:ind w:firstLine="480" w:firstLineChars="200"/>
        <w:rPr>
          <w:rFonts w:hint="eastAsia" w:eastAsia="宋体"/>
          <w:color w:val="auto"/>
          <w:sz w:val="24"/>
          <w:lang w:eastAsia="zh-CN"/>
        </w:rPr>
      </w:pPr>
      <w:r>
        <w:rPr>
          <w:rFonts w:hint="eastAsia"/>
          <w:color w:val="auto"/>
          <w:sz w:val="24"/>
        </w:rPr>
        <w:t>（四）采购合同</w:t>
      </w:r>
      <w:r>
        <w:rPr>
          <w:rFonts w:hint="eastAsia"/>
          <w:color w:val="auto"/>
          <w:sz w:val="24"/>
          <w:lang w:eastAsia="zh-CN"/>
        </w:rPr>
        <w:t>；</w:t>
      </w:r>
    </w:p>
    <w:p>
      <w:pPr>
        <w:spacing w:line="360" w:lineRule="auto"/>
        <w:ind w:firstLine="480" w:firstLineChars="200"/>
        <w:rPr>
          <w:color w:val="auto"/>
          <w:sz w:val="24"/>
        </w:rPr>
      </w:pPr>
      <w:r>
        <w:rPr>
          <w:rFonts w:hint="eastAsia"/>
          <w:color w:val="auto"/>
          <w:sz w:val="24"/>
        </w:rPr>
        <w:t>（五）评审程序、方法和标准；</w:t>
      </w:r>
    </w:p>
    <w:p>
      <w:pPr>
        <w:spacing w:line="360" w:lineRule="auto"/>
        <w:ind w:firstLine="480" w:firstLineChars="200"/>
        <w:rPr>
          <w:color w:val="auto"/>
          <w:sz w:val="24"/>
        </w:rPr>
      </w:pPr>
      <w:r>
        <w:rPr>
          <w:rFonts w:hint="eastAsia"/>
          <w:color w:val="auto"/>
          <w:sz w:val="24"/>
        </w:rPr>
        <w:t>（六）响应文件格式。</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5.2</w:t>
      </w:r>
      <w:r>
        <w:rPr>
          <w:rFonts w:hint="eastAsia" w:ascii="Times New Roman" w:hAnsi="Times New Roman"/>
          <w:color w:val="auto"/>
        </w:rPr>
        <w:t>供应商应当仔细阅读和正确理解磋商文件中陈述的所有事项，遵循格式文件的规定和签署要求。</w:t>
      </w:r>
    </w:p>
    <w:p>
      <w:pPr>
        <w:numPr>
          <w:ilvl w:val="0"/>
          <w:numId w:val="3"/>
        </w:numPr>
        <w:spacing w:line="360" w:lineRule="auto"/>
        <w:rPr>
          <w:b/>
          <w:color w:val="auto"/>
          <w:sz w:val="24"/>
        </w:rPr>
      </w:pPr>
      <w:r>
        <w:rPr>
          <w:rFonts w:hint="eastAsia"/>
          <w:b/>
          <w:color w:val="auto"/>
          <w:sz w:val="24"/>
        </w:rPr>
        <w:t>磋商文件的澄清和修改</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6.1</w:t>
      </w:r>
      <w:r>
        <w:rPr>
          <w:rFonts w:hint="eastAsia" w:ascii="Times New Roman" w:hAnsi="Times New Roman"/>
          <w:color w:val="auto"/>
        </w:rPr>
        <w:t>提交首次响应文件截止之日前，</w:t>
      </w:r>
      <w:r>
        <w:rPr>
          <w:rFonts w:hint="eastAsia" w:ascii="Times New Roman" w:hAnsi="Times New Roman"/>
          <w:color w:val="auto"/>
          <w:lang w:val="en-US" w:eastAsia="zh-CN"/>
        </w:rPr>
        <w:t>采购人</w:t>
      </w:r>
      <w:r>
        <w:rPr>
          <w:rFonts w:hint="eastAsia" w:ascii="Times New Roman" w:hAnsi="Times New Roman"/>
          <w:color w:val="auto"/>
        </w:rPr>
        <w:t>、</w:t>
      </w:r>
      <w:r>
        <w:rPr>
          <w:rFonts w:hint="eastAsia" w:ascii="Times New Roman" w:hAnsi="Times New Roman"/>
          <w:color w:val="auto"/>
          <w:lang w:val="en-US" w:eastAsia="zh-CN"/>
        </w:rPr>
        <w:t>采购</w:t>
      </w:r>
      <w:r>
        <w:rPr>
          <w:rFonts w:hint="eastAsia" w:ascii="Times New Roman" w:hAnsi="Times New Roman"/>
          <w:color w:val="auto"/>
        </w:rPr>
        <w:t>代理机构或者磋商小组可以对已发出的磋商文件进行必要的澄清或者修改，澄清或者修改的内容作为磋商文件的组成部分。澄清或者修改的内容可能影响响应文件编制的，</w:t>
      </w:r>
      <w:r>
        <w:rPr>
          <w:rFonts w:hint="eastAsia" w:ascii="Times New Roman" w:hAnsi="Times New Roman"/>
          <w:color w:val="auto"/>
          <w:lang w:val="en-US" w:eastAsia="zh-CN"/>
        </w:rPr>
        <w:t>采购</w:t>
      </w:r>
      <w:r>
        <w:rPr>
          <w:rFonts w:hint="eastAsia" w:ascii="Times New Roman" w:hAnsi="Times New Roman"/>
          <w:color w:val="auto"/>
        </w:rPr>
        <w:t>人、</w:t>
      </w:r>
      <w:r>
        <w:rPr>
          <w:rFonts w:hint="eastAsia" w:ascii="Times New Roman" w:hAnsi="Times New Roman"/>
          <w:color w:val="auto"/>
          <w:lang w:val="en-US" w:eastAsia="zh-CN"/>
        </w:rPr>
        <w:t>采购</w:t>
      </w:r>
      <w:r>
        <w:rPr>
          <w:rFonts w:hint="eastAsia" w:ascii="Times New Roman" w:hAnsi="Times New Roman"/>
          <w:color w:val="auto"/>
        </w:rPr>
        <w:t>代理机构应当在提交首次响应文件截止时间至少5日前，以书面形式通知所有获取磋商文件的供应商；不足5日的，</w:t>
      </w:r>
      <w:r>
        <w:rPr>
          <w:rFonts w:hint="eastAsia" w:ascii="Times New Roman" w:hAnsi="Times New Roman"/>
          <w:color w:val="auto"/>
          <w:lang w:val="en-US" w:eastAsia="zh-CN"/>
        </w:rPr>
        <w:t>采购</w:t>
      </w:r>
      <w:r>
        <w:rPr>
          <w:rFonts w:hint="eastAsia" w:ascii="Times New Roman" w:hAnsi="Times New Roman"/>
          <w:color w:val="auto"/>
        </w:rPr>
        <w:t>人、</w:t>
      </w:r>
      <w:r>
        <w:rPr>
          <w:rFonts w:hint="eastAsia" w:ascii="Times New Roman" w:hAnsi="Times New Roman"/>
          <w:color w:val="auto"/>
          <w:lang w:val="en-US" w:eastAsia="zh-CN"/>
        </w:rPr>
        <w:t>采购</w:t>
      </w:r>
      <w:r>
        <w:rPr>
          <w:rFonts w:hint="eastAsia" w:ascii="Times New Roman" w:hAnsi="Times New Roman"/>
          <w:color w:val="auto"/>
        </w:rPr>
        <w:t>代理机构应当顺延提交首次响应文件截止时间。</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6.2</w:t>
      </w:r>
      <w:r>
        <w:rPr>
          <w:rFonts w:hint="eastAsia" w:ascii="Times New Roman" w:hAnsi="Times New Roman"/>
          <w:color w:val="auto"/>
        </w:rPr>
        <w:t>澄清或者修改是磋商文件的组成部分。澄清或者修改以公告的方式发布。</w:t>
      </w:r>
    </w:p>
    <w:p>
      <w:pPr>
        <w:numPr>
          <w:ilvl w:val="0"/>
          <w:numId w:val="3"/>
        </w:numPr>
        <w:spacing w:line="360" w:lineRule="auto"/>
        <w:rPr>
          <w:b/>
          <w:color w:val="auto"/>
          <w:sz w:val="24"/>
        </w:rPr>
      </w:pPr>
      <w:r>
        <w:rPr>
          <w:rFonts w:hint="eastAsia"/>
          <w:b/>
          <w:color w:val="auto"/>
          <w:sz w:val="24"/>
        </w:rPr>
        <w:t>现场考察和答疑会</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7.1</w:t>
      </w:r>
      <w:r>
        <w:rPr>
          <w:rFonts w:hint="eastAsia" w:ascii="Times New Roman" w:hAnsi="Times New Roman"/>
          <w:color w:val="auto"/>
        </w:rPr>
        <w:t>现场考察和答疑会：见供应商须知前附表。</w:t>
      </w:r>
    </w:p>
    <w:p>
      <w:pPr>
        <w:pStyle w:val="4"/>
        <w:numPr>
          <w:ilvl w:val="0"/>
          <w:numId w:val="4"/>
        </w:numPr>
        <w:rPr>
          <w:color w:val="auto"/>
        </w:rPr>
      </w:pPr>
      <w:bookmarkStart w:id="110" w:name="_Toc5616050"/>
      <w:bookmarkStart w:id="111" w:name="_Toc20674"/>
      <w:bookmarkStart w:id="112" w:name="_Toc18159"/>
      <w:r>
        <w:rPr>
          <w:rFonts w:hint="eastAsia"/>
          <w:color w:val="auto"/>
        </w:rPr>
        <w:t>响应文件</w:t>
      </w:r>
      <w:bookmarkEnd w:id="110"/>
      <w:bookmarkEnd w:id="111"/>
      <w:bookmarkEnd w:id="112"/>
    </w:p>
    <w:p>
      <w:pPr>
        <w:numPr>
          <w:ilvl w:val="0"/>
          <w:numId w:val="3"/>
        </w:numPr>
        <w:spacing w:line="360" w:lineRule="auto"/>
        <w:rPr>
          <w:b/>
          <w:color w:val="auto"/>
          <w:sz w:val="24"/>
        </w:rPr>
      </w:pPr>
      <w:r>
        <w:rPr>
          <w:rFonts w:hint="eastAsia"/>
          <w:b/>
          <w:color w:val="auto"/>
          <w:sz w:val="24"/>
        </w:rPr>
        <w:t>响应文件计量单位和使用文字</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8.1</w:t>
      </w:r>
      <w:r>
        <w:rPr>
          <w:rFonts w:hint="eastAsia" w:ascii="Times New Roman" w:hAnsi="Times New Roman"/>
          <w:color w:val="auto"/>
        </w:rPr>
        <w:t>所有计量均采用中华人民共和国法定计量单位。</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8.2</w:t>
      </w:r>
      <w:r>
        <w:rPr>
          <w:rFonts w:hint="eastAsia" w:ascii="Times New Roman" w:hAnsi="Times New Roman"/>
          <w:color w:val="auto"/>
        </w:rPr>
        <w:t>响应文件使用中文编制。响应文件部分内容必须使用其他文字的，应当附有该文字的中文译本。供应商承担未附中文译本或中文译本不准确而引起不利后果。</w:t>
      </w:r>
    </w:p>
    <w:p>
      <w:pPr>
        <w:numPr>
          <w:ilvl w:val="0"/>
          <w:numId w:val="3"/>
        </w:numPr>
        <w:spacing w:line="360" w:lineRule="auto"/>
        <w:rPr>
          <w:b/>
          <w:color w:val="auto"/>
          <w:sz w:val="24"/>
        </w:rPr>
      </w:pPr>
      <w:r>
        <w:rPr>
          <w:rFonts w:hint="eastAsia"/>
          <w:b/>
          <w:color w:val="auto"/>
          <w:sz w:val="24"/>
        </w:rPr>
        <w:t>联合体</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9.1</w:t>
      </w:r>
      <w:r>
        <w:rPr>
          <w:rFonts w:hint="eastAsia" w:ascii="Times New Roman" w:hAnsi="Times New Roman"/>
          <w:color w:val="auto"/>
        </w:rPr>
        <w:t>不接受供应商组成联合体。</w:t>
      </w:r>
    </w:p>
    <w:p>
      <w:pPr>
        <w:numPr>
          <w:ilvl w:val="0"/>
          <w:numId w:val="3"/>
        </w:numPr>
        <w:spacing w:line="360" w:lineRule="auto"/>
        <w:rPr>
          <w:b/>
          <w:color w:val="auto"/>
          <w:sz w:val="24"/>
        </w:rPr>
      </w:pPr>
      <w:r>
        <w:rPr>
          <w:rFonts w:hint="eastAsia"/>
          <w:b/>
          <w:color w:val="auto"/>
          <w:sz w:val="24"/>
        </w:rPr>
        <w:t>响应文件的组成</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olor w:val="auto"/>
          <w:lang w:val="en-US" w:eastAsia="zh-CN"/>
        </w:rPr>
        <w:t>10.1</w:t>
      </w:r>
      <w:r>
        <w:rPr>
          <w:rFonts w:hint="eastAsia" w:ascii="Times New Roman" w:hAnsi="Times New Roman"/>
          <w:color w:val="auto"/>
        </w:rPr>
        <w:t>响应文件</w:t>
      </w:r>
    </w:p>
    <w:p>
      <w:pPr>
        <w:numPr>
          <w:ilvl w:val="2"/>
          <w:numId w:val="3"/>
        </w:numPr>
        <w:tabs>
          <w:tab w:val="left" w:pos="1365"/>
          <w:tab w:val="clear" w:pos="1418"/>
        </w:tabs>
        <w:spacing w:line="360" w:lineRule="auto"/>
        <w:ind w:left="0" w:firstLine="720" w:firstLineChars="300"/>
        <w:rPr>
          <w:bCs/>
          <w:color w:val="auto"/>
          <w:sz w:val="24"/>
          <w:szCs w:val="28"/>
        </w:rPr>
      </w:pPr>
      <w:r>
        <w:rPr>
          <w:rFonts w:hint="eastAsia"/>
          <w:bCs/>
          <w:color w:val="auto"/>
          <w:sz w:val="24"/>
          <w:szCs w:val="28"/>
        </w:rPr>
        <w:t xml:space="preserve"> 磋商报价(详见磋商文件第六部分响应文件格式)；</w:t>
      </w:r>
    </w:p>
    <w:p>
      <w:pPr>
        <w:numPr>
          <w:ilvl w:val="2"/>
          <w:numId w:val="3"/>
        </w:numPr>
        <w:tabs>
          <w:tab w:val="left" w:pos="1365"/>
          <w:tab w:val="clear" w:pos="1418"/>
        </w:tabs>
        <w:spacing w:line="360" w:lineRule="auto"/>
        <w:ind w:left="0" w:firstLine="720" w:firstLineChars="300"/>
        <w:rPr>
          <w:bCs/>
          <w:color w:val="auto"/>
          <w:sz w:val="24"/>
          <w:szCs w:val="28"/>
        </w:rPr>
      </w:pPr>
      <w:r>
        <w:rPr>
          <w:rFonts w:hint="eastAsia"/>
          <w:bCs/>
          <w:color w:val="auto"/>
          <w:sz w:val="24"/>
          <w:szCs w:val="28"/>
        </w:rPr>
        <w:t xml:space="preserve"> 商务响应文件 (详见磋商文件第六部分响应文件格式)；</w:t>
      </w:r>
    </w:p>
    <w:p>
      <w:pPr>
        <w:numPr>
          <w:ilvl w:val="2"/>
          <w:numId w:val="3"/>
        </w:numPr>
        <w:tabs>
          <w:tab w:val="left" w:pos="1365"/>
          <w:tab w:val="clear" w:pos="1418"/>
        </w:tabs>
        <w:spacing w:line="360" w:lineRule="auto"/>
        <w:ind w:left="0" w:firstLine="720" w:firstLineChars="300"/>
        <w:rPr>
          <w:bCs/>
          <w:color w:val="auto"/>
          <w:sz w:val="24"/>
          <w:szCs w:val="28"/>
        </w:rPr>
      </w:pPr>
      <w:r>
        <w:rPr>
          <w:rFonts w:hint="eastAsia"/>
          <w:bCs/>
          <w:color w:val="auto"/>
          <w:sz w:val="24"/>
          <w:szCs w:val="28"/>
        </w:rPr>
        <w:t xml:space="preserve"> 技术响应文件 (详见磋商文件第六部分响应文件格式)；</w:t>
      </w:r>
    </w:p>
    <w:p>
      <w:pPr>
        <w:numPr>
          <w:ilvl w:val="2"/>
          <w:numId w:val="3"/>
        </w:numPr>
        <w:tabs>
          <w:tab w:val="left" w:pos="1365"/>
          <w:tab w:val="clear" w:pos="1418"/>
        </w:tabs>
        <w:spacing w:line="360" w:lineRule="auto"/>
        <w:ind w:left="0" w:firstLine="720" w:firstLineChars="300"/>
        <w:rPr>
          <w:bCs/>
          <w:color w:val="auto"/>
          <w:sz w:val="24"/>
          <w:szCs w:val="28"/>
        </w:rPr>
      </w:pPr>
      <w:r>
        <w:rPr>
          <w:rFonts w:hint="eastAsia"/>
          <w:bCs/>
          <w:color w:val="auto"/>
          <w:sz w:val="24"/>
          <w:szCs w:val="28"/>
        </w:rPr>
        <w:t xml:space="preserve"> 供应商认为需加以说明的其他内容；</w:t>
      </w:r>
    </w:p>
    <w:p>
      <w:pPr>
        <w:numPr>
          <w:ilvl w:val="0"/>
          <w:numId w:val="3"/>
        </w:numPr>
        <w:spacing w:line="360" w:lineRule="auto"/>
        <w:rPr>
          <w:b/>
          <w:color w:val="auto"/>
          <w:sz w:val="24"/>
        </w:rPr>
      </w:pPr>
      <w:r>
        <w:rPr>
          <w:rFonts w:hint="eastAsia"/>
          <w:b/>
          <w:color w:val="auto"/>
          <w:sz w:val="24"/>
        </w:rPr>
        <w:t>响应文件编制说明</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11.1</w:t>
      </w:r>
      <w:r>
        <w:rPr>
          <w:rFonts w:hint="eastAsia" w:ascii="Times New Roman" w:hAnsi="Times New Roman"/>
          <w:color w:val="auto"/>
        </w:rPr>
        <w:t>响应文件必须按照磋商文件要求的统一格式顺序编写</w:t>
      </w:r>
      <w:r>
        <w:rPr>
          <w:rFonts w:hint="eastAsia" w:ascii="Times New Roman" w:hAnsi="Times New Roman"/>
          <w:b/>
          <w:color w:val="auto"/>
        </w:rPr>
        <w:t>。</w:t>
      </w:r>
      <w:r>
        <w:rPr>
          <w:rFonts w:hint="eastAsia" w:ascii="Times New Roman" w:hAnsi="Times New Roman"/>
          <w:b/>
          <w:color w:val="auto"/>
          <w:u w:val="single"/>
        </w:rPr>
        <w:t>要求响应文件全部内容制作详细的目录（包括页码的编制），为评审时查询作索引。</w:t>
      </w:r>
    </w:p>
    <w:p>
      <w:pPr>
        <w:numPr>
          <w:ilvl w:val="0"/>
          <w:numId w:val="3"/>
        </w:numPr>
        <w:spacing w:line="360" w:lineRule="auto"/>
        <w:rPr>
          <w:b/>
          <w:color w:val="auto"/>
          <w:sz w:val="24"/>
        </w:rPr>
      </w:pPr>
      <w:r>
        <w:rPr>
          <w:rFonts w:hint="eastAsia"/>
          <w:b/>
          <w:color w:val="auto"/>
          <w:sz w:val="24"/>
        </w:rPr>
        <w:t>磋商报价</w:t>
      </w:r>
    </w:p>
    <w:p>
      <w:pPr>
        <w:spacing w:line="500" w:lineRule="exact"/>
        <w:ind w:firstLine="480"/>
        <w:rPr>
          <w:rFonts w:ascii="宋体" w:hAnsi="宋体" w:cs="宋体"/>
          <w:color w:val="auto"/>
          <w:sz w:val="24"/>
        </w:rPr>
      </w:pPr>
      <w:r>
        <w:rPr>
          <w:rFonts w:hint="eastAsia" w:ascii="宋体" w:hAnsi="宋体" w:cs="宋体"/>
          <w:color w:val="auto"/>
          <w:sz w:val="24"/>
        </w:rPr>
        <w:t>12.1响应报价均须以人民币为计算单位。磋商文件另有规定的，从其规定。</w:t>
      </w:r>
    </w:p>
    <w:p>
      <w:pPr>
        <w:spacing w:line="500" w:lineRule="exact"/>
        <w:ind w:firstLine="480"/>
        <w:rPr>
          <w:rFonts w:ascii="宋体" w:hAnsi="宋体" w:cs="宋体"/>
          <w:color w:val="auto"/>
          <w:sz w:val="24"/>
        </w:rPr>
      </w:pPr>
      <w:r>
        <w:rPr>
          <w:rFonts w:hint="eastAsia" w:ascii="宋体" w:hAnsi="宋体" w:cs="宋体"/>
          <w:color w:val="auto"/>
          <w:sz w:val="24"/>
        </w:rPr>
        <w:t>12.2响应报价包括所投</w:t>
      </w:r>
      <w:r>
        <w:rPr>
          <w:rFonts w:hint="eastAsia" w:ascii="宋体" w:hAnsi="宋体" w:cs="宋体"/>
          <w:color w:val="auto"/>
          <w:sz w:val="24"/>
          <w:lang w:val="en-US" w:eastAsia="zh-CN"/>
        </w:rPr>
        <w:t>项目</w:t>
      </w:r>
      <w:r>
        <w:rPr>
          <w:rFonts w:hint="eastAsia" w:ascii="宋体" w:hAnsi="宋体" w:cs="宋体"/>
          <w:color w:val="auto"/>
          <w:sz w:val="24"/>
        </w:rPr>
        <w:t>从进场服务至验收合格和质保期维护的一切费用（包含设计、劳务、管理费、利润、税金、其他技术服务及质保期服务费等），以及采购合同中明示或暗示的所有责任、义务和风险。</w:t>
      </w:r>
    </w:p>
    <w:p>
      <w:pPr>
        <w:spacing w:line="500" w:lineRule="exact"/>
        <w:ind w:firstLine="480"/>
        <w:rPr>
          <w:rFonts w:ascii="宋体" w:hAnsi="宋体" w:cs="宋体"/>
          <w:color w:val="auto"/>
          <w:sz w:val="24"/>
        </w:rPr>
      </w:pPr>
      <w:r>
        <w:rPr>
          <w:rFonts w:hint="eastAsia" w:ascii="宋体" w:hAnsi="宋体" w:cs="宋体"/>
          <w:color w:val="auto"/>
          <w:sz w:val="24"/>
        </w:rPr>
        <w:t>12.3磋商实行两次或多次报价，第一次报价为供应商在响应文件中编制</w:t>
      </w:r>
      <w:r>
        <w:rPr>
          <w:rFonts w:hint="eastAsia" w:ascii="宋体" w:hAnsi="宋体" w:cs="宋体"/>
          <w:color w:val="auto"/>
          <w:sz w:val="24"/>
          <w:lang w:val="en-US" w:eastAsia="zh-CN"/>
        </w:rPr>
        <w:t>的报价</w:t>
      </w:r>
      <w:r>
        <w:rPr>
          <w:rFonts w:hint="eastAsia" w:ascii="宋体" w:hAnsi="宋体" w:cs="宋体"/>
          <w:color w:val="auto"/>
          <w:sz w:val="24"/>
        </w:rPr>
        <w:t>，之后的报价为响应文件通过评审合格后由磋商小组分别组织供应商进行的报价，磋商结果以供应商的最终报价为准。</w:t>
      </w:r>
    </w:p>
    <w:p>
      <w:pPr>
        <w:numPr>
          <w:ilvl w:val="0"/>
          <w:numId w:val="3"/>
        </w:numPr>
        <w:tabs>
          <w:tab w:val="clear" w:pos="425"/>
        </w:tabs>
        <w:spacing w:line="360" w:lineRule="auto"/>
        <w:ind w:left="425" w:leftChars="0" w:hanging="425" w:firstLineChars="0"/>
        <w:rPr>
          <w:b/>
          <w:color w:val="auto"/>
          <w:sz w:val="24"/>
        </w:rPr>
      </w:pPr>
      <w:r>
        <w:rPr>
          <w:rFonts w:hint="eastAsia"/>
          <w:b/>
          <w:color w:val="auto"/>
          <w:sz w:val="24"/>
        </w:rPr>
        <w:t>响应文件的有效期</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13.1</w:t>
      </w:r>
      <w:r>
        <w:rPr>
          <w:rFonts w:hint="eastAsia" w:ascii="Times New Roman" w:hAnsi="Times New Roman"/>
          <w:color w:val="auto"/>
        </w:rPr>
        <w:t>从提交响应文件截止日起60天，响应文件应保持有效。有效期短于规定期限的，将被拒绝。</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13.2</w:t>
      </w:r>
      <w:r>
        <w:rPr>
          <w:rFonts w:hint="eastAsia" w:ascii="Times New Roman" w:hAnsi="Times New Roman"/>
          <w:color w:val="auto"/>
        </w:rPr>
        <w:t>在特殊情况下，</w:t>
      </w:r>
      <w:r>
        <w:rPr>
          <w:rFonts w:hint="eastAsia" w:ascii="Times New Roman" w:hAnsi="Times New Roman"/>
          <w:color w:val="auto"/>
          <w:lang w:val="en-US" w:eastAsia="zh-CN"/>
        </w:rPr>
        <w:t>采购</w:t>
      </w:r>
      <w:r>
        <w:rPr>
          <w:rFonts w:hint="eastAsia" w:ascii="Times New Roman" w:hAnsi="Times New Roman"/>
          <w:color w:val="auto"/>
        </w:rPr>
        <w:t>代理机构可与供应商协商延长响应文件的有效期。协商应当以信函、传真或电子邮件的形式进行。同意延长有效期的供应商，不能修改响应文件。拒绝接受延长有效期要求的供应商，其磋商将被拒绝。</w:t>
      </w:r>
    </w:p>
    <w:p>
      <w:pPr>
        <w:numPr>
          <w:ilvl w:val="0"/>
          <w:numId w:val="3"/>
        </w:numPr>
        <w:tabs>
          <w:tab w:val="clear" w:pos="425"/>
        </w:tabs>
        <w:spacing w:line="360" w:lineRule="auto"/>
        <w:ind w:left="425" w:leftChars="0" w:hanging="425" w:firstLineChars="0"/>
        <w:rPr>
          <w:b/>
          <w:color w:val="auto"/>
          <w:sz w:val="24"/>
        </w:rPr>
      </w:pPr>
      <w:r>
        <w:rPr>
          <w:rFonts w:hint="eastAsia"/>
          <w:b/>
          <w:color w:val="auto"/>
          <w:sz w:val="24"/>
        </w:rPr>
        <w:t>响应文件的份数和签署</w:t>
      </w:r>
    </w:p>
    <w:p>
      <w:pPr>
        <w:spacing w:line="500" w:lineRule="exact"/>
        <w:ind w:firstLine="480"/>
        <w:rPr>
          <w:rFonts w:ascii="宋体" w:hAnsi="宋体" w:cs="宋体"/>
          <w:color w:val="auto"/>
          <w:sz w:val="24"/>
        </w:rPr>
      </w:pPr>
      <w:r>
        <w:rPr>
          <w:rFonts w:hint="eastAsia" w:ascii="宋体" w:hAnsi="宋体" w:cs="宋体"/>
          <w:color w:val="auto"/>
          <w:sz w:val="24"/>
          <w:lang w:val="en-US" w:eastAsia="zh-CN"/>
        </w:rPr>
        <w:t>14</w:t>
      </w:r>
      <w:r>
        <w:rPr>
          <w:rFonts w:hint="eastAsia" w:ascii="宋体" w:hAnsi="宋体" w:cs="宋体"/>
          <w:color w:val="auto"/>
          <w:sz w:val="24"/>
        </w:rPr>
        <w:t xml:space="preserve">.1 </w:t>
      </w:r>
      <w:r>
        <w:rPr>
          <w:rFonts w:hint="eastAsia" w:ascii="宋体" w:hAnsi="宋体" w:cs="宋体"/>
          <w:b w:val="0"/>
          <w:bCs/>
          <w:color w:val="auto"/>
          <w:sz w:val="24"/>
        </w:rPr>
        <w:t>供应商无需提供纸质版响应文件。开标签到后将1份与上传系统一致已盖章签字的PDF格式</w:t>
      </w:r>
      <w:r>
        <w:rPr>
          <w:rFonts w:hint="eastAsia" w:ascii="宋体" w:hAnsi="宋体" w:cs="宋体"/>
          <w:b w:val="0"/>
          <w:bCs/>
          <w:color w:val="auto"/>
          <w:sz w:val="24"/>
          <w:lang w:val="en-US" w:eastAsia="zh-CN"/>
        </w:rPr>
        <w:t>响应</w:t>
      </w:r>
      <w:r>
        <w:rPr>
          <w:rFonts w:hint="eastAsia" w:ascii="宋体" w:hAnsi="宋体" w:cs="宋体"/>
          <w:b w:val="0"/>
          <w:bCs/>
          <w:color w:val="auto"/>
          <w:sz w:val="24"/>
        </w:rPr>
        <w:t>文件发送至我公司邮箱。（邮箱：hainanjianyun@163.com）</w:t>
      </w:r>
    </w:p>
    <w:p>
      <w:pPr>
        <w:spacing w:line="500" w:lineRule="exact"/>
        <w:ind w:firstLine="480"/>
        <w:rPr>
          <w:rFonts w:hint="eastAsia" w:ascii="宋体" w:hAnsi="宋体" w:cs="宋体"/>
          <w:color w:val="auto"/>
          <w:sz w:val="24"/>
        </w:rPr>
      </w:pPr>
      <w:r>
        <w:rPr>
          <w:rFonts w:hint="eastAsia" w:ascii="宋体" w:hAnsi="宋体" w:cs="宋体"/>
          <w:color w:val="auto"/>
          <w:sz w:val="24"/>
          <w:lang w:val="en-US" w:eastAsia="zh-CN"/>
        </w:rPr>
        <w:t>14</w:t>
      </w:r>
      <w:r>
        <w:rPr>
          <w:rFonts w:hint="eastAsia" w:ascii="宋体" w:hAnsi="宋体" w:cs="宋体"/>
          <w:color w:val="auto"/>
          <w:sz w:val="24"/>
        </w:rPr>
        <w:t>.2 响应文件应根据磋商文件的要求制作，签署、盖章和内容应完整，如有遗漏，将被视为无效响应。</w:t>
      </w:r>
    </w:p>
    <w:p>
      <w:pPr>
        <w:pStyle w:val="4"/>
        <w:numPr>
          <w:ilvl w:val="0"/>
          <w:numId w:val="4"/>
        </w:numPr>
        <w:rPr>
          <w:color w:val="auto"/>
        </w:rPr>
      </w:pPr>
      <w:bookmarkStart w:id="113" w:name="_Toc317237777"/>
      <w:bookmarkStart w:id="114" w:name="_Toc17962"/>
      <w:bookmarkStart w:id="115" w:name="_Toc18686"/>
      <w:bookmarkStart w:id="116" w:name="_Toc317237602"/>
      <w:bookmarkStart w:id="117" w:name="_Toc5616051"/>
      <w:r>
        <w:rPr>
          <w:rFonts w:hint="eastAsia"/>
          <w:color w:val="auto"/>
        </w:rPr>
        <w:t>响应文件的递交</w:t>
      </w:r>
      <w:bookmarkEnd w:id="113"/>
      <w:bookmarkEnd w:id="114"/>
      <w:bookmarkEnd w:id="115"/>
      <w:bookmarkEnd w:id="116"/>
      <w:bookmarkEnd w:id="117"/>
    </w:p>
    <w:p>
      <w:pPr>
        <w:numPr>
          <w:ilvl w:val="0"/>
          <w:numId w:val="0"/>
        </w:numPr>
        <w:spacing w:line="360" w:lineRule="auto"/>
        <w:ind w:left="425" w:leftChars="0" w:hanging="425" w:firstLineChars="0"/>
        <w:rPr>
          <w:rFonts w:hint="default" w:eastAsia="宋体"/>
          <w:b/>
          <w:color w:val="auto"/>
          <w:sz w:val="24"/>
          <w:lang w:val="en-US" w:eastAsia="zh-CN"/>
        </w:rPr>
      </w:pPr>
      <w:r>
        <w:rPr>
          <w:rFonts w:hint="eastAsia" w:cs="Times New Roman"/>
          <w:b/>
          <w:color w:val="auto"/>
          <w:kern w:val="2"/>
          <w:sz w:val="24"/>
          <w:szCs w:val="24"/>
          <w:lang w:val="en-US" w:eastAsia="zh-CN" w:bidi="ar-SA"/>
        </w:rPr>
        <w:t xml:space="preserve">15 </w:t>
      </w:r>
      <w:r>
        <w:rPr>
          <w:rFonts w:hint="eastAsia"/>
          <w:b/>
          <w:color w:val="auto"/>
          <w:sz w:val="24"/>
        </w:rPr>
        <w:t>响应文件的装订、密封及标记</w:t>
      </w:r>
      <w:r>
        <w:rPr>
          <w:rFonts w:hint="eastAsia"/>
          <w:b/>
          <w:color w:val="auto"/>
          <w:sz w:val="24"/>
          <w:lang w:eastAsia="zh-CN"/>
        </w:rPr>
        <w:t>（</w:t>
      </w:r>
      <w:r>
        <w:rPr>
          <w:rFonts w:hint="eastAsia"/>
          <w:b/>
          <w:color w:val="auto"/>
          <w:sz w:val="24"/>
          <w:lang w:val="en-US" w:eastAsia="zh-CN"/>
        </w:rPr>
        <w:t>本项目不做密封要求）</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16 </w:t>
      </w:r>
      <w:r>
        <w:rPr>
          <w:rFonts w:hint="eastAsia"/>
          <w:b/>
          <w:color w:val="auto"/>
          <w:sz w:val="24"/>
        </w:rPr>
        <w:t>截止时间</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16.1</w:t>
      </w:r>
      <w:r>
        <w:rPr>
          <w:rFonts w:hint="eastAsia" w:ascii="Times New Roman" w:hAnsi="Times New Roman"/>
          <w:color w:val="auto"/>
        </w:rPr>
        <w:t>响应文件必须在提交响应文件截止时间前送达磋商地点。</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16.2</w:t>
      </w:r>
      <w:r>
        <w:rPr>
          <w:rFonts w:hint="eastAsia" w:ascii="Times New Roman" w:hAnsi="Times New Roman"/>
          <w:color w:val="auto"/>
          <w:lang w:val="en-US" w:eastAsia="zh-CN"/>
        </w:rPr>
        <w:t>采购</w:t>
      </w:r>
      <w:r>
        <w:rPr>
          <w:rFonts w:hint="eastAsia" w:ascii="Times New Roman" w:hAnsi="Times New Roman"/>
          <w:color w:val="auto"/>
        </w:rPr>
        <w:t>代理机构推迟响应文件截止时间，将在不晚于原定响应文件截止时间前3天发布公告。</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16.3</w:t>
      </w:r>
      <w:r>
        <w:rPr>
          <w:rFonts w:hint="eastAsia" w:ascii="Times New Roman" w:hAnsi="Times New Roman"/>
          <w:color w:val="auto"/>
        </w:rPr>
        <w:t>在响应文件截止时间以后送达的响应文件，</w:t>
      </w:r>
      <w:r>
        <w:rPr>
          <w:rFonts w:hint="eastAsia" w:ascii="Times New Roman" w:hAnsi="Times New Roman"/>
          <w:color w:val="auto"/>
          <w:lang w:val="en-US" w:eastAsia="zh-CN"/>
        </w:rPr>
        <w:t>采购</w:t>
      </w:r>
      <w:r>
        <w:rPr>
          <w:rFonts w:hint="eastAsia" w:ascii="Times New Roman" w:hAnsi="Times New Roman"/>
          <w:color w:val="auto"/>
        </w:rPr>
        <w:t>代理机构拒绝接收。</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17 </w:t>
      </w:r>
      <w:r>
        <w:rPr>
          <w:rFonts w:hint="eastAsia"/>
          <w:b/>
          <w:color w:val="auto"/>
          <w:sz w:val="24"/>
        </w:rPr>
        <w:t>响应文件的修改和撤回</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17.1</w:t>
      </w:r>
      <w:r>
        <w:rPr>
          <w:rFonts w:hint="eastAsia" w:ascii="Times New Roman" w:hAnsi="Times New Roman"/>
          <w:color w:val="auto"/>
        </w:rPr>
        <w:t>响应文件提交截止时间以后，供应商不得修改和撤回响应文件，不得在磋商有效期内撤回响应文件。</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17.2</w:t>
      </w:r>
      <w:r>
        <w:rPr>
          <w:rFonts w:hint="eastAsia" w:ascii="Times New Roman" w:hAnsi="Times New Roman"/>
          <w:color w:val="auto"/>
        </w:rPr>
        <w:t>响应文件提交后，均不予退还。</w:t>
      </w:r>
    </w:p>
    <w:p>
      <w:pPr>
        <w:pStyle w:val="4"/>
        <w:numPr>
          <w:ilvl w:val="0"/>
          <w:numId w:val="4"/>
        </w:numPr>
        <w:rPr>
          <w:color w:val="auto"/>
        </w:rPr>
      </w:pPr>
      <w:bookmarkStart w:id="118" w:name="_Toc317237603"/>
      <w:bookmarkStart w:id="119" w:name="_Toc317237778"/>
      <w:bookmarkStart w:id="120" w:name="_Toc6602"/>
      <w:bookmarkStart w:id="121" w:name="_Toc5616052"/>
      <w:bookmarkStart w:id="122" w:name="_Toc2671"/>
      <w:r>
        <w:rPr>
          <w:rFonts w:hint="eastAsia"/>
          <w:color w:val="auto"/>
        </w:rPr>
        <w:t>磋商程序</w:t>
      </w:r>
      <w:bookmarkEnd w:id="118"/>
      <w:bookmarkEnd w:id="119"/>
      <w:bookmarkEnd w:id="120"/>
      <w:bookmarkEnd w:id="121"/>
      <w:bookmarkEnd w:id="122"/>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18 </w:t>
      </w:r>
      <w:r>
        <w:rPr>
          <w:rFonts w:hint="eastAsia"/>
          <w:b/>
          <w:color w:val="auto"/>
          <w:sz w:val="24"/>
        </w:rPr>
        <w:t>磋商文件的送达</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18.1</w:t>
      </w:r>
      <w:r>
        <w:rPr>
          <w:rFonts w:hint="eastAsia" w:ascii="Times New Roman" w:hAnsi="Times New Roman"/>
          <w:color w:val="auto"/>
        </w:rPr>
        <w:t>供应商应当在磋商文件要求的截止时间前，将响应文件密封送达指定地点。在截止时间后送达的响应文件为无效文件，</w:t>
      </w:r>
      <w:r>
        <w:rPr>
          <w:rFonts w:hint="eastAsia" w:ascii="Times New Roman" w:hAnsi="Times New Roman"/>
          <w:color w:val="auto"/>
          <w:lang w:val="en-US" w:eastAsia="zh-CN"/>
        </w:rPr>
        <w:t>采购</w:t>
      </w:r>
      <w:r>
        <w:rPr>
          <w:rFonts w:hint="eastAsia" w:ascii="Times New Roman" w:hAnsi="Times New Roman"/>
          <w:color w:val="auto"/>
        </w:rPr>
        <w:t>人、</w:t>
      </w:r>
      <w:r>
        <w:rPr>
          <w:rFonts w:hint="eastAsia" w:ascii="Times New Roman" w:hAnsi="Times New Roman"/>
          <w:color w:val="auto"/>
          <w:lang w:val="en-US" w:eastAsia="zh-CN"/>
        </w:rPr>
        <w:t>采购</w:t>
      </w:r>
      <w:r>
        <w:rPr>
          <w:rFonts w:hint="eastAsia" w:ascii="Times New Roman" w:hAnsi="Times New Roman"/>
          <w:color w:val="auto"/>
        </w:rPr>
        <w:t>代理机构或者磋商小组应当拒收。</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18.2</w:t>
      </w:r>
      <w:r>
        <w:rPr>
          <w:rFonts w:hint="eastAsia" w:ascii="Times New Roman" w:hAnsi="Times New Roman"/>
          <w:color w:val="auto"/>
        </w:rPr>
        <w:t>供应商在提交响应文件截止时间前，可以对所提交的响应文件进行补充、修改或者撤回，并书面通知</w:t>
      </w:r>
      <w:r>
        <w:rPr>
          <w:rFonts w:hint="eastAsia" w:ascii="Times New Roman" w:hAnsi="Times New Roman"/>
          <w:color w:val="auto"/>
          <w:lang w:eastAsia="zh-CN"/>
        </w:rPr>
        <w:t>采购人</w:t>
      </w:r>
      <w:r>
        <w:rPr>
          <w:rFonts w:hint="eastAsia" w:ascii="Times New Roman" w:hAnsi="Times New Roman"/>
          <w:color w:val="auto"/>
        </w:rPr>
        <w:t>、</w:t>
      </w:r>
      <w:r>
        <w:rPr>
          <w:rFonts w:hint="eastAsia" w:ascii="Times New Roman" w:hAnsi="Times New Roman"/>
          <w:color w:val="auto"/>
          <w:lang w:val="en-US" w:eastAsia="zh-CN"/>
        </w:rPr>
        <w:t>采购</w:t>
      </w:r>
      <w:r>
        <w:rPr>
          <w:rFonts w:hint="eastAsia" w:ascii="Times New Roman" w:hAnsi="Times New Roman"/>
          <w:color w:val="auto"/>
        </w:rPr>
        <w:t>代理机构。补充、修改的内容作为响应文件的组成部分。补充、修改的内容与响应文件不一致的，以补充、修改的内容为准。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18.3</w:t>
      </w:r>
      <w:r>
        <w:rPr>
          <w:rFonts w:hint="eastAsia" w:ascii="Times New Roman" w:hAnsi="Times New Roman"/>
          <w:color w:val="auto"/>
          <w:lang w:val="en-US" w:eastAsia="zh-CN"/>
        </w:rPr>
        <w:t>采购</w:t>
      </w:r>
      <w:r>
        <w:rPr>
          <w:rFonts w:hint="eastAsia" w:ascii="Times New Roman" w:hAnsi="Times New Roman"/>
          <w:color w:val="auto"/>
        </w:rPr>
        <w:t>代理机构按磋商文件规定的时间、地点举行磋商仪式。磋商仪式由</w:t>
      </w:r>
      <w:r>
        <w:rPr>
          <w:rFonts w:hint="eastAsia" w:ascii="Times New Roman" w:hAnsi="Times New Roman"/>
          <w:color w:val="auto"/>
          <w:lang w:val="en-US" w:eastAsia="zh-CN"/>
        </w:rPr>
        <w:t>采购</w:t>
      </w:r>
      <w:r>
        <w:rPr>
          <w:rFonts w:hint="eastAsia" w:ascii="Times New Roman" w:hAnsi="Times New Roman"/>
          <w:color w:val="auto"/>
        </w:rPr>
        <w:t>代理机构主持，邀请</w:t>
      </w:r>
      <w:r>
        <w:rPr>
          <w:rFonts w:hint="eastAsia" w:ascii="Times New Roman" w:hAnsi="Times New Roman"/>
          <w:color w:val="auto"/>
          <w:lang w:val="en-US" w:eastAsia="zh-CN"/>
        </w:rPr>
        <w:t>采购</w:t>
      </w:r>
      <w:r>
        <w:rPr>
          <w:rFonts w:hint="eastAsia" w:ascii="Times New Roman" w:hAnsi="Times New Roman"/>
          <w:color w:val="auto"/>
        </w:rPr>
        <w:t>人代表、供应商代表及有关工作人员参加。供应商的法定代表人或法定代表人授权的代表必须参加磋商仪式。</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19 </w:t>
      </w:r>
      <w:r>
        <w:rPr>
          <w:rFonts w:hint="eastAsia"/>
          <w:b/>
          <w:color w:val="auto"/>
          <w:sz w:val="24"/>
        </w:rPr>
        <w:t>磋商小组</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19.1</w:t>
      </w:r>
      <w:r>
        <w:rPr>
          <w:rFonts w:hint="eastAsia" w:ascii="Times New Roman" w:hAnsi="Times New Roman"/>
          <w:color w:val="auto"/>
        </w:rPr>
        <w:t>磋商小组的组成：见供应商须知前附表。</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19.2</w:t>
      </w:r>
      <w:r>
        <w:rPr>
          <w:rFonts w:hint="eastAsia" w:ascii="Times New Roman" w:hAnsi="Times New Roman"/>
          <w:color w:val="auto"/>
        </w:rPr>
        <w:t>评审方法：见供应商须知前附表。</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20 </w:t>
      </w:r>
      <w:r>
        <w:rPr>
          <w:rFonts w:hint="eastAsia"/>
          <w:b/>
          <w:color w:val="auto"/>
          <w:sz w:val="24"/>
        </w:rPr>
        <w:t>磋商方式和内容</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20.1</w:t>
      </w:r>
      <w:r>
        <w:rPr>
          <w:rFonts w:hint="eastAsia" w:ascii="Times New Roman" w:hAnsi="Times New Roman"/>
          <w:color w:val="auto"/>
        </w:rPr>
        <w:t>磋商小组按供应商提交响应文件的顺序分别与通过资格审查的供应商进行磋商，并给予所有参加磋商的供应商平等的磋商机会。</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20.2</w:t>
      </w:r>
      <w:r>
        <w:rPr>
          <w:rFonts w:hint="eastAsia" w:ascii="Times New Roman" w:hAnsi="Times New Roman"/>
          <w:color w:val="auto"/>
        </w:rPr>
        <w:t>磋商内容包括技术方案响应情况、服务内容标准与承诺、合同条件、采购要求的优化建议等。在磋商过程中，磋商小组可以根据磋商文件和磋商情况实质性变动采购需求中的技术、服务要求以及合同草案条款，但不得变动磋商文件中的其他内容。实质性变动的内容，须经</w:t>
      </w:r>
      <w:r>
        <w:rPr>
          <w:rFonts w:hint="eastAsia" w:ascii="Times New Roman" w:hAnsi="Times New Roman"/>
          <w:color w:val="auto"/>
          <w:lang w:val="en-US" w:eastAsia="zh-CN"/>
        </w:rPr>
        <w:t>采购人</w:t>
      </w:r>
      <w:r>
        <w:rPr>
          <w:rFonts w:hint="eastAsia" w:ascii="Times New Roman" w:hAnsi="Times New Roman"/>
          <w:color w:val="auto"/>
        </w:rPr>
        <w:t>代表确认。</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20.3</w:t>
      </w:r>
      <w:r>
        <w:rPr>
          <w:rFonts w:hint="eastAsia" w:ascii="Times New Roman" w:hAnsi="Times New Roman"/>
          <w:color w:val="auto"/>
        </w:rPr>
        <w:t>磋商小组可以根据磋商的实际情况决定磋商的轮次，但最多不能超过三轮磋商。</w:t>
      </w:r>
    </w:p>
    <w:p>
      <w:pPr>
        <w:pStyle w:val="7"/>
        <w:numPr>
          <w:ilvl w:val="1"/>
          <w:numId w:val="0"/>
        </w:numPr>
        <w:tabs>
          <w:tab w:val="left" w:pos="1050"/>
          <w:tab w:val="clear" w:pos="992"/>
        </w:tabs>
        <w:ind w:left="0" w:leftChars="0" w:firstLine="480" w:firstLineChars="200"/>
        <w:rPr>
          <w:color w:val="auto"/>
        </w:rPr>
      </w:pPr>
      <w:r>
        <w:rPr>
          <w:rFonts w:hint="eastAsia" w:ascii="Times New Roman" w:hAnsi="Times New Roman" w:cs="Times New Roman"/>
          <w:bCs/>
          <w:color w:val="auto"/>
          <w:kern w:val="2"/>
          <w:sz w:val="24"/>
          <w:szCs w:val="28"/>
          <w:lang w:val="en-US" w:eastAsia="zh-CN" w:bidi="ar-SA"/>
        </w:rPr>
        <w:t>20.4</w:t>
      </w:r>
      <w:r>
        <w:rPr>
          <w:rFonts w:hint="eastAsia" w:ascii="Times New Roman" w:hAnsi="Times New Roman"/>
          <w:color w:val="auto"/>
        </w:rPr>
        <w:t>供应商在磋商中作出的承诺，是其响应文件的组成部分。</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21 </w:t>
      </w:r>
      <w:r>
        <w:rPr>
          <w:rFonts w:hint="eastAsia"/>
          <w:b/>
          <w:color w:val="auto"/>
          <w:sz w:val="24"/>
        </w:rPr>
        <w:t>磋商内容的保密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21.1</w:t>
      </w:r>
      <w:r>
        <w:rPr>
          <w:rFonts w:hint="eastAsia" w:ascii="Times New Roman" w:hAnsi="Times New Roman"/>
          <w:color w:val="auto"/>
        </w:rPr>
        <w:t>磋商后，至正式授予成交供应商合同止，凡属于审查、澄清、评价和比较的所有资料、有关授予合同的信息等，都不能向供应商或与磋商无关的其他人泄露。</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21.2</w:t>
      </w:r>
      <w:r>
        <w:rPr>
          <w:rFonts w:hint="eastAsia" w:ascii="Times New Roman" w:hAnsi="Times New Roman"/>
          <w:color w:val="auto"/>
        </w:rPr>
        <w:t>在响应文件的审查、澄清、评价和比较以及授予合同的过程中，供应商对</w:t>
      </w:r>
      <w:r>
        <w:rPr>
          <w:rFonts w:hint="eastAsia" w:ascii="Times New Roman" w:hAnsi="Times New Roman"/>
          <w:color w:val="auto"/>
          <w:lang w:val="en-US" w:eastAsia="zh-CN"/>
        </w:rPr>
        <w:t>采购</w:t>
      </w:r>
      <w:r>
        <w:rPr>
          <w:rFonts w:hint="eastAsia" w:ascii="Times New Roman" w:hAnsi="Times New Roman"/>
          <w:color w:val="auto"/>
        </w:rPr>
        <w:t>人、</w:t>
      </w:r>
      <w:r>
        <w:rPr>
          <w:rFonts w:hint="eastAsia" w:ascii="Times New Roman" w:hAnsi="Times New Roman"/>
          <w:color w:val="auto"/>
          <w:lang w:val="en-US" w:eastAsia="zh-CN"/>
        </w:rPr>
        <w:t>采购</w:t>
      </w:r>
      <w:r>
        <w:rPr>
          <w:rFonts w:hint="eastAsia" w:ascii="Times New Roman" w:hAnsi="Times New Roman"/>
          <w:color w:val="auto"/>
        </w:rPr>
        <w:t>代理机构和磋商小组成员施加影响的任何行为，都将导致其磋商资格被取消。</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22 </w:t>
      </w:r>
      <w:r>
        <w:rPr>
          <w:rFonts w:hint="eastAsia"/>
          <w:b/>
          <w:color w:val="auto"/>
          <w:sz w:val="24"/>
        </w:rPr>
        <w:t>对响应文件的评审</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22.1</w:t>
      </w:r>
      <w:r>
        <w:rPr>
          <w:rFonts w:hint="eastAsia" w:ascii="Times New Roman" w:hAnsi="Times New Roman"/>
          <w:color w:val="auto"/>
        </w:rPr>
        <w:t>评审程序、评审方法和评审标准见第五部分</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23 </w:t>
      </w:r>
      <w:r>
        <w:rPr>
          <w:rFonts w:hint="eastAsia"/>
          <w:b/>
          <w:color w:val="auto"/>
          <w:sz w:val="24"/>
        </w:rPr>
        <w:t>确认成交结果</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23.1</w:t>
      </w:r>
      <w:r>
        <w:rPr>
          <w:rFonts w:hint="eastAsia" w:ascii="Times New Roman" w:hAnsi="Times New Roman"/>
          <w:color w:val="auto"/>
          <w:lang w:val="en-US" w:eastAsia="zh-CN"/>
        </w:rPr>
        <w:t>采购</w:t>
      </w:r>
      <w:r>
        <w:rPr>
          <w:rFonts w:hint="eastAsia" w:ascii="Times New Roman" w:hAnsi="Times New Roman"/>
          <w:color w:val="auto"/>
        </w:rPr>
        <w:t>代理机构在评审结束后2个工作日内将评审报告送</w:t>
      </w:r>
      <w:r>
        <w:rPr>
          <w:rFonts w:hint="eastAsia" w:ascii="Times New Roman" w:hAnsi="Times New Roman"/>
          <w:color w:val="auto"/>
          <w:lang w:val="en-US" w:eastAsia="zh-CN"/>
        </w:rPr>
        <w:t>采购</w:t>
      </w:r>
      <w:r>
        <w:rPr>
          <w:rFonts w:hint="eastAsia" w:ascii="Times New Roman" w:hAnsi="Times New Roman"/>
          <w:color w:val="auto"/>
        </w:rPr>
        <w:t>人确认。</w:t>
      </w:r>
      <w:r>
        <w:rPr>
          <w:rFonts w:hint="eastAsia" w:ascii="Times New Roman" w:hAnsi="Times New Roman"/>
          <w:color w:val="auto"/>
          <w:lang w:val="en-US" w:eastAsia="zh-CN"/>
        </w:rPr>
        <w:t>采购</w:t>
      </w:r>
      <w:r>
        <w:rPr>
          <w:rFonts w:hint="eastAsia" w:ascii="Times New Roman" w:hAnsi="Times New Roman"/>
          <w:color w:val="auto"/>
        </w:rPr>
        <w:t>人应当在收到评审报告后</w:t>
      </w:r>
      <w:r>
        <w:rPr>
          <w:rFonts w:hint="eastAsia" w:ascii="Times New Roman" w:hAnsi="Times New Roman"/>
          <w:color w:val="auto"/>
          <w:lang w:val="en-US" w:eastAsia="zh-CN"/>
        </w:rPr>
        <w:t>2</w:t>
      </w:r>
      <w:r>
        <w:rPr>
          <w:rFonts w:hint="eastAsia" w:ascii="Times New Roman" w:hAnsi="Times New Roman"/>
          <w:color w:val="auto"/>
        </w:rPr>
        <w:t>个工作日内，从评审报告提出的成交候选供应商中，按照排序由高到低的原则确定成交供应商，也可以书面授权磋商小组直接确定成交供应商。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23.2</w:t>
      </w:r>
      <w:r>
        <w:rPr>
          <w:rFonts w:hint="eastAsia" w:ascii="Times New Roman" w:hAnsi="Times New Roman"/>
          <w:color w:val="auto"/>
          <w:lang w:val="en-US" w:eastAsia="zh-CN"/>
        </w:rPr>
        <w:t>采购</w:t>
      </w:r>
      <w:r>
        <w:rPr>
          <w:rFonts w:hint="eastAsia" w:ascii="Times New Roman" w:hAnsi="Times New Roman"/>
          <w:color w:val="auto"/>
        </w:rPr>
        <w:t>人或者</w:t>
      </w:r>
      <w:r>
        <w:rPr>
          <w:rFonts w:hint="eastAsia" w:ascii="Times New Roman" w:hAnsi="Times New Roman"/>
          <w:color w:val="auto"/>
          <w:lang w:val="en-US" w:eastAsia="zh-CN"/>
        </w:rPr>
        <w:t>采购</w:t>
      </w:r>
      <w:r>
        <w:rPr>
          <w:rFonts w:hint="eastAsia" w:ascii="Times New Roman" w:hAnsi="Times New Roman"/>
          <w:color w:val="auto"/>
        </w:rPr>
        <w:t>代理机构应当在成交供应商确定后</w:t>
      </w:r>
      <w:r>
        <w:rPr>
          <w:rFonts w:hint="eastAsia" w:ascii="Times New Roman" w:hAnsi="Times New Roman"/>
          <w:color w:val="auto"/>
          <w:lang w:val="en-US" w:eastAsia="zh-CN"/>
        </w:rPr>
        <w:t>1</w:t>
      </w:r>
      <w:r>
        <w:rPr>
          <w:rFonts w:hint="eastAsia" w:ascii="Times New Roman" w:hAnsi="Times New Roman"/>
          <w:color w:val="auto"/>
        </w:rPr>
        <w:t>个工作日内，在省级以上财政部门指定的政府招标信息发布媒体上公告成交结果，同时向成交供应商发出成交通知书，并将磋商文件随成交结果同时公告。成交通知书是成交供应商与</w:t>
      </w:r>
      <w:r>
        <w:rPr>
          <w:rFonts w:hint="eastAsia" w:ascii="Times New Roman" w:hAnsi="Times New Roman"/>
          <w:color w:val="auto"/>
          <w:lang w:eastAsia="zh-CN"/>
        </w:rPr>
        <w:t>采购人</w:t>
      </w:r>
      <w:r>
        <w:rPr>
          <w:rFonts w:hint="eastAsia" w:ascii="Times New Roman" w:hAnsi="Times New Roman"/>
          <w:color w:val="auto"/>
        </w:rPr>
        <w:t>签订合同的依据。合同签订后，成交通知书成为合同的一部分。</w:t>
      </w:r>
    </w:p>
    <w:p>
      <w:pPr>
        <w:pStyle w:val="4"/>
        <w:numPr>
          <w:ilvl w:val="0"/>
          <w:numId w:val="4"/>
        </w:numPr>
        <w:rPr>
          <w:color w:val="auto"/>
        </w:rPr>
      </w:pPr>
      <w:bookmarkStart w:id="123" w:name="_Toc7336"/>
      <w:bookmarkStart w:id="124" w:name="_Toc5616053"/>
      <w:bookmarkStart w:id="125" w:name="_Toc317237604"/>
      <w:bookmarkStart w:id="126" w:name="_Toc317237779"/>
      <w:bookmarkStart w:id="127" w:name="_Toc4386"/>
      <w:r>
        <w:rPr>
          <w:rFonts w:hint="eastAsia"/>
          <w:color w:val="auto"/>
        </w:rPr>
        <w:t>授予合同</w:t>
      </w:r>
      <w:bookmarkEnd w:id="123"/>
      <w:bookmarkEnd w:id="124"/>
      <w:bookmarkEnd w:id="125"/>
      <w:bookmarkEnd w:id="126"/>
      <w:bookmarkEnd w:id="127"/>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24 </w:t>
      </w:r>
      <w:r>
        <w:rPr>
          <w:rFonts w:hint="eastAsia"/>
          <w:b/>
          <w:color w:val="auto"/>
          <w:sz w:val="24"/>
        </w:rPr>
        <w:t>成交供应商的确认</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24.1</w:t>
      </w:r>
      <w:r>
        <w:rPr>
          <w:rFonts w:hint="eastAsia" w:ascii="Times New Roman" w:hAnsi="Times New Roman"/>
          <w:color w:val="auto"/>
        </w:rPr>
        <w:t>磋商小组根据本磋商文件第五部分的规定，对供应商进行审查，对响应文件进行评价和比较，按照磋商文件规定的排序原则推荐成交候选人。</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24.2</w:t>
      </w:r>
      <w:r>
        <w:rPr>
          <w:rFonts w:hint="eastAsia" w:ascii="Times New Roman" w:hAnsi="Times New Roman"/>
          <w:color w:val="auto"/>
        </w:rPr>
        <w:t>磋商小组有权按磋商文件的要求评定并推荐成交候选供应商，也有权拒绝任何或所有不符合磋商文件要求的供应商的响应文件。</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24.3</w:t>
      </w:r>
      <w:r>
        <w:rPr>
          <w:rFonts w:hint="eastAsia" w:ascii="Times New Roman" w:hAnsi="Times New Roman"/>
          <w:color w:val="auto"/>
          <w:lang w:val="en-US" w:eastAsia="zh-CN"/>
        </w:rPr>
        <w:t>采购</w:t>
      </w:r>
      <w:r>
        <w:rPr>
          <w:rFonts w:hint="eastAsia" w:ascii="Times New Roman" w:hAnsi="Times New Roman"/>
          <w:color w:val="auto"/>
        </w:rPr>
        <w:t>人按照磋商小组推荐的成交候选供应商顺序确定成交供应商，磋商小组推荐成交候选人的人数见供应商须知前附表。</w:t>
      </w:r>
    </w:p>
    <w:p>
      <w:pPr>
        <w:rPr>
          <w:b/>
          <w:color w:val="auto"/>
          <w:sz w:val="24"/>
        </w:rPr>
      </w:pPr>
      <w:r>
        <w:rPr>
          <w:rFonts w:hint="eastAsia" w:cs="Times New Roman"/>
          <w:b/>
          <w:color w:val="auto"/>
          <w:kern w:val="2"/>
          <w:sz w:val="24"/>
          <w:szCs w:val="24"/>
          <w:lang w:val="en-US" w:eastAsia="zh-CN" w:bidi="ar-SA"/>
        </w:rPr>
        <w:t xml:space="preserve">25 </w:t>
      </w:r>
      <w:r>
        <w:rPr>
          <w:rFonts w:hint="eastAsia"/>
          <w:b/>
          <w:color w:val="auto"/>
          <w:sz w:val="24"/>
        </w:rPr>
        <w:t>合同授予标准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25.1</w:t>
      </w:r>
      <w:r>
        <w:rPr>
          <w:rFonts w:hint="eastAsia" w:ascii="Times New Roman" w:hAnsi="Times New Roman"/>
          <w:color w:val="auto"/>
          <w:lang w:val="en-US" w:eastAsia="zh-CN"/>
        </w:rPr>
        <w:t>采购</w:t>
      </w:r>
      <w:r>
        <w:rPr>
          <w:rFonts w:hint="eastAsia" w:ascii="Times New Roman" w:hAnsi="Times New Roman"/>
          <w:color w:val="auto"/>
        </w:rPr>
        <w:t>人应当把合同授予磋商小组推荐的第一顺序成交候选人。被授予合同的供应商必须具有实施本合同的能力和资源。</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25.2</w:t>
      </w:r>
      <w:r>
        <w:rPr>
          <w:rFonts w:hint="eastAsia" w:ascii="Times New Roman" w:hAnsi="Times New Roman"/>
          <w:color w:val="auto"/>
        </w:rPr>
        <w:t>确认成交供应商之前，</w:t>
      </w:r>
      <w:r>
        <w:rPr>
          <w:rFonts w:hint="eastAsia" w:ascii="Times New Roman" w:hAnsi="Times New Roman"/>
          <w:color w:val="auto"/>
          <w:lang w:eastAsia="zh-CN"/>
        </w:rPr>
        <w:t>采购人</w:t>
      </w:r>
      <w:r>
        <w:rPr>
          <w:rFonts w:hint="eastAsia" w:ascii="Times New Roman" w:hAnsi="Times New Roman"/>
          <w:color w:val="auto"/>
        </w:rPr>
        <w:t>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w:t>
      </w:r>
      <w:r>
        <w:rPr>
          <w:rFonts w:hint="eastAsia" w:ascii="Times New Roman" w:hAnsi="Times New Roman"/>
          <w:color w:val="auto"/>
          <w:lang w:eastAsia="zh-CN"/>
        </w:rPr>
        <w:t>采购人</w:t>
      </w:r>
      <w:r>
        <w:rPr>
          <w:rFonts w:hint="eastAsia" w:ascii="Times New Roman" w:hAnsi="Times New Roman"/>
          <w:color w:val="auto"/>
        </w:rPr>
        <w:t>要求作出相应的履约承诺或担保等，</w:t>
      </w:r>
      <w:r>
        <w:rPr>
          <w:rFonts w:hint="eastAsia" w:ascii="Times New Roman" w:hAnsi="Times New Roman"/>
          <w:color w:val="auto"/>
          <w:lang w:eastAsia="zh-CN"/>
        </w:rPr>
        <w:t>采购人</w:t>
      </w:r>
      <w:r>
        <w:rPr>
          <w:rFonts w:hint="eastAsia" w:ascii="Times New Roman" w:hAnsi="Times New Roman"/>
          <w:color w:val="auto"/>
        </w:rPr>
        <w:t>有权否决其成交资格，按顺序确定排名随后的供应商作为成交供应商。</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26 </w:t>
      </w:r>
      <w:r>
        <w:rPr>
          <w:rFonts w:hint="eastAsia"/>
          <w:b/>
          <w:color w:val="auto"/>
          <w:sz w:val="24"/>
        </w:rPr>
        <w:t>成交通知</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26.1</w:t>
      </w:r>
      <w:r>
        <w:rPr>
          <w:rFonts w:hint="eastAsia" w:ascii="Times New Roman" w:hAnsi="Times New Roman"/>
          <w:color w:val="auto"/>
        </w:rPr>
        <w:t>确定成交供应商后，</w:t>
      </w:r>
      <w:r>
        <w:rPr>
          <w:rFonts w:hint="eastAsia" w:ascii="Times New Roman" w:hAnsi="Times New Roman"/>
          <w:color w:val="auto"/>
          <w:lang w:val="en-US" w:eastAsia="zh-CN"/>
        </w:rPr>
        <w:t>采购</w:t>
      </w:r>
      <w:r>
        <w:rPr>
          <w:rFonts w:hint="eastAsia" w:ascii="Times New Roman" w:hAnsi="Times New Roman"/>
          <w:color w:val="auto"/>
        </w:rPr>
        <w:t>代理机构在发布成交公告的同时，以书面形式向成交供应商发出成交通知书。成交通知书应当规定签署合同的日期和地点。</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olor w:val="auto"/>
          <w:lang w:val="en-US" w:eastAsia="zh-CN"/>
        </w:rPr>
        <w:t>26.2</w:t>
      </w:r>
      <w:r>
        <w:rPr>
          <w:rFonts w:hint="eastAsia" w:ascii="Times New Roman" w:hAnsi="Times New Roman"/>
          <w:color w:val="auto"/>
        </w:rPr>
        <w:t>成交通知书的送达方式，包括传真、快递、电子邮件和委托代理人领取。</w:t>
      </w:r>
      <w:r>
        <w:rPr>
          <w:rFonts w:hint="eastAsia" w:ascii="Times New Roman" w:hAnsi="Times New Roman"/>
          <w:color w:val="auto"/>
          <w:lang w:eastAsia="zh-CN"/>
        </w:rPr>
        <w:t>采购代理</w:t>
      </w:r>
      <w:r>
        <w:rPr>
          <w:rFonts w:hint="eastAsia" w:ascii="Times New Roman" w:hAnsi="Times New Roman"/>
          <w:color w:val="auto"/>
        </w:rPr>
        <w:t>机构可以选用其中一种或多种方式送达。</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26.3</w:t>
      </w:r>
      <w:r>
        <w:rPr>
          <w:rFonts w:hint="eastAsia" w:ascii="Times New Roman" w:hAnsi="Times New Roman"/>
          <w:color w:val="auto"/>
        </w:rPr>
        <w:t>成交通知书是合同的组成部分。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26.4</w:t>
      </w:r>
      <w:r>
        <w:rPr>
          <w:rFonts w:hint="eastAsia" w:ascii="Times New Roman" w:hAnsi="Times New Roman"/>
          <w:color w:val="auto"/>
          <w:lang w:val="en-US" w:eastAsia="zh-CN"/>
        </w:rPr>
        <w:t>采购</w:t>
      </w:r>
      <w:r>
        <w:rPr>
          <w:rFonts w:hint="eastAsia" w:ascii="Times New Roman" w:hAnsi="Times New Roman"/>
          <w:color w:val="auto"/>
        </w:rPr>
        <w:t>代理机构没有对未成交供应商解释未成交原因的义务。</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27 </w:t>
      </w:r>
      <w:r>
        <w:rPr>
          <w:rFonts w:hint="eastAsia"/>
          <w:b/>
          <w:color w:val="auto"/>
          <w:sz w:val="24"/>
        </w:rPr>
        <w:t>签订合同</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27.1</w:t>
      </w:r>
      <w:r>
        <w:rPr>
          <w:rFonts w:hint="eastAsia" w:ascii="Times New Roman" w:hAnsi="Times New Roman"/>
          <w:color w:val="auto"/>
          <w:lang w:val="en-US" w:eastAsia="zh-CN"/>
        </w:rPr>
        <w:t>采购</w:t>
      </w:r>
      <w:r>
        <w:rPr>
          <w:rFonts w:hint="eastAsia" w:ascii="Times New Roman" w:hAnsi="Times New Roman"/>
          <w:color w:val="auto"/>
        </w:rPr>
        <w:t>人和成交供应商应当按照成交通知书规定的期限与成交供应商签订合同。成交通知书规定的期限最长不得超过</w:t>
      </w:r>
      <w:r>
        <w:rPr>
          <w:rFonts w:hint="eastAsia" w:ascii="Times New Roman" w:hAnsi="Times New Roman"/>
          <w:color w:val="auto"/>
          <w:lang w:val="en-US" w:eastAsia="zh-CN"/>
        </w:rPr>
        <w:t>5个工作日</w:t>
      </w:r>
      <w:r>
        <w:rPr>
          <w:rFonts w:hint="eastAsia" w:ascii="Times New Roman" w:hAnsi="Times New Roman"/>
          <w:color w:val="auto"/>
        </w:rPr>
        <w:t>。</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27.2</w:t>
      </w:r>
      <w:r>
        <w:rPr>
          <w:rFonts w:hint="eastAsia" w:ascii="Times New Roman" w:hAnsi="Times New Roman"/>
          <w:color w:val="auto"/>
        </w:rPr>
        <w:t>成交供应商拒签合同，或不能在规定的期限内与</w:t>
      </w:r>
      <w:r>
        <w:rPr>
          <w:rFonts w:hint="eastAsia" w:ascii="Times New Roman" w:hAnsi="Times New Roman"/>
          <w:color w:val="auto"/>
          <w:lang w:eastAsia="zh-CN"/>
        </w:rPr>
        <w:t>采购人</w:t>
      </w:r>
      <w:r>
        <w:rPr>
          <w:rFonts w:hint="eastAsia" w:ascii="Times New Roman" w:hAnsi="Times New Roman"/>
          <w:color w:val="auto"/>
        </w:rPr>
        <w:t>签订合同，</w:t>
      </w:r>
      <w:r>
        <w:rPr>
          <w:rFonts w:hint="eastAsia" w:ascii="Times New Roman" w:hAnsi="Times New Roman"/>
          <w:color w:val="auto"/>
          <w:lang w:val="en-US" w:eastAsia="zh-CN"/>
        </w:rPr>
        <w:t>采购</w:t>
      </w:r>
      <w:r>
        <w:rPr>
          <w:rFonts w:hint="eastAsia" w:ascii="Times New Roman" w:hAnsi="Times New Roman"/>
          <w:color w:val="auto"/>
        </w:rPr>
        <w:t>人有权取消其成交资格。</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27.3</w:t>
      </w:r>
      <w:r>
        <w:rPr>
          <w:rFonts w:hint="eastAsia" w:ascii="Times New Roman" w:hAnsi="Times New Roman"/>
          <w:color w:val="auto"/>
        </w:rPr>
        <w:t>成交供应商放弃成交或被取消成交资格后，</w:t>
      </w:r>
      <w:r>
        <w:rPr>
          <w:rFonts w:hint="eastAsia" w:ascii="Times New Roman" w:hAnsi="Times New Roman"/>
          <w:color w:val="auto"/>
          <w:lang w:val="en-US" w:eastAsia="zh-CN"/>
        </w:rPr>
        <w:t>采购</w:t>
      </w:r>
      <w:r>
        <w:rPr>
          <w:rFonts w:hint="eastAsia" w:ascii="Times New Roman" w:hAnsi="Times New Roman"/>
          <w:color w:val="auto"/>
        </w:rPr>
        <w:t>人有权按磋商小组推荐的顺序确定备选成交候选人成交并与之签订合同。所有被确定成交的候选供应商均放弃成交或被取消成交资格，</w:t>
      </w:r>
      <w:r>
        <w:rPr>
          <w:rFonts w:hint="eastAsia" w:ascii="Times New Roman" w:hAnsi="Times New Roman"/>
          <w:color w:val="auto"/>
          <w:lang w:val="en-US" w:eastAsia="zh-CN"/>
        </w:rPr>
        <w:t>采购</w:t>
      </w:r>
      <w:r>
        <w:rPr>
          <w:rFonts w:hint="eastAsia" w:ascii="Times New Roman" w:hAnsi="Times New Roman"/>
          <w:color w:val="auto"/>
        </w:rPr>
        <w:t>人应当重新组织招标。放弃或被取消成交资格的供应商不得参与重新招标。</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27.4</w:t>
      </w:r>
      <w:r>
        <w:rPr>
          <w:rFonts w:hint="eastAsia" w:ascii="Times New Roman" w:hAnsi="Times New Roman"/>
          <w:color w:val="auto"/>
        </w:rPr>
        <w:t>成交供应商拒签合同或放弃成交是违约行为，应当依法赔偿违约行为给</w:t>
      </w:r>
      <w:r>
        <w:rPr>
          <w:rFonts w:hint="eastAsia" w:ascii="Times New Roman" w:hAnsi="Times New Roman"/>
          <w:color w:val="auto"/>
          <w:lang w:eastAsia="zh-CN"/>
        </w:rPr>
        <w:t>采购人</w:t>
      </w:r>
      <w:r>
        <w:rPr>
          <w:rFonts w:hint="eastAsia" w:ascii="Times New Roman" w:hAnsi="Times New Roman"/>
          <w:color w:val="auto"/>
        </w:rPr>
        <w:t>造成的实际损失。</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27.5</w:t>
      </w:r>
      <w:r>
        <w:rPr>
          <w:rFonts w:hint="eastAsia" w:ascii="Times New Roman" w:hAnsi="Times New Roman"/>
          <w:color w:val="auto"/>
        </w:rPr>
        <w:t>前款所称“违约行为给</w:t>
      </w:r>
      <w:r>
        <w:rPr>
          <w:rFonts w:hint="eastAsia" w:ascii="Times New Roman" w:hAnsi="Times New Roman"/>
          <w:color w:val="auto"/>
          <w:lang w:eastAsia="zh-CN"/>
        </w:rPr>
        <w:t>采购人</w:t>
      </w:r>
      <w:r>
        <w:rPr>
          <w:rFonts w:hint="eastAsia" w:ascii="Times New Roman" w:hAnsi="Times New Roman"/>
          <w:color w:val="auto"/>
        </w:rPr>
        <w:t>造成的实际损失”，是指顺延成交供应商的成交价格高于违约人成交价格的高出部分。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27.6</w:t>
      </w:r>
      <w:r>
        <w:rPr>
          <w:rFonts w:hint="eastAsia" w:ascii="Times New Roman" w:hAnsi="Times New Roman"/>
          <w:color w:val="auto"/>
        </w:rPr>
        <w:t>签订合同及合同条款应以磋商文件和成交供应商的响应文件为依据。</w:t>
      </w:r>
    </w:p>
    <w:p>
      <w:pPr>
        <w:rPr>
          <w:b/>
          <w:color w:val="auto"/>
          <w:sz w:val="24"/>
        </w:rPr>
      </w:pPr>
      <w:r>
        <w:rPr>
          <w:rFonts w:hint="eastAsia" w:cs="Times New Roman"/>
          <w:b/>
          <w:color w:val="auto"/>
          <w:kern w:val="2"/>
          <w:sz w:val="24"/>
          <w:szCs w:val="24"/>
          <w:lang w:val="en-US" w:eastAsia="zh-CN" w:bidi="ar-SA"/>
        </w:rPr>
        <w:t xml:space="preserve">28 </w:t>
      </w:r>
      <w:r>
        <w:rPr>
          <w:rFonts w:hint="eastAsia"/>
          <w:b/>
          <w:color w:val="auto"/>
          <w:sz w:val="24"/>
        </w:rPr>
        <w:t>验收</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28.1</w:t>
      </w:r>
      <w:r>
        <w:rPr>
          <w:rFonts w:hint="eastAsia" w:ascii="Times New Roman" w:hAnsi="Times New Roman"/>
          <w:color w:val="auto"/>
        </w:rPr>
        <w:t>成交供应商与</w:t>
      </w:r>
      <w:r>
        <w:rPr>
          <w:rFonts w:hint="eastAsia" w:ascii="Times New Roman" w:hAnsi="Times New Roman"/>
          <w:color w:val="auto"/>
          <w:lang w:val="en-US" w:eastAsia="zh-CN"/>
        </w:rPr>
        <w:t>采购</w:t>
      </w:r>
      <w:r>
        <w:rPr>
          <w:rFonts w:hint="eastAsia" w:ascii="Times New Roman" w:hAnsi="Times New Roman"/>
          <w:color w:val="auto"/>
        </w:rPr>
        <w:t>人应严格按照磋商文件规定的标准和响应文件承诺的条件进行验收。</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28.2</w:t>
      </w:r>
      <w:r>
        <w:rPr>
          <w:rFonts w:hint="eastAsia" w:ascii="Times New Roman" w:hAnsi="Times New Roman"/>
          <w:color w:val="auto"/>
          <w:lang w:val="en-US" w:eastAsia="zh-CN"/>
        </w:rPr>
        <w:t>采购</w:t>
      </w:r>
      <w:r>
        <w:rPr>
          <w:rFonts w:hint="eastAsia" w:ascii="Times New Roman" w:hAnsi="Times New Roman"/>
          <w:color w:val="auto"/>
        </w:rPr>
        <w:t>人可以独立邀请第三方参与验收。验收出现争议时，成交供应商可以与</w:t>
      </w:r>
      <w:r>
        <w:rPr>
          <w:rFonts w:hint="eastAsia" w:ascii="Times New Roman" w:hAnsi="Times New Roman"/>
          <w:color w:val="auto"/>
          <w:lang w:eastAsia="zh-CN"/>
        </w:rPr>
        <w:t>采购人</w:t>
      </w:r>
      <w:r>
        <w:rPr>
          <w:rFonts w:hint="eastAsia" w:ascii="Times New Roman" w:hAnsi="Times New Roman"/>
          <w:color w:val="auto"/>
        </w:rPr>
        <w:t>协商共同邀请第三方参与验收。</w:t>
      </w:r>
    </w:p>
    <w:p>
      <w:pPr>
        <w:pStyle w:val="4"/>
        <w:numPr>
          <w:ilvl w:val="0"/>
          <w:numId w:val="4"/>
        </w:numPr>
        <w:rPr>
          <w:color w:val="auto"/>
        </w:rPr>
      </w:pPr>
      <w:bookmarkStart w:id="128" w:name="_Toc317237605"/>
      <w:bookmarkStart w:id="129" w:name="_Toc5616054"/>
      <w:bookmarkStart w:id="130" w:name="_Toc32682"/>
      <w:bookmarkStart w:id="131" w:name="_Toc317237780"/>
      <w:bookmarkStart w:id="132" w:name="_Toc1476"/>
      <w:r>
        <w:rPr>
          <w:rFonts w:hint="eastAsia"/>
          <w:color w:val="auto"/>
        </w:rPr>
        <w:t>询问、质疑和投诉</w:t>
      </w:r>
      <w:bookmarkEnd w:id="128"/>
      <w:bookmarkEnd w:id="129"/>
      <w:bookmarkEnd w:id="130"/>
      <w:bookmarkEnd w:id="131"/>
      <w:bookmarkEnd w:id="132"/>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29 </w:t>
      </w:r>
      <w:r>
        <w:rPr>
          <w:rFonts w:hint="eastAsia"/>
          <w:b/>
          <w:color w:val="auto"/>
          <w:sz w:val="24"/>
        </w:rPr>
        <w:t>询问</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29.1</w:t>
      </w:r>
      <w:r>
        <w:rPr>
          <w:rFonts w:hint="eastAsia" w:ascii="Times New Roman" w:hAnsi="Times New Roman"/>
          <w:color w:val="auto"/>
        </w:rPr>
        <w:t>供应商对本招标活动事项有疑问的，应当以书面形式向</w:t>
      </w:r>
      <w:r>
        <w:rPr>
          <w:rFonts w:hint="eastAsia" w:ascii="Times New Roman" w:hAnsi="Times New Roman"/>
          <w:color w:val="auto"/>
          <w:lang w:val="en-US" w:eastAsia="zh-CN"/>
        </w:rPr>
        <w:t>采购</w:t>
      </w:r>
      <w:r>
        <w:rPr>
          <w:rFonts w:hint="eastAsia" w:ascii="Times New Roman" w:hAnsi="Times New Roman"/>
          <w:color w:val="auto"/>
        </w:rPr>
        <w:t>人或</w:t>
      </w:r>
      <w:r>
        <w:rPr>
          <w:rFonts w:hint="eastAsia" w:ascii="Times New Roman" w:hAnsi="Times New Roman"/>
          <w:color w:val="auto"/>
          <w:lang w:val="en-US" w:eastAsia="zh-CN"/>
        </w:rPr>
        <w:t>采购</w:t>
      </w:r>
      <w:r>
        <w:rPr>
          <w:rFonts w:hint="eastAsia" w:ascii="Times New Roman" w:hAnsi="Times New Roman"/>
          <w:color w:val="auto"/>
        </w:rPr>
        <w:t>代理机构提出询问。</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29.2</w:t>
      </w:r>
      <w:r>
        <w:rPr>
          <w:rFonts w:hint="eastAsia" w:ascii="Times New Roman" w:hAnsi="Times New Roman"/>
          <w:color w:val="auto"/>
        </w:rPr>
        <w:t>询问应当用传真、信函、电子邮件等方式提出。</w:t>
      </w:r>
    </w:p>
    <w:p>
      <w:pPr>
        <w:pStyle w:val="7"/>
        <w:numPr>
          <w:ilvl w:val="1"/>
          <w:numId w:val="0"/>
        </w:numPr>
        <w:tabs>
          <w:tab w:val="left" w:pos="1050"/>
          <w:tab w:val="clear" w:pos="992"/>
        </w:tabs>
        <w:ind w:left="0" w:leftChars="0" w:firstLine="480" w:firstLineChars="200"/>
        <w:rPr>
          <w:rFonts w:hint="eastAsia" w:cs="Times New Roman"/>
          <w:b/>
          <w:color w:val="auto"/>
          <w:kern w:val="2"/>
          <w:sz w:val="24"/>
          <w:szCs w:val="24"/>
          <w:lang w:val="en-US" w:eastAsia="zh-CN" w:bidi="ar-SA"/>
        </w:rPr>
      </w:pPr>
      <w:r>
        <w:rPr>
          <w:rFonts w:hint="eastAsia" w:ascii="Times New Roman" w:hAnsi="Times New Roman" w:cs="Times New Roman"/>
          <w:bCs/>
          <w:color w:val="auto"/>
          <w:kern w:val="2"/>
          <w:sz w:val="24"/>
          <w:szCs w:val="28"/>
          <w:lang w:val="en-US" w:eastAsia="zh-CN" w:bidi="ar-SA"/>
        </w:rPr>
        <w:t>29.3</w:t>
      </w:r>
      <w:r>
        <w:rPr>
          <w:rFonts w:hint="eastAsia" w:ascii="Times New Roman" w:hAnsi="Times New Roman"/>
          <w:color w:val="auto"/>
        </w:rPr>
        <w:t>对询问的答复，将依据是否是重要的共性问题，决定是否同时告知其他供应商。</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30 </w:t>
      </w:r>
      <w:r>
        <w:rPr>
          <w:rFonts w:hint="eastAsia"/>
          <w:b/>
          <w:color w:val="auto"/>
          <w:sz w:val="24"/>
        </w:rPr>
        <w:t>质疑</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30.1</w:t>
      </w:r>
      <w:r>
        <w:rPr>
          <w:rFonts w:hint="eastAsia" w:ascii="Times New Roman" w:hAnsi="Times New Roman"/>
          <w:color w:val="auto"/>
        </w:rPr>
        <w:t>供应商认为</w:t>
      </w:r>
      <w:r>
        <w:rPr>
          <w:rFonts w:hint="eastAsia" w:ascii="Times New Roman" w:hAnsi="Times New Roman"/>
          <w:color w:val="auto"/>
          <w:lang w:eastAsia="zh-CN"/>
        </w:rPr>
        <w:t>采购文件</w:t>
      </w:r>
      <w:r>
        <w:rPr>
          <w:rFonts w:hint="eastAsia" w:ascii="Times New Roman" w:hAnsi="Times New Roman"/>
          <w:color w:val="auto"/>
        </w:rPr>
        <w:t>、</w:t>
      </w:r>
      <w:r>
        <w:rPr>
          <w:rFonts w:hint="eastAsia" w:ascii="Times New Roman" w:hAnsi="Times New Roman"/>
          <w:color w:val="auto"/>
          <w:lang w:val="en-US" w:eastAsia="zh-CN"/>
        </w:rPr>
        <w:t>采购</w:t>
      </w:r>
      <w:r>
        <w:rPr>
          <w:rFonts w:hint="eastAsia" w:ascii="Times New Roman" w:hAnsi="Times New Roman"/>
          <w:color w:val="auto"/>
        </w:rPr>
        <w:t>过程和成交结果使自己的权益受到损害的，可以在知道或者应知其权益受到损害之日起七个工作日内，以书面形式向本代理机构或向</w:t>
      </w:r>
      <w:r>
        <w:rPr>
          <w:rFonts w:hint="eastAsia" w:ascii="Times New Roman" w:hAnsi="Times New Roman"/>
          <w:color w:val="auto"/>
          <w:lang w:val="en-US" w:eastAsia="zh-CN"/>
        </w:rPr>
        <w:t>采购</w:t>
      </w:r>
      <w:r>
        <w:rPr>
          <w:rFonts w:hint="eastAsia" w:ascii="Times New Roman" w:hAnsi="Times New Roman"/>
          <w:color w:val="auto"/>
        </w:rPr>
        <w:t>人提出质疑。</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30.2</w:t>
      </w:r>
      <w:r>
        <w:rPr>
          <w:rFonts w:hint="eastAsia" w:ascii="Times New Roman" w:hAnsi="Times New Roman"/>
          <w:color w:val="auto"/>
        </w:rPr>
        <w:t>质疑必须以书面形式提出。质疑书必须由提出质疑的供应商的法定代表人亲笔签署，并加盖企业法人公章。</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30.3</w:t>
      </w:r>
      <w:r>
        <w:rPr>
          <w:rFonts w:hint="eastAsia" w:ascii="Times New Roman" w:hAnsi="Times New Roman"/>
          <w:color w:val="auto"/>
        </w:rPr>
        <w:t>质疑应当用传真、信函或电子邮件送达。信函的邮发地必须是供应商的注册地；发出传真的号码和发出邮件的邮箱必须是供应商以网站或其他形式公布的号码及邮箱。</w:t>
      </w:r>
    </w:p>
    <w:p>
      <w:pPr>
        <w:pStyle w:val="7"/>
        <w:numPr>
          <w:ilvl w:val="1"/>
          <w:numId w:val="0"/>
        </w:numPr>
        <w:tabs>
          <w:tab w:val="left" w:pos="1050"/>
          <w:tab w:val="clear" w:pos="992"/>
        </w:tabs>
        <w:ind w:left="0" w:leftChars="0" w:firstLine="720" w:firstLineChars="30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联系部门：海南建云项目管理有限公司-招标部</w:t>
      </w:r>
    </w:p>
    <w:p>
      <w:pPr>
        <w:pStyle w:val="7"/>
        <w:numPr>
          <w:ilvl w:val="1"/>
          <w:numId w:val="0"/>
        </w:numPr>
        <w:tabs>
          <w:tab w:val="left" w:pos="1050"/>
          <w:tab w:val="clear" w:pos="992"/>
        </w:tabs>
        <w:ind w:left="0" w:leftChars="0" w:firstLine="720" w:firstLineChars="3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联系电话：0898-65819810</w:t>
      </w:r>
    </w:p>
    <w:p>
      <w:pPr>
        <w:pStyle w:val="7"/>
        <w:numPr>
          <w:ilvl w:val="1"/>
          <w:numId w:val="0"/>
        </w:numPr>
        <w:tabs>
          <w:tab w:val="left" w:pos="1050"/>
          <w:tab w:val="clear" w:pos="992"/>
        </w:tabs>
        <w:ind w:left="0" w:leftChars="0" w:firstLine="480" w:firstLineChars="200"/>
        <w:rPr>
          <w:rFonts w:hint="eastAsia" w:ascii="Times New Roman" w:hAnsi="Times New Roman" w:cs="Times New Roman"/>
          <w:color w:val="auto"/>
          <w:lang w:val="en-US" w:eastAsia="zh-CN"/>
        </w:rPr>
      </w:pPr>
      <w:r>
        <w:rPr>
          <w:rFonts w:hint="eastAsia" w:ascii="Times New Roman" w:hAnsi="Times New Roman" w:cs="Times New Roman"/>
          <w:bCs/>
          <w:color w:val="auto"/>
          <w:kern w:val="2"/>
          <w:sz w:val="24"/>
          <w:szCs w:val="28"/>
          <w:lang w:val="en-US" w:eastAsia="zh-CN" w:bidi="ar-SA"/>
        </w:rPr>
        <w:t xml:space="preserve"> </w:t>
      </w:r>
      <w:r>
        <w:rPr>
          <w:rFonts w:hint="eastAsia" w:ascii="Times New Roman" w:hAnsi="Times New Roman" w:cs="Times New Roman"/>
          <w:color w:val="auto"/>
          <w:lang w:val="en-US" w:eastAsia="zh-CN"/>
        </w:rPr>
        <w:t>通讯地址：海口市美兰区大英山东一路8号国瑞城名仕苑4号楼2单元2层201房</w:t>
      </w:r>
    </w:p>
    <w:p>
      <w:pPr>
        <w:rPr>
          <w:color w:val="auto"/>
        </w:rPr>
      </w:pP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30.4</w:t>
      </w:r>
      <w:r>
        <w:rPr>
          <w:rFonts w:hint="eastAsia" w:ascii="Times New Roman" w:hAnsi="Times New Roman"/>
          <w:color w:val="auto"/>
        </w:rPr>
        <w:t>不符合本章第32.1、32.2和32.3款规定的质疑是无效质疑，不予受理。</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30.5</w:t>
      </w:r>
      <w:r>
        <w:rPr>
          <w:rFonts w:hint="eastAsia" w:ascii="Times New Roman" w:hAnsi="Times New Roman"/>
          <w:color w:val="auto"/>
        </w:rPr>
        <w:t>对于供应商的有效质疑，我们将按照《中华人共和国政府采购法》、《政府采购货物和服务招标投标管理办法》和《海南省实施〈中华人民共和国政府采购法〉办法》的规定及时予以答复。</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30.6</w:t>
      </w:r>
      <w:r>
        <w:rPr>
          <w:rFonts w:hint="eastAsia" w:ascii="Times New Roman" w:hAnsi="Times New Roman"/>
          <w:color w:val="auto"/>
        </w:rPr>
        <w:t>供应商应当慎重使用质疑的权利。属于对政府</w:t>
      </w:r>
      <w:r>
        <w:rPr>
          <w:rFonts w:hint="eastAsia" w:ascii="Times New Roman" w:hAnsi="Times New Roman"/>
          <w:color w:val="auto"/>
          <w:lang w:val="en-US" w:eastAsia="zh-CN"/>
        </w:rPr>
        <w:t>采购</w:t>
      </w:r>
      <w:r>
        <w:rPr>
          <w:rFonts w:hint="eastAsia" w:ascii="Times New Roman" w:hAnsi="Times New Roman"/>
          <w:color w:val="auto"/>
        </w:rPr>
        <w:t>活动事项产生一般疑问的，应当根据政府采购法第52条的规定提出询问，本代理机构有义务及时作出答复。</w:t>
      </w:r>
    </w:p>
    <w:p>
      <w:pPr>
        <w:rPr>
          <w:b/>
          <w:color w:val="auto"/>
          <w:sz w:val="24"/>
        </w:rPr>
      </w:pPr>
      <w:r>
        <w:rPr>
          <w:rFonts w:hint="eastAsia" w:cs="Times New Roman"/>
          <w:b/>
          <w:color w:val="auto"/>
          <w:kern w:val="2"/>
          <w:sz w:val="24"/>
          <w:szCs w:val="24"/>
          <w:lang w:val="en-US" w:eastAsia="zh-CN" w:bidi="ar-SA"/>
        </w:rPr>
        <w:t xml:space="preserve">31 </w:t>
      </w:r>
      <w:r>
        <w:rPr>
          <w:rFonts w:hint="eastAsia"/>
          <w:b/>
          <w:color w:val="auto"/>
          <w:sz w:val="24"/>
        </w:rPr>
        <w:t>投诉</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31.1</w:t>
      </w:r>
      <w:r>
        <w:rPr>
          <w:rFonts w:hint="eastAsia" w:ascii="Times New Roman" w:hAnsi="Times New Roman"/>
          <w:color w:val="auto"/>
        </w:rPr>
        <w:t>供应商对质疑事项的答复不满意，或者没有在法定期限内得到答复的，可以依法向政府采购监管部门进行投诉。</w:t>
      </w:r>
    </w:p>
    <w:p>
      <w:pPr>
        <w:pStyle w:val="7"/>
        <w:numPr>
          <w:ilvl w:val="1"/>
          <w:numId w:val="0"/>
        </w:numPr>
        <w:tabs>
          <w:tab w:val="left" w:pos="1050"/>
          <w:tab w:val="clear" w:pos="992"/>
        </w:tabs>
        <w:ind w:left="0" w:leftChars="0" w:firstLine="480" w:firstLineChars="200"/>
        <w:rPr>
          <w:rFonts w:ascii="Times New Roman" w:hAnsi="Times New Roman"/>
          <w:color w:val="auto"/>
        </w:rPr>
      </w:pPr>
      <w:r>
        <w:rPr>
          <w:rFonts w:hint="eastAsia" w:ascii="Times New Roman" w:hAnsi="Times New Roman" w:cs="Times New Roman"/>
          <w:bCs/>
          <w:color w:val="auto"/>
          <w:kern w:val="2"/>
          <w:sz w:val="24"/>
          <w:szCs w:val="28"/>
          <w:lang w:val="en-US" w:eastAsia="zh-CN" w:bidi="ar-SA"/>
        </w:rPr>
        <w:t>31.2</w:t>
      </w:r>
      <w:r>
        <w:rPr>
          <w:rFonts w:hint="eastAsia" w:ascii="Times New Roman" w:hAnsi="Times New Roman"/>
          <w:color w:val="auto"/>
        </w:rPr>
        <w:t>供应商的投诉，应当符合《中华人共和国政府采购法》、《政府采购供应商投诉处理办法》、《财政部关于加强政府采购供应商投诉受理审查工作的通知》的相关规定。</w:t>
      </w:r>
    </w:p>
    <w:p>
      <w:pPr>
        <w:pStyle w:val="4"/>
        <w:numPr>
          <w:ilvl w:val="0"/>
          <w:numId w:val="4"/>
        </w:numPr>
        <w:rPr>
          <w:color w:val="auto"/>
        </w:rPr>
      </w:pPr>
      <w:bookmarkStart w:id="133" w:name="_Toc16672"/>
      <w:bookmarkStart w:id="134" w:name="_Toc317237781"/>
      <w:bookmarkStart w:id="135" w:name="_Toc29821"/>
      <w:bookmarkStart w:id="136" w:name="_Toc5616055"/>
      <w:bookmarkStart w:id="137" w:name="_Toc317237606"/>
      <w:r>
        <w:rPr>
          <w:rFonts w:hint="eastAsia"/>
          <w:color w:val="auto"/>
        </w:rPr>
        <w:t>纪律和监督</w:t>
      </w:r>
      <w:bookmarkEnd w:id="133"/>
      <w:bookmarkEnd w:id="134"/>
      <w:bookmarkEnd w:id="135"/>
      <w:bookmarkEnd w:id="136"/>
      <w:bookmarkEnd w:id="137"/>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32 </w:t>
      </w:r>
      <w:r>
        <w:rPr>
          <w:rFonts w:hint="eastAsia"/>
          <w:b/>
          <w:color w:val="auto"/>
          <w:sz w:val="24"/>
        </w:rPr>
        <w:t>对</w:t>
      </w:r>
      <w:r>
        <w:rPr>
          <w:rFonts w:hint="eastAsia"/>
          <w:b/>
          <w:color w:val="auto"/>
          <w:sz w:val="24"/>
          <w:lang w:eastAsia="zh-CN"/>
        </w:rPr>
        <w:t>采购人</w:t>
      </w:r>
      <w:r>
        <w:rPr>
          <w:rFonts w:hint="eastAsia"/>
          <w:b/>
          <w:color w:val="auto"/>
          <w:sz w:val="24"/>
        </w:rPr>
        <w:t>的纪律要求</w:t>
      </w:r>
    </w:p>
    <w:p>
      <w:pPr>
        <w:pStyle w:val="7"/>
        <w:numPr>
          <w:ilvl w:val="1"/>
          <w:numId w:val="0"/>
        </w:numPr>
        <w:tabs>
          <w:tab w:val="left" w:pos="1050"/>
        </w:tabs>
        <w:ind w:firstLine="480" w:firstLineChars="200"/>
        <w:rPr>
          <w:rFonts w:ascii="Times New Roman" w:hAnsi="Times New Roman"/>
          <w:color w:val="auto"/>
        </w:rPr>
      </w:pPr>
      <w:r>
        <w:rPr>
          <w:rFonts w:hint="eastAsia" w:ascii="Times New Roman" w:hAnsi="Times New Roman"/>
          <w:color w:val="auto"/>
          <w:lang w:eastAsia="zh-CN"/>
        </w:rPr>
        <w:t>采购人</w:t>
      </w:r>
      <w:r>
        <w:rPr>
          <w:rFonts w:hint="eastAsia" w:ascii="Times New Roman" w:hAnsi="Times New Roman"/>
          <w:color w:val="auto"/>
        </w:rPr>
        <w:t>不得泄漏磋商招标活动中应当保密的情况和资料，不得与供应商串通损害国家利益、社会公共利益或他人的合法权益。</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33 </w:t>
      </w:r>
      <w:r>
        <w:rPr>
          <w:rFonts w:hint="eastAsia"/>
          <w:b/>
          <w:color w:val="auto"/>
          <w:sz w:val="24"/>
        </w:rPr>
        <w:t>对供应商的纪律要求</w:t>
      </w:r>
    </w:p>
    <w:p>
      <w:pPr>
        <w:pStyle w:val="7"/>
        <w:numPr>
          <w:ilvl w:val="1"/>
          <w:numId w:val="0"/>
        </w:numPr>
        <w:tabs>
          <w:tab w:val="left" w:pos="1050"/>
        </w:tabs>
        <w:ind w:firstLine="480" w:firstLineChars="200"/>
        <w:rPr>
          <w:rFonts w:ascii="Times New Roman" w:hAnsi="Times New Roman"/>
          <w:color w:val="auto"/>
        </w:rPr>
      </w:pPr>
      <w:r>
        <w:rPr>
          <w:rFonts w:hint="eastAsia" w:ascii="Times New Roman" w:hAnsi="Times New Roman"/>
          <w:color w:val="auto"/>
        </w:rPr>
        <w:t>不得提供虚假材料谋取成交；不得采取不正当手段诋毁、排挤其他供应商；不得与</w:t>
      </w:r>
      <w:r>
        <w:rPr>
          <w:rFonts w:hint="eastAsia" w:ascii="Times New Roman" w:hAnsi="Times New Roman"/>
          <w:color w:val="auto"/>
          <w:lang w:eastAsia="zh-CN"/>
        </w:rPr>
        <w:t>采购人</w:t>
      </w:r>
      <w:r>
        <w:rPr>
          <w:rFonts w:hint="eastAsia" w:ascii="Times New Roman" w:hAnsi="Times New Roman"/>
          <w:color w:val="auto"/>
        </w:rPr>
        <w:t>、</w:t>
      </w:r>
      <w:r>
        <w:rPr>
          <w:rFonts w:hint="eastAsia" w:ascii="Times New Roman" w:hAnsi="Times New Roman"/>
          <w:color w:val="auto"/>
          <w:lang w:eastAsia="zh-CN"/>
        </w:rPr>
        <w:t>采购代理</w:t>
      </w:r>
      <w:r>
        <w:rPr>
          <w:rFonts w:hint="eastAsia" w:ascii="Times New Roman" w:hAnsi="Times New Roman"/>
          <w:color w:val="auto"/>
        </w:rPr>
        <w:t>机构、其他供应商恶意串通；不得向</w:t>
      </w:r>
      <w:r>
        <w:rPr>
          <w:rFonts w:hint="eastAsia" w:ascii="Times New Roman" w:hAnsi="Times New Roman"/>
          <w:color w:val="auto"/>
          <w:lang w:eastAsia="zh-CN"/>
        </w:rPr>
        <w:t>采购人</w:t>
      </w:r>
      <w:r>
        <w:rPr>
          <w:rFonts w:hint="eastAsia" w:ascii="Times New Roman" w:hAnsi="Times New Roman"/>
          <w:color w:val="auto"/>
        </w:rPr>
        <w:t>、</w:t>
      </w:r>
      <w:r>
        <w:rPr>
          <w:rFonts w:hint="eastAsia" w:ascii="Times New Roman" w:hAnsi="Times New Roman"/>
          <w:color w:val="auto"/>
          <w:lang w:eastAsia="zh-CN"/>
        </w:rPr>
        <w:t>采购代理</w:t>
      </w:r>
      <w:r>
        <w:rPr>
          <w:rFonts w:hint="eastAsia" w:ascii="Times New Roman" w:hAnsi="Times New Roman"/>
          <w:color w:val="auto"/>
        </w:rPr>
        <w:t>机构、磋商小组成员行贿或者提供其他不正当利益；不得拒不遵守磋商纪律，故意扰乱磋商会场秩序或其他无理取闹行为；不得在招标过程中与</w:t>
      </w:r>
      <w:r>
        <w:rPr>
          <w:rFonts w:hint="eastAsia" w:ascii="Times New Roman" w:hAnsi="Times New Roman"/>
          <w:color w:val="auto"/>
          <w:lang w:val="en-US" w:eastAsia="zh-CN"/>
        </w:rPr>
        <w:t>采购</w:t>
      </w:r>
      <w:r>
        <w:rPr>
          <w:rFonts w:hint="eastAsia" w:ascii="Times New Roman" w:hAnsi="Times New Roman"/>
          <w:color w:val="auto"/>
        </w:rPr>
        <w:t>人、</w:t>
      </w:r>
      <w:r>
        <w:rPr>
          <w:rFonts w:hint="eastAsia" w:ascii="Times New Roman" w:hAnsi="Times New Roman"/>
          <w:color w:val="auto"/>
          <w:lang w:val="en-US" w:eastAsia="zh-CN"/>
        </w:rPr>
        <w:t>采购</w:t>
      </w:r>
      <w:r>
        <w:rPr>
          <w:rFonts w:hint="eastAsia" w:ascii="Times New Roman" w:hAnsi="Times New Roman"/>
          <w:color w:val="auto"/>
        </w:rPr>
        <w:t>代理机构进行协商磋商；不得拒绝有关部门的监督检查或者向监督检查部门提供虚假情况。有上述情形之一的供应商，属于不合格供应商，其成交资格将被取消。</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34 </w:t>
      </w:r>
      <w:r>
        <w:rPr>
          <w:rFonts w:hint="eastAsia"/>
          <w:b/>
          <w:color w:val="auto"/>
          <w:sz w:val="24"/>
        </w:rPr>
        <w:t>对磋商小组成员的纪律要求</w:t>
      </w:r>
    </w:p>
    <w:p>
      <w:pPr>
        <w:pStyle w:val="7"/>
        <w:numPr>
          <w:ilvl w:val="1"/>
          <w:numId w:val="0"/>
        </w:numPr>
        <w:tabs>
          <w:tab w:val="left" w:pos="1050"/>
        </w:tabs>
        <w:ind w:firstLine="480" w:firstLineChars="200"/>
        <w:rPr>
          <w:rFonts w:ascii="Times New Roman" w:hAnsi="Times New Roman"/>
          <w:color w:val="auto"/>
        </w:rPr>
      </w:pPr>
      <w:r>
        <w:rPr>
          <w:rFonts w:hint="eastAsia" w:ascii="Times New Roman" w:hAnsi="Times New Roman"/>
          <w:color w:val="auto"/>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35 </w:t>
      </w:r>
      <w:r>
        <w:rPr>
          <w:rFonts w:hint="eastAsia"/>
          <w:b/>
          <w:color w:val="auto"/>
          <w:sz w:val="24"/>
        </w:rPr>
        <w:t>对与磋商活动有关的工作人员的纪律要求</w:t>
      </w:r>
    </w:p>
    <w:p>
      <w:pPr>
        <w:pStyle w:val="7"/>
        <w:numPr>
          <w:ilvl w:val="1"/>
          <w:numId w:val="0"/>
        </w:numPr>
        <w:tabs>
          <w:tab w:val="left" w:pos="1050"/>
        </w:tabs>
        <w:ind w:firstLine="480" w:firstLineChars="200"/>
        <w:rPr>
          <w:rFonts w:ascii="Times New Roman" w:hAnsi="Times New Roman"/>
          <w:color w:val="auto"/>
        </w:rPr>
      </w:pPr>
      <w:r>
        <w:rPr>
          <w:rFonts w:hint="eastAsia" w:ascii="Times New Roman" w:hAnsi="Times New Roman"/>
          <w:color w:val="auto"/>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pStyle w:val="4"/>
        <w:numPr>
          <w:ilvl w:val="0"/>
          <w:numId w:val="4"/>
        </w:numPr>
        <w:rPr>
          <w:color w:val="auto"/>
        </w:rPr>
      </w:pPr>
      <w:bookmarkStart w:id="138" w:name="_Toc5616056"/>
      <w:bookmarkStart w:id="139" w:name="_Toc27799"/>
      <w:bookmarkStart w:id="140" w:name="_Toc30558"/>
      <w:bookmarkStart w:id="141" w:name="_Toc22209"/>
      <w:bookmarkStart w:id="142" w:name="_Toc468811121"/>
      <w:r>
        <w:rPr>
          <w:rFonts w:hint="eastAsia"/>
          <w:color w:val="auto"/>
        </w:rPr>
        <w:t>政策功能</w:t>
      </w:r>
      <w:bookmarkEnd w:id="138"/>
      <w:bookmarkEnd w:id="139"/>
      <w:bookmarkEnd w:id="140"/>
      <w:bookmarkEnd w:id="141"/>
      <w:bookmarkEnd w:id="142"/>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36 </w:t>
      </w:r>
      <w:r>
        <w:rPr>
          <w:rFonts w:hint="eastAsia"/>
          <w:b/>
          <w:color w:val="auto"/>
          <w:sz w:val="24"/>
        </w:rPr>
        <w:t>政策功能</w:t>
      </w:r>
    </w:p>
    <w:p>
      <w:pPr>
        <w:spacing w:line="360" w:lineRule="auto"/>
        <w:ind w:firstLine="480"/>
        <w:rPr>
          <w:rFonts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6</w:t>
      </w: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本次招标优先选购中华人民共和国财政部公布的《政府采购自主创新产品目录》和《节能环保产品目录》的标的物。</w:t>
      </w:r>
    </w:p>
    <w:p>
      <w:pPr>
        <w:spacing w:line="360" w:lineRule="auto"/>
        <w:ind w:firstLine="480"/>
        <w:rPr>
          <w:rFonts w:ascii="宋体" w:hAnsi="宋体" w:cs="宋体"/>
          <w:color w:val="auto"/>
          <w:sz w:val="24"/>
        </w:rPr>
      </w:pPr>
      <w:r>
        <w:rPr>
          <w:rFonts w:ascii="宋体" w:hAnsi="宋体" w:cs="宋体"/>
          <w:color w:val="auto"/>
          <w:sz w:val="24"/>
        </w:rPr>
        <w:t>3</w:t>
      </w:r>
      <w:r>
        <w:rPr>
          <w:rFonts w:hint="eastAsia" w:ascii="宋体" w:hAnsi="宋体" w:cs="宋体"/>
          <w:color w:val="auto"/>
          <w:sz w:val="24"/>
          <w:lang w:val="en-US" w:eastAsia="zh-CN"/>
        </w:rPr>
        <w:t>6</w:t>
      </w: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hAnsi="宋体" w:cs="宋体"/>
          <w:color w:val="auto"/>
          <w:sz w:val="24"/>
        </w:rPr>
        <w:t> </w:t>
      </w:r>
      <w:r>
        <w:rPr>
          <w:rFonts w:hint="eastAsia" w:ascii="宋体" w:hAnsi="宋体" w:cs="宋体"/>
          <w:color w:val="auto"/>
          <w:sz w:val="24"/>
        </w:rPr>
        <w:t>国家认监委《信息安全产品强制性认证目录》，并获得强制性产品认证证书的产品；环境标志产品是指列入财政部、国家环保总局制定的《环境标志产品政府采购清单》，且经过认证的环境标志产品。</w:t>
      </w:r>
    </w:p>
    <w:p>
      <w:pPr>
        <w:spacing w:line="360" w:lineRule="auto"/>
        <w:ind w:firstLine="480"/>
        <w:rPr>
          <w:rFonts w:ascii="宋体" w:hAnsi="宋体" w:cs="宋体"/>
          <w:color w:val="auto"/>
          <w:sz w:val="24"/>
        </w:rPr>
      </w:pPr>
      <w:r>
        <w:rPr>
          <w:rFonts w:ascii="宋体" w:hAnsi="宋体" w:cs="宋体"/>
          <w:color w:val="auto"/>
          <w:sz w:val="24"/>
        </w:rPr>
        <w:t>3</w:t>
      </w:r>
      <w:r>
        <w:rPr>
          <w:rFonts w:hint="eastAsia" w:ascii="宋体" w:hAnsi="宋体" w:cs="宋体"/>
          <w:color w:val="auto"/>
          <w:sz w:val="24"/>
          <w:lang w:val="en-US" w:eastAsia="zh-CN"/>
        </w:rPr>
        <w:t>6</w:t>
      </w:r>
      <w:r>
        <w:rPr>
          <w:rFonts w:hint="eastAsia" w:ascii="宋体" w:hAnsi="宋体" w:cs="宋体"/>
          <w:color w:val="auto"/>
          <w:sz w:val="24"/>
        </w:rPr>
        <w:t>.</w:t>
      </w:r>
      <w:r>
        <w:rPr>
          <w:rFonts w:ascii="宋体" w:hAnsi="宋体" w:cs="宋体"/>
          <w:color w:val="auto"/>
          <w:sz w:val="24"/>
        </w:rPr>
        <w:t>3 </w:t>
      </w:r>
      <w:r>
        <w:rPr>
          <w:rFonts w:hint="eastAsia" w:ascii="宋体" w:hAnsi="宋体" w:cs="宋体"/>
          <w:color w:val="auto"/>
          <w:sz w:val="24"/>
        </w:rPr>
        <w:t>投标产品属于信息安全产品的，供应商应当选择经国家认证的信息安全产品投标，并提供由中国信息安全认证中心按国家标准颁发的有效认证证书复印件。</w:t>
      </w:r>
    </w:p>
    <w:p>
      <w:pPr>
        <w:spacing w:line="360" w:lineRule="auto"/>
        <w:ind w:firstLine="480"/>
        <w:rPr>
          <w:rFonts w:ascii="宋体" w:hAnsi="宋体" w:cs="宋体"/>
          <w:color w:val="auto"/>
          <w:sz w:val="24"/>
        </w:rPr>
      </w:pPr>
      <w:r>
        <w:rPr>
          <w:rFonts w:ascii="宋体" w:hAnsi="宋体" w:cs="宋体"/>
          <w:color w:val="auto"/>
          <w:sz w:val="24"/>
        </w:rPr>
        <w:t>3</w:t>
      </w:r>
      <w:r>
        <w:rPr>
          <w:rFonts w:hint="eastAsia" w:ascii="宋体" w:hAnsi="宋体" w:cs="宋体"/>
          <w:color w:val="auto"/>
          <w:sz w:val="24"/>
          <w:lang w:val="en-US" w:eastAsia="zh-CN"/>
        </w:rPr>
        <w:t>6</w:t>
      </w:r>
      <w:r>
        <w:rPr>
          <w:rFonts w:hint="eastAsia" w:ascii="宋体" w:hAnsi="宋体" w:cs="宋体"/>
          <w:color w:val="auto"/>
          <w:sz w:val="24"/>
        </w:rPr>
        <w:t>.</w:t>
      </w:r>
      <w:r>
        <w:rPr>
          <w:rFonts w:ascii="宋体" w:hAnsi="宋体" w:cs="宋体"/>
          <w:color w:val="auto"/>
          <w:sz w:val="24"/>
        </w:rPr>
        <w:t>4 </w:t>
      </w:r>
      <w:r>
        <w:rPr>
          <w:rFonts w:hint="eastAsia" w:ascii="宋体" w:hAnsi="宋体" w:cs="宋体"/>
          <w:color w:val="auto"/>
          <w:sz w:val="24"/>
        </w:rPr>
        <w:t>投标产品属于政府强制采购节能产品的，供应商应当选择《节能产品政府采购清单》中的产品投标，并提供有效的节能产品认证证书复印件。</w:t>
      </w:r>
    </w:p>
    <w:p>
      <w:pPr>
        <w:spacing w:line="360" w:lineRule="auto"/>
        <w:ind w:firstLine="480"/>
        <w:rPr>
          <w:rFonts w:ascii="宋体" w:hAnsi="宋体" w:cs="宋体"/>
          <w:color w:val="auto"/>
          <w:sz w:val="24"/>
        </w:rPr>
      </w:pPr>
      <w:r>
        <w:rPr>
          <w:rFonts w:ascii="宋体" w:hAnsi="宋体" w:cs="宋体"/>
          <w:color w:val="auto"/>
          <w:sz w:val="24"/>
        </w:rPr>
        <w:t>3</w:t>
      </w:r>
      <w:r>
        <w:rPr>
          <w:rFonts w:hint="eastAsia" w:ascii="宋体" w:hAnsi="宋体" w:cs="宋体"/>
          <w:color w:val="auto"/>
          <w:sz w:val="24"/>
          <w:lang w:val="en-US" w:eastAsia="zh-CN"/>
        </w:rPr>
        <w:t>6</w:t>
      </w:r>
      <w:r>
        <w:rPr>
          <w:rFonts w:hint="eastAsia" w:ascii="宋体" w:hAnsi="宋体" w:cs="宋体"/>
          <w:color w:val="auto"/>
          <w:sz w:val="24"/>
        </w:rPr>
        <w:t>.</w:t>
      </w:r>
      <w:r>
        <w:rPr>
          <w:rFonts w:ascii="宋体" w:hAnsi="宋体" w:cs="宋体"/>
          <w:color w:val="auto"/>
          <w:sz w:val="24"/>
        </w:rPr>
        <w:t>5 </w:t>
      </w:r>
      <w:r>
        <w:rPr>
          <w:rFonts w:hint="eastAsia" w:ascii="宋体" w:hAnsi="宋体" w:cs="宋体"/>
          <w:color w:val="auto"/>
          <w:sz w:val="24"/>
          <w:lang w:eastAsia="zh-CN"/>
        </w:rPr>
        <w:t>采购文件</w:t>
      </w:r>
      <w:r>
        <w:rPr>
          <w:rFonts w:hint="eastAsia" w:ascii="宋体" w:hAnsi="宋体" w:cs="宋体"/>
          <w:color w:val="auto"/>
          <w:sz w:val="24"/>
        </w:rPr>
        <w:t>中提供的参考产品品牌或型号，是</w:t>
      </w:r>
      <w:r>
        <w:rPr>
          <w:rFonts w:hint="eastAsia" w:ascii="宋体" w:hAnsi="宋体" w:cs="宋体"/>
          <w:color w:val="auto"/>
          <w:sz w:val="24"/>
          <w:lang w:eastAsia="zh-CN"/>
        </w:rPr>
        <w:t>采购人</w:t>
      </w:r>
      <w:r>
        <w:rPr>
          <w:rFonts w:hint="eastAsia" w:ascii="宋体" w:hAnsi="宋体" w:cs="宋体"/>
          <w:color w:val="auto"/>
          <w:sz w:val="24"/>
        </w:rPr>
        <w:t>根据项目所要实现的功能根据市场情况列出的品牌或型号，并不是限制条件。</w:t>
      </w:r>
    </w:p>
    <w:p>
      <w:pPr>
        <w:spacing w:line="360" w:lineRule="auto"/>
        <w:ind w:firstLine="480"/>
        <w:rPr>
          <w:rFonts w:ascii="宋体" w:hAnsi="宋体" w:cs="宋体"/>
          <w:color w:val="auto"/>
          <w:sz w:val="24"/>
        </w:rPr>
      </w:pPr>
      <w:r>
        <w:rPr>
          <w:rFonts w:ascii="宋体" w:hAnsi="宋体" w:cs="宋体"/>
          <w:color w:val="auto"/>
          <w:sz w:val="24"/>
        </w:rPr>
        <w:t>3</w:t>
      </w:r>
      <w:r>
        <w:rPr>
          <w:rFonts w:hint="eastAsia" w:ascii="宋体" w:hAnsi="宋体" w:cs="宋体"/>
          <w:color w:val="auto"/>
          <w:sz w:val="24"/>
          <w:lang w:val="en-US" w:eastAsia="zh-CN"/>
        </w:rPr>
        <w:t>6</w:t>
      </w:r>
      <w:r>
        <w:rPr>
          <w:rFonts w:hint="eastAsia" w:ascii="宋体" w:hAnsi="宋体" w:cs="宋体"/>
          <w:color w:val="auto"/>
          <w:sz w:val="24"/>
        </w:rPr>
        <w:t>.</w:t>
      </w:r>
      <w:r>
        <w:rPr>
          <w:rFonts w:ascii="宋体" w:hAnsi="宋体" w:cs="宋体"/>
          <w:color w:val="auto"/>
          <w:sz w:val="24"/>
        </w:rPr>
        <w:t>6 </w:t>
      </w:r>
      <w:r>
        <w:rPr>
          <w:rFonts w:hint="eastAsia" w:ascii="宋体" w:hAnsi="宋体" w:cs="宋体"/>
          <w:color w:val="auto"/>
          <w:sz w:val="24"/>
        </w:rPr>
        <w:t>根据财政部、工业和信息化部 2020 年 12 月 18 日颁布的 《政府采购促进中小企业发展暂行办法》（财库〔2020〕46号） 第九条规定及财政部2022年5月30日颁布的《关于进一步加大政府采购支持中小企业力度的通知》（财库〔2022〕19 号） 第二条规定，</w:t>
      </w:r>
      <w:r>
        <w:rPr>
          <w:rFonts w:hint="eastAsia" w:ascii="宋体" w:hAnsi="宋体" w:cs="宋体"/>
          <w:color w:val="auto"/>
          <w:sz w:val="24"/>
          <w:lang w:eastAsia="zh-CN"/>
        </w:rPr>
        <w:t>采购人</w:t>
      </w:r>
      <w:r>
        <w:rPr>
          <w:rFonts w:hint="eastAsia" w:ascii="宋体" w:hAnsi="宋体" w:cs="宋体"/>
          <w:color w:val="auto"/>
          <w:sz w:val="24"/>
        </w:rPr>
        <w:t>、</w:t>
      </w:r>
      <w:r>
        <w:rPr>
          <w:rFonts w:hint="eastAsia" w:ascii="宋体" w:hAnsi="宋体" w:cs="宋体"/>
          <w:color w:val="auto"/>
          <w:sz w:val="24"/>
          <w:lang w:eastAsia="zh-CN"/>
        </w:rPr>
        <w:t>采购代理</w:t>
      </w:r>
      <w:r>
        <w:rPr>
          <w:rFonts w:hint="eastAsia" w:ascii="宋体" w:hAnsi="宋体" w:cs="宋体"/>
          <w:color w:val="auto"/>
          <w:sz w:val="24"/>
        </w:rPr>
        <w:t>机构应当对符合以上办法、通知规定的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numPr>
          <w:ilvl w:val="0"/>
          <w:numId w:val="0"/>
        </w:numPr>
        <w:spacing w:line="360" w:lineRule="auto"/>
        <w:ind w:left="425" w:leftChars="0" w:hanging="425" w:firstLineChars="0"/>
        <w:rPr>
          <w:b/>
          <w:color w:val="auto"/>
          <w:sz w:val="24"/>
        </w:rPr>
      </w:pPr>
      <w:r>
        <w:rPr>
          <w:rFonts w:hint="eastAsia" w:cs="Times New Roman"/>
          <w:b/>
          <w:color w:val="auto"/>
          <w:kern w:val="2"/>
          <w:sz w:val="24"/>
          <w:szCs w:val="24"/>
          <w:lang w:val="en-US" w:eastAsia="zh-CN" w:bidi="ar-SA"/>
        </w:rPr>
        <w:t xml:space="preserve">37 </w:t>
      </w:r>
      <w:r>
        <w:rPr>
          <w:rFonts w:hint="eastAsia"/>
          <w:b/>
          <w:color w:val="auto"/>
          <w:sz w:val="24"/>
        </w:rPr>
        <w:t>信用查询记录</w:t>
      </w:r>
    </w:p>
    <w:p>
      <w:pPr>
        <w:spacing w:line="360" w:lineRule="auto"/>
        <w:ind w:firstLine="480"/>
        <w:rPr>
          <w:rFonts w:ascii="宋体" w:hAnsi="宋体" w:cs="宋体"/>
          <w:color w:val="auto"/>
          <w:sz w:val="24"/>
        </w:rPr>
      </w:pPr>
      <w:r>
        <w:rPr>
          <w:rFonts w:hint="eastAsia" w:ascii="宋体" w:hAnsi="宋体" w:cs="宋体"/>
          <w:color w:val="auto"/>
          <w:sz w:val="24"/>
        </w:rPr>
        <w:t>根据财库（2016）125号文《关于在政府采购活动中查询及使用信用记录有关问题的通知》的规定，所有供应商需提供“信用中国”网站(www.creditchina.gov.cn)和中国政府采购网(www.ccgp.gov.cn)查询的企业信用记录，并将网站截图作为投标文件的组成部分，如供应商不提供截图或被列入失信被执行人、重大税收违法失信主体、政府采购严重违法失信行为记录名单的单位将被拒绝参加本次响应。</w:t>
      </w:r>
    </w:p>
    <w:p>
      <w:pPr>
        <w:pStyle w:val="3"/>
        <w:bidi w:val="0"/>
        <w:rPr>
          <w:color w:val="auto"/>
        </w:rPr>
      </w:pPr>
      <w:r>
        <w:rPr>
          <w:rFonts w:hint="eastAsia" w:ascii="宋体" w:hAnsi="宋体" w:cs="宋体"/>
          <w:color w:val="auto"/>
          <w:highlight w:val="none"/>
        </w:rPr>
        <w:br w:type="page"/>
      </w:r>
      <w:r>
        <w:rPr>
          <w:rStyle w:val="36"/>
          <w:rFonts w:hint="eastAsia"/>
          <w:b/>
          <w:color w:val="auto"/>
        </w:rPr>
        <w:t xml:space="preserve"> </w:t>
      </w:r>
      <w:bookmarkStart w:id="143" w:name="_Toc12327"/>
      <w:bookmarkStart w:id="144" w:name="_Toc2758"/>
      <w:r>
        <w:rPr>
          <w:rStyle w:val="36"/>
          <w:rFonts w:hint="eastAsia"/>
          <w:b/>
          <w:color w:val="auto"/>
          <w:lang w:val="en-US" w:eastAsia="zh-CN"/>
        </w:rPr>
        <w:t xml:space="preserve">第三部分 </w:t>
      </w:r>
      <w:r>
        <w:rPr>
          <w:rStyle w:val="36"/>
          <w:rFonts w:hint="eastAsia"/>
          <w:b/>
          <w:color w:val="auto"/>
        </w:rPr>
        <w:t>采购需求</w:t>
      </w:r>
      <w:bookmarkEnd w:id="143"/>
    </w:p>
    <w:p>
      <w:pPr>
        <w:keepNext w:val="0"/>
        <w:keepLines w:val="0"/>
        <w:pageBreakBefore w:val="0"/>
        <w:kinsoku/>
        <w:wordWrap/>
        <w:overflowPunct/>
        <w:topLinePunct w:val="0"/>
        <w:autoSpaceDE/>
        <w:autoSpaceDN/>
        <w:bidi w:val="0"/>
        <w:snapToGrid/>
        <w:spacing w:line="360" w:lineRule="auto"/>
        <w:rPr>
          <w:rFonts w:hint="eastAsia"/>
          <w:color w:val="auto"/>
          <w:lang w:val="en-US" w:eastAsia="zh-CN"/>
        </w:rPr>
      </w:pPr>
    </w:p>
    <w:bookmarkEnd w:id="144"/>
    <w:p>
      <w:pPr>
        <w:bidi w:val="0"/>
        <w:jc w:val="center"/>
        <w:rPr>
          <w:rFonts w:hint="eastAsia" w:ascii="宋体" w:hAnsi="宋体" w:eastAsia="宋体" w:cs="宋体"/>
          <w:b/>
          <w:bCs/>
          <w:color w:val="auto"/>
          <w:sz w:val="32"/>
          <w:szCs w:val="32"/>
          <w:lang w:val="en-US" w:eastAsia="zh-CN"/>
        </w:rPr>
      </w:pPr>
      <w:bookmarkStart w:id="145" w:name="_Toc14288"/>
      <w:r>
        <w:rPr>
          <w:rFonts w:hint="eastAsia" w:ascii="宋体" w:hAnsi="宋体" w:cs="宋体"/>
          <w:b/>
          <w:bCs/>
          <w:color w:val="auto"/>
          <w:sz w:val="32"/>
          <w:szCs w:val="32"/>
          <w:lang w:val="en-US" w:eastAsia="zh-CN"/>
        </w:rPr>
        <w:t>A</w:t>
      </w:r>
      <w:r>
        <w:rPr>
          <w:rFonts w:hint="eastAsia" w:ascii="宋体" w:hAnsi="宋体" w:eastAsia="宋体" w:cs="宋体"/>
          <w:b/>
          <w:bCs/>
          <w:color w:val="auto"/>
          <w:sz w:val="32"/>
          <w:szCs w:val="32"/>
          <w:lang w:val="en-US" w:eastAsia="zh-CN"/>
        </w:rPr>
        <w:t>包采购需求</w:t>
      </w:r>
    </w:p>
    <w:p>
      <w:pPr>
        <w:rPr>
          <w:rFonts w:hint="eastAsia"/>
          <w:color w:val="auto"/>
        </w:rPr>
      </w:pPr>
    </w:p>
    <w:p>
      <w:pPr>
        <w:numPr>
          <w:ilvl w:val="0"/>
          <w:numId w:val="0"/>
        </w:numPr>
        <w:rPr>
          <w:rFonts w:hint="eastAsia"/>
          <w:b/>
          <w:bCs/>
          <w:color w:val="auto"/>
          <w:sz w:val="28"/>
          <w:szCs w:val="28"/>
          <w:lang w:val="en-US" w:eastAsia="zh-CN"/>
        </w:rPr>
      </w:pPr>
      <w:r>
        <w:rPr>
          <w:rFonts w:hint="eastAsia" w:ascii="Calibri" w:hAnsi="Calibri" w:eastAsia="宋体" w:cs="Times New Roman"/>
          <w:b/>
          <w:bCs/>
          <w:color w:val="auto"/>
          <w:kern w:val="2"/>
          <w:sz w:val="28"/>
          <w:szCs w:val="28"/>
          <w:lang w:val="en-US" w:eastAsia="zh-CN" w:bidi="ar-SA"/>
        </w:rPr>
        <w:t>一、</w:t>
      </w:r>
      <w:r>
        <w:rPr>
          <w:rFonts w:hint="eastAsia"/>
          <w:b/>
          <w:bCs/>
          <w:color w:val="auto"/>
          <w:sz w:val="28"/>
          <w:szCs w:val="28"/>
          <w:lang w:val="en-US" w:eastAsia="zh-CN"/>
        </w:rPr>
        <w:t>采购清单以及参数要求</w:t>
      </w:r>
    </w:p>
    <w:tbl>
      <w:tblPr>
        <w:tblStyle w:val="25"/>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731"/>
        <w:gridCol w:w="824"/>
        <w:gridCol w:w="857"/>
        <w:gridCol w:w="5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color w:val="auto"/>
                <w:kern w:val="0"/>
                <w:sz w:val="21"/>
                <w:szCs w:val="21"/>
              </w:rPr>
              <w:t>家具采购清单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项数</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名称</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单位</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数量</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一楼便民服务大厅/微型消防站/楼梯间储物间/开水间/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办公桌</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 1400mm*700mm*760mm（前后误差不得超过10mm）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2、主材：要求表面为E1级板材符合国家甲醛释放标准，须经过防虫，防腐等化学处理，饰面耐刮，耐磨，耐腐蚀，耐高温；                                                             3、配件：要求优质五金配件,经过防锈、防腐处理优质铝合金封边；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4、油漆：要求采用优质环保油漆，经五底三面磨退工艺处理。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办公椅子</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1、规格尺寸：460mm*490mm*840mm（前后误差不得超过10mm）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2、饰面：要求采用优质网布，厚度1.3mm，防潮、防污易清洁等，皮面更加柔软舒适，光泽持久，透气性好，手感柔软，纹理细腻，富有弹性，须具有冬暖夏凉的效果。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3、钢管：测试要求可承受320KG压力，平稳、无漏气、无燥音，防锈无损。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4、海绵：要求使用高密度成型PU阻燃泡棉，软硬适中，回弹力不低于70%，抗疲劳力强，坐感舒适。椅身、座板、优质网布、五星大脚，进口气杆配PU滑轮。高密度PU气泡海绵。豪华双功能高档底盘。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柜台椅子</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6 </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1、规格尺寸：570mm*490mm*860mm（前后误差不得超过10mm）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2、饰面：要求采用进口网布，厚度约1.3mm，防潮、防污易清洁等，皮面更加柔软舒适，光泽持久，透气性好，手感柔软，纹理细腻，富有弹性，要求具有冬暖夏凉的效果。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3、海绵：要求使用高密度成型PU阻燃泡棉，软硬适中，回弹力不低于70%，具备抗疲劳力功能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休闲桌</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1、规格尺寸：直径700（前后误差不得超过10mm）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2.主材：骨架须采用不锈钢转印橡木纹理制作；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3.油漆：要求选用优质环保油漆，无气味、不变色，光滑耐磨；表面光亮平整、无颗粒、无毒害、易清洁；                                                             4、台面要求采用15mm环氧人造石制作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2"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休闲坐椅</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1、规格尺寸：510mm*520mm*800mm（前后误差不得超过10mm）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2、采用实木材开料制作，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3、油漆：选用优质环保油漆，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4、产品美观、无气味、不变色，光滑耐磨；表面光亮平整、无颗粒、无毒害、易清洁；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18 </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1、规格尺寸：2250mmX4000mmX2（前后误差不得超过10mm）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2、材质要求：布艺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3、功能要求：装饰+遮光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雨伞架</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1、尺寸：870mmX560mm（前后误差不得超过10mm）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2、材质：铝合金伞架、加厚支架、万向轮、优质锁头、精工弯管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3、油漆：进口黑色亮光烤漆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便民设施（工具箱、手电筒、多功能充电器等）</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1、尺寸：480mm*350mm（前后误差不得超过10mm）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2、材质：金属组装（要求可钻钢板、不锈钢、角铁、铝合金等）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微型消防站器材</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1、尺寸：1600mm*1500mm*400mm（前后误差不得超过10mm）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2、材质要求：加厚冷轧钢板、防锈锌层、防腐蚀层、外部底漆层、静电喷漆层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3、油漆：须采用环保氧树脂烤漆，热稳定性好，耐腐蚀、耐酸碱、抗氧化能力强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12.80 </w:t>
            </w:r>
          </w:p>
        </w:tc>
        <w:tc>
          <w:tcPr>
            <w:tcW w:w="5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1、规格尺寸：2000mmX3200mmX2（前后误差不得超过10mm）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一楼老人活动中心/长者饭堂/书画室/茶艺室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适老化长桌</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1、尺寸：1400mmX800mm（前后误差不得超过10mm）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2.材质：要求采用优质实木白蜡木基材,须经过防虫、防腐等处理，甲醛、苯释放量低于国家标准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3.油漆：须采用大宝亚光聚脂环保漆。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适老化椅子</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把</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1、规格尺寸：510mm*520mm*800mm（前后误差不得超过10mm）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2、须采用实木材开料制作，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3、油漆：须选用优质环保油漆，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4、产品美观、无气味、不变色，光滑耐磨；表面光亮平整、无颗粒、无毒害、易清洁；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按摩椅</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6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1.尺寸：680mmX1300mm（前后误差不得超过10mm）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2.功能：揉捏、指压拍打鼓打行走，仿真按摩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屏风隔断</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1、尺寸：3000mmX2400mm（前后误差不得超过10mm）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2、材质：采用樟子松、胡桃木、白蜡木打造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3、油漆：要求采用优质环保油漆，上色均匀，光滑表面，经典上漆工艺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28.80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1、规格尺寸：7200mmX4000mmX1（前后误差不得超过10mm）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1、规格尺寸：1000mmX3000mmX1（前后误差不得超过10mm）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一楼警务室/综治/监控室/微型消防站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2"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办公桌</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1、规格尺寸：1400mm*700mm*760mm（前后误差不得超过10mm）                                             2、主材：要求表面为E1级板材符合国家甲醛释放标准，经过防虫，防腐等化学处理，饰面耐刮，耐磨，耐腐蚀，耐高温；                                                             3、配件：优质五金配件,经过防锈、防腐处理优质铝合金封边；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4、油漆：须采用优质环保油漆，经五底三面磨退工艺处理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1、规格尺寸：460mm*490mm*840mm（前后误差不得超过10mm）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2、饰面：须采用优质网布，厚度1.3mm，防潮、防污易清洁等，皮面更加柔软舒适，光泽持久，透气性好，手感柔软，纹理细腻，富有弹性，具有冬暖夏凉的效果。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3、钢管：测试须可承受320KG压力，平稳、无漏气、无燥音，防锈无损。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4、海绵：要求采用高密度成型PU阻燃泡棉，软硬适中，回弹力不低于70%，抗疲劳力强，坐感舒适。椅身、座板、优质网布、五星大脚，进口气杆配PU滑轮。高密度PU气泡海绵。豪华双功能高档底盘。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休闲沙发(三人位)</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1、规格尺寸：800mm*2000mm（前后误差不得超过10mm）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2、饰面：采用优质西皮饰面；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3、皮面光泽度好，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4、透气性强，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5、经液态浸色及防潮、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6、防污等工艺处理，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7、海绵：须采用一次成型优质环保PU高弹55#高密度泡绵，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8、理化性能符合国家现行标准；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9、框架：仿橡木实木色金属，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10、油漆：须采用优质环保型油漆,光滑耐磨，手感好，色泽美观，具防刮；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20</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1、规格尺寸：2000mmX3000mmX1（前后误差不得超过10mm）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一楼妇幼儿照护室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1"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休闲沙发(三人位)</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1、规格尺寸：2000mm*800mm（前后误差不得超过10mm）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2、饰面：须采用优质布艺饰面；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3、透气性强，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4、海绵：须采用一次成型优质环保PU高弹55#高密度泡绵，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5、理化性能符合国家现行标准；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6、框架：仿橡木实木色金属，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7、油漆：采用优质环保型油漆,光滑耐磨，手感好，色泽美观，具防刮；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婴儿车</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1、尺寸：360mm*820mm（前后误差不得超过10mm）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2、主材要求：加厚铝合金车架，橡胶大轮，耐磨防扎</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3、工艺要求：隔离地热、不吸灰尘、双向坐躺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婴儿床</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1、尺寸：1220mm*690mm（前后误差不得超过10mm）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2、主材：进口松木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3、油漆：甄选环保漆安全无刺激，无腐蚀、无虫蛀，无甲醛，无异味，不变色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温奶器</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1、尺寸：278mm*292mm（前后误差不得超过10mm）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2、主材：316不锈钢，抗氧化耐腐蚀性，加厚高硼硅玻璃</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3、工艺：食品级PP材质，三合一（恒温、消毒、暖奶）干烧保护、防滑垫设计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壁挂尿布台</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1、尺寸：820mm*580mm*490mm（前后误差不得超过10mm）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2、主材：要求采用抗菌PP材质，安全无毒，可抑制气味和污渍细菌的生长，并有助于减少交叉污染风险</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3、工艺：须采用中空一体化成型技术浇筑整体结构，以环保原料确保产品安全性，防止静电、防止脱落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6 </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1、规格尺寸：2000mmX3000mmX1 （前后误差不得超过10mm）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一楼儿童助长中心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滑滑梯</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1.尺寸：1800mmX1200mm（前后误差不得超过10mm）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2.材质：304不锈钢，厚3.0mm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滑滑梯屋顶</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1.尺寸：1400mmX1400mm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2.材质：多层板/珍珠棉/喷绘皮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彩虹爬爬梯</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1.尺寸：1200mmX1400mm（前后误差不得超过10mm）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2.材质：多层板/珍珠棉/木料/PU超纤皮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儿童多功能通道</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1.尺寸：2400mmX800mm（前后误差不得超过10mm）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2.材质：木料/珍珠棉/PU珍珠棉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海洋球</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1.尺寸：6000mmX5000mm（前后误差不得超过10mm）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2.材质：多层板/珍珠棉/木料/PU超纤皮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软包围栏、墙面软包</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1.尺寸：(6000mm+4000mm+4000mm+5000mm+5000mm)X1000mm（前后误差不得超过10mm）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2.材质：多层板/珍珠棉/木料/PU超纤皮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软包台阶</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1.60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1.尺寸：2000mmX500mmX300mm（前后误差不得超过10mm）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2.材质：多层板/珍珠棉/木料/PU超纤皮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海洋球游戏区地垫</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30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1.尺寸：6000mmX5000mm（前后误差不得超过10mm）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2.材质：国标地垫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定制吧台桌</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1.尺寸：3300mmX400mmX900（前后误差不得超过10mm）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2.材质：实木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定制吧台椅</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把</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5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1、尺寸：410mm*420mm*1050mm（前后误差不得超过10mm）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2、采用实木材开料制作，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3、油漆：选用优质环保油漆，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4、产品美观、无气味、不变色，光滑耐磨；表面光亮平整、无颗粒、无毒害、易清洁；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软包休息坐凳</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10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1、尺寸：420mm*400mm（前后误差不得超过10mm）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2、材质：精选高密度海绵4cm加厚、高品质五金拉链、防滑硅胶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3、工艺：双层防尘，加密海绵内胆套，耐脏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乐高玩具墙</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1、尺寸：2000mm*2000mm（前后误差不得超过10mm）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2.材质：多层板/珍珠棉/木料/PU超纤皮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手工桌</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1、尺寸：1200mm*600mm（前后误差不得超过10mm）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2、要求采用实木材开料制作，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3、油漆：须选用优质环保油漆，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手工椅子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把</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8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1、尺寸：430mmX280mm（前后误差不得超过10mm）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2、材质：橡胶木，外涂环保木蜡油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3、工艺：榫头结构，坚固耐用，不偏不倚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软包坐墩</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1.尺寸：450mm*450mm（前后误差不得超过10mm）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2.材质：多层板/珍珠棉/木料/PU超纤皮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1.尺寸：2000mm*4000mm*3（前后误差不得超过10mm）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43</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1、尺寸：2000mmX3000mmX2、1000mmX3000mmX2（前后误差不得超过10mm）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二楼舞蹈排练室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压腿杆</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米</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1、尺寸：5500mm+7000mm+8500mm（前后误差不得超过10mm）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2、材质：须选用原木，实木钢芯，强力承重，实心螺纹钢，喷塑烤漆钢管加强立柱</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3、工艺：实木天然纹理，绿色环保清漆处理工艺，杆体圆润光滑无毛刺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1.尺寸：2000mmX3000mmX4（前后误差不得超过10mm）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二楼音乐教室/培训室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乐谱架</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1、尺寸：高1800mm可调节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2、材质：经典金属大谱台，加粗加厚，要求面板强度高，稳固耐用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3、工艺：六点铆接、垂直翻转、水平旋转，加厚钢管三角底座，带内衬，稳固不易晃动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带桌板培训折叠椅</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15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1、规格尺寸：490mm*540mm*850mm（前后误差不得超过10mm）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2、材质：塑料配件，椅脚架采用15*30mm，厚度1.2mm旦管；所有钢材均采用国家塑钢椅加塑料套脚垫，具有消声耐磨。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钢琴</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架</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1、尺寸：1375mm*1100mm（前后误差不得超过10mm）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2、材质：要求选用硬度高强的纤维木料，质地细腻，木材坚硬，耐腐，更结实，拥有可靠的耐用性以及过硬的品质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3、工艺要求：高光亮泽的烤漆工艺采用多重复杂工序与抛光工艺打造而成，呈现出光泽耀眼，晶莹剔透的高级感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49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移动写字白板</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1、尺寸：1500mm*1000mm（前后误差不得超过10mm）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2、材质：铝合金边框、防爆钢化玻璃白板、静音万向轮，背面金属板层，保证磁性吸附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3、工艺：工程塑料护角，圆滑设计，防止划伤，增强五金配件，稳固耐用，调节轻松省力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50</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二楼图书阅览室/国学堂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1、规格尺寸：800mm*800mm（前后误差不得超过10mm）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2、采用实木材开料制作，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3、油漆：选用优质环保油漆，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4、产品美观、无气味、不变色，光滑耐磨；表面光亮平整、无颗粒、无毒害、易清洁；提供质检报告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休闲椅</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1、规格尺寸：510mm*520mm*800mm（前后误差不得超过10mm）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2、须采用实木材开料制作，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3、油漆：须选用优质环保油漆，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4、要求产品美观、无气味、不变色，光滑耐磨；表面光亮平整、无颗粒、无毒害、易清洁，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53</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1、尺寸：2000mmX3000mmX4（前后误差不得超过10mm）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二楼助农直播间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直播桌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1、规格尺寸：800mm*2200mm（前后误差不得超过10mm）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2.主材：须采用优质E1级环保中密度纤维板，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3.油漆：底漆须采用环保油漆，面漆须采用环保聚脂漆，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4.粘合剂：须采用环保胶水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直播椅</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1、规格尺寸：420mm*450mm*800mm（前后误差不得超过10mm）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2、饰面：要求采用优质网布，厚度1.3mm，防潮、防污易清洁等，皮面更加柔软舒适，光泽持久，透气性好，手感柔软，纹理细腻，富有弹性，具有冬暖夏凉的效果。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3、钢管：须测试可承受320KG压力，平稳、无漏气、无燥音，防锈无损。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4、海绵：须采用高密度成型PU阻燃泡棉，软硬适中，回弹力不低于70%，抗疲劳力强，坐感舒适。椅身、座板、优质网布、高密度PU气泡海绵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休闲椅</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1、规格尺寸：600mm*600mm（前后误差不得超过10mm）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2、饰面：要求采用优质西皮饰面；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3、皮面光泽度好，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4、透气性强，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5、经液态浸色及防潮、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6、防污等工艺处理，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7、海绵：要求采用一次成型优质环保PU高弹55#高密度泡绵，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8、理化性能符合国家现行标准；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9、框架：仿橡木实木色金属，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10、油漆：须采用优质环保型油漆,光滑耐磨，手感好，色泽美观，具防刮；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1、规格尺寸：600mm*600mm（前后误差不得超过10mm）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2.主材：须采用优质E1级环保中密度纤维板，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3.油漆：环保油漆，面漆采用环保聚脂漆，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4.五金配件：符合国家或者行业标准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5.粘合剂：环保胶水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58</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二楼综治调解室/心灵驿站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成品置物柜</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1.尺寸：3000mm*300mm（前后误差不得超过10mm）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2.材质：表面为E1级板材符合国家甲醛释放标准，经过防虫，防腐等化学处理，饰面耐刮，耐磨，耐腐蚀，耐高温，简约现代。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调解桌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1.规格尺寸：600mm*1200mm（前后误差不得超过10mm）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2.主材：须采用优质E1级环保中密度纤维板，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3.油漆：底漆采用环保油漆，面漆采用环保聚脂漆，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4.粘合剂：环保胶水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调解座椅</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1.规格尺寸：570mm*490mm*860mm（前后误差不得超过10mm）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2.饰面：须采用进口网布，厚度1.3mm，防潮、防污易清洁等，皮面柔软舒适，光泽持久，透气性好，手感柔软，纹理细腻，富有弹性，具有冬暖夏凉的效果。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3、海绵：须采用高密度成型PU阻燃泡棉，软硬适中，回弹力不低于70%，抗疲劳力强，坐感舒适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休闲沙发(三人位)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1、规格尺寸：800mm*2000mm（前后误差不得超过10mm）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2、饰面：要求采用优质布艺饰面；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3、透气性强，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4、海绵：须采用一次成型优质环保PU高弹55#高密度泡绵，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5、理化性能符合国家现行标准；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6、框架：实木色金属，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7、油漆：须采用优质环保型油漆,光滑耐磨，手感好，色泽美观，具防刮；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沙盘游戏</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1、尺寸：720mm*650mm（前后误差不得超过10mm）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2、材质：须采用进口松木材质，无钢钉，实木榫卯结构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3、工艺：板面抛光打磨处理，环保喷漆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64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二楼综合功能室（社区社会组织孵化站/社工服务站/志愿者服务站/青少年之家）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1、规格尺寸：1400mm*700mm*760mm（前后误差不得超过10mm）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2、主材：表面为E1级板材符合国家甲醛释放标准，经过防虫，防腐等化学处理，饰面耐刮，耐磨，耐腐蚀，耐高温；                                                             3、配件：优质五金配件,经过防锈、防腐处理优质铝合金封边，简约现代；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4、油漆：采用优质环保油漆，经五底三面磨退工艺处理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1、规格尺寸：460mm*490mm*840mm（前后误差不得超过10mm）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2、饰面：须采用优质网布，厚度1.3mm，防潮、防污易清洁等，皮面更加柔软舒适，光泽持久，透气性好，手感柔软，纹理细腻，富有弹性，具有冬暖夏凉的效果。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3、钢管：测试可承受320KG压力，平稳、无漏气、无燥音，防锈无损。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4、海绵：须采用高密度成型PU阻燃泡棉，软硬适中，回弹力不低于70%，抗疲劳力强，坐感舒适。椅身、座板、优质网布、五星大脚，进口气杆配PU滑轮。高密度PU气泡海绵。豪华双功能高档底盘。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资料柜</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通双节，双开门。钥匙，采用一级电解钢板基材，0。6mm厚，经脱脂、除锈、磷化等多重工艺处理，不生锈；油漆采用环氧树脂和聚酯之混合型热固性粉沫涂料经静喷电涂。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休闲沙发(三人位)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1、规格尺寸：800mm*2000mm（前后误差不得超过10mm）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2、饰面：采用优质布艺饰面；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3、透气性强，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4、海绵：须采用一次成型优质环保PU高弹55#高密度泡绵，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5、理化性能符合国家现行标准；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6、框架：实木色金属，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7、油漆：须采用优质环保型油漆,光滑耐磨，手感好，色泽美观，具防刮；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茶几（长方形）</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1、规格尺寸：600mm*1000mm（前后误差不得超过10mm）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2.主材：须采用优质E1级环保中密度纤维板，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3.油漆：环保油漆，面漆采用环保聚脂漆，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4.五金配件：符合国家或行业标准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5.粘合剂：环保胶水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70</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三楼多功能会议室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主席台会议桌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1、规格尺寸：600mm*1200mm（前后误差不得超过10mm）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2.主材：采用优质环保中密度纤维板，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3.油漆：底漆采用环保油漆，面漆采环保聚脂漆，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4.粘合剂：环保胶水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主席台椅子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6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1、规格尺寸：570mm*490mm*860mm（前后误差不得超过10mm）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饰面：厚度1.3mm，防潮、防污易清洁等，皮面更加柔软舒适，光泽持久，透气性好，手感柔软，纹理细腻，富有弹性，具有冬暖夏凉的效果。3、海绵：高密度成型PU阻燃泡棉，软硬适中，回弹力不低于70%，抗疲劳力强，坐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会议桌（大）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20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1、规格：500mm*1400mm*750mm（前后误差不得超过10mm）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2、一级冷轧钢管（宝钢）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3、顶板1.5mm钢板冲压成型，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4、立柱1.2、底脚为60*30*T1.5蛋通，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5、层板为0.8mm钢板冲压折边，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6、表面全处理后高温静电喷涂。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7、手按折叠开关，</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8、带刹车PU静音轮。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9、板材采用优质三聚氰胺饰面的刨花板基材，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10、基材经过防虫防潮防腐处理，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11、表面防刮耐磨，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12、面板厚度25mm，2mmPVC封边，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13、挡板厚度15mm。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会议桌（小）</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1、规格：500mm*1400mm*750mm（前后误差不得超过10mm）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2、一级冷轧钢管（宝钢）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3、顶板1.5mm钢板冲压成型，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4、立柱1.2、底脚为60*30*T1.5蛋通，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5、层板为0.8mm钢板冲压折边，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6、表面全处理后高温静电喷涂。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7、手按折叠开关，</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8、带刹车PU静音轮。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9、板材采用优质三聚氰胺饰面的刨花板基材，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10、基材经过防虫防潮防腐处理，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11、表面防刮耐磨，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12、面板厚度25mm，2mmPVC封边，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13、挡板厚度15mm。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2"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82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1、规格尺寸：420mm*450mm*800mm（前后误差不得超过10mm）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2、饰面：须采用优质网布，厚度1.3mm，防潮、防污易清洁等，皮面更加柔软舒适，光泽持久，透气性好，手感柔软，纹理细腻，富有弹性，具有冬暖夏凉的效果。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3、钢管：平稳、无漏气、无燥音，防锈无损。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4、海绵：须采用高密度成型PU阻燃泡棉，软硬适中，回弹力不低于70%，抗疲劳力强，坐感舒适。椅身、座板、优质网布、高密度PU气泡海绵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7"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30 </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1、尺寸：2000mmX3000mmX5（前后误差不得超过10mm）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7、款式：普通打褶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三楼综合办公室（网格员办公室/退役军人之家）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16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1、规格尺寸：1400mm*700mm*760mm（前后误差不得超过10mm）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2、主材：表面为E1级板材符合国家甲醛释放标准，经过防虫，防腐等化学处理，饰面耐刮，耐磨，耐腐蚀，耐高温；                                                             3、配件：优质五金配件,经过防锈、防腐处理优质铝合金封边，简约现代；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4、油漆：采用优质环保油漆，经五底三面磨退工艺处理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1、规格尺寸：460mm*490mm*840mm（前后误差不得超过10mm）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2、饰面：须采用优质网布，厚度1.3mm，防潮、防污易清洁等，皮面更加柔软舒适，光泽持久，透气性好，手感柔软，纹理细腻，富有弹性，要求具有冬暖夏凉的效果。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3、钢管：平稳、无漏气、无燥音，防锈无损。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4、海绵：须采用高密度成型PU阻燃泡棉，软硬适中，回弹力不低于70%，抗疲劳力强，坐感舒适。椅身、座板、优质网布、五星大脚，进口气杆配PU滑轮。高密度PU气泡海绵。豪华双功能高档底盘。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资料柜</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1.尺寸：850mmX400mmX1800mm（前后误差不得超过10mm）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2.材料：通双节，双开门。钥匙，须采用一级电解钢板基材，0。6mm厚，经脱脂、除锈、磷化等多重工艺处理，不生锈；油漆采用环氧树脂和聚酯之混合型热固性粉沫涂料经静喷电涂。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80</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1.尺寸：2000mmX3000mmX6（前后误差不得超过10mm）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三楼人大代表之家（政协工作室）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1.00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1、规格尺寸：4200mm*1500mm*760mm（前后误差不得超过10mm）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2、主材：要求表面为E1级板材符合国家甲醛释放标准，经过防虫，防腐等化学处理，饰面耐刮，耐磨，耐腐蚀，耐高温；                                                             3、配件：须采用优质五金配件,经过防锈、防腐处理；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4、油漆：须采用优质环保油漆，经五底三面磨退工艺处理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1、规格尺寸：570mm*490mm*860mm（前后误差不得超过10mm）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2、饰面：须采用进口网布，厚度1.3mm，防潮、防污易清洁等，皮面柔软舒适，光泽持久，透气性好，手感柔软，纹理细腻，富有弹性，须具有冬暖夏凉的效果。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3、海绵：须采用高密度成型PU阻燃泡棉，软硬适中，回弹力不低于70%，抗疲劳力强，坐感舒适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83</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4、工作原理：拉珠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三楼党员活动室（议事堂）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6"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会议桌</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1、规格尺寸：4200mm*1500mm*760mm（前后误差不得超过10mm）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2、主材：表面须为E1级板材符合国家甲醛释放标准，经过防虫，防腐等化学处理，饰面耐刮，耐磨，耐腐蚀，耐高温；                                                             3、配件：须采用优质五金配件,经过防锈、防腐处理；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4、油漆：须采用优质环保油漆，经五底三面磨退工艺处理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会议椅子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26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1、规格尺寸：570mm*490mm*860mm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2、饰面：采用进口网布，厚度1.3mm，防潮、防污易清洁等，皮面柔软舒适，光泽持久，透气性好，手感柔软，纹理细腻，富有弹性，具有冬暖夏凉的效果。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3、海绵：高密度成型PU阻燃泡棉，软硬适中，回弹力不低于70%，抗疲劳力强，坐感舒适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86</w:t>
            </w:r>
          </w:p>
        </w:tc>
        <w:tc>
          <w:tcPr>
            <w:tcW w:w="1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5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4、工作原理：拉珠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三楼办公室（监委主任/监委委员/社区委员/社区主任）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6" w:hRule="atLeast"/>
          <w:jc w:val="center"/>
        </w:trPr>
        <w:tc>
          <w:tcPr>
            <w:tcW w:w="7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87</w:t>
            </w:r>
          </w:p>
        </w:tc>
        <w:tc>
          <w:tcPr>
            <w:tcW w:w="17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办公桌（大）</w:t>
            </w:r>
          </w:p>
        </w:tc>
        <w:tc>
          <w:tcPr>
            <w:tcW w:w="8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1、规格尺寸：2000mm*800mm*760mm（前后误差不得超过10mm）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2、主材：表面为E1级板材符合国家甲醛释放标准，经过防虫，防腐等化学处理，饰面耐刮，耐磨，耐腐蚀，耐高温；                                                             3、配件：优质五金配件,经过防锈、防腐处理优质铝合金封边，简约现代；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4、油漆：采用优质环保油漆，经五底三面磨退工艺处理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办公椅子（大）</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1、规格尺寸：570mm*490mm*860mm（前后误差不得超过10mm）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2、饰面：采用进口西皮，厚度1.3mm，防潮、防污易清洁等。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3、海绵：密度成型PU阻燃泡棉，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办公桌（小）</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1、规格尺寸：1400*700*760（前后误差不得超过10mm）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2、主材：表面为E1级板材符合国家甲醛释放标准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3、配件：优质五金配件,经过防锈、防腐处理优质铝合金封边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4、油漆：采用优质环保油漆，经五底三面磨退工艺处理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办公椅子（小）</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8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1、规格尺寸：460mm*490mm*840mm（前后误差不得超过10mm）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2、饰面：采用优质网布，厚度1.3mm，防潮、防污易清洁等，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3、钢管：可承受320KG压力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4、海绵：高密度成型PU阻燃泡棉，椅身、座板、优质网布、五星大脚，气杆配PU滑轮。高密度PU气泡海绵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资料柜</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1.尺寸：850mmX400mmX1800mm（前后误差不得超过10mm）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2.材料：通双节，双开门。钥匙，采用一级电解钢板基材，0。6mm厚，经脱脂、除锈、磷化等多重工艺处理，不生锈；油漆采用环氧树脂和聚酯之混合型热固性粉沫涂料经静喷电涂。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休闲沙发(三人位)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1、规格尺寸：800mm*2000mm（前后误差不得超过10mm）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2、饰面：采用优质西皮饰面；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3、皮面光泽度好，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4、透气性强，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5、经液态浸色及防潮、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6、防污等工艺处理，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7、海绵：采用一次成型优质环保PU高弹55#高密度泡绵，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8、理化性能符合国家现行标准；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9、框架：仿橡木实木色金属，</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10、油漆：采用优质环保型油漆,光滑耐磨，手感好，色泽美观，具防刮；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茶几（长方形）</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1、规格尺寸：600mm*1200mm（前后误差不得超过10mm）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2.主材：采用优质E1级“福人牌”环保中密度纤维板，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3.油漆：环保油漆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4.粘合剂：环保胶水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窗帘（布艺拉帘）</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24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1.尺寸：2000mmX3000mmX4（前后误差不得超过10mm）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2、材质：布艺、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3、功能:装饰+遮光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4、原料成分：涤纶，混纺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5、图案：纯色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6、风格：简约现代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7、款式：普通打褶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99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三楼档案室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95</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轨道资料柜(1列4组)</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m³</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25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1、规格：4860mm*3130mm*2200mm（前后误差不得超过10mm）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2、一级冷轧钢管（宝钢）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3、顶板1.5mm钢板冲压成型，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4、立柱1.2、底脚为60*30*T1.5蛋通，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5、层板为0.8mm钢板冲压折边，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6、表面全处理后高温静电喷涂。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7、手按折叠开关，</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8、带刹车PU静音轮。9、板材采用优质三聚氰胺饰面的刨花板基材，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10、基材经过防虫防潮防腐处理，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11、表面防刮耐磨，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12、面板厚度25mm，2mmPVC封边，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13、挡板厚度15mm。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窗帘（卷帘）</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12 </w:t>
            </w:r>
          </w:p>
        </w:tc>
        <w:tc>
          <w:tcPr>
            <w:tcW w:w="5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1.尺寸：2000mmX3000mmX2（前后误差不得超过10mm）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2、功能：全遮光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3、材质：pvc</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4、工作原理：拉珠 </w:t>
            </w:r>
          </w:p>
        </w:tc>
      </w:tr>
    </w:tbl>
    <w:p>
      <w:pPr>
        <w:rPr>
          <w:rFonts w:hint="eastAsia"/>
          <w:color w:val="auto"/>
        </w:rPr>
      </w:pPr>
      <w:r>
        <w:rPr>
          <w:rFonts w:hint="eastAsia"/>
          <w:color w:val="auto"/>
        </w:rPr>
        <w:br w:type="page"/>
      </w:r>
    </w:p>
    <w:p>
      <w:pPr>
        <w:pStyle w:val="19"/>
        <w:rPr>
          <w:rFonts w:hint="eastAsia"/>
          <w:color w:val="auto"/>
        </w:rPr>
      </w:pPr>
    </w:p>
    <w:tbl>
      <w:tblPr>
        <w:tblStyle w:val="25"/>
        <w:tblW w:w="90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881"/>
        <w:gridCol w:w="1581"/>
        <w:gridCol w:w="4452"/>
        <w:gridCol w:w="718"/>
        <w:gridCol w:w="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1"/>
                <w:szCs w:val="21"/>
                <w:u w:val="none"/>
                <w:lang w:val="en-US" w:eastAsia="zh-CN" w:bidi="ar"/>
              </w:rPr>
            </w:pPr>
            <w:bookmarkStart w:id="146" w:name="RANGE!A1:F88"/>
            <w:r>
              <w:rPr>
                <w:rFonts w:hint="eastAsia" w:ascii="宋体" w:hAnsi="宋体" w:eastAsia="宋体" w:cs="宋体"/>
                <w:b/>
                <w:bCs/>
                <w:color w:val="auto"/>
                <w:kern w:val="0"/>
                <w:sz w:val="21"/>
                <w:szCs w:val="21"/>
              </w:rPr>
              <w:t>设备采购清单</w:t>
            </w:r>
            <w:bookmarkEnd w:id="14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宋体"/>
                <w:b/>
                <w:bCs/>
                <w:color w:val="auto"/>
                <w:kern w:val="0"/>
                <w:sz w:val="21"/>
                <w:szCs w:val="21"/>
                <w:lang w:val="en-US" w:eastAsia="zh-CN"/>
              </w:rPr>
              <w:t>项数</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b/>
                <w:bCs/>
                <w:color w:val="auto"/>
                <w:kern w:val="0"/>
                <w:sz w:val="21"/>
                <w:szCs w:val="21"/>
              </w:rPr>
              <w:t>名称</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b/>
                <w:bCs/>
                <w:color w:val="auto"/>
                <w:kern w:val="0"/>
                <w:sz w:val="21"/>
                <w:szCs w:val="21"/>
              </w:rPr>
              <w:t>规格</w:t>
            </w:r>
          </w:p>
        </w:tc>
        <w:tc>
          <w:tcPr>
            <w:tcW w:w="4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b/>
                <w:bCs/>
                <w:color w:val="auto"/>
                <w:kern w:val="0"/>
                <w:sz w:val="21"/>
                <w:szCs w:val="21"/>
              </w:rPr>
              <w:t>参数要求</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b/>
                <w:bCs/>
                <w:color w:val="auto"/>
                <w:kern w:val="0"/>
                <w:sz w:val="21"/>
                <w:szCs w:val="21"/>
              </w:rPr>
              <w:t>单位</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b/>
                <w:bCs/>
                <w:color w:val="auto"/>
                <w:kern w:val="0"/>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一楼便民服务大厅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5"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97</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智慧大屏</w:t>
            </w: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（室内全彩P2）屏幕3930mmX2490mm</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1、像素间距：≤2mm，像素密度≥250000点/㎡；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2、模组尺寸：320mm*160mm；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3、屏体亮度（室内）：≥600cd/㎡；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4、防护等级（室内）：IP54；</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5、整屏的平整度：≤0.05 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6、反光试验：屏体模组表面面色一致，反光率＜1cd/㎡，不反射环境光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7、可视角度：水平和垂直≥175°</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8、亮度均匀性：≥99%；</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9、色度均匀性：＜±0.002 Cx，Cy之内；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10、对比度：静态 ≥10000：1，动态 ≥500000：1；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11、灰度等级：≥16Bit；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12、刷新频率：≥3840Hz；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13、驱动方式：恒流驱动；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14、峰值功耗：≤150W/㎡（室内）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15、平均功耗：≤75W/㎡；（室内）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16、工作时间：支持7*24小时无间断工作无故障，画面稳定；</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电源</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1、泄漏电流：泄漏电流≤0.25mA</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2、接地阻抗：外壳与大地阻抗≤10mΩ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3、保护功能：输入AC端自带保护盖，且具备过流、断路、短路、过压、欠压、防雷等保护功能4、抗电强度：输入对输出，AC2000V/1min；输入对地，AC1500V/1min；输出对地，AC500V/1min</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5、平均无故障时间：MTBF≥10000H</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6、输入电压范围：180VAC～264VAC</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接收卡</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1、单卡最大带载 512×512像素，支持 32组 RGB 并行数据。采用16个HUB75接口，具有高稳定性和高可靠性，适用于多种环境的搭建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2、支持逐点亮色度校正，配合调试软件和校正软件，对每个灯点的亮度和色度进行校正。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3、支持配合支持 3D 功能的独立主控，在调试软件或独立主控的操作面板上开启 3D 功能，并设置 3D 参数，使画面显示 3D 效果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4、支持四种级联方向（0°/90°/180°/270°）的画面进行切换。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5、须支持连接多功能卡。</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专业主控</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1、最大带载390万像素，最宽8192像素，最高4096点，HDMI×1、DVI×2、SDI×1,4输入3画面，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2、位置、大小自由调节；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3、最大输入分辨率1920*1200@60Hz，支持分辨率任意设置；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4、支持串口控制，支持双USB2.0控制和级联</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控制主机</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1、配置：CPU:i5 7500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2、内存：16G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3、硬盘1T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4、无驱</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5、4G独显</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6、系统W10   13.6L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7、主机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8、21.5寸显示器</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配电箱</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1、箱体尺寸：300mm*400mm*130mm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2、输入电压：380V</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3、输出路数：3路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4、主电源线：GB-6平方以上</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5、主零线：GB-16平方以上</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6、分电源线：GB-2.5~4平方</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结构/框架/安装调试</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1.尺寸：3930mmX2490mm（前后误差不得超过10mm）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2.镀锌方管及LED屏边框铝材</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电线/网线/音频线</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6平/2.5/6类/200支</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无线投屏器</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1.CPU 4核 ARM A53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2.有线网络 100Mbps</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3.输出分辨率 1024×768，1280×720，1280×800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1920×1080，1920×1200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4.接收帧率 25fps及以下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5.平均传输延时 &lt;150ms@10m/1080P</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6.可视传输距离 &gt;30m@1080P</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吸顶音响</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 240*155 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2.额定功率 30W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3.输入 70V/100V/8Ω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4.频响 100-20kHz</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合并式功放</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电源管理器</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1、采用30A优质继电器。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2、可控制电源:8路。直通输出：2路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3、可每路独立控制开关，后板加外接总控制。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4、带交流电压显示屏,显示当前使用电压数值。</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6、每路输出采用万能插座,适合各种类型插头使用。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7、USB5V输出 供电LED灯照明。</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8、8路电源时序控制，每路延时1秒。</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9、单路输出最大极限功率13A 3000W,整机额定输出总功率7920W。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10、大功率线路,主电源线为规格:3X6平方，长度:1米。</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11、输入电压(110V~230V)可选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12、空气开关保护漏电短路过载。</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55寸立式电子屏</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1、尺寸：1915mm*748mm*450mm（前后误差不得超过10mm）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2、CPU：六代i5 8+256g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3、亮度：300cd/㎡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4、对比度：1200：1（Typ.）透射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5、响应时间：≦6.5ms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6、功率：≦180W</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99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服务台办公电脑</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1、配置：CPU:I5-12400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2、内存：8G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3、硬盘:512G固态硬盘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4、显示器：23.8寸</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服务台打印机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1.尺寸：428*364*199mm（前后误差不得超过10mm）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2.功能：打印、复印、扫描 一体机、激光、黑白</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服务台LED(P5单色屏）</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7360mmX320mm</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1.尺寸：7386mmX394mm（前后误差不得超过10mm）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2.分辨率：1920*1080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3.刷新率：60Hz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4.曲率：平面</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茶水间开水机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1、尺寸：300mm*192mm*415mm（前后误差不得超过10mm）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2、工艺：要求采用电子冰胆制冷技术，升级稀土后膜加热技术，拦截杂质，有效过滤水中细微，铁锈，泥沙等有害物质</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一楼老人活动中心/长者饭堂/书画室/茶艺室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85英寸广告机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1.尺寸：1964mm*1168mm*104mm（前后误差不得超过10mm）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2.点距:0.105 mm * 0.315 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3.亮度:300cd/㎡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4.对比度:1200：1（Typ.）透射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5.可视角度:178°,178°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6.响应时间: ≦6.5ms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7.功率:≦180W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8.工作电压:100V-240VAC,50/60Hz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9.扬声器: 8Ω10W*2</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移动支架</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1.尺寸：660mm*1300mm*1600mm（前后误差不得超过10mm）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105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专业功放</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壁挂音响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1、尺寸：220*375*230mm（前后误差不得超过10mm）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2、额定功率RMS :150W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3、连续功率 :300W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4、最大功率 :600W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5、灵敏度（1W/1M）:  93dB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6、最大声压级：108dB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7、频率响应 ：75Hz-20KHz（±3db）</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107</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茶水间开水机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1、尺寸：300mm*192mm*415mm（前后误差不得超过10mm）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2、工艺：要求采用电子冰胆制冷技术，升级稀土后膜加热技术，拦截杂质，有效过滤水中细微，铁锈，泥沙等有害物质</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药箱</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1、尺寸：300mm*217mm*240mm（前后误差不得超过10mm）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2、材质：优质铝合金，铝塑板面板，不锈钢包角，健康PP材质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3、工艺：耐用、防滑耐磨、抗摔、抗压</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健康体测机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1、尺寸：682mm*450mm*1107mm（前后误差不得超过10mm）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2、结构组成：大触屏，全新UI设计，带有体侧数据曲线，可扫码查看报告</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参数要求：体重、去脂体重（FFM）、肌肉量、总水分（TBW）、细胞内液/外液、水肿系数、蛋白质、骨质、脂肪、体脂百分比（PBF）、骨骼肌、体质指数（BMI）、腰臀比（WHR）、内脏脂肪水平、身体各成分百分比、肥胖度、体型类型、四肢骨骼肌指数（ASMI)、身体年龄、健康评分</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一楼警务室/综治/监控室/微型消防站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监控屏幕</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65英寸壁挂电视机</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1、尺寸：1445mm*838mm（前后误差不得超过10mm）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2、分辨率：3840*2160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3、HDMI接口：2×HDMI</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4、背光方式直下式/DLED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5、HDMI接口2×HDMI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6、网络接口1×网络接口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7、USB接口1×USB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8、其他接口AV输入，RF输入，RS232，同轴输出</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111</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控制电脑</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1、配置：CPU:I5-12400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2、内存：8G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3、硬盘:512G固态硬盘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4、显示器：23.8寸</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一楼儿童助长中心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85英寸广告机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1.尺寸：1964mm*1168mm*104mm（前后误差不得超过10mm）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2.点距:0.105 mm * 0.315 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3.亮度:300cd/㎡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4.对比度:1200：1（Typ.）透射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5.可视角度:178°,178°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6.响应时间: ≦6.5ms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7.功率:≦180W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8.工作电压:100V-240VAC,50/60Hz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9.扬声器: 8Ω10W*2</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壁挂伸缩支架</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1、尺寸：1496mm*905.90（前后误差不得超过10mm）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二楼舞蹈排练室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85英寸广告机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1.尺寸：1964mm*1168mm*104mm（前后误差不得超过10mm）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2.点距:0.105 mm * 0.315 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3.亮度:300cd/㎡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4.对比度:1200：1（Typ.）透射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5.可视角度:178°,178°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6.响应时间: ≦6.5ms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7.功率:≦180W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8.工作电压:100V-240VAC,50/60Hz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9.扬声器: 8Ω10W*2</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移动支架</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1.尺寸：660mm*1300mm*1600mm（前后误差不得超过10mm）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专业功放</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117</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壁挂音响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1、尺寸：220*375*230mm（前后误差不得超过10mm）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2、额定功率RMS :150W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3、连续功率 :300W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4、最大功率 :600W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5、灵敏度（1W/1M）:  93dB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6、最大声压级：108dB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7、频率响应 ：75Hz-20KHz（±3db）</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二楼音乐教室/培训室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85英寸广告机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1.尺寸：1964mm*1168mm*104mm（前后误差不得超过10mm）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2.点距:0.105 mm * 0.315 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3.亮度:300cd/㎡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4.对比度:1200：1（Typ.）透射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5.可视角度:178°,178°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6.响应时间: ≦6.5ms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7.功率:≦180W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8.工作电压:100V-240VAC,50/60Hz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9.扬声器: 8Ω10W*2</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移动支架</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1.尺寸：660mm*1300mm*1600mm（前后误差不得超过10mm）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专业功放</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壁挂音响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1、尺寸：220*375*230mm（前后误差不得超过10mm）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2、额定功率RMS :150W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3、连续功率 :300W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4、最大功率 :600W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5、灵敏度（1W/1M）:  93dB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6、最大声压级：108dB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7、频率响应 ：75Hz-20KHz（±3db）</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二楼助农直播室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电脑（台式一体机）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1、配置：CPU:I5-12400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2、内存：16G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3、硬盘:512G固态硬盘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4、显示器：27寸</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65英寸液晶显示屏（直播数据）</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1、尺寸：220mm*375mm*230mm（前后误差不得超过10mm）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2、系统：Android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3、背光方式直下式/DLED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4、图像技术HDR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5、HDR显示支持，HDR10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6、其他接口AV输入，RF输入，RS232，同轴输出</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移动支架</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1、尺寸要求：460mm*720mm*430mm（前后误差不得超过10mm）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400W直播补光灯led摄影太阳灯</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400W（立）式</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400W（立）式</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盏</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南冠环形灯美颜灯</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外径480mm</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外径480mm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盏</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二楼成果展示馆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127</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展厅显示屏</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55英寸壁挂广告机</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1、尺寸：1229mm*709mm（前后误差不得超过10mm）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2、对比度 3000:1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3、分辨率 1920（RGB）*1080（FHD)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4、输入电压 AC110-240V</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界面设计，资料收集整理</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界面软件，界面设计，内容收集整理制作</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壁挂伸缩支架</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1、尺寸：640mm*132mm（前后误差不得超过10mm）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0"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128</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展厅高清投影机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工程投影机</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1、尺寸：337mm *265mm *122mm(前后误差不得超过10mm)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2、流明度：5000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3、对比度：300000 :1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4、分辨率 :1920x1080(1080P)</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5、可显示色彩 1073.4百万色(10 bit)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6、投影镜头：1.6x镜头，</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Wide2.5~ tele 3.26，20.913(wide)~32.626mm(tele)</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7、投影尺寸(对角线)：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20.2”~320.4” (optimized@60’’)（16:9）</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8、投射比/offset：1.4-2.24/100%-116%±5%</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9、数字梯形校正：垂直±30°，水平±30°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10、镜头位移范围：垂直: 0 ~ +16%幕高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11、影像格式：16:9, 兼容4:3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12、扫描频率：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水平：15.7 ~91.1 KHz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垂直：24 ~85 Hz(120Hzfor3D)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13、计算机兼容格式：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UHD,WUXGA,1080P,UXGA, SXGA+,SXGA，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WXGA+,WXGA,720P,XGA,SVGA,VGA Compression, VESA standards,PC &amp; Macintosh compatible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14、视频兼容格式：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HDTV(720p,1080i/p), SDTV (480i/p, 576i/p),NTSC, PAL ,SECAM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15、3D 兼容性 Computer:</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1280x720/1024x768/800x600@120Hz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16、信号输出入接口：HDMIx2，VGA In x1，Composite x 1，Audio input x2，3D SYNC x1，MIC Inx1，12v out x1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VGA out x1，Audio outputx1，USB-Ax1，Micro USB (for service)，RS232(9pin)x1， RJ45x1(LAN)x 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17、均匀度：85%</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短焦镜头</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型号：定制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0.8-1短焦镜头</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图形处理器（控制主机）</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1、配置：CPU:I5-12400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2、内存：16G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3、硬盘:512G固态硬盘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4、显卡：独立显卡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专业音箱</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1、尺寸：220*375*230mm（前后误差不得超过10mm）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2、额定功率RMS :150W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3、连续功率:300W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4、最大功率:600W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5、灵敏度（1W/1M）：93dB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6、最大声压级：108dB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7、频率响应：75Hz-20KHz（±3db）</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只</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专业功放</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机柜</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1、尺寸：600mm*600mm*1200mm（前后误差不得超过10mm）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2、24U网络机柜</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三楼多功能会议室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129</w:t>
            </w:r>
          </w:p>
        </w:tc>
        <w:tc>
          <w:tcPr>
            <w:tcW w:w="8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LED条屏（单色屏幕p5)</w:t>
            </w:r>
          </w:p>
        </w:tc>
        <w:tc>
          <w:tcPr>
            <w:tcW w:w="15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1、尺寸：6170mm*545mm（前后误差不得超过10mm）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2、分辨率：1920*1080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3、刷新率：60Hz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4、曲率：平面</w:t>
            </w:r>
          </w:p>
        </w:tc>
        <w:tc>
          <w:tcPr>
            <w:tcW w:w="7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高清投影仪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1、尺寸：486*392.4*185.5mm（前后误差不得超过10mm）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2、分辨率：1920 x 1200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3、对比度：300000 :1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4、分辨率 :1920x1080(1080P)</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5、可显示色彩 1073.4百万色 (10 bit)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6、投影镜头 F#2.0~2.32，f=18.07~22.59，1.25X电动聚焦/变焦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7、投影尺寸(对角线)  50”~300”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8、投射比 1.22~1.52</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9、数字梯形校正 V± 40°, H± 30°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10、镜头位移范围 垂直: ±50% ±5%；水平: ±15% ±5%；</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11、影像格式 16:10,16:9,4:3,自动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12、扫描频率：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水平: 15.375 ~91.146 KHz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垂直：24 ~85 Hz(120Hz for 3D)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13、计算机兼容格式：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4K,WUXGA,1080P,UXGA, SXGA+,SXGA,WXGA+,WXGA,720P,XGA,SVGA,VGA Compression,VESAstandards,PC&amp;Macintosh compatible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14、视频兼容格式：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HDTV(720p,1080i/p), SDTV (480i/p, 576i/p),NTSC, PAL ,SECAM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15、信号输出入接口：HDMI in x2，RS232(9pin) x1，LAN x1，12V out x1，Remote In x1,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Audio out x1，USB A x1, 3D sync in x1, 3D sync out x1,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16、均匀度：85%</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27)自定义开机画面：用户可自己设置特定的图片作为投影机的开机画面使用。</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投影幕布</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150寸</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1、尺寸：3320*2030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2、材质：金属外壳，电动控制，4K画质高增益</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设备柜</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1、尺寸：600*600*1200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2、24U网络机柜</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效果器</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1、尺寸：485mm*220mm*44mm（前后误差不得超过5mm）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2、信噪比：前级118dB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3、自动音源选择，光纤同轴输入，变调，6通道独立调节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4、前级要求：相位、频响、能做平直曲线的前级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5、音乐15PEQ+双路话筒20PEQ+5混响</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6、免驱式USB直连，免驱式WIFI无线控制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7、5混响技术，须具有强大的包围感、修饰度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8、须具备软件联机密码功能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9、要求无限次开机次数锁功能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专业功放</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壁挂音箱</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1、尺寸：220*375*230mm（前后误差不得超过5mm）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2、额定功率RMS :150W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3、连续功率 :300W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4、最大功率 :600W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5、灵敏度（1W/1M）：93dB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6、最大声压级：108dB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7、频率响应 ：75Hz-20KHz（±3db）</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会议鹅颈麦</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一拖四</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1、尺寸：480mm*190mm*497mm（前后误差不得超过5mm）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2、须使用UHF470-960MHz频段，避免干扰频率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3、须采用DSP高频及中频滤波，充分消除干扰信号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4、须采用低电压设计，要求电池电压低到2.2V仍可以工作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5、须采用ALC电路，避免音量过大而失真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6、须采用低功耗元器件，延长电池使用寿命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7、要求采用音频压缩扩展技术，减少噪音，动态范围加大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8、须设有压缩减弱功能，能够有效减少回输啸叫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9、须具备噪音静噪功能，拒绝外部干扰打开本机蔽音系统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10、要求可接调音台和Karaok放大器，须可用超长距离的连接线</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137</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会议无线投屏器</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1、尺寸：167mm*135mm*90mm（前后误差不得超过5mm）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2.CPU 4核 ARM A53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3、有线网络 100Mbps</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4、输出分辨率 1024×768，1280×720，1280×800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1920×1080，1920×1200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5、接收帧率 25fps及以下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6、平均传输延时 &lt;150ms@10m/1080P</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7、可视传输距离 &gt;30m@1080P</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138</w:t>
            </w:r>
          </w:p>
        </w:tc>
        <w:tc>
          <w:tcPr>
            <w:tcW w:w="8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笔记本电脑</w:t>
            </w:r>
          </w:p>
        </w:tc>
        <w:tc>
          <w:tcPr>
            <w:tcW w:w="15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1、尺寸：310mm×175mm（前后误差不得超过5mm）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2、CUP：I5-1155G7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3、内寸：8G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4、硬盘：512G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5、显卡：集显</w:t>
            </w:r>
          </w:p>
        </w:tc>
        <w:tc>
          <w:tcPr>
            <w:tcW w:w="7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0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三楼党员活动室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139</w:t>
            </w:r>
          </w:p>
        </w:tc>
        <w:tc>
          <w:tcPr>
            <w:tcW w:w="8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LED条屏（单色屏幕p5)</w:t>
            </w:r>
          </w:p>
        </w:tc>
        <w:tc>
          <w:tcPr>
            <w:tcW w:w="15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1、尺寸：5100mmX500mm（前后误差不得超过10mm）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2、分辨率：1920*1080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3、刷新率：60Hz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4、曲率：平面</w:t>
            </w:r>
          </w:p>
        </w:tc>
        <w:tc>
          <w:tcPr>
            <w:tcW w:w="7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7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高清投影仪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1、尺寸：486mm x 392.4mm x185.5mm（前后误差不超过10mm）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2、分辨率： 1920 x 1200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3、对比度：300000 :1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4、分辨率 :1920x1080(1080P)</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5、可显示色彩 1073.4百万色 (10 bit)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6、投影镜头 F#2.0~2.32，f=18.07~22.59，1.25X电动聚焦/变焦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7、投影尺寸(对角线)  50”~300”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8、投射比 1.22~1.52</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9、数字梯形校正 V± 40°, H± 30°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10、镜头位移范围 垂直: ±50% ±5%；水平: ±15% ±5%；</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11、影像格式 16:10,16:9,4:3,自动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12、扫描频率 水平 : 15.375 ~91.146 KHz / 垂直: 24 ~85 Hz(120Hz for 3D)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13、计算机兼容格式：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4K,WUXGA,1080P,UXGA, SXGA+,SXGA,WXGA+,WXGA,720P,XGA,SVGA,VGA Compression,VESAstandards,PC&amp;Macintosh compatible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14、视频兼容格式：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HDTV(720p,1080i/p), SDTV (480i/p, 576i/p),NTSC, PAL ,SECAM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15、信号输出入接口 HDMI in x2，RS232(9pin) x1，LAN x1，12V out x1，Remote In x1,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Audio out x1，USB A x1, 3D sync in x1, 3D sync out x1,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16.均匀度 85%</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投影幕布</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150寸</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1、尺寸：3320mm*2030mm（前后误差不得超过10mm）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2、材质：金属外壳，电动控制，4K画质高增益</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设备柜</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1、尺寸：600mm*600mm*1200mm（前后误差不得超过10mm）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2、24U网络机柜</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效果器</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1、尺寸：485mm x220mm x45mm（前后误差不得超过5mm）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2、信噪比前级118dB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3、须支持自动音源选择，光纤同轴输入，变调，6通道独立调节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4、前级：要求相位、频响、能做平直曲线的前级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5、音乐15PEQ+双路话筒20PEQ+5混响</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6、须支持免驱式USB直连，免驱式WIFI无线控制，要求能解决一切链接问题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7、5混响技术，具备强大的包围感、修饰度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8、须具有软件联机密码功能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9、须具有无限次开机次数锁功能</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专业功放</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1、尺寸：.490×400×145（mm）（前后误差不得超过5mm）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2、输出功率：500W+500W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3、频率响应：.20Hz～20KHz±1dB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4、低频.：80Hz±10dB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5、高频：12KHz±10dB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6、音箱阻抗：4－16ohm</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壁挂音箱</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1、尺寸：220mm*375mm*230mm（前后误差不超过10mm）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2、额定功率RMS :150W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3、连续功率 :300W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4、最大功率 :600W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5、灵敏度（1W/1M）:  93dB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6、最大声压级：108dB SPL</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7、频率响应 ：75Hz-20KHz（±3db）</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会议鹅颈麦</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一拖四</w:t>
            </w: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1、尺寸：480mm*190mm*497mm（前后误差不超过10mm）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2、使用UHF470-960MHz频段，避免干扰频率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3、采用DSP高频及中频滤波，充分消除干扰信号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4、采用低电压设计，电池电压低到2.2V仍可以工作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5、采用特别ALC电路不用担心音量过大而失真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6、采用低功耗元器件，电池使用寿命延长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7、采用音频压缩扩展技术，减少噪音，动态范围加大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8、设有压缩减弱功能，有效减少回输啸叫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9、独特的噪音静噪功能，拒绝外部干扰打开本机蔽音系统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10、可接调音台和Karaok放大器，可用超长距离的连接线</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147</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会议无线投屏器</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1、尺寸：167mm*135mm*90mm（前后误差不超过10mm）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2、CPU 4核 ARM A53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3、有线网络 100Mbps</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4、输出分辨率 1024×768，1280×720，1280×800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1920×1080，1920×1200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5、接收帧率 25fps及以下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6、平均传输延时 &lt;150ms@10m/1080P</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7、可视传输距离 &gt;30m@1080P</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笔记本电脑</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1"/>
                <w:szCs w:val="21"/>
                <w:u w:val="none"/>
              </w:rPr>
            </w:pPr>
          </w:p>
        </w:tc>
        <w:tc>
          <w:tcPr>
            <w:tcW w:w="4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1、尺寸：310mm×175mm（前后误差不得超过5mm）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2、CUP：I5-1155G7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3、内寸：8G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4、硬盘：512G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5、显卡：集显</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r>
    </w:tbl>
    <w:p>
      <w:pPr>
        <w:numPr>
          <w:ilvl w:val="0"/>
          <w:numId w:val="0"/>
        </w:numPr>
        <w:rPr>
          <w:rFonts w:hint="eastAsia"/>
          <w:color w:val="auto"/>
          <w:lang w:val="en-US" w:eastAsia="zh-CN"/>
        </w:rPr>
      </w:pPr>
      <w:r>
        <w:rPr>
          <w:rFonts w:hint="eastAsia"/>
          <w:color w:val="auto"/>
          <w:lang w:val="en-US" w:eastAsia="zh-CN"/>
        </w:rPr>
        <w:t xml:space="preserve"> </w:t>
      </w:r>
    </w:p>
    <w:p>
      <w:pPr>
        <w:numPr>
          <w:ilvl w:val="0"/>
          <w:numId w:val="0"/>
        </w:numPr>
        <w:rPr>
          <w:rFonts w:hint="eastAsia"/>
          <w:b/>
          <w:bCs/>
          <w:color w:val="auto"/>
          <w:sz w:val="28"/>
          <w:szCs w:val="28"/>
          <w:lang w:val="en-US" w:eastAsia="zh-CN"/>
        </w:rPr>
      </w:pPr>
      <w:r>
        <w:rPr>
          <w:rFonts w:hint="eastAsia" w:ascii="Calibri" w:hAnsi="Calibri" w:eastAsia="宋体" w:cs="Times New Roman"/>
          <w:b/>
          <w:bCs/>
          <w:color w:val="auto"/>
          <w:kern w:val="2"/>
          <w:sz w:val="28"/>
          <w:szCs w:val="28"/>
          <w:lang w:val="en-US" w:eastAsia="zh-CN" w:bidi="ar-SA"/>
        </w:rPr>
        <w:t>二、</w:t>
      </w:r>
      <w:r>
        <w:rPr>
          <w:rFonts w:hint="eastAsia"/>
          <w:b/>
          <w:bCs/>
          <w:color w:val="auto"/>
          <w:sz w:val="28"/>
          <w:szCs w:val="28"/>
          <w:lang w:val="en-US" w:eastAsia="zh-CN"/>
        </w:rPr>
        <w:t>商务要求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default" w:ascii="宋体" w:hAnsi="宋体" w:eastAsia="宋体"/>
          <w:color w:val="auto"/>
          <w:sz w:val="24"/>
          <w:u w:val="none"/>
          <w:lang w:val="en-US" w:eastAsia="zh-CN"/>
        </w:rPr>
      </w:pPr>
      <w:r>
        <w:rPr>
          <w:rFonts w:hint="eastAsia" w:ascii="宋体" w:hAnsi="宋体" w:eastAsia="宋体"/>
          <w:color w:val="auto"/>
          <w:sz w:val="24"/>
          <w:u w:val="none"/>
          <w:lang w:val="en-US" w:eastAsia="zh-CN"/>
        </w:rPr>
        <w:t>1、合同履行期限（交货期）：</w:t>
      </w:r>
      <w:r>
        <w:rPr>
          <w:rFonts w:hint="eastAsia" w:ascii="宋体" w:hAnsi="宋体"/>
          <w:color w:val="auto"/>
          <w:sz w:val="24"/>
          <w:u w:val="none"/>
          <w:lang w:val="en-US" w:eastAsia="zh-CN"/>
        </w:rPr>
        <w:t>自合同签订生效之日起 90 日历天内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olor w:val="auto"/>
          <w:sz w:val="24"/>
          <w:u w:val="none"/>
        </w:rPr>
      </w:pPr>
      <w:r>
        <w:rPr>
          <w:rFonts w:hint="eastAsia" w:ascii="宋体" w:hAnsi="宋体" w:eastAsia="宋体"/>
          <w:color w:val="auto"/>
          <w:sz w:val="24"/>
          <w:u w:val="none"/>
          <w:lang w:val="en-US" w:eastAsia="zh-CN"/>
        </w:rPr>
        <w:t>2</w:t>
      </w:r>
      <w:r>
        <w:rPr>
          <w:rFonts w:hint="eastAsia" w:ascii="宋体" w:hAnsi="宋体" w:eastAsia="宋体"/>
          <w:color w:val="auto"/>
          <w:sz w:val="24"/>
          <w:u w:val="none"/>
        </w:rPr>
        <w:t>、</w:t>
      </w:r>
      <w:r>
        <w:rPr>
          <w:rFonts w:ascii="宋体" w:hAnsi="宋体" w:eastAsia="宋体"/>
          <w:color w:val="auto"/>
          <w:sz w:val="24"/>
          <w:u w:val="none"/>
        </w:rPr>
        <w:t>质量保证</w:t>
      </w:r>
      <w:r>
        <w:rPr>
          <w:rFonts w:hint="eastAsia" w:ascii="宋体" w:hAnsi="宋体" w:eastAsia="宋体"/>
          <w:color w:val="auto"/>
          <w:sz w:val="24"/>
          <w:u w:val="none"/>
        </w:rPr>
        <w:t>：</w:t>
      </w:r>
      <w:r>
        <w:rPr>
          <w:rFonts w:ascii="宋体" w:hAnsi="宋体" w:eastAsia="宋体"/>
          <w:color w:val="auto"/>
          <w:sz w:val="24"/>
          <w:u w:val="none"/>
        </w:rPr>
        <w:t xml:space="preserve"> </w:t>
      </w:r>
    </w:p>
    <w:p>
      <w:pPr>
        <w:spacing w:line="560" w:lineRule="exact"/>
        <w:ind w:firstLine="480" w:firstLineChars="200"/>
        <w:jc w:val="left"/>
        <w:rPr>
          <w:rFonts w:ascii="宋体" w:hAnsi="宋体" w:eastAsia="宋体"/>
          <w:color w:val="auto"/>
          <w:sz w:val="24"/>
          <w:u w:val="none"/>
        </w:rPr>
      </w:pPr>
      <w:r>
        <w:rPr>
          <w:rFonts w:hint="eastAsia" w:ascii="宋体" w:hAnsi="宋体" w:eastAsia="宋体"/>
          <w:color w:val="auto"/>
          <w:sz w:val="24"/>
          <w:u w:val="none"/>
        </w:rPr>
        <w:t>供应商</w:t>
      </w:r>
      <w:r>
        <w:rPr>
          <w:rFonts w:ascii="宋体" w:hAnsi="宋体" w:eastAsia="宋体"/>
          <w:color w:val="auto"/>
          <w:sz w:val="24"/>
          <w:u w:val="none"/>
        </w:rPr>
        <w:t>保证提供的货物必须为正规渠道销售的货物，为全新未使用过的，并完全符合国家、行业标准以及</w:t>
      </w:r>
      <w:r>
        <w:rPr>
          <w:rFonts w:hint="eastAsia" w:ascii="宋体" w:hAnsi="宋体"/>
          <w:color w:val="auto"/>
          <w:sz w:val="24"/>
          <w:u w:val="none"/>
          <w:lang w:val="en-US" w:eastAsia="zh-CN"/>
        </w:rPr>
        <w:t>响应文件</w:t>
      </w:r>
      <w:r>
        <w:rPr>
          <w:rFonts w:ascii="宋体" w:hAnsi="宋体" w:eastAsia="宋体"/>
          <w:color w:val="auto"/>
          <w:sz w:val="24"/>
          <w:u w:val="none"/>
        </w:rPr>
        <w:t>所响应的质量、规格和性能要求（须提供承诺函）。</w:t>
      </w:r>
      <w:r>
        <w:rPr>
          <w:rFonts w:hint="eastAsia" w:ascii="宋体" w:hAnsi="宋体" w:eastAsia="宋体"/>
          <w:color w:val="auto"/>
          <w:sz w:val="24"/>
          <w:u w:val="none"/>
        </w:rPr>
        <w:t>供应商</w:t>
      </w:r>
      <w:r>
        <w:rPr>
          <w:rFonts w:ascii="宋体" w:hAnsi="宋体" w:eastAsia="宋体"/>
          <w:color w:val="auto"/>
          <w:sz w:val="24"/>
          <w:u w:val="none"/>
        </w:rPr>
        <w:t>应保证所提供的货物经正确安装、正常运转和保养在其使用寿命期内具有满意的性能（须提供承诺函）。在货物质量保证期内，投标人应对由于设计、工艺或材料的缺陷而造成的任何不足或故障负责。</w:t>
      </w:r>
    </w:p>
    <w:p>
      <w:pPr>
        <w:spacing w:line="560" w:lineRule="exact"/>
        <w:ind w:firstLine="480" w:firstLineChars="200"/>
        <w:jc w:val="left"/>
        <w:rPr>
          <w:rFonts w:ascii="宋体" w:hAnsi="宋体" w:eastAsia="宋体"/>
          <w:color w:val="auto"/>
          <w:sz w:val="24"/>
          <w:u w:val="none"/>
        </w:rPr>
      </w:pPr>
      <w:r>
        <w:rPr>
          <w:rFonts w:hint="eastAsia" w:ascii="宋体" w:hAnsi="宋体" w:eastAsia="宋体"/>
          <w:color w:val="auto"/>
          <w:sz w:val="24"/>
          <w:u w:val="none"/>
        </w:rPr>
        <w:t>供应商</w:t>
      </w:r>
      <w:r>
        <w:rPr>
          <w:rFonts w:ascii="宋体" w:hAnsi="宋体" w:eastAsia="宋体"/>
          <w:color w:val="auto"/>
          <w:sz w:val="24"/>
          <w:u w:val="none"/>
        </w:rPr>
        <w:t>保证提供的货物不侵犯任何第三方的专利、商标或版权，否则投标人须承担由此对第三方的专利、商标或版权的侵权责任并承担因此而发生的所有费用，并按采购方要求更换或予以退货。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olor w:val="auto"/>
          <w:sz w:val="24"/>
          <w:u w:val="none"/>
        </w:rPr>
      </w:pPr>
      <w:r>
        <w:rPr>
          <w:rFonts w:hint="eastAsia" w:ascii="宋体" w:hAnsi="宋体" w:eastAsia="宋体"/>
          <w:color w:val="auto"/>
          <w:sz w:val="24"/>
          <w:u w:val="none"/>
          <w:lang w:val="en-US" w:eastAsia="zh-CN"/>
        </w:rPr>
        <w:t>3</w:t>
      </w:r>
      <w:r>
        <w:rPr>
          <w:rFonts w:hint="eastAsia" w:ascii="宋体" w:hAnsi="宋体" w:eastAsia="宋体"/>
          <w:color w:val="auto"/>
          <w:sz w:val="24"/>
          <w:u w:val="none"/>
        </w:rPr>
        <w:t>、</w:t>
      </w:r>
      <w:r>
        <w:rPr>
          <w:rFonts w:ascii="宋体" w:hAnsi="宋体" w:eastAsia="宋体"/>
          <w:color w:val="auto"/>
          <w:sz w:val="24"/>
          <w:u w:val="none"/>
        </w:rPr>
        <w:t>售后服务</w:t>
      </w:r>
    </w:p>
    <w:p>
      <w:pPr>
        <w:spacing w:line="560" w:lineRule="exact"/>
        <w:ind w:firstLine="480" w:firstLineChars="200"/>
        <w:jc w:val="left"/>
        <w:rPr>
          <w:rFonts w:ascii="宋体" w:hAnsi="宋体" w:eastAsia="宋体"/>
          <w:color w:val="auto"/>
          <w:sz w:val="24"/>
          <w:u w:val="none"/>
        </w:rPr>
      </w:pPr>
      <w:r>
        <w:rPr>
          <w:rFonts w:hint="eastAsia" w:ascii="宋体" w:hAnsi="宋体" w:eastAsia="宋体"/>
          <w:color w:val="auto"/>
          <w:sz w:val="24"/>
          <w:u w:val="none"/>
        </w:rPr>
        <w:t>（1）供应商</w:t>
      </w:r>
      <w:r>
        <w:rPr>
          <w:rFonts w:ascii="宋体" w:hAnsi="宋体" w:eastAsia="宋体"/>
          <w:color w:val="auto"/>
          <w:sz w:val="24"/>
          <w:u w:val="none"/>
        </w:rPr>
        <w:t>需提供售后服务方案，方案包含但不限于对质保期内的售后服务保障体系、维修响应时间、服务范围及质保期外的服务承诺等。</w:t>
      </w:r>
    </w:p>
    <w:p>
      <w:pPr>
        <w:spacing w:line="560" w:lineRule="exact"/>
        <w:ind w:firstLine="480" w:firstLineChars="200"/>
        <w:jc w:val="left"/>
        <w:rPr>
          <w:rFonts w:ascii="宋体" w:hAnsi="宋体" w:eastAsia="宋体"/>
          <w:color w:val="auto"/>
          <w:sz w:val="24"/>
          <w:u w:val="none"/>
        </w:rPr>
      </w:pPr>
      <w:r>
        <w:rPr>
          <w:rFonts w:hint="eastAsia" w:ascii="宋体" w:hAnsi="宋体" w:eastAsia="宋体"/>
          <w:color w:val="auto"/>
          <w:sz w:val="24"/>
          <w:u w:val="none"/>
        </w:rPr>
        <w:t>（2）</w:t>
      </w:r>
      <w:r>
        <w:rPr>
          <w:rFonts w:ascii="宋体" w:hAnsi="宋体" w:eastAsia="宋体"/>
          <w:color w:val="auto"/>
          <w:sz w:val="24"/>
          <w:u w:val="none"/>
        </w:rPr>
        <w:t>本项目的质保期最低为两年，质保期从整体验收合格之日起计算，免费上门服务。采购需求中免费保修期有特殊要求的按照采购需求中的为准。若厂家有超过期限免费保修期的按厂家方案执行。在质保期内，凡因正常使用出现质量问题，供应商应提供免费维修或咨询等服务，承担因此产生的一切费用。</w:t>
      </w:r>
    </w:p>
    <w:p>
      <w:pPr>
        <w:spacing w:line="560" w:lineRule="exact"/>
        <w:ind w:firstLine="480" w:firstLineChars="200"/>
        <w:jc w:val="left"/>
        <w:rPr>
          <w:rFonts w:ascii="宋体" w:hAnsi="宋体" w:eastAsia="宋体"/>
          <w:color w:val="auto"/>
          <w:sz w:val="24"/>
          <w:u w:val="none"/>
        </w:rPr>
      </w:pPr>
      <w:r>
        <w:rPr>
          <w:rFonts w:hint="eastAsia" w:ascii="宋体" w:hAnsi="宋体" w:eastAsia="宋体"/>
          <w:color w:val="auto"/>
          <w:sz w:val="24"/>
          <w:u w:val="none"/>
        </w:rPr>
        <w:t>（3）</w:t>
      </w:r>
      <w:r>
        <w:rPr>
          <w:rFonts w:ascii="宋体" w:hAnsi="宋体" w:eastAsia="宋体"/>
          <w:color w:val="auto"/>
          <w:sz w:val="24"/>
          <w:u w:val="none"/>
        </w:rPr>
        <w:t>供应商在接到采购人故障通知后0-3小时内响应，若需要到现场解决的故障，须在24小时内到达用户现场并排除缺陷，修理相关货物或解决相关问题，质保期结束后，供应商仍应负责对货物提供终生维修服务或对服务提供咨询服务，只收取配件成本或服务成本。</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olor w:val="auto"/>
          <w:sz w:val="24"/>
          <w:u w:val="none"/>
        </w:rPr>
      </w:pPr>
      <w:r>
        <w:rPr>
          <w:rFonts w:hint="eastAsia" w:ascii="宋体" w:hAnsi="宋体" w:eastAsia="宋体"/>
          <w:color w:val="auto"/>
          <w:sz w:val="24"/>
          <w:u w:val="none"/>
          <w:lang w:val="en-US" w:eastAsia="zh-CN"/>
        </w:rPr>
        <w:t>4</w:t>
      </w:r>
      <w:r>
        <w:rPr>
          <w:rFonts w:hint="eastAsia" w:ascii="宋体" w:hAnsi="宋体" w:eastAsia="宋体"/>
          <w:color w:val="auto"/>
          <w:sz w:val="24"/>
          <w:u w:val="none"/>
        </w:rPr>
        <w:t>、</w:t>
      </w:r>
      <w:r>
        <w:rPr>
          <w:rFonts w:ascii="宋体" w:hAnsi="宋体" w:eastAsia="宋体"/>
          <w:color w:val="auto"/>
          <w:sz w:val="24"/>
          <w:u w:val="none"/>
        </w:rPr>
        <w:t>验收标准：</w:t>
      </w:r>
    </w:p>
    <w:p>
      <w:pPr>
        <w:spacing w:line="560" w:lineRule="exact"/>
        <w:ind w:firstLine="480" w:firstLineChars="200"/>
        <w:jc w:val="left"/>
        <w:rPr>
          <w:rFonts w:ascii="宋体" w:hAnsi="宋体" w:eastAsia="宋体"/>
          <w:color w:val="auto"/>
          <w:sz w:val="24"/>
          <w:u w:val="none"/>
        </w:rPr>
      </w:pPr>
      <w:r>
        <w:rPr>
          <w:rFonts w:ascii="宋体" w:hAnsi="宋体" w:eastAsia="宋体"/>
          <w:color w:val="auto"/>
          <w:sz w:val="24"/>
          <w:u w:val="none"/>
        </w:rPr>
        <w:t>由采购人在指定地点对所购设备进行验收，验收标准除采购要求的货物技术参数外，可溯源到国家相关标准。</w:t>
      </w:r>
    </w:p>
    <w:p>
      <w:pPr>
        <w:spacing w:line="560" w:lineRule="exact"/>
        <w:ind w:firstLine="480" w:firstLineChars="200"/>
        <w:jc w:val="left"/>
        <w:rPr>
          <w:rFonts w:ascii="宋体" w:hAnsi="宋体" w:eastAsia="宋体"/>
          <w:color w:val="auto"/>
          <w:sz w:val="24"/>
          <w:u w:val="none"/>
        </w:rPr>
      </w:pPr>
      <w:r>
        <w:rPr>
          <w:rFonts w:ascii="宋体" w:hAnsi="宋体" w:eastAsia="宋体"/>
          <w:color w:val="auto"/>
          <w:sz w:val="24"/>
          <w:u w:val="none"/>
        </w:rPr>
        <w:t>验收服务要求：对各个单项产品服务的测试以及试运行，均达到用户要求的性能和技术规格中的性能，能适配各项业务系统并实现正常运行。中标人应负责在项目验收时将全部有关说明书、技术文件成品、资料成品、及安装、测试、验收报告等文档汇集成册交付用户。</w:t>
      </w:r>
    </w:p>
    <w:p>
      <w:pPr>
        <w:numPr>
          <w:ilvl w:val="0"/>
          <w:numId w:val="0"/>
        </w:numPr>
        <w:spacing w:line="560" w:lineRule="exact"/>
        <w:ind w:firstLine="480" w:firstLineChars="200"/>
        <w:jc w:val="left"/>
        <w:rPr>
          <w:rFonts w:hint="eastAsia" w:ascii="宋体" w:hAnsi="宋体" w:eastAsia="宋体"/>
          <w:color w:val="auto"/>
          <w:sz w:val="24"/>
          <w:u w:val="none"/>
          <w:lang w:val="en-US" w:eastAsia="zh-CN"/>
        </w:rPr>
      </w:pPr>
      <w:r>
        <w:rPr>
          <w:rFonts w:hint="eastAsia" w:ascii="宋体" w:hAnsi="宋体" w:eastAsia="宋体" w:cs="Times New Roman"/>
          <w:color w:val="auto"/>
          <w:kern w:val="2"/>
          <w:sz w:val="24"/>
          <w:szCs w:val="24"/>
          <w:u w:val="none"/>
          <w:lang w:val="en-US" w:eastAsia="zh-CN" w:bidi="ar-SA"/>
        </w:rPr>
        <w:t>5、</w:t>
      </w:r>
      <w:r>
        <w:rPr>
          <w:rFonts w:hint="eastAsia" w:ascii="宋体" w:hAnsi="宋体" w:eastAsia="宋体"/>
          <w:color w:val="auto"/>
          <w:sz w:val="24"/>
          <w:u w:val="none"/>
          <w:lang w:val="en-US" w:eastAsia="zh-CN"/>
        </w:rPr>
        <w:t>付款方式：</w:t>
      </w:r>
    </w:p>
    <w:p>
      <w:pPr>
        <w:numPr>
          <w:ilvl w:val="0"/>
          <w:numId w:val="0"/>
        </w:numPr>
        <w:spacing w:line="560" w:lineRule="exact"/>
        <w:ind w:firstLine="480" w:firstLineChars="200"/>
        <w:jc w:val="left"/>
        <w:rPr>
          <w:rFonts w:hint="eastAsia" w:ascii="宋体" w:hAnsi="宋体" w:eastAsia="宋体"/>
          <w:color w:val="auto"/>
          <w:sz w:val="24"/>
          <w:u w:val="none"/>
          <w:lang w:val="en-US" w:eastAsia="zh-CN"/>
        </w:rPr>
      </w:pPr>
      <w:r>
        <w:rPr>
          <w:rFonts w:hint="eastAsia" w:ascii="宋体" w:hAnsi="宋体" w:eastAsia="宋体"/>
          <w:color w:val="auto"/>
          <w:sz w:val="24"/>
          <w:u w:val="none"/>
          <w:lang w:val="en-US" w:eastAsia="zh-CN"/>
        </w:rPr>
        <w:t>①本合同签订生效之日起10个工作日内采购人向中标（成交）供应商支付合同金额30%作为预付款；</w:t>
      </w:r>
    </w:p>
    <w:p>
      <w:pPr>
        <w:spacing w:line="560" w:lineRule="exact"/>
        <w:ind w:firstLine="480" w:firstLineChars="200"/>
        <w:jc w:val="left"/>
        <w:rPr>
          <w:rFonts w:hint="default" w:ascii="宋体" w:hAnsi="宋体" w:eastAsia="宋体"/>
          <w:color w:val="auto"/>
          <w:sz w:val="24"/>
          <w:u w:val="none"/>
          <w:lang w:val="en-US" w:eastAsia="zh-CN"/>
        </w:rPr>
      </w:pPr>
      <w:r>
        <w:rPr>
          <w:rFonts w:hint="eastAsia" w:ascii="宋体" w:hAnsi="宋体" w:eastAsia="宋体"/>
          <w:color w:val="auto"/>
          <w:sz w:val="24"/>
          <w:u w:val="none"/>
          <w:lang w:val="en-US" w:eastAsia="zh-CN"/>
        </w:rPr>
        <w:t>②核心设备运达采购人指定地点，经采购人点验合格后，10个工作日内采购人向中标（成交）供应商支付合同总金额30％的设备款；</w:t>
      </w:r>
    </w:p>
    <w:p>
      <w:pPr>
        <w:spacing w:line="560" w:lineRule="exact"/>
        <w:ind w:firstLine="480" w:firstLineChars="200"/>
        <w:jc w:val="left"/>
        <w:rPr>
          <w:rFonts w:hint="eastAsia" w:ascii="宋体" w:hAnsi="宋体" w:eastAsia="宋体"/>
          <w:color w:val="auto"/>
          <w:sz w:val="24"/>
          <w:u w:val="none"/>
          <w:lang w:val="en-US" w:eastAsia="zh-CN"/>
        </w:rPr>
      </w:pPr>
      <w:r>
        <w:rPr>
          <w:rFonts w:hint="eastAsia" w:ascii="宋体" w:hAnsi="宋体" w:eastAsia="宋体"/>
          <w:color w:val="auto"/>
          <w:sz w:val="24"/>
          <w:u w:val="none"/>
          <w:lang w:val="en-US" w:eastAsia="zh-CN"/>
        </w:rPr>
        <w:t>③所有设备安装调试完成并通过初步验收后，10个工作日内采购人向中标（成交）供应商支付合同总金额的</w:t>
      </w:r>
      <w:r>
        <w:rPr>
          <w:rFonts w:hint="eastAsia" w:ascii="宋体" w:hAnsi="宋体"/>
          <w:color w:val="auto"/>
          <w:sz w:val="24"/>
          <w:u w:val="none"/>
          <w:lang w:val="en-US" w:eastAsia="zh-CN"/>
        </w:rPr>
        <w:t>20%</w:t>
      </w:r>
      <w:r>
        <w:rPr>
          <w:rFonts w:hint="eastAsia" w:ascii="宋体" w:hAnsi="宋体" w:eastAsia="宋体"/>
          <w:color w:val="auto"/>
          <w:sz w:val="24"/>
          <w:u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color w:val="auto"/>
          <w:sz w:val="24"/>
          <w:szCs w:val="24"/>
          <w:lang w:val="en-US" w:eastAsia="zh-CN"/>
        </w:rPr>
      </w:pPr>
      <w:r>
        <w:rPr>
          <w:rFonts w:hint="eastAsia" w:ascii="宋体" w:hAnsi="宋体" w:eastAsia="宋体"/>
          <w:color w:val="auto"/>
          <w:sz w:val="24"/>
          <w:u w:val="none"/>
          <w:lang w:val="en-US" w:eastAsia="zh-CN"/>
        </w:rPr>
        <w:t>④</w:t>
      </w:r>
      <w:r>
        <w:rPr>
          <w:rFonts w:hint="eastAsia" w:ascii="宋体" w:hAnsi="宋体" w:cs="宋体"/>
          <w:color w:val="auto"/>
          <w:sz w:val="24"/>
          <w:szCs w:val="24"/>
          <w:lang w:val="en-US" w:eastAsia="zh-CN"/>
        </w:rPr>
        <w:t>所有设备通过初步验收后三个月内运行正常的，视为正式验收合格，结算经采购人审定批复且采购人办理竣工审计结算后，付至工程结算价的100%，在采购人向中标（成交）供应商支付合同剩余金额前，中标（成交）供应商需向采购人以支票、汇票、本票、保函等非现金形式缴纳合同额5%的履约保证金。履约保证金在设备正式验收合格一年后（不计利息）退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olor w:val="auto"/>
          <w:sz w:val="24"/>
          <w:u w:val="none"/>
          <w:lang w:val="en-US" w:eastAsia="zh-CN"/>
        </w:rPr>
      </w:pPr>
      <w:r>
        <w:rPr>
          <w:rFonts w:hint="eastAsia" w:ascii="宋体" w:hAnsi="宋体" w:eastAsia="宋体"/>
          <w:color w:val="auto"/>
          <w:sz w:val="24"/>
          <w:u w:val="none"/>
          <w:lang w:val="en-US" w:eastAsia="zh-CN"/>
        </w:rPr>
        <w:t>⑤采购人每次付款前，中标（成交）供应商需向采购人提供等额有效发票，否则，采购人可拒绝支付，并无需承担违约责任。因政府政策或财政拨款延迟等非采购人原因导致合同款需延迟支付的，中标（成交）供应商同意采购人相应顺延且不视为采购人违约。</w:t>
      </w:r>
    </w:p>
    <w:p>
      <w:pPr>
        <w:rPr>
          <w:rFonts w:hint="default" w:ascii="宋体" w:hAnsi="宋体" w:eastAsia="宋体"/>
          <w:color w:val="auto"/>
          <w:sz w:val="24"/>
          <w:u w:val="none"/>
          <w:lang w:val="en-US" w:eastAsia="zh-CN"/>
        </w:rPr>
      </w:pPr>
    </w:p>
    <w:p>
      <w:pPr>
        <w:pStyle w:val="2"/>
        <w:rPr>
          <w:rFonts w:hint="default" w:ascii="宋体" w:hAnsi="宋体" w:eastAsia="宋体"/>
          <w:color w:val="auto"/>
          <w:sz w:val="24"/>
          <w:u w:val="none"/>
          <w:lang w:val="en-US" w:eastAsia="zh-CN"/>
        </w:rPr>
      </w:pPr>
    </w:p>
    <w:p>
      <w:pPr>
        <w:rPr>
          <w:rFonts w:hint="default"/>
          <w:color w:val="auto"/>
          <w:lang w:val="en-US" w:eastAsia="zh-CN"/>
        </w:rPr>
      </w:pPr>
    </w:p>
    <w:p>
      <w:pPr>
        <w:bidi w:val="0"/>
        <w:jc w:val="center"/>
        <w:rPr>
          <w:rFonts w:hint="eastAsia"/>
          <w:b/>
          <w:bCs/>
          <w:color w:val="auto"/>
          <w:sz w:val="32"/>
          <w:szCs w:val="32"/>
          <w:lang w:val="en-US" w:eastAsia="zh-CN"/>
        </w:rPr>
      </w:pPr>
      <w:r>
        <w:rPr>
          <w:rFonts w:hint="eastAsia"/>
          <w:b/>
          <w:bCs/>
          <w:color w:val="auto"/>
          <w:sz w:val="32"/>
          <w:szCs w:val="32"/>
          <w:lang w:val="en-US" w:eastAsia="zh-CN"/>
        </w:rPr>
        <w:t>B包</w:t>
      </w:r>
    </w:p>
    <w:p>
      <w:pPr>
        <w:bidi w:val="0"/>
        <w:jc w:val="center"/>
        <w:rPr>
          <w:rFonts w:hint="default"/>
          <w:b/>
          <w:bCs/>
          <w:color w:val="auto"/>
          <w:sz w:val="32"/>
          <w:szCs w:val="32"/>
          <w:lang w:val="en-US" w:eastAsia="zh-CN"/>
        </w:rPr>
      </w:pPr>
      <w:r>
        <w:rPr>
          <w:rFonts w:hint="eastAsia"/>
          <w:b/>
          <w:bCs/>
          <w:color w:val="auto"/>
          <w:sz w:val="32"/>
          <w:szCs w:val="32"/>
          <w:lang w:val="en-US" w:eastAsia="zh-CN"/>
        </w:rPr>
        <w:t>工程量清单；图纸（另附）</w:t>
      </w:r>
      <w:r>
        <w:rPr>
          <w:rFonts w:hint="eastAsia"/>
          <w:b/>
          <w:bCs/>
          <w:color w:val="auto"/>
          <w:sz w:val="32"/>
          <w:szCs w:val="32"/>
          <w:lang w:val="en-US" w:eastAsia="zh-CN"/>
        </w:rPr>
        <w:tab/>
      </w:r>
    </w:p>
    <w:p>
      <w:pPr>
        <w:numPr>
          <w:ilvl w:val="0"/>
          <w:numId w:val="0"/>
        </w:numPr>
        <w:rPr>
          <w:rFonts w:hint="eastAsia" w:eastAsia="宋体"/>
          <w:color w:val="auto"/>
          <w:lang w:val="en-US" w:eastAsia="zh-CN"/>
        </w:rPr>
      </w:pPr>
      <w:r>
        <w:rPr>
          <w:rFonts w:hint="eastAsia"/>
          <w:color w:val="auto"/>
        </w:rPr>
        <w:br w:type="page"/>
      </w:r>
    </w:p>
    <w:p>
      <w:pPr>
        <w:pStyle w:val="3"/>
        <w:bidi w:val="0"/>
        <w:rPr>
          <w:rFonts w:hint="eastAsia"/>
          <w:color w:val="auto"/>
        </w:rPr>
      </w:pPr>
      <w:r>
        <w:rPr>
          <w:rFonts w:hint="eastAsia"/>
          <w:color w:val="auto"/>
        </w:rPr>
        <w:t>第四部分  采购合同</w:t>
      </w:r>
      <w:bookmarkEnd w:id="145"/>
    </w:p>
    <w:p>
      <w:pPr>
        <w:spacing w:before="100" w:beforeAutospacing="1" w:after="100" w:afterAutospacing="1" w:line="360" w:lineRule="auto"/>
        <w:jc w:val="center"/>
        <w:rPr>
          <w:rFonts w:hint="eastAsia" w:ascii="宋体" w:hAnsi="宋体" w:cs="宋体"/>
          <w:bCs/>
          <w:color w:val="auto"/>
          <w:sz w:val="32"/>
          <w:szCs w:val="32"/>
        </w:rPr>
      </w:pPr>
    </w:p>
    <w:p>
      <w:pPr>
        <w:spacing w:before="100" w:beforeAutospacing="1" w:after="100" w:afterAutospacing="1" w:line="360" w:lineRule="auto"/>
        <w:jc w:val="center"/>
        <w:rPr>
          <w:rFonts w:hint="eastAsia" w:ascii="宋体" w:hAnsi="宋体" w:cs="宋体"/>
          <w:bCs/>
          <w:color w:val="auto"/>
          <w:sz w:val="32"/>
          <w:szCs w:val="32"/>
        </w:rPr>
      </w:pPr>
    </w:p>
    <w:p>
      <w:pPr>
        <w:spacing w:before="100" w:beforeAutospacing="1" w:after="100" w:afterAutospacing="1" w:line="360" w:lineRule="auto"/>
        <w:jc w:val="center"/>
        <w:rPr>
          <w:rFonts w:hint="eastAsia" w:ascii="宋体" w:hAnsi="宋体" w:cs="宋体"/>
          <w:bCs/>
          <w:color w:val="auto"/>
          <w:sz w:val="32"/>
          <w:szCs w:val="32"/>
        </w:rPr>
      </w:pPr>
    </w:p>
    <w:p>
      <w:pPr>
        <w:spacing w:before="100" w:beforeAutospacing="1" w:after="100" w:afterAutospacing="1" w:line="360" w:lineRule="auto"/>
        <w:jc w:val="center"/>
        <w:rPr>
          <w:rFonts w:ascii="宋体" w:hAnsi="宋体" w:cs="宋体"/>
          <w:bCs/>
          <w:color w:val="auto"/>
          <w:sz w:val="32"/>
          <w:szCs w:val="32"/>
        </w:rPr>
      </w:pPr>
      <w:r>
        <w:rPr>
          <w:rFonts w:hint="eastAsia" w:ascii="宋体" w:hAnsi="宋体" w:cs="宋体"/>
          <w:bCs/>
          <w:color w:val="auto"/>
          <w:sz w:val="32"/>
          <w:szCs w:val="32"/>
        </w:rPr>
        <w:t>合同通用条款部分</w:t>
      </w:r>
    </w:p>
    <w:p>
      <w:pPr>
        <w:jc w:val="center"/>
        <w:rPr>
          <w:rFonts w:ascii="宋体" w:hAnsi="宋体" w:cs="宋体"/>
          <w:bCs/>
          <w:color w:val="auto"/>
          <w:sz w:val="32"/>
          <w:szCs w:val="32"/>
        </w:rPr>
      </w:pPr>
      <w:r>
        <w:rPr>
          <w:rFonts w:hint="eastAsia" w:ascii="宋体" w:hAnsi="宋体" w:cs="宋体"/>
          <w:bCs/>
          <w:color w:val="auto"/>
          <w:sz w:val="32"/>
          <w:szCs w:val="32"/>
        </w:rPr>
        <w:t>（略）</w:t>
      </w:r>
    </w:p>
    <w:p>
      <w:pPr>
        <w:rPr>
          <w:rFonts w:ascii="宋体" w:hAnsi="宋体" w:cs="宋体"/>
          <w:bCs/>
          <w:color w:val="auto"/>
          <w:sz w:val="32"/>
          <w:szCs w:val="32"/>
        </w:rPr>
      </w:pPr>
    </w:p>
    <w:p>
      <w:pPr>
        <w:jc w:val="center"/>
        <w:rPr>
          <w:rFonts w:ascii="宋体" w:hAnsi="宋体" w:cs="宋体"/>
          <w:bCs/>
          <w:color w:val="auto"/>
          <w:sz w:val="32"/>
          <w:szCs w:val="32"/>
        </w:rPr>
      </w:pPr>
      <w:r>
        <w:rPr>
          <w:rFonts w:hint="eastAsia" w:ascii="宋体" w:hAnsi="宋体" w:cs="宋体"/>
          <w:bCs/>
          <w:color w:val="auto"/>
          <w:sz w:val="32"/>
          <w:szCs w:val="32"/>
        </w:rPr>
        <w:t>合同专用条款部分</w:t>
      </w:r>
    </w:p>
    <w:p>
      <w:pPr>
        <w:tabs>
          <w:tab w:val="left" w:pos="720"/>
        </w:tabs>
        <w:spacing w:line="360" w:lineRule="auto"/>
        <w:jc w:val="center"/>
        <w:rPr>
          <w:rFonts w:hint="eastAsia" w:ascii="宋体" w:hAnsi="宋体" w:eastAsia="宋体" w:cs="宋体"/>
          <w:b w:val="0"/>
          <w:bCs/>
          <w:color w:val="auto"/>
          <w:sz w:val="24"/>
          <w:szCs w:val="24"/>
        </w:rPr>
      </w:pPr>
      <w:r>
        <w:rPr>
          <w:rFonts w:hint="eastAsia" w:ascii="宋体" w:hAnsi="宋体" w:cs="宋体"/>
          <w:bCs/>
          <w:color w:val="auto"/>
          <w:sz w:val="32"/>
          <w:szCs w:val="32"/>
        </w:rPr>
        <w:br w:type="page"/>
      </w:r>
    </w:p>
    <w:p>
      <w:pPr>
        <w:pStyle w:val="3"/>
        <w:spacing w:line="240" w:lineRule="auto"/>
        <w:rPr>
          <w:rFonts w:hint="default" w:ascii="宋体" w:hAnsi="宋体" w:cs="宋体"/>
          <w:color w:val="auto"/>
          <w:highlight w:val="none"/>
          <w:lang w:val="en-US" w:eastAsia="zh-CN"/>
        </w:rPr>
      </w:pPr>
      <w:bookmarkStart w:id="147" w:name="_Toc3995"/>
      <w:bookmarkStart w:id="148" w:name="_Toc26616"/>
      <w:bookmarkStart w:id="149" w:name="_Toc17396"/>
      <w:bookmarkStart w:id="150" w:name="_Toc16299"/>
      <w:r>
        <w:rPr>
          <w:rFonts w:hint="eastAsia" w:ascii="宋体" w:hAnsi="宋体" w:cs="宋体"/>
          <w:color w:val="auto"/>
          <w:highlight w:val="none"/>
          <w:lang w:val="en-US" w:eastAsia="zh-CN"/>
        </w:rPr>
        <w:t>A包 合同模板</w:t>
      </w:r>
    </w:p>
    <w:p>
      <w:pPr>
        <w:pStyle w:val="2"/>
        <w:spacing w:after="0"/>
        <w:jc w:val="center"/>
        <w:rPr>
          <w:rFonts w:ascii="宋体" w:hAnsi="宋体" w:cs="宋体"/>
          <w:b/>
          <w:bCs/>
          <w:color w:val="auto"/>
          <w:spacing w:val="-20"/>
          <w:kern w:val="44"/>
          <w:sz w:val="48"/>
          <w:szCs w:val="48"/>
        </w:rPr>
      </w:pPr>
    </w:p>
    <w:p>
      <w:pPr>
        <w:spacing w:line="440" w:lineRule="exact"/>
        <w:jc w:val="center"/>
        <w:rPr>
          <w:rFonts w:hint="eastAsia" w:ascii="宋体" w:hAnsi="宋体" w:eastAsia="宋体"/>
          <w:b/>
          <w:color w:val="auto"/>
          <w:sz w:val="28"/>
          <w:lang w:eastAsia="zh-CN"/>
        </w:rPr>
      </w:pPr>
      <w:r>
        <w:rPr>
          <w:rFonts w:hint="eastAsia" w:ascii="宋体" w:hAnsi="宋体" w:eastAsia="宋体" w:cs="Times New Roman"/>
          <w:b/>
          <w:color w:val="auto"/>
          <w:sz w:val="28"/>
          <w:lang w:val="en-US" w:eastAsia="zh-CN"/>
        </w:rPr>
        <w:t>（此为政府采购货物合同模</w:t>
      </w:r>
      <w:r>
        <w:rPr>
          <w:rFonts w:hint="eastAsia" w:ascii="宋体" w:hAnsi="宋体"/>
          <w:b/>
          <w:color w:val="auto"/>
          <w:sz w:val="28"/>
          <w:lang w:val="en-US" w:eastAsia="zh-CN"/>
        </w:rPr>
        <w:t>板，条款内容如有变动以签订的合同为准）</w:t>
      </w:r>
    </w:p>
    <w:p>
      <w:pPr>
        <w:pStyle w:val="2"/>
        <w:spacing w:after="0"/>
        <w:jc w:val="center"/>
        <w:rPr>
          <w:rFonts w:ascii="宋体" w:hAnsi="宋体" w:cs="宋体"/>
          <w:b/>
          <w:bCs/>
          <w:color w:val="auto"/>
          <w:spacing w:val="-20"/>
          <w:kern w:val="44"/>
          <w:sz w:val="48"/>
          <w:szCs w:val="48"/>
        </w:rPr>
      </w:pPr>
    </w:p>
    <w:p>
      <w:pPr>
        <w:pStyle w:val="2"/>
        <w:spacing w:after="0"/>
        <w:jc w:val="both"/>
        <w:rPr>
          <w:rFonts w:ascii="宋体" w:hAnsi="宋体" w:cs="宋体"/>
          <w:b/>
          <w:bCs/>
          <w:color w:val="auto"/>
          <w:spacing w:val="-20"/>
          <w:kern w:val="44"/>
          <w:sz w:val="48"/>
          <w:szCs w:val="48"/>
        </w:rPr>
      </w:pPr>
    </w:p>
    <w:p>
      <w:pPr>
        <w:pStyle w:val="2"/>
        <w:spacing w:after="0"/>
        <w:jc w:val="center"/>
        <w:rPr>
          <w:rFonts w:ascii="宋体" w:hAnsi="宋体" w:cs="宋体"/>
          <w:b/>
          <w:bCs/>
          <w:color w:val="auto"/>
          <w:spacing w:val="-20"/>
          <w:kern w:val="44"/>
          <w:sz w:val="48"/>
          <w:szCs w:val="48"/>
        </w:rPr>
      </w:pPr>
    </w:p>
    <w:p>
      <w:pPr>
        <w:pStyle w:val="2"/>
        <w:spacing w:after="0"/>
        <w:jc w:val="center"/>
        <w:rPr>
          <w:rFonts w:hint="eastAsia" w:ascii="宋体" w:hAnsi="宋体" w:cs="宋体"/>
          <w:b/>
          <w:bCs/>
          <w:color w:val="auto"/>
          <w:spacing w:val="-20"/>
          <w:kern w:val="44"/>
          <w:sz w:val="48"/>
          <w:szCs w:val="48"/>
        </w:rPr>
      </w:pPr>
      <w:r>
        <w:rPr>
          <w:rFonts w:hint="eastAsia" w:ascii="宋体" w:hAnsi="宋体" w:cs="宋体"/>
          <w:b/>
          <w:bCs/>
          <w:color w:val="auto"/>
          <w:spacing w:val="-20"/>
          <w:kern w:val="44"/>
          <w:sz w:val="48"/>
          <w:szCs w:val="48"/>
        </w:rPr>
        <w:t>政府采购</w:t>
      </w:r>
      <w:r>
        <w:rPr>
          <w:rFonts w:hint="eastAsia" w:ascii="宋体" w:hAnsi="宋体" w:cs="宋体"/>
          <w:b/>
          <w:bCs/>
          <w:color w:val="auto"/>
          <w:spacing w:val="-20"/>
          <w:kern w:val="44"/>
          <w:sz w:val="48"/>
          <w:szCs w:val="48"/>
          <w:lang w:eastAsia="zh-CN"/>
        </w:rPr>
        <w:t>货物买卖</w:t>
      </w:r>
      <w:r>
        <w:rPr>
          <w:rFonts w:hint="eastAsia" w:ascii="宋体" w:hAnsi="宋体" w:cs="宋体"/>
          <w:b/>
          <w:bCs/>
          <w:color w:val="auto"/>
          <w:spacing w:val="-20"/>
          <w:kern w:val="44"/>
          <w:sz w:val="48"/>
          <w:szCs w:val="48"/>
        </w:rPr>
        <w:t>合同</w:t>
      </w:r>
    </w:p>
    <w:p>
      <w:pPr>
        <w:rPr>
          <w:rFonts w:ascii="宋体" w:hAnsi="宋体" w:cs="宋体"/>
          <w:b/>
          <w:bCs/>
          <w:color w:val="auto"/>
          <w:spacing w:val="-20"/>
          <w:kern w:val="44"/>
          <w:sz w:val="40"/>
          <w:szCs w:val="40"/>
        </w:rPr>
      </w:pPr>
    </w:p>
    <w:p>
      <w:pPr>
        <w:rPr>
          <w:rFonts w:ascii="宋体" w:hAnsi="宋体" w:cs="宋体"/>
          <w:b/>
          <w:bCs/>
          <w:color w:val="auto"/>
          <w:spacing w:val="-20"/>
          <w:kern w:val="44"/>
          <w:sz w:val="40"/>
          <w:szCs w:val="40"/>
        </w:rPr>
      </w:pPr>
    </w:p>
    <w:p>
      <w:pPr>
        <w:rPr>
          <w:rFonts w:ascii="宋体" w:hAnsi="宋体" w:cs="宋体"/>
          <w:b/>
          <w:bCs/>
          <w:color w:val="auto"/>
          <w:spacing w:val="-20"/>
          <w:kern w:val="44"/>
          <w:sz w:val="40"/>
          <w:szCs w:val="40"/>
        </w:rPr>
      </w:pPr>
    </w:p>
    <w:p>
      <w:pPr>
        <w:spacing w:line="360" w:lineRule="auto"/>
        <w:ind w:left="420" w:leftChars="200"/>
        <w:rPr>
          <w:color w:val="auto"/>
          <w:sz w:val="32"/>
          <w:szCs w:val="32"/>
        </w:rPr>
      </w:pPr>
      <w:r>
        <w:rPr>
          <w:rFonts w:hint="eastAsia" w:ascii="宋体" w:hAnsi="宋体" w:cs="宋体"/>
          <w:color w:val="auto"/>
          <w:kern w:val="0"/>
          <w:sz w:val="32"/>
          <w:szCs w:val="32"/>
        </w:rPr>
        <w:t>项目名称：</w:t>
      </w:r>
      <w:r>
        <w:rPr>
          <w:rFonts w:hint="eastAsia"/>
          <w:color w:val="auto"/>
          <w:sz w:val="32"/>
          <w:szCs w:val="32"/>
          <w:u w:val="single"/>
        </w:rPr>
        <w:t xml:space="preserve">                             </w:t>
      </w:r>
    </w:p>
    <w:p>
      <w:pPr>
        <w:spacing w:line="360" w:lineRule="auto"/>
        <w:ind w:left="420" w:leftChars="200"/>
        <w:rPr>
          <w:color w:val="auto"/>
          <w:sz w:val="32"/>
          <w:szCs w:val="32"/>
          <w:u w:val="single"/>
        </w:rPr>
      </w:pPr>
      <w:r>
        <w:rPr>
          <w:rFonts w:hint="eastAsia"/>
          <w:color w:val="auto"/>
          <w:sz w:val="32"/>
          <w:szCs w:val="32"/>
        </w:rPr>
        <w:t>合同编号：</w:t>
      </w:r>
      <w:r>
        <w:rPr>
          <w:rFonts w:hint="eastAsia"/>
          <w:color w:val="auto"/>
          <w:sz w:val="32"/>
          <w:szCs w:val="32"/>
          <w:u w:val="single"/>
        </w:rPr>
        <w:t xml:space="preserve">                             </w:t>
      </w:r>
    </w:p>
    <w:p>
      <w:pPr>
        <w:spacing w:line="360" w:lineRule="auto"/>
        <w:ind w:left="420" w:leftChars="200"/>
        <w:rPr>
          <w:color w:val="auto"/>
          <w:sz w:val="32"/>
          <w:szCs w:val="32"/>
        </w:rPr>
      </w:pPr>
      <w:r>
        <w:rPr>
          <w:rFonts w:hint="eastAsia"/>
          <w:color w:val="auto"/>
          <w:sz w:val="32"/>
          <w:szCs w:val="32"/>
        </w:rPr>
        <w:t>甲    方：</w:t>
      </w:r>
      <w:r>
        <w:rPr>
          <w:rFonts w:hint="eastAsia"/>
          <w:color w:val="auto"/>
          <w:sz w:val="32"/>
          <w:szCs w:val="32"/>
          <w:u w:val="single"/>
        </w:rPr>
        <w:t xml:space="preserve">                             </w:t>
      </w:r>
    </w:p>
    <w:p>
      <w:pPr>
        <w:spacing w:line="360" w:lineRule="auto"/>
        <w:ind w:left="420" w:leftChars="200"/>
        <w:rPr>
          <w:color w:val="auto"/>
          <w:sz w:val="32"/>
          <w:szCs w:val="32"/>
          <w:u w:val="single"/>
        </w:rPr>
      </w:pPr>
      <w:r>
        <w:rPr>
          <w:rFonts w:hint="eastAsia"/>
          <w:color w:val="auto"/>
          <w:sz w:val="32"/>
          <w:szCs w:val="32"/>
        </w:rPr>
        <w:t>乙    方：</w:t>
      </w:r>
      <w:r>
        <w:rPr>
          <w:rFonts w:hint="eastAsia"/>
          <w:color w:val="auto"/>
          <w:sz w:val="32"/>
          <w:szCs w:val="32"/>
          <w:u w:val="single"/>
        </w:rPr>
        <w:t xml:space="preserve">                             </w:t>
      </w:r>
    </w:p>
    <w:p>
      <w:pPr>
        <w:spacing w:line="360" w:lineRule="auto"/>
        <w:ind w:left="420" w:leftChars="200"/>
        <w:rPr>
          <w:color w:val="auto"/>
          <w:sz w:val="32"/>
          <w:szCs w:val="32"/>
        </w:rPr>
      </w:pPr>
      <w:r>
        <w:rPr>
          <w:rFonts w:hint="eastAsia"/>
          <w:color w:val="auto"/>
          <w:sz w:val="32"/>
          <w:szCs w:val="32"/>
        </w:rPr>
        <w:t>签订时间：</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rPr>
          <w:color w:val="auto"/>
        </w:rPr>
      </w:pPr>
    </w:p>
    <w:p>
      <w:pPr>
        <w:rPr>
          <w:rFonts w:eastAsia="黑体"/>
          <w:color w:val="auto"/>
          <w:sz w:val="44"/>
          <w:szCs w:val="44"/>
        </w:rPr>
      </w:pPr>
      <w:r>
        <w:rPr>
          <w:rFonts w:eastAsia="黑体"/>
          <w:color w:val="auto"/>
          <w:sz w:val="44"/>
          <w:szCs w:val="44"/>
        </w:rPr>
        <w:br w:type="page"/>
      </w:r>
    </w:p>
    <w:p>
      <w:pPr>
        <w:rPr>
          <w:rFonts w:eastAsia="黑体"/>
          <w:color w:val="auto"/>
          <w:sz w:val="44"/>
          <w:szCs w:val="44"/>
        </w:rPr>
      </w:pPr>
    </w:p>
    <w:p>
      <w:pPr>
        <w:rPr>
          <w:rFonts w:eastAsia="黑体"/>
          <w:color w:val="auto"/>
          <w:sz w:val="44"/>
          <w:szCs w:val="44"/>
        </w:rPr>
      </w:pPr>
    </w:p>
    <w:p>
      <w:pPr>
        <w:jc w:val="center"/>
        <w:rPr>
          <w:rFonts w:hint="eastAsia" w:eastAsia="黑体"/>
          <w:color w:val="auto"/>
          <w:sz w:val="44"/>
          <w:szCs w:val="44"/>
          <w:lang w:eastAsia="zh-CN"/>
        </w:rPr>
      </w:pPr>
      <w:r>
        <w:rPr>
          <w:rFonts w:hint="eastAsia" w:eastAsia="黑体"/>
          <w:color w:val="auto"/>
          <w:sz w:val="44"/>
          <w:szCs w:val="44"/>
          <w:lang w:eastAsia="zh-CN"/>
        </w:rPr>
        <w:t>使</w:t>
      </w:r>
      <w:r>
        <w:rPr>
          <w:rFonts w:hint="eastAsia" w:eastAsia="黑体"/>
          <w:color w:val="auto"/>
          <w:sz w:val="44"/>
          <w:szCs w:val="44"/>
          <w:lang w:val="en-US" w:eastAsia="zh-CN"/>
        </w:rPr>
        <w:t xml:space="preserve"> </w:t>
      </w:r>
      <w:r>
        <w:rPr>
          <w:rFonts w:hint="eastAsia" w:eastAsia="黑体"/>
          <w:color w:val="auto"/>
          <w:sz w:val="44"/>
          <w:szCs w:val="44"/>
          <w:lang w:eastAsia="zh-CN"/>
        </w:rPr>
        <w:t>用</w:t>
      </w:r>
      <w:r>
        <w:rPr>
          <w:rFonts w:hint="eastAsia" w:eastAsia="黑体"/>
          <w:color w:val="auto"/>
          <w:sz w:val="44"/>
          <w:szCs w:val="44"/>
          <w:lang w:val="en-US" w:eastAsia="zh-CN"/>
        </w:rPr>
        <w:t xml:space="preserve"> </w:t>
      </w:r>
      <w:r>
        <w:rPr>
          <w:rFonts w:hint="eastAsia" w:eastAsia="黑体"/>
          <w:color w:val="auto"/>
          <w:sz w:val="44"/>
          <w:szCs w:val="44"/>
          <w:lang w:eastAsia="zh-CN"/>
        </w:rPr>
        <w:t>说</w:t>
      </w:r>
      <w:r>
        <w:rPr>
          <w:rFonts w:hint="eastAsia" w:eastAsia="黑体"/>
          <w:color w:val="auto"/>
          <w:sz w:val="44"/>
          <w:szCs w:val="44"/>
          <w:lang w:val="en-US" w:eastAsia="zh-CN"/>
        </w:rPr>
        <w:t xml:space="preserve"> </w:t>
      </w:r>
      <w:r>
        <w:rPr>
          <w:rFonts w:hint="eastAsia" w:eastAsia="黑体"/>
          <w:color w:val="auto"/>
          <w:sz w:val="44"/>
          <w:szCs w:val="44"/>
          <w:lang w:eastAsia="zh-CN"/>
        </w:rPr>
        <w:t>明</w:t>
      </w:r>
    </w:p>
    <w:p>
      <w:pPr>
        <w:ind w:firstLine="640" w:firstLineChars="200"/>
        <w:rPr>
          <w:rFonts w:hint="eastAsia" w:ascii="仿宋_GB2312" w:hAnsi="仿宋_GB2312" w:eastAsia="仿宋_GB2312" w:cs="仿宋_GB2312"/>
          <w:color w:val="auto"/>
          <w:sz w:val="32"/>
          <w:szCs w:val="32"/>
          <w:lang w:val="en-US" w:eastAsia="zh-CN"/>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1.本合同标准文本适用于购买现成货物的采购项目，不包括需要供应商定制开发、创新研发的货物采购项目。</w:t>
      </w:r>
    </w:p>
    <w:p>
      <w:pPr>
        <w:ind w:firstLine="0" w:firstLineChars="0"/>
        <w:rPr>
          <w:rFonts w:hint="default" w:eastAsia="黑体"/>
          <w:color w:val="auto"/>
          <w:sz w:val="44"/>
          <w:szCs w:val="44"/>
          <w:lang w:val="en-US" w:eastAsia="zh-CN"/>
        </w:rPr>
      </w:pPr>
      <w:r>
        <w:rPr>
          <w:rFonts w:hint="eastAsia" w:eastAsia="黑体"/>
          <w:color w:val="auto"/>
          <w:sz w:val="44"/>
          <w:szCs w:val="44"/>
          <w:lang w:val="en-US" w:eastAsia="zh-CN"/>
        </w:rPr>
        <w:t xml:space="preserve">   </w:t>
      </w:r>
      <w:r>
        <w:rPr>
          <w:rFonts w:hint="eastAsia" w:ascii="仿宋_GB2312" w:hAnsi="仿宋_GB2312" w:eastAsia="仿宋_GB2312" w:cs="仿宋_GB2312"/>
          <w:color w:val="auto"/>
          <w:sz w:val="32"/>
          <w:szCs w:val="32"/>
          <w:lang w:val="en-US" w:eastAsia="zh-CN"/>
        </w:rPr>
        <w:t>2.本合同标准文本为政府采购货物买卖合同编制提供参考，可以结合采购项目具体情况，对文本作必要的调整修订后使用。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rPr>
          <w:rFonts w:eastAsia="黑体"/>
          <w:color w:val="auto"/>
          <w:sz w:val="44"/>
          <w:szCs w:val="44"/>
        </w:rPr>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bookmarkEnd w:id="147"/>
    <w:p>
      <w:pPr>
        <w:pStyle w:val="4"/>
        <w:adjustRightInd w:val="0"/>
        <w:snapToGrid w:val="0"/>
        <w:spacing w:beforeLines="0" w:line="400" w:lineRule="exact"/>
        <w:jc w:val="center"/>
        <w:rPr>
          <w:rFonts w:hint="eastAsia" w:ascii="黑体" w:hAnsi="黑体" w:eastAsia="黑体"/>
          <w:color w:val="auto"/>
          <w:sz w:val="28"/>
          <w:szCs w:val="28"/>
        </w:rPr>
      </w:pPr>
    </w:p>
    <w:p>
      <w:pPr>
        <w:pStyle w:val="4"/>
        <w:adjustRightInd w:val="0"/>
        <w:snapToGrid w:val="0"/>
        <w:spacing w:beforeLines="0" w:line="400" w:lineRule="exact"/>
        <w:jc w:val="center"/>
        <w:rPr>
          <w:rFonts w:hint="eastAsia" w:ascii="黑体" w:hAnsi="华文中宋" w:eastAsia="黑体"/>
          <w:b w:val="0"/>
          <w:bCs w:val="0"/>
          <w:color w:val="auto"/>
          <w:sz w:val="28"/>
          <w:szCs w:val="28"/>
        </w:rPr>
      </w:pPr>
      <w:r>
        <w:rPr>
          <w:rFonts w:hint="eastAsia" w:ascii="黑体" w:hAnsi="黑体" w:eastAsia="黑体"/>
          <w:b w:val="0"/>
          <w:bCs w:val="0"/>
          <w:color w:val="auto"/>
          <w:sz w:val="28"/>
          <w:szCs w:val="28"/>
        </w:rPr>
        <w:t xml:space="preserve">第一节 </w:t>
      </w:r>
      <w:r>
        <w:rPr>
          <w:rFonts w:hint="eastAsia" w:ascii="黑体" w:hAnsi="华文中宋" w:eastAsia="黑体"/>
          <w:b w:val="0"/>
          <w:bCs w:val="0"/>
          <w:color w:val="auto"/>
          <w:sz w:val="28"/>
          <w:szCs w:val="28"/>
        </w:rPr>
        <w:t>政府采购合同协议书</w:t>
      </w:r>
    </w:p>
    <w:p>
      <w:pPr>
        <w:pStyle w:val="4"/>
        <w:adjustRightInd w:val="0"/>
        <w:snapToGrid w:val="0"/>
        <w:spacing w:beforeLines="0" w:line="400" w:lineRule="exact"/>
        <w:jc w:val="center"/>
        <w:rPr>
          <w:rFonts w:hint="eastAsia" w:ascii="黑体" w:hAnsi="华文中宋" w:eastAsia="黑体"/>
          <w:b w:val="0"/>
          <w:bCs w:val="0"/>
          <w:color w:val="auto"/>
          <w:sz w:val="28"/>
          <w:szCs w:val="28"/>
        </w:rPr>
      </w:pPr>
    </w:p>
    <w:p>
      <w:pPr>
        <w:adjustRightInd w:val="0"/>
        <w:snapToGrid w:val="0"/>
        <w:spacing w:before="0" w:beforeLines="0" w:line="400" w:lineRule="exact"/>
        <w:rPr>
          <w:rFonts w:ascii="宋体" w:hAnsi="宋体"/>
          <w:color w:val="auto"/>
          <w:szCs w:val="21"/>
        </w:rPr>
      </w:pPr>
      <w:r>
        <w:rPr>
          <w:rFonts w:hint="eastAsia" w:ascii="宋体" w:hAnsi="宋体"/>
          <w:color w:val="auto"/>
          <w:szCs w:val="21"/>
        </w:rPr>
        <w:t>甲方（全称）：</w:t>
      </w:r>
      <w:r>
        <w:rPr>
          <w:rFonts w:hint="eastAsia" w:ascii="宋体" w:hAnsi="宋体"/>
          <w:color w:val="auto"/>
          <w:szCs w:val="21"/>
          <w:u w:val="single"/>
        </w:rPr>
        <w:t xml:space="preserve">                        </w:t>
      </w:r>
      <w:r>
        <w:rPr>
          <w:rFonts w:hint="eastAsia" w:ascii="宋体" w:hAnsi="宋体"/>
          <w:color w:val="auto"/>
          <w:szCs w:val="21"/>
        </w:rPr>
        <w:t>（采购人</w:t>
      </w:r>
      <w:r>
        <w:rPr>
          <w:rFonts w:hint="eastAsia" w:ascii="宋体" w:hAnsi="宋体"/>
          <w:color w:val="auto"/>
          <w:szCs w:val="21"/>
          <w:lang w:eastAsia="zh-CN"/>
        </w:rPr>
        <w:t>、受采购人委托签订合同的单位</w:t>
      </w:r>
      <w:r>
        <w:rPr>
          <w:rFonts w:hint="eastAsia" w:ascii="宋体" w:hAnsi="宋体"/>
          <w:color w:val="auto"/>
          <w:szCs w:val="21"/>
        </w:rPr>
        <w:t>或采购</w:t>
      </w:r>
      <w:r>
        <w:rPr>
          <w:rFonts w:hint="eastAsia" w:ascii="宋体" w:hAnsi="宋体"/>
          <w:color w:val="auto"/>
          <w:szCs w:val="21"/>
          <w:lang w:val="en-US" w:eastAsia="zh-CN"/>
        </w:rPr>
        <w:tab/>
      </w:r>
      <w:r>
        <w:rPr>
          <w:rFonts w:hint="eastAsia" w:ascii="宋体" w:hAnsi="宋体"/>
          <w:color w:val="auto"/>
          <w:szCs w:val="21"/>
          <w:lang w:val="en-US" w:eastAsia="zh-CN"/>
        </w:rPr>
        <w:t xml:space="preserve">                                   </w:t>
      </w:r>
      <w:r>
        <w:rPr>
          <w:rFonts w:hint="eastAsia" w:ascii="宋体" w:hAnsi="宋体"/>
          <w:color w:val="auto"/>
          <w:szCs w:val="21"/>
        </w:rPr>
        <w:t>文件约定的合同甲方）</w:t>
      </w:r>
    </w:p>
    <w:p>
      <w:pPr>
        <w:adjustRightInd w:val="0"/>
        <w:snapToGrid w:val="0"/>
        <w:spacing w:before="0" w:beforeLines="0" w:line="400" w:lineRule="exact"/>
        <w:rPr>
          <w:rFonts w:ascii="宋体" w:hAnsi="宋体"/>
          <w:color w:val="auto"/>
          <w:szCs w:val="21"/>
        </w:rPr>
      </w:pPr>
      <w:r>
        <w:rPr>
          <w:rFonts w:hint="eastAsia" w:ascii="宋体" w:hAnsi="宋体"/>
          <w:color w:val="auto"/>
          <w:szCs w:val="21"/>
        </w:rPr>
        <w:t>乙方</w:t>
      </w:r>
      <w:r>
        <w:rPr>
          <w:rFonts w:hint="eastAsia" w:ascii="宋体" w:hAnsi="宋体"/>
          <w:color w:val="auto"/>
          <w:szCs w:val="21"/>
          <w:lang w:val="en-US" w:eastAsia="zh-CN"/>
        </w:rPr>
        <w:t>1</w:t>
      </w:r>
      <w:r>
        <w:rPr>
          <w:rFonts w:hint="eastAsia" w:ascii="宋体" w:hAnsi="宋体"/>
          <w:color w:val="auto"/>
          <w:szCs w:val="21"/>
        </w:rPr>
        <w:t>（全称）：</w:t>
      </w:r>
      <w:r>
        <w:rPr>
          <w:rFonts w:hint="eastAsia" w:ascii="宋体" w:hAnsi="宋体"/>
          <w:color w:val="auto"/>
          <w:szCs w:val="21"/>
          <w:u w:val="single"/>
        </w:rPr>
        <w:t xml:space="preserve">                       </w:t>
      </w:r>
      <w:r>
        <w:rPr>
          <w:rFonts w:hint="eastAsia" w:ascii="宋体" w:hAnsi="宋体"/>
          <w:color w:val="auto"/>
          <w:szCs w:val="21"/>
        </w:rPr>
        <w:t>（供应商）</w:t>
      </w:r>
    </w:p>
    <w:p>
      <w:pPr>
        <w:adjustRightInd w:val="0"/>
        <w:snapToGrid w:val="0"/>
        <w:spacing w:before="0" w:beforeLines="0" w:line="400" w:lineRule="exact"/>
        <w:rPr>
          <w:rFonts w:hint="eastAsia" w:ascii="宋体" w:hAnsi="宋体"/>
          <w:color w:val="auto"/>
          <w:szCs w:val="21"/>
        </w:rPr>
      </w:pPr>
      <w:r>
        <w:rPr>
          <w:rFonts w:hint="eastAsia" w:ascii="宋体" w:hAnsi="宋体"/>
          <w:color w:val="auto"/>
          <w:szCs w:val="21"/>
        </w:rPr>
        <w:t>乙方2（全称）：</w:t>
      </w:r>
      <w:r>
        <w:rPr>
          <w:rFonts w:hint="eastAsia" w:ascii="宋体" w:hAnsi="宋体"/>
          <w:color w:val="auto"/>
          <w:szCs w:val="21"/>
          <w:u w:val="single"/>
        </w:rPr>
        <w:t xml:space="preserve">                        </w:t>
      </w:r>
      <w:r>
        <w:rPr>
          <w:rFonts w:hint="eastAsia" w:ascii="宋体" w:hAnsi="宋体"/>
          <w:color w:val="auto"/>
          <w:szCs w:val="21"/>
        </w:rPr>
        <w:t>（联合体成员供应商或其他合同主体）（如有）</w:t>
      </w:r>
    </w:p>
    <w:p>
      <w:pPr>
        <w:adjustRightInd w:val="0"/>
        <w:snapToGrid w:val="0"/>
        <w:spacing w:before="0" w:beforeLines="0" w:line="400" w:lineRule="exact"/>
        <w:rPr>
          <w:rFonts w:hint="eastAsia" w:ascii="宋体" w:hAnsi="宋体"/>
          <w:color w:val="auto"/>
          <w:szCs w:val="21"/>
        </w:rPr>
      </w:pPr>
      <w:r>
        <w:rPr>
          <w:rFonts w:hint="eastAsia"/>
          <w:color w:val="auto"/>
          <w:lang w:eastAsia="zh-CN"/>
        </w:rPr>
        <w:t>乙方</w:t>
      </w:r>
      <w:r>
        <w:rPr>
          <w:rFonts w:hint="eastAsia" w:ascii="宋体" w:hAnsi="宋体"/>
          <w:color w:val="auto"/>
          <w:szCs w:val="21"/>
          <w:lang w:val="en-US" w:eastAsia="zh-CN"/>
        </w:rPr>
        <w:t>3</w:t>
      </w:r>
      <w:r>
        <w:rPr>
          <w:rFonts w:hint="eastAsia"/>
          <w:color w:val="auto"/>
          <w:lang w:val="en-US" w:eastAsia="zh-CN"/>
        </w:rPr>
        <w:t>（全称）</w:t>
      </w:r>
      <w:r>
        <w:rPr>
          <w:rFonts w:hint="eastAsia" w:ascii="宋体" w:hAnsi="宋体"/>
          <w:color w:val="auto"/>
          <w:szCs w:val="21"/>
          <w:u w:val="single"/>
        </w:rPr>
        <w:t xml:space="preserve">                          </w:t>
      </w:r>
      <w:r>
        <w:rPr>
          <w:rFonts w:hint="eastAsia" w:ascii="宋体" w:hAnsi="宋体"/>
          <w:color w:val="auto"/>
          <w:szCs w:val="21"/>
        </w:rPr>
        <w:t>（联合体成员供应商或其他合同主体）（如有）</w:t>
      </w:r>
    </w:p>
    <w:p>
      <w:pPr>
        <w:spacing w:beforeLines="0" w:line="400" w:lineRule="exact"/>
        <w:rPr>
          <w:rFonts w:hint="default" w:eastAsia="宋体"/>
          <w:color w:val="auto"/>
          <w:lang w:val="en-US" w:eastAsia="zh-CN"/>
        </w:rPr>
      </w:pPr>
    </w:p>
    <w:p>
      <w:pPr>
        <w:pStyle w:val="11"/>
        <w:adjustRightInd w:val="0"/>
        <w:snapToGrid w:val="0"/>
        <w:spacing w:before="0" w:beforeLines="0" w:after="0" w:line="400" w:lineRule="exact"/>
        <w:ind w:left="0" w:leftChars="0" w:firstLine="440" w:firstLineChars="200"/>
        <w:rPr>
          <w:rFonts w:ascii="宋体" w:hAnsi="宋体"/>
          <w:color w:val="auto"/>
          <w:szCs w:val="21"/>
        </w:rPr>
      </w:pPr>
      <w:r>
        <w:rPr>
          <w:rFonts w:hint="eastAsia" w:ascii="宋体" w:hAnsi="宋体"/>
          <w:color w:val="auto"/>
          <w:szCs w:val="21"/>
        </w:rPr>
        <w:t>依据《中华人民共和国民法典》</w:t>
      </w:r>
      <w:r>
        <w:rPr>
          <w:rFonts w:hint="eastAsia" w:ascii="宋体" w:hAnsi="宋体"/>
          <w:color w:val="auto"/>
          <w:szCs w:val="21"/>
          <w:lang w:eastAsia="zh-CN"/>
        </w:rPr>
        <w:t>、</w:t>
      </w:r>
      <w:r>
        <w:rPr>
          <w:rFonts w:hint="eastAsia" w:ascii="宋体" w:hAnsi="宋体"/>
          <w:color w:val="auto"/>
          <w:szCs w:val="21"/>
        </w:rPr>
        <w:t>《中华人民共和国政府采购法》等有关的法律法规，以及</w:t>
      </w:r>
      <w:r>
        <w:rPr>
          <w:rFonts w:hint="eastAsia" w:ascii="宋体" w:hAnsi="宋体"/>
          <w:i w:val="0"/>
          <w:iCs w:val="0"/>
          <w:color w:val="auto"/>
          <w:szCs w:val="21"/>
          <w:u w:val="none"/>
          <w:lang w:eastAsia="zh-CN"/>
        </w:rPr>
        <w:t>本采购项目</w:t>
      </w:r>
      <w:r>
        <w:rPr>
          <w:rFonts w:hint="eastAsia" w:ascii="宋体" w:hAnsi="宋体"/>
          <w:color w:val="auto"/>
          <w:szCs w:val="21"/>
        </w:rPr>
        <w:t>的</w:t>
      </w:r>
      <w:r>
        <w:rPr>
          <w:rFonts w:hint="eastAsia" w:ascii="宋体" w:hAnsi="宋体"/>
          <w:color w:val="auto"/>
          <w:szCs w:val="21"/>
          <w:lang w:eastAsia="zh-CN"/>
        </w:rPr>
        <w:t>招标</w:t>
      </w:r>
      <w:r>
        <w:rPr>
          <w:rFonts w:hint="eastAsia" w:ascii="宋体" w:hAnsi="宋体"/>
          <w:color w:val="auto"/>
          <w:szCs w:val="21"/>
          <w:lang w:val="en-US" w:eastAsia="zh-CN"/>
        </w:rPr>
        <w:t>/谈判</w:t>
      </w:r>
      <w:r>
        <w:rPr>
          <w:rFonts w:hint="eastAsia" w:ascii="宋体" w:hAnsi="宋体"/>
          <w:color w:val="auto"/>
          <w:szCs w:val="21"/>
          <w:lang w:eastAsia="zh-CN"/>
        </w:rPr>
        <w:t>文件等</w:t>
      </w:r>
      <w:r>
        <w:rPr>
          <w:rFonts w:hint="eastAsia" w:ascii="宋体" w:hAnsi="宋体"/>
          <w:color w:val="auto"/>
          <w:szCs w:val="21"/>
        </w:rPr>
        <w:t>采购文件</w:t>
      </w:r>
      <w:r>
        <w:rPr>
          <w:rFonts w:hint="eastAsia" w:ascii="宋体" w:hAnsi="宋体"/>
          <w:color w:val="auto"/>
          <w:szCs w:val="21"/>
          <w:lang w:eastAsia="zh-CN"/>
        </w:rPr>
        <w:t>、</w:t>
      </w:r>
      <w:r>
        <w:rPr>
          <w:rFonts w:hint="eastAsia" w:ascii="宋体" w:hAnsi="宋体"/>
          <w:color w:val="auto"/>
          <w:szCs w:val="21"/>
        </w:rPr>
        <w:t xml:space="preserve">乙方的《投标（响应）文件》及《中标（成交）通知书》，甲乙双方同意签订本合同。具体情况及要求如下：     </w:t>
      </w:r>
    </w:p>
    <w:p>
      <w:pPr>
        <w:numPr>
          <w:ilvl w:val="0"/>
          <w:numId w:val="5"/>
        </w:numPr>
        <w:adjustRightInd w:val="0"/>
        <w:snapToGrid w:val="0"/>
        <w:spacing w:before="0" w:beforeLines="0" w:line="400" w:lineRule="exact"/>
        <w:ind w:firstLine="422" w:firstLineChars="200"/>
        <w:rPr>
          <w:rFonts w:ascii="宋体" w:hAnsi="宋体"/>
          <w:b/>
          <w:color w:val="auto"/>
          <w:szCs w:val="21"/>
        </w:rPr>
      </w:pPr>
      <w:r>
        <w:rPr>
          <w:rFonts w:hint="eastAsia" w:ascii="宋体" w:hAnsi="宋体"/>
          <w:b/>
          <w:color w:val="auto"/>
          <w:szCs w:val="21"/>
        </w:rPr>
        <w:t>项目信息</w:t>
      </w:r>
    </w:p>
    <w:p>
      <w:pPr>
        <w:pStyle w:val="11"/>
        <w:numPr>
          <w:ilvl w:val="0"/>
          <w:numId w:val="6"/>
        </w:numPr>
        <w:adjustRightInd w:val="0"/>
        <w:snapToGrid w:val="0"/>
        <w:spacing w:before="0" w:beforeLines="0" w:after="0" w:line="400" w:lineRule="exact"/>
        <w:ind w:left="0" w:leftChars="0" w:firstLine="440" w:firstLineChars="200"/>
        <w:rPr>
          <w:rFonts w:ascii="宋体" w:hAnsi="宋体"/>
          <w:color w:val="auto"/>
          <w:szCs w:val="21"/>
          <w:u w:val="single"/>
        </w:rPr>
      </w:pPr>
      <w:r>
        <w:rPr>
          <w:rFonts w:hint="eastAsia" w:ascii="宋体" w:hAnsi="宋体"/>
          <w:color w:val="auto"/>
          <w:szCs w:val="21"/>
        </w:rPr>
        <w:t>采购项目名称：</w:t>
      </w:r>
      <w:r>
        <w:rPr>
          <w:rFonts w:ascii="宋体" w:hAnsi="宋体"/>
          <w:color w:val="auto"/>
          <w:szCs w:val="21"/>
          <w:u w:val="single"/>
        </w:rPr>
        <w:t xml:space="preserve">                                          </w:t>
      </w:r>
    </w:p>
    <w:p>
      <w:pPr>
        <w:pStyle w:val="11"/>
        <w:numPr>
          <w:ilvl w:val="-1"/>
          <w:numId w:val="0"/>
        </w:numPr>
        <w:tabs>
          <w:tab w:val="left" w:pos="999"/>
        </w:tabs>
        <w:adjustRightInd w:val="0"/>
        <w:snapToGrid w:val="0"/>
        <w:spacing w:before="0" w:beforeLines="0" w:after="0" w:line="400" w:lineRule="exact"/>
        <w:ind w:left="0" w:leftChars="0" w:firstLine="0" w:firstLineChars="0"/>
        <w:rPr>
          <w:rFonts w:hint="default" w:ascii="宋体" w:hAnsi="宋体" w:eastAsia="宋体"/>
          <w:color w:val="auto"/>
          <w:szCs w:val="21"/>
          <w:u w:val="none"/>
          <w:lang w:val="en-US" w:eastAsia="zh-CN"/>
        </w:rPr>
      </w:pPr>
      <w:r>
        <w:rPr>
          <w:rFonts w:hint="eastAsia" w:ascii="宋体" w:hAnsi="宋体"/>
          <w:color w:val="auto"/>
          <w:szCs w:val="21"/>
          <w:u w:val="none"/>
          <w:lang w:val="en-US" w:eastAsia="zh-CN"/>
        </w:rPr>
        <w:t xml:space="preserve">         采购项目编号：</w:t>
      </w:r>
      <w:r>
        <w:rPr>
          <w:rFonts w:ascii="宋体" w:hAnsi="宋体"/>
          <w:color w:val="auto"/>
          <w:szCs w:val="21"/>
          <w:u w:val="single"/>
        </w:rPr>
        <w:t xml:space="preserve">                                          </w:t>
      </w:r>
    </w:p>
    <w:p>
      <w:pPr>
        <w:pStyle w:val="11"/>
        <w:adjustRightInd w:val="0"/>
        <w:snapToGrid w:val="0"/>
        <w:spacing w:before="0" w:beforeLines="0" w:after="0" w:line="400" w:lineRule="exact"/>
        <w:ind w:left="0" w:leftChars="0" w:firstLine="440" w:firstLineChars="200"/>
        <w:rPr>
          <w:rFonts w:ascii="宋体" w:hAnsi="宋体"/>
          <w:color w:val="auto"/>
          <w:szCs w:val="21"/>
        </w:rPr>
      </w:pPr>
      <w:r>
        <w:rPr>
          <w:rFonts w:hint="eastAsia" w:ascii="宋体" w:hAnsi="宋体"/>
          <w:color w:val="auto"/>
          <w:szCs w:val="21"/>
        </w:rPr>
        <w:t>（2）采购计划编号：</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adjustRightInd w:val="0"/>
        <w:snapToGrid w:val="0"/>
        <w:spacing w:before="0" w:beforeLines="0" w:line="400" w:lineRule="exact"/>
        <w:ind w:firstLine="420" w:firstLineChars="200"/>
        <w:rPr>
          <w:rFonts w:hint="eastAsia" w:ascii="宋体" w:hAnsi="宋体"/>
          <w:color w:val="auto"/>
          <w:szCs w:val="21"/>
        </w:rPr>
      </w:pPr>
      <w:r>
        <w:rPr>
          <w:rFonts w:hint="eastAsia" w:ascii="宋体" w:hAnsi="宋体"/>
          <w:color w:val="auto"/>
          <w:szCs w:val="21"/>
        </w:rPr>
        <w:t>（3）项目内容：</w:t>
      </w:r>
    </w:p>
    <w:p>
      <w:pPr>
        <w:adjustRightInd w:val="0"/>
        <w:snapToGrid w:val="0"/>
        <w:spacing w:before="0" w:beforeLines="0" w:line="400" w:lineRule="exact"/>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lang w:eastAsia="zh-CN"/>
        </w:rPr>
        <w:t>采购标的及数量</w:t>
      </w:r>
      <w:r>
        <w:rPr>
          <w:rFonts w:hint="eastAsia" w:ascii="宋体" w:hAnsi="宋体"/>
          <w:color w:val="auto"/>
          <w:szCs w:val="21"/>
          <w:lang w:val="en-US" w:eastAsia="zh-CN"/>
        </w:rPr>
        <w:t>（台/套</w:t>
      </w:r>
      <w:r>
        <w:rPr>
          <w:rFonts w:hint="default" w:ascii="宋体" w:hAnsi="宋体"/>
          <w:color w:val="auto"/>
          <w:szCs w:val="21"/>
          <w:lang w:val="en" w:eastAsia="zh-CN"/>
        </w:rPr>
        <w:t>/</w:t>
      </w:r>
      <w:r>
        <w:rPr>
          <w:rFonts w:hint="eastAsia" w:ascii="宋体" w:hAnsi="宋体"/>
          <w:color w:val="auto"/>
          <w:szCs w:val="21"/>
          <w:lang w:val="en" w:eastAsia="zh-CN"/>
        </w:rPr>
        <w:t>个</w:t>
      </w:r>
      <w:r>
        <w:rPr>
          <w:rFonts w:hint="default" w:ascii="宋体" w:hAnsi="宋体"/>
          <w:color w:val="auto"/>
          <w:szCs w:val="21"/>
          <w:lang w:val="en" w:eastAsia="zh-CN"/>
        </w:rPr>
        <w:t>/</w:t>
      </w:r>
      <w:r>
        <w:rPr>
          <w:rFonts w:hint="eastAsia" w:ascii="宋体" w:hAnsi="宋体"/>
          <w:color w:val="auto"/>
          <w:szCs w:val="21"/>
          <w:lang w:val="en" w:eastAsia="zh-CN"/>
        </w:rPr>
        <w:t>架</w:t>
      </w:r>
      <w:r>
        <w:rPr>
          <w:rFonts w:hint="default" w:ascii="宋体" w:hAnsi="宋体"/>
          <w:color w:val="auto"/>
          <w:szCs w:val="21"/>
          <w:lang w:val="en" w:eastAsia="zh-CN"/>
        </w:rPr>
        <w:t>/</w:t>
      </w:r>
      <w:r>
        <w:rPr>
          <w:rFonts w:hint="eastAsia" w:ascii="宋体" w:hAnsi="宋体"/>
          <w:color w:val="auto"/>
          <w:szCs w:val="21"/>
          <w:lang w:val="en" w:eastAsia="zh-CN"/>
        </w:rPr>
        <w:t>组等</w:t>
      </w:r>
      <w:r>
        <w:rPr>
          <w:rFonts w:hint="eastAsia" w:ascii="宋体" w:hAnsi="宋体"/>
          <w:color w:val="auto"/>
          <w:szCs w:val="21"/>
          <w:lang w:val="en-US" w:eastAsia="zh-CN"/>
        </w:rPr>
        <w:t>）</w:t>
      </w:r>
      <w:r>
        <w:rPr>
          <w:rFonts w:hint="eastAsia" w:ascii="宋体" w:hAnsi="宋体"/>
          <w:color w:val="auto"/>
          <w:szCs w:val="21"/>
          <w:lang w:eastAsia="zh-CN"/>
        </w:rPr>
        <w:t>：</w:t>
      </w:r>
      <w:r>
        <w:rPr>
          <w:rFonts w:hint="eastAsia" w:ascii="宋体" w:hAnsi="宋体"/>
          <w:color w:val="auto"/>
          <w:szCs w:val="21"/>
          <w:u w:val="single"/>
          <w:lang w:val="en-US" w:eastAsia="zh-CN"/>
        </w:rPr>
        <w:t xml:space="preserve">                       </w:t>
      </w:r>
      <w:r>
        <w:rPr>
          <w:rFonts w:hint="eastAsia" w:ascii="宋体" w:hAnsi="宋体"/>
          <w:color w:val="auto"/>
          <w:szCs w:val="21"/>
          <w:u w:val="none"/>
          <w:lang w:val="en-US" w:eastAsia="zh-CN"/>
        </w:rPr>
        <w:t xml:space="preserve">            </w:t>
      </w:r>
      <w:r>
        <w:rPr>
          <w:rFonts w:hint="eastAsia" w:ascii="宋体" w:hAnsi="宋体"/>
          <w:color w:val="auto"/>
          <w:szCs w:val="21"/>
          <w:u w:val="single"/>
          <w:lang w:val="en-US" w:eastAsia="zh-CN"/>
        </w:rPr>
        <w:t xml:space="preserve">                  </w:t>
      </w:r>
      <w:r>
        <w:rPr>
          <w:rFonts w:hint="eastAsia" w:ascii="宋体" w:hAnsi="宋体"/>
          <w:color w:val="auto"/>
          <w:szCs w:val="21"/>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cs="宋体"/>
          <w:color w:val="auto"/>
          <w:szCs w:val="21"/>
          <w:lang w:val="en" w:eastAsia="zh-CN"/>
        </w:rPr>
      </w:pPr>
      <w:r>
        <w:rPr>
          <w:rFonts w:hint="eastAsia" w:ascii="宋体" w:hAnsi="宋体"/>
          <w:color w:val="auto"/>
          <w:szCs w:val="21"/>
          <w:highlight w:val="none"/>
          <w:u w:val="none"/>
          <w:lang w:val="en-US" w:eastAsia="zh-CN"/>
        </w:rPr>
        <w:t xml:space="preserve">     </w:t>
      </w:r>
      <w:r>
        <w:rPr>
          <w:rFonts w:hint="eastAsia" w:ascii="宋体" w:hAnsi="宋体" w:cs="宋体"/>
          <w:color w:val="auto"/>
          <w:szCs w:val="21"/>
          <w:lang w:val="en-US" w:eastAsia="zh-CN"/>
        </w:rPr>
        <w:t>品牌：</w:t>
      </w:r>
      <w:r>
        <w:rPr>
          <w:rFonts w:hint="eastAsia" w:ascii="宋体" w:hAnsi="宋体" w:cs="宋体"/>
          <w:color w:val="auto"/>
          <w:szCs w:val="21"/>
          <w:u w:val="single"/>
          <w:lang w:val="en-US" w:eastAsia="zh-CN"/>
        </w:rPr>
        <w:t xml:space="preserve">      </w:t>
      </w:r>
      <w:r>
        <w:rPr>
          <w:rFonts w:hint="default" w:ascii="宋体" w:hAnsi="宋体" w:cs="宋体"/>
          <w:color w:val="auto"/>
          <w:szCs w:val="21"/>
          <w:u w:val="single"/>
          <w:lang w:val="en" w:eastAsia="zh-CN"/>
        </w:rPr>
        <w:t xml:space="preserve">   </w:t>
      </w:r>
      <w:r>
        <w:rPr>
          <w:rFonts w:hint="eastAsia" w:ascii="宋体" w:hAnsi="宋体" w:cs="宋体"/>
          <w:color w:val="auto"/>
          <w:szCs w:val="21"/>
          <w:u w:val="single"/>
          <w:lang w:val="en-US" w:eastAsia="zh-CN"/>
        </w:rPr>
        <w:t xml:space="preserve">    </w:t>
      </w:r>
      <w:r>
        <w:rPr>
          <w:rFonts w:hint="default" w:ascii="宋体" w:hAnsi="宋体" w:cs="宋体"/>
          <w:color w:val="auto"/>
          <w:szCs w:val="21"/>
          <w:u w:val="single"/>
          <w:lang w:val="en" w:eastAsia="zh-CN"/>
        </w:rPr>
        <w:t xml:space="preserve"> </w:t>
      </w:r>
      <w:r>
        <w:rPr>
          <w:rFonts w:hint="eastAsia" w:ascii="宋体" w:hAnsi="宋体" w:cs="宋体"/>
          <w:color w:val="auto"/>
          <w:szCs w:val="21"/>
          <w:u w:val="single"/>
          <w:lang w:val="en-US" w:eastAsia="zh-CN"/>
        </w:rPr>
        <w:t xml:space="preserve"> </w:t>
      </w:r>
      <w:r>
        <w:rPr>
          <w:rFonts w:hint="default" w:ascii="宋体" w:hAnsi="宋体" w:cs="宋体"/>
          <w:color w:val="auto"/>
          <w:szCs w:val="21"/>
          <w:u w:val="none"/>
          <w:lang w:val="en" w:eastAsia="zh-CN"/>
        </w:rPr>
        <w:t xml:space="preserve">     </w:t>
      </w:r>
      <w:r>
        <w:rPr>
          <w:rFonts w:hint="eastAsia" w:ascii="宋体" w:hAnsi="宋体" w:cs="宋体"/>
          <w:color w:val="auto"/>
          <w:szCs w:val="21"/>
          <w:lang w:val="en-US" w:eastAsia="zh-CN"/>
        </w:rPr>
        <w:t>规格型号：</w:t>
      </w:r>
      <w:r>
        <w:rPr>
          <w:rFonts w:hint="eastAsia" w:ascii="宋体" w:hAnsi="宋体" w:cs="宋体"/>
          <w:color w:val="auto"/>
          <w:szCs w:val="21"/>
          <w:u w:val="single"/>
          <w:lang w:val="en-US" w:eastAsia="zh-CN"/>
        </w:rPr>
        <w:t xml:space="preserve">   </w:t>
      </w:r>
      <w:r>
        <w:rPr>
          <w:rFonts w:hint="default" w:ascii="宋体" w:hAnsi="宋体" w:cs="宋体"/>
          <w:color w:val="auto"/>
          <w:szCs w:val="21"/>
          <w:u w:val="single"/>
          <w:lang w:val="en" w:eastAsia="zh-CN"/>
        </w:rPr>
        <w:t xml:space="preserve">  </w:t>
      </w:r>
      <w:r>
        <w:rPr>
          <w:rFonts w:hint="eastAsia" w:ascii="宋体" w:hAnsi="宋体" w:cs="宋体"/>
          <w:color w:val="auto"/>
          <w:szCs w:val="21"/>
          <w:u w:val="single"/>
          <w:lang w:val="en-US" w:eastAsia="zh-CN"/>
        </w:rPr>
        <w:t xml:space="preserve">       </w:t>
      </w:r>
      <w:r>
        <w:rPr>
          <w:rFonts w:hint="default" w:ascii="宋体" w:hAnsi="宋体" w:cs="宋体"/>
          <w:color w:val="auto"/>
          <w:szCs w:val="21"/>
          <w:u w:val="single"/>
          <w:lang w:val="en" w:eastAsia="zh-CN"/>
        </w:rPr>
        <w:t xml:space="preserve">   </w:t>
      </w:r>
    </w:p>
    <w:p>
      <w:pPr>
        <w:adjustRightInd w:val="0"/>
        <w:snapToGrid w:val="0"/>
        <w:spacing w:before="0" w:beforeLines="0" w:line="400" w:lineRule="exact"/>
        <w:ind w:firstLine="945" w:firstLineChars="450"/>
        <w:rPr>
          <w:rFonts w:ascii="宋体" w:hAnsi="宋体"/>
          <w:color w:val="auto"/>
          <w:szCs w:val="21"/>
          <w:highlight w:val="none"/>
          <w:u w:val="single"/>
        </w:rPr>
      </w:pPr>
      <w:r>
        <w:rPr>
          <w:rFonts w:hint="eastAsia" w:ascii="宋体" w:hAnsi="宋体"/>
          <w:color w:val="auto"/>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cs="宋体"/>
          <w:color w:val="auto"/>
          <w:szCs w:val="21"/>
          <w:lang w:val="en-US" w:eastAsia="zh-CN"/>
        </w:rPr>
      </w:pPr>
      <w:r>
        <w:rPr>
          <w:rFonts w:hint="eastAsia" w:ascii="汉仪书宋二S" w:hAnsi="汉仪书宋二S" w:eastAsia="汉仪书宋二S" w:cs="汉仪书宋二S"/>
          <w:color w:val="auto"/>
          <w:szCs w:val="21"/>
          <w:lang w:val="en-US" w:eastAsia="zh-CN"/>
        </w:rPr>
        <w:t>①</w:t>
      </w:r>
      <w:r>
        <w:rPr>
          <w:rFonts w:hint="eastAsia" w:ascii="宋体" w:hAnsi="宋体" w:cs="宋体"/>
          <w:color w:val="auto"/>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cs="宋体"/>
          <w:color w:val="auto"/>
          <w:kern w:val="0"/>
          <w:szCs w:val="21"/>
          <w:u w:val="single"/>
          <w:lang w:val="en-US" w:eastAsia="zh-CN"/>
        </w:rPr>
      </w:pPr>
      <w:r>
        <w:rPr>
          <w:rFonts w:hint="eastAsia" w:ascii="宋体" w:hAnsi="宋体" w:cs="宋体"/>
          <w:color w:val="auto"/>
          <w:szCs w:val="21"/>
          <w:lang w:val="en-US" w:eastAsia="zh-CN"/>
        </w:rPr>
        <w:t xml:space="preserve">     标的名称：</w:t>
      </w:r>
      <w:r>
        <w:rPr>
          <w:rFonts w:hint="eastAsia" w:ascii="宋体" w:hAnsi="宋体" w:cs="宋体"/>
          <w:color w:val="auto"/>
          <w:kern w:val="0"/>
          <w:szCs w:val="21"/>
          <w:u w:val="single"/>
          <w:lang w:val="en-US" w:eastAsia="zh-CN"/>
        </w:rPr>
        <w:t xml:space="preserve">      </w:t>
      </w:r>
      <w:r>
        <w:rPr>
          <w:rFonts w:hint="default" w:ascii="宋体" w:hAnsi="宋体" w:cs="宋体"/>
          <w:color w:val="auto"/>
          <w:kern w:val="0"/>
          <w:szCs w:val="21"/>
          <w:u w:val="single"/>
          <w:lang w:val="en" w:eastAsia="zh-CN"/>
        </w:rPr>
        <w:t xml:space="preserve">               </w:t>
      </w:r>
      <w:r>
        <w:rPr>
          <w:rFonts w:hint="eastAsia" w:ascii="宋体" w:hAnsi="宋体" w:cs="宋体"/>
          <w:color w:val="auto"/>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     关键部件：</w:t>
      </w:r>
      <w:r>
        <w:rPr>
          <w:rFonts w:hint="eastAsia" w:ascii="宋体" w:hAnsi="宋体" w:cs="宋体"/>
          <w:color w:val="auto"/>
          <w:kern w:val="0"/>
          <w:szCs w:val="21"/>
          <w:u w:val="single"/>
          <w:lang w:val="en-US" w:eastAsia="zh-CN"/>
        </w:rPr>
        <w:t xml:space="preserve">          </w:t>
      </w:r>
      <w:r>
        <w:rPr>
          <w:rFonts w:hint="eastAsia" w:ascii="宋体" w:hAnsi="宋体" w:cs="宋体"/>
          <w:color w:val="auto"/>
          <w:kern w:val="0"/>
          <w:szCs w:val="21"/>
          <w:u w:val="none"/>
          <w:lang w:val="en-US" w:eastAsia="zh-CN"/>
        </w:rPr>
        <w:t xml:space="preserve"> </w:t>
      </w:r>
      <w:r>
        <w:rPr>
          <w:rFonts w:hint="eastAsia" w:ascii="宋体" w:hAnsi="宋体" w:cs="宋体"/>
          <w:color w:val="auto"/>
          <w:szCs w:val="21"/>
          <w:lang w:val="en-US" w:eastAsia="zh-CN"/>
        </w:rPr>
        <w:t>品牌：</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 xml:space="preserve"> </w:t>
      </w:r>
      <w:r>
        <w:rPr>
          <w:rFonts w:hint="eastAsia" w:ascii="宋体" w:hAnsi="宋体" w:cs="宋体"/>
          <w:color w:val="auto"/>
          <w:szCs w:val="21"/>
          <w:lang w:val="en-US" w:eastAsia="zh-CN"/>
        </w:rPr>
        <w:t>型号：</w:t>
      </w:r>
      <w:r>
        <w:rPr>
          <w:rFonts w:hint="eastAsia" w:ascii="宋体" w:hAnsi="宋体" w:cs="宋体"/>
          <w:color w:val="auto"/>
          <w:szCs w:val="21"/>
          <w:u w:val="single"/>
          <w:lang w:val="en-US" w:eastAsia="zh-CN"/>
        </w:rPr>
        <w:t xml:space="preserve">       </w:t>
      </w:r>
      <w:r>
        <w:rPr>
          <w:rFonts w:hint="eastAsia" w:ascii="宋体" w:hAnsi="宋体" w:cs="宋体"/>
          <w:color w:val="auto"/>
          <w:szCs w:val="21"/>
          <w:lang w:val="en-US" w:eastAsia="zh-CN"/>
        </w:rPr>
        <w:t xml:space="preserve"> </w:t>
      </w:r>
    </w:p>
    <w:p>
      <w:pPr>
        <w:pStyle w:val="62"/>
        <w:spacing w:beforeLine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2"/>
          <w:sz w:val="21"/>
          <w:szCs w:val="21"/>
          <w:lang w:val="en-US" w:eastAsia="zh-CN"/>
        </w:rPr>
        <w:t>关键部件</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lang w:val="en-US" w:eastAsia="zh-CN"/>
        </w:rPr>
        <w:t>品牌：</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lang w:val="en-US" w:eastAsia="zh-CN"/>
        </w:rPr>
        <w:t>型号：</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 xml:space="preserve"> </w:t>
      </w:r>
    </w:p>
    <w:p>
      <w:pPr>
        <w:pStyle w:val="62"/>
        <w:spacing w:beforeLine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关键部件：</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lang w:val="en-US" w:eastAsia="zh-CN"/>
        </w:rPr>
        <w:t>品牌：</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lang w:val="en-US" w:eastAsia="zh-CN"/>
        </w:rPr>
        <w:t>型号：</w:t>
      </w:r>
      <w:r>
        <w:rPr>
          <w:rFonts w:hint="eastAsia" w:ascii="宋体" w:hAnsi="宋体" w:eastAsia="宋体" w:cs="宋体"/>
          <w:color w:val="auto"/>
          <w:sz w:val="21"/>
          <w:szCs w:val="21"/>
          <w:u w:val="single"/>
          <w:lang w:val="en-US" w:eastAsia="zh-CN"/>
        </w:rPr>
        <w:t xml:space="preserve">       </w:t>
      </w:r>
    </w:p>
    <w:p>
      <w:pPr>
        <w:pStyle w:val="62"/>
        <w:numPr>
          <w:ilvl w:val="-1"/>
          <w:numId w:val="0"/>
        </w:numPr>
        <w:adjustRightInd w:val="0"/>
        <w:snapToGrid w:val="0"/>
        <w:spacing w:before="0" w:beforeLines="0"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（注：关键部件是指财政部会同有关部门发布的政府采购需求标准规定的需要通过国家有关部门指定的测评机构开展的安全可靠测评的软硬件，如CPU芯片、操作系统、数据库等。）</w:t>
      </w:r>
    </w:p>
    <w:p>
      <w:pPr>
        <w:pStyle w:val="62"/>
        <w:numPr>
          <w:ilvl w:val="-1"/>
          <w:numId w:val="0"/>
        </w:numPr>
        <w:adjustRightInd w:val="0"/>
        <w:snapToGrid w:val="0"/>
        <w:spacing w:before="0" w:beforeLines="0"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汉仪书宋二S" w:hAnsi="汉仪书宋二S" w:eastAsia="汉仪书宋二S" w:cs="汉仪书宋二S"/>
          <w:color w:val="auto"/>
          <w:sz w:val="21"/>
          <w:szCs w:val="21"/>
          <w:lang w:val="en-US" w:eastAsia="zh-CN"/>
        </w:rPr>
        <w:t>②</w:t>
      </w:r>
      <w:r>
        <w:rPr>
          <w:rFonts w:hint="eastAsia" w:ascii="宋体" w:hAnsi="宋体" w:eastAsia="宋体" w:cs="宋体"/>
          <w:color w:val="auto"/>
          <w:sz w:val="21"/>
          <w:szCs w:val="21"/>
          <w:lang w:val="en-US" w:eastAsia="zh-CN"/>
        </w:rPr>
        <w:t>涉及车辆采购，请填写是否属于新能源汽车：</w:t>
      </w:r>
    </w:p>
    <w:p>
      <w:pPr>
        <w:pStyle w:val="62"/>
        <w:numPr>
          <w:ilvl w:val="-1"/>
          <w:numId w:val="0"/>
        </w:numPr>
        <w:adjustRightInd w:val="0"/>
        <w:snapToGrid w:val="0"/>
        <w:spacing w:before="0" w:beforeLines="0" w:line="400" w:lineRule="exact"/>
        <w:ind w:firstLine="0" w:firstLineChars="0"/>
        <w:rPr>
          <w:rFonts w:hint="eastAsia" w:asciiTheme="minorEastAsia" w:hAnsiTheme="minorEastAsia" w:eastAsiaTheme="minorEastAsia" w:cstheme="minorEastAsia"/>
          <w:iCs w:val="0"/>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rPr>
        <w:t>是</w:t>
      </w:r>
      <w:r>
        <w:rPr>
          <w:rFonts w:hint="eastAsia" w:asciiTheme="minorEastAsia" w:hAnsiTheme="minorEastAsia" w:eastAsiaTheme="minorEastAsia" w:cstheme="minorEastAsia"/>
          <w:iCs w:val="0"/>
          <w:color w:val="auto"/>
          <w:sz w:val="21"/>
          <w:szCs w:val="21"/>
          <w:lang w:eastAsia="zh-CN"/>
        </w:rPr>
        <w:t>，《政府采购品目分类目录》底级品目名称</w:t>
      </w:r>
      <w:r>
        <w:rPr>
          <w:rFonts w:hint="eastAsia" w:asciiTheme="minorEastAsia" w:hAnsiTheme="minorEastAsia" w:eastAsiaTheme="minorEastAsia" w:cstheme="minorEastAsia"/>
          <w:color w:val="auto"/>
          <w:sz w:val="21"/>
          <w:szCs w:val="21"/>
          <w:lang w:val="en-US" w:eastAsia="zh-CN"/>
        </w:rPr>
        <w:t>：</w:t>
      </w:r>
      <w:r>
        <w:rPr>
          <w:rFonts w:hint="eastAsia" w:ascii="宋体" w:hAnsi="宋体" w:eastAsia="宋体" w:cs="宋体"/>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 xml:space="preserve"> 数量：</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 xml:space="preserve"> 金额：</w:t>
      </w:r>
      <w:r>
        <w:rPr>
          <w:rFonts w:hint="eastAsia" w:ascii="宋体" w:hAnsi="宋体" w:eastAsia="宋体" w:cs="宋体"/>
          <w:color w:val="auto"/>
          <w:sz w:val="21"/>
          <w:szCs w:val="21"/>
          <w:u w:val="single"/>
          <w:lang w:val="en-US" w:eastAsia="zh-CN"/>
        </w:rPr>
        <w:t xml:space="preserve">     </w:t>
      </w:r>
      <w:r>
        <w:rPr>
          <w:rFonts w:hint="eastAsia" w:asciiTheme="minorEastAsia" w:hAnsiTheme="minorEastAsia" w:eastAsiaTheme="minorEastAsia" w:cstheme="minorEastAsia"/>
          <w:iCs w:val="0"/>
          <w:color w:val="auto"/>
          <w:sz w:val="21"/>
          <w:szCs w:val="21"/>
          <w:lang w:val="en-US" w:eastAsia="zh-CN"/>
        </w:rPr>
        <w:t xml:space="preserve"> </w:t>
      </w:r>
    </w:p>
    <w:p>
      <w:pPr>
        <w:pStyle w:val="62"/>
        <w:numPr>
          <w:ilvl w:val="-1"/>
          <w:numId w:val="0"/>
        </w:numPr>
        <w:adjustRightInd w:val="0"/>
        <w:snapToGrid w:val="0"/>
        <w:spacing w:before="0" w:beforeLines="0" w:line="400" w:lineRule="exact"/>
        <w:ind w:firstLine="0" w:firstLineChars="0"/>
        <w:rPr>
          <w:rFonts w:hint="eastAsia" w:asciiTheme="minorEastAsia" w:hAnsiTheme="minorEastAsia" w:eastAsiaTheme="minorEastAsia" w:cstheme="minorEastAsia"/>
          <w:iCs w:val="0"/>
          <w:color w:val="auto"/>
          <w:sz w:val="21"/>
          <w:szCs w:val="21"/>
          <w:lang w:eastAsia="zh-CN"/>
        </w:rPr>
      </w:pP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否</w:t>
      </w:r>
    </w:p>
    <w:p>
      <w:pPr>
        <w:pStyle w:val="62"/>
        <w:numPr>
          <w:ilvl w:val="-1"/>
          <w:numId w:val="0"/>
        </w:numPr>
        <w:adjustRightInd w:val="0"/>
        <w:snapToGrid w:val="0"/>
        <w:spacing w:before="0" w:beforeLines="0" w:line="400" w:lineRule="exact"/>
        <w:ind w:left="0" w:firstLine="0" w:firstLineChars="0"/>
        <w:rPr>
          <w:rFonts w:hint="eastAsia" w:asciiTheme="minorEastAsia" w:hAnsiTheme="minorEastAsia" w:eastAsiaTheme="minorEastAsia" w:cstheme="minorEastAsia"/>
          <w:iCs w:val="0"/>
          <w:color w:val="auto"/>
          <w:sz w:val="21"/>
          <w:szCs w:val="21"/>
          <w:lang w:val="en-US" w:eastAsia="zh-CN"/>
        </w:rPr>
      </w:pPr>
      <w:r>
        <w:rPr>
          <w:rFonts w:hint="eastAsia" w:asciiTheme="minorEastAsia" w:hAnsiTheme="minorEastAsia" w:eastAsiaTheme="minorEastAsia" w:cstheme="minorEastAsia"/>
          <w:iCs w:val="0"/>
          <w:color w:val="auto"/>
          <w:sz w:val="21"/>
          <w:szCs w:val="21"/>
          <w:lang w:val="en-US" w:eastAsia="zh-CN"/>
        </w:rPr>
        <w:t xml:space="preserve">    （</w:t>
      </w:r>
      <w:r>
        <w:rPr>
          <w:rFonts w:hint="default" w:asciiTheme="minorEastAsia" w:hAnsiTheme="minorEastAsia" w:eastAsiaTheme="minorEastAsia" w:cstheme="minorEastAsia"/>
          <w:iCs w:val="0"/>
          <w:color w:val="auto"/>
          <w:sz w:val="21"/>
          <w:szCs w:val="21"/>
          <w:lang w:val="en" w:eastAsia="zh-CN"/>
        </w:rPr>
        <w:t>4</w:t>
      </w:r>
      <w:r>
        <w:rPr>
          <w:rFonts w:hint="eastAsia" w:asciiTheme="minorEastAsia" w:hAnsiTheme="minorEastAsia" w:eastAsiaTheme="minorEastAsia" w:cstheme="minorEastAsia"/>
          <w:iCs w:val="0"/>
          <w:color w:val="auto"/>
          <w:sz w:val="21"/>
          <w:szCs w:val="21"/>
          <w:lang w:val="en-US" w:eastAsia="zh-CN"/>
        </w:rPr>
        <w:t>）政府采购组织形式：</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政府集中采购</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val="en-US" w:eastAsia="zh-CN"/>
        </w:rPr>
        <w:t xml:space="preserve">部门集中采购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val="en-US" w:eastAsia="zh-CN"/>
        </w:rPr>
        <w:t>分散采购</w:t>
      </w:r>
    </w:p>
    <w:p>
      <w:pPr>
        <w:pStyle w:val="62"/>
        <w:numPr>
          <w:ilvl w:val="-1"/>
          <w:numId w:val="0"/>
        </w:numPr>
        <w:adjustRightInd w:val="0"/>
        <w:snapToGrid w:val="0"/>
        <w:spacing w:before="0" w:beforeLines="0" w:line="400" w:lineRule="exact"/>
        <w:ind w:left="0" w:firstLine="420" w:firstLineChars="0"/>
        <w:rPr>
          <w:rFonts w:hint="eastAsia" w:asciiTheme="minorEastAsia" w:hAnsiTheme="minorEastAsia" w:eastAsiaTheme="minorEastAsia" w:cstheme="minorEastAsia"/>
          <w:iCs w:val="0"/>
          <w:color w:val="auto"/>
          <w:sz w:val="21"/>
          <w:szCs w:val="21"/>
          <w:lang w:eastAsia="zh-CN"/>
        </w:rPr>
      </w:pPr>
      <w:r>
        <w:rPr>
          <w:rFonts w:hint="eastAsia" w:asciiTheme="minorEastAsia" w:hAnsiTheme="minorEastAsia" w:eastAsiaTheme="minorEastAsia" w:cstheme="minorEastAsia"/>
          <w:iCs w:val="0"/>
          <w:color w:val="auto"/>
          <w:sz w:val="21"/>
          <w:szCs w:val="21"/>
          <w:lang w:val="en-US" w:eastAsia="zh-CN"/>
        </w:rPr>
        <w:t>（</w:t>
      </w:r>
      <w:r>
        <w:rPr>
          <w:rFonts w:hint="default" w:asciiTheme="minorEastAsia" w:hAnsiTheme="minorEastAsia" w:eastAsiaTheme="minorEastAsia" w:cstheme="minorEastAsia"/>
          <w:iCs w:val="0"/>
          <w:color w:val="auto"/>
          <w:sz w:val="21"/>
          <w:szCs w:val="21"/>
          <w:lang w:val="en" w:eastAsia="zh-CN"/>
        </w:rPr>
        <w:t>5</w:t>
      </w:r>
      <w:r>
        <w:rPr>
          <w:rFonts w:hint="eastAsia" w:asciiTheme="minorEastAsia" w:hAnsiTheme="minorEastAsia" w:eastAsiaTheme="minorEastAsia" w:cstheme="minorEastAsia"/>
          <w:iCs w:val="0"/>
          <w:color w:val="auto"/>
          <w:sz w:val="21"/>
          <w:szCs w:val="21"/>
          <w:lang w:val="en-US" w:eastAsia="zh-CN"/>
        </w:rPr>
        <w:t>）政府采购方式：</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公开招标</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邀请招标</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竞争性谈判</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竞争性磋商</w:t>
      </w:r>
    </w:p>
    <w:p>
      <w:pPr>
        <w:pStyle w:val="62"/>
        <w:numPr>
          <w:ilvl w:val="-1"/>
          <w:numId w:val="0"/>
        </w:numPr>
        <w:adjustRightInd w:val="0"/>
        <w:snapToGrid w:val="0"/>
        <w:spacing w:before="0" w:beforeLines="0" w:line="400" w:lineRule="exact"/>
        <w:ind w:left="0" w:firstLine="420" w:firstLineChars="0"/>
        <w:rPr>
          <w:rFonts w:hint="eastAsia" w:ascii="宋体" w:hAnsi="宋体" w:eastAsia="宋体" w:cs="宋体"/>
          <w:iCs w:val="0"/>
          <w:color w:val="auto"/>
          <w:sz w:val="21"/>
          <w:szCs w:val="21"/>
          <w:u w:val="single"/>
          <w:lang w:val="en-US" w:eastAsia="zh-CN"/>
        </w:rPr>
      </w:pPr>
      <w:r>
        <w:rPr>
          <w:rFonts w:hint="eastAsia" w:ascii="宋体" w:hAnsi="宋体" w:cs="宋体"/>
          <w:color w:val="auto"/>
          <w:szCs w:val="21"/>
          <w:u w:val="none"/>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询价</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单一来源</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框架协议</w:t>
      </w:r>
      <w:r>
        <w:rPr>
          <w:rFonts w:hint="eastAsia" w:asciiTheme="minorEastAsia" w:hAnsiTheme="minorEastAsia" w:eastAsiaTheme="minorEastAsia" w:cstheme="minorEastAsia"/>
          <w:iCs w:val="0"/>
          <w:color w:val="auto"/>
          <w:sz w:val="21"/>
          <w:szCs w:val="21"/>
          <w:lang w:val="en-US" w:eastAsia="zh-CN"/>
        </w:rPr>
        <w:t xml:space="preserve"> </w:t>
      </w:r>
      <w:r>
        <w:rPr>
          <w:rFonts w:hint="eastAsia" w:asciiTheme="minorEastAsia" w:hAnsiTheme="minorEastAsia" w:eastAsiaTheme="minorEastAsia" w:cstheme="minorEastAsia"/>
          <w:iCs w:val="0"/>
          <w:color w:val="auto"/>
          <w:sz w:val="21"/>
          <w:szCs w:val="21"/>
        </w:rPr>
        <w:sym w:font="Wingdings" w:char="00A8"/>
      </w:r>
      <w:r>
        <w:rPr>
          <w:rFonts w:hint="eastAsia" w:asciiTheme="minorEastAsia" w:hAnsiTheme="minorEastAsia" w:eastAsiaTheme="minorEastAsia" w:cstheme="minorEastAsia"/>
          <w:iCs w:val="0"/>
          <w:color w:val="auto"/>
          <w:sz w:val="21"/>
          <w:szCs w:val="21"/>
          <w:lang w:eastAsia="zh-CN"/>
        </w:rPr>
        <w:t>其他：</w:t>
      </w:r>
      <w:r>
        <w:rPr>
          <w:rFonts w:hint="eastAsia" w:ascii="宋体" w:hAnsi="宋体" w:eastAsia="宋体" w:cs="宋体"/>
          <w:iCs w:val="0"/>
          <w:color w:val="auto"/>
          <w:sz w:val="21"/>
          <w:szCs w:val="21"/>
          <w:u w:val="single"/>
          <w:lang w:val="en-US" w:eastAsia="zh-CN"/>
        </w:rPr>
        <w:t xml:space="preserve">          </w:t>
      </w:r>
    </w:p>
    <w:p>
      <w:pPr>
        <w:pStyle w:val="62"/>
        <w:numPr>
          <w:ilvl w:val="-1"/>
          <w:numId w:val="0"/>
        </w:numPr>
        <w:adjustRightInd w:val="0"/>
        <w:snapToGrid w:val="0"/>
        <w:spacing w:before="0" w:beforeLines="0" w:line="400" w:lineRule="exact"/>
        <w:ind w:left="0" w:firstLine="420" w:firstLineChars="0"/>
        <w:rPr>
          <w:rFonts w:hint="default" w:ascii="宋体" w:hAnsi="宋体" w:eastAsia="宋体" w:cs="宋体"/>
          <w:iCs w:val="0"/>
          <w:color w:val="auto"/>
          <w:sz w:val="21"/>
          <w:szCs w:val="21"/>
          <w:u w:val="none"/>
          <w:lang w:val="en-US" w:eastAsia="zh-CN"/>
        </w:rPr>
      </w:pPr>
      <w:r>
        <w:rPr>
          <w:rFonts w:hint="eastAsia" w:ascii="宋体" w:hAnsi="宋体" w:eastAsia="宋体" w:cs="宋体"/>
          <w:iCs w:val="0"/>
          <w:color w:val="auto"/>
          <w:sz w:val="21"/>
          <w:szCs w:val="21"/>
          <w:u w:val="none"/>
          <w:lang w:val="en-US" w:eastAsia="zh-CN"/>
        </w:rPr>
        <w:t>（注：在框架协议采购的第二阶段，可选择使用该合同文本）</w:t>
      </w:r>
    </w:p>
    <w:p>
      <w:pPr>
        <w:pStyle w:val="62"/>
        <w:numPr>
          <w:ilvl w:val="-1"/>
          <w:numId w:val="0"/>
        </w:numPr>
        <w:adjustRightInd w:val="0"/>
        <w:snapToGrid w:val="0"/>
        <w:spacing w:before="0" w:beforeLines="0" w:line="400" w:lineRule="exact"/>
        <w:ind w:firstLine="220" w:firstLineChars="100"/>
        <w:rPr>
          <w:rFonts w:hint="eastAsia" w:ascii="宋体" w:hAnsi="宋体" w:eastAsia="宋体" w:cs="Times New Roman"/>
          <w:color w:val="auto"/>
          <w:w w:val="100"/>
          <w:kern w:val="2"/>
          <w:sz w:val="21"/>
          <w:szCs w:val="21"/>
          <w:lang w:val="en-US" w:eastAsia="zh-CN" w:bidi="ar-SA"/>
        </w:rPr>
      </w:pPr>
      <w:r>
        <w:rPr>
          <w:rFonts w:hint="eastAsia" w:ascii="宋体" w:hAnsi="宋体"/>
          <w:color w:val="auto"/>
          <w:szCs w:val="21"/>
          <w:lang w:val="en-US" w:eastAsia="zh-CN"/>
        </w:rPr>
        <w:t xml:space="preserve"> （</w:t>
      </w:r>
      <w:r>
        <w:rPr>
          <w:rFonts w:hint="default" w:ascii="宋体" w:hAnsi="宋体"/>
          <w:color w:val="auto"/>
          <w:szCs w:val="21"/>
          <w:lang w:val="en" w:eastAsia="zh-CN"/>
        </w:rPr>
        <w:t>6</w:t>
      </w:r>
      <w:r>
        <w:rPr>
          <w:rFonts w:hint="eastAsia" w:ascii="宋体" w:hAnsi="宋体"/>
          <w:color w:val="auto"/>
          <w:szCs w:val="21"/>
          <w:lang w:val="en-US" w:eastAsia="zh-CN"/>
        </w:rPr>
        <w:t>）</w:t>
      </w:r>
      <w:r>
        <w:rPr>
          <w:rFonts w:hint="eastAsia" w:ascii="宋体" w:hAnsi="宋体" w:eastAsia="宋体" w:cs="Times New Roman"/>
          <w:color w:val="auto"/>
          <w:w w:val="100"/>
          <w:kern w:val="2"/>
          <w:sz w:val="21"/>
          <w:szCs w:val="21"/>
          <w:lang w:val="en-US" w:eastAsia="zh-CN" w:bidi="ar-SA"/>
        </w:rPr>
        <w:t>中标（成交）采购标的制造商是否为中小企业：</w:t>
      </w:r>
      <w:r>
        <w:rPr>
          <w:rFonts w:hint="eastAsia" w:ascii="宋体" w:hAnsi="宋体" w:eastAsia="宋体" w:cs="Times New Roman"/>
          <w:color w:val="auto"/>
          <w:w w:val="100"/>
          <w:kern w:val="2"/>
          <w:sz w:val="21"/>
          <w:szCs w:val="21"/>
          <w:lang w:val="en-US" w:eastAsia="zh-CN" w:bidi="ar-SA"/>
        </w:rPr>
        <w:sym w:font="Wingdings" w:char="00A8"/>
      </w:r>
      <w:r>
        <w:rPr>
          <w:rFonts w:hint="eastAsia" w:ascii="宋体" w:hAnsi="宋体" w:eastAsia="宋体" w:cs="Times New Roman"/>
          <w:color w:val="auto"/>
          <w:w w:val="100"/>
          <w:kern w:val="2"/>
          <w:sz w:val="21"/>
          <w:szCs w:val="21"/>
          <w:lang w:val="en-US" w:eastAsia="zh-CN" w:bidi="ar-SA"/>
        </w:rPr>
        <w:t xml:space="preserve">是      </w:t>
      </w:r>
      <w:r>
        <w:rPr>
          <w:rFonts w:hint="eastAsia" w:ascii="宋体" w:hAnsi="宋体" w:eastAsia="宋体" w:cs="Times New Roman"/>
          <w:color w:val="auto"/>
          <w:w w:val="100"/>
          <w:kern w:val="2"/>
          <w:sz w:val="21"/>
          <w:szCs w:val="21"/>
          <w:lang w:val="en-US" w:eastAsia="zh-CN" w:bidi="ar-SA"/>
        </w:rPr>
        <w:sym w:font="Wingdings" w:char="00A8"/>
      </w:r>
      <w:r>
        <w:rPr>
          <w:rFonts w:hint="eastAsia" w:ascii="宋体" w:hAnsi="宋体" w:eastAsia="宋体" w:cs="Times New Roman"/>
          <w:color w:val="auto"/>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iCs/>
          <w:color w:val="auto"/>
          <w:szCs w:val="21"/>
        </w:rPr>
      </w:pPr>
      <w:r>
        <w:rPr>
          <w:rFonts w:hint="eastAsia" w:ascii="宋体" w:hAnsi="宋体"/>
          <w:color w:val="auto"/>
          <w:w w:val="100"/>
          <w:szCs w:val="21"/>
          <w:lang w:val="en-US" w:eastAsia="zh-CN"/>
        </w:rPr>
        <w:t xml:space="preserve">         本合同</w:t>
      </w:r>
      <w:r>
        <w:rPr>
          <w:rFonts w:hint="eastAsia" w:ascii="宋体" w:hAnsi="宋体"/>
          <w:color w:val="auto"/>
          <w:w w:val="100"/>
          <w:szCs w:val="21"/>
        </w:rPr>
        <w:t>是否</w:t>
      </w:r>
      <w:r>
        <w:rPr>
          <w:rFonts w:hint="eastAsia" w:ascii="宋体" w:hAnsi="宋体"/>
          <w:color w:val="auto"/>
          <w:w w:val="100"/>
          <w:szCs w:val="21"/>
          <w:lang w:eastAsia="zh-CN"/>
        </w:rPr>
        <w:t>为专门面向</w:t>
      </w:r>
      <w:r>
        <w:rPr>
          <w:rFonts w:hint="eastAsia" w:ascii="宋体" w:hAnsi="宋体"/>
          <w:color w:val="auto"/>
          <w:w w:val="100"/>
          <w:szCs w:val="21"/>
        </w:rPr>
        <w:t>中小企业</w:t>
      </w:r>
      <w:r>
        <w:rPr>
          <w:rFonts w:hint="eastAsia" w:ascii="宋体" w:hAnsi="宋体"/>
          <w:color w:val="auto"/>
          <w:w w:val="100"/>
          <w:szCs w:val="21"/>
          <w:lang w:eastAsia="zh-CN"/>
        </w:rPr>
        <w:t>的采</w:t>
      </w:r>
      <w:r>
        <w:rPr>
          <w:rFonts w:hint="eastAsia" w:ascii="宋体" w:hAnsi="宋体"/>
          <w:color w:val="auto"/>
          <w:w w:val="100"/>
          <w:szCs w:val="21"/>
          <w:shd w:val="clear"/>
          <w:lang w:eastAsia="zh-CN"/>
        </w:rPr>
        <w:t>购</w:t>
      </w:r>
      <w:r>
        <w:rPr>
          <w:rFonts w:hint="eastAsia" w:ascii="宋体" w:hAnsi="宋体"/>
          <w:color w:val="auto"/>
          <w:w w:val="100"/>
          <w:szCs w:val="21"/>
          <w:shd w:val="clear"/>
        </w:rPr>
        <w:t>合同</w:t>
      </w:r>
      <w:r>
        <w:rPr>
          <w:rFonts w:hint="eastAsia" w:ascii="宋体" w:hAnsi="宋体"/>
          <w:color w:val="auto"/>
          <w:w w:val="100"/>
          <w:szCs w:val="21"/>
          <w:shd w:val="clear"/>
          <w:lang w:eastAsia="zh-CN"/>
        </w:rPr>
        <w:t>（中小企业预留合同）</w:t>
      </w:r>
      <w:r>
        <w:rPr>
          <w:rFonts w:hint="eastAsia" w:ascii="宋体" w:hAnsi="宋体"/>
          <w:color w:val="auto"/>
          <w:szCs w:val="21"/>
          <w:shd w:val="clear"/>
        </w:rPr>
        <w:t>：</w:t>
      </w:r>
      <w:r>
        <w:rPr>
          <w:rFonts w:hint="eastAsia" w:ascii="宋体" w:hAnsi="宋体"/>
          <w:iCs/>
          <w:color w:val="auto"/>
          <w:szCs w:val="21"/>
        </w:rPr>
        <w:sym w:font="Wingdings" w:char="00A8"/>
      </w:r>
      <w:r>
        <w:rPr>
          <w:rFonts w:hint="eastAsia" w:ascii="宋体" w:hAnsi="宋体"/>
          <w:iCs/>
          <w:color w:val="auto"/>
          <w:szCs w:val="21"/>
        </w:rPr>
        <w:t xml:space="preserve">是 </w:t>
      </w:r>
      <w:r>
        <w:rPr>
          <w:rFonts w:hint="eastAsia" w:ascii="宋体" w:hAnsi="宋体"/>
          <w:iCs/>
          <w:color w:val="auto"/>
          <w:szCs w:val="21"/>
          <w:lang w:val="en-US" w:eastAsia="zh-CN"/>
        </w:rPr>
        <w:t xml:space="preserve">  </w:t>
      </w:r>
      <w:r>
        <w:rPr>
          <w:rFonts w:hint="eastAsia" w:ascii="宋体" w:hAnsi="宋体"/>
          <w:iCs/>
          <w:color w:val="auto"/>
          <w:szCs w:val="21"/>
        </w:rPr>
        <w:t xml:space="preserve"> </w:t>
      </w:r>
      <w:r>
        <w:rPr>
          <w:rFonts w:hint="eastAsia" w:ascii="宋体" w:hAnsi="宋体"/>
          <w:iCs/>
          <w:color w:val="auto"/>
          <w:szCs w:val="21"/>
        </w:rPr>
        <w:sym w:font="Wingdings" w:char="00A8"/>
      </w:r>
      <w:r>
        <w:rPr>
          <w:rFonts w:hint="eastAsia" w:ascii="宋体" w:hAnsi="宋体"/>
          <w:iCs/>
          <w:color w:val="auto"/>
          <w:szCs w:val="21"/>
        </w:rPr>
        <w:t>否</w:t>
      </w:r>
    </w:p>
    <w:p>
      <w:pPr>
        <w:numPr>
          <w:ilvl w:val="-1"/>
          <w:numId w:val="0"/>
        </w:numPr>
        <w:adjustRightInd w:val="0"/>
        <w:snapToGrid w:val="0"/>
        <w:spacing w:before="0" w:beforeLines="0" w:line="400" w:lineRule="exact"/>
        <w:ind w:firstLine="0" w:firstLineChars="0"/>
        <w:rPr>
          <w:rFonts w:hint="eastAsia" w:ascii="宋体" w:hAnsi="宋体"/>
          <w:iCs/>
          <w:color w:val="auto"/>
          <w:szCs w:val="21"/>
        </w:rPr>
      </w:pPr>
      <w:r>
        <w:rPr>
          <w:rFonts w:hint="eastAsia"/>
          <w:color w:val="auto"/>
          <w:lang w:val="en-US" w:eastAsia="zh-CN"/>
        </w:rPr>
        <w:t xml:space="preserve">         若本项目不专门面向中小企业采购，是否给予小微企业评审优惠：</w:t>
      </w:r>
      <w:r>
        <w:rPr>
          <w:rFonts w:hint="eastAsia" w:ascii="宋体" w:hAnsi="宋体"/>
          <w:iCs/>
          <w:color w:val="auto"/>
          <w:szCs w:val="21"/>
        </w:rPr>
        <w:sym w:font="Wingdings" w:char="00A8"/>
      </w:r>
      <w:r>
        <w:rPr>
          <w:rFonts w:hint="eastAsia" w:ascii="宋体" w:hAnsi="宋体"/>
          <w:iCs/>
          <w:color w:val="auto"/>
          <w:szCs w:val="21"/>
        </w:rPr>
        <w:t xml:space="preserve">是   </w:t>
      </w:r>
      <w:r>
        <w:rPr>
          <w:rFonts w:hint="eastAsia" w:ascii="宋体" w:hAnsi="宋体"/>
          <w:iCs/>
          <w:color w:val="auto"/>
          <w:szCs w:val="21"/>
        </w:rPr>
        <w:sym w:font="Wingdings" w:char="00A8"/>
      </w:r>
      <w:r>
        <w:rPr>
          <w:rFonts w:hint="eastAsia" w:ascii="宋体" w:hAnsi="宋体"/>
          <w:iCs/>
          <w:color w:val="auto"/>
          <w:szCs w:val="21"/>
        </w:rPr>
        <w:t>否</w:t>
      </w:r>
    </w:p>
    <w:p>
      <w:pPr>
        <w:numPr>
          <w:ilvl w:val="-1"/>
          <w:numId w:val="0"/>
        </w:numPr>
        <w:adjustRightInd w:val="0"/>
        <w:snapToGrid w:val="0"/>
        <w:spacing w:before="0" w:beforeLines="0" w:line="400" w:lineRule="exact"/>
        <w:ind w:firstLine="0" w:firstLineChars="0"/>
        <w:rPr>
          <w:rFonts w:hint="eastAsia" w:ascii="宋体" w:hAnsi="宋体"/>
          <w:iCs/>
          <w:color w:val="auto"/>
          <w:szCs w:val="21"/>
        </w:rPr>
      </w:pPr>
      <w:r>
        <w:rPr>
          <w:rFonts w:hint="eastAsia"/>
          <w:color w:val="auto"/>
          <w:lang w:val="en-US" w:eastAsia="zh-CN"/>
        </w:rPr>
        <w:t xml:space="preserve">         中标（成交）采购标的制造商是否为残疾人福利性单位：</w:t>
      </w:r>
      <w:r>
        <w:rPr>
          <w:rFonts w:hint="eastAsia" w:ascii="宋体" w:hAnsi="宋体"/>
          <w:iCs/>
          <w:color w:val="auto"/>
          <w:szCs w:val="21"/>
        </w:rPr>
        <w:sym w:font="Wingdings" w:char="00A8"/>
      </w:r>
      <w:r>
        <w:rPr>
          <w:rFonts w:hint="eastAsia" w:ascii="宋体" w:hAnsi="宋体"/>
          <w:iCs/>
          <w:color w:val="auto"/>
          <w:szCs w:val="21"/>
        </w:rPr>
        <w:t xml:space="preserve">是   </w:t>
      </w:r>
      <w:r>
        <w:rPr>
          <w:rFonts w:hint="eastAsia" w:ascii="宋体" w:hAnsi="宋体"/>
          <w:iCs/>
          <w:color w:val="auto"/>
          <w:szCs w:val="21"/>
        </w:rPr>
        <w:sym w:font="Wingdings" w:char="00A8"/>
      </w:r>
      <w:r>
        <w:rPr>
          <w:rFonts w:hint="eastAsia" w:ascii="宋体" w:hAnsi="宋体"/>
          <w:iCs/>
          <w:color w:val="auto"/>
          <w:szCs w:val="21"/>
        </w:rPr>
        <w:t>否</w:t>
      </w:r>
    </w:p>
    <w:p>
      <w:pPr>
        <w:numPr>
          <w:ilvl w:val="0"/>
          <w:numId w:val="0"/>
        </w:numPr>
        <w:snapToGrid w:val="0"/>
        <w:spacing w:beforeLines="0" w:line="400" w:lineRule="exact"/>
        <w:ind w:firstLine="0" w:firstLineChars="0"/>
        <w:rPr>
          <w:rFonts w:hint="default"/>
          <w:color w:val="auto"/>
          <w:lang w:val="en-US" w:eastAsia="zh-CN"/>
        </w:rPr>
      </w:pPr>
      <w:r>
        <w:rPr>
          <w:rFonts w:hint="eastAsia"/>
          <w:color w:val="auto"/>
          <w:lang w:val="en-US" w:eastAsia="zh-CN"/>
        </w:rPr>
        <w:t xml:space="preserve">         中标（成交）采购标的制造商是否为监狱企业：</w:t>
      </w:r>
      <w:r>
        <w:rPr>
          <w:rFonts w:hint="eastAsia" w:ascii="宋体" w:hAnsi="宋体"/>
          <w:iCs/>
          <w:color w:val="auto"/>
          <w:szCs w:val="21"/>
        </w:rPr>
        <w:sym w:font="Wingdings" w:char="00A8"/>
      </w:r>
      <w:r>
        <w:rPr>
          <w:rFonts w:hint="eastAsia" w:ascii="宋体" w:hAnsi="宋体"/>
          <w:iCs/>
          <w:color w:val="auto"/>
          <w:szCs w:val="21"/>
        </w:rPr>
        <w:t xml:space="preserve">是       </w:t>
      </w:r>
      <w:r>
        <w:rPr>
          <w:rFonts w:hint="eastAsia" w:ascii="宋体" w:hAnsi="宋体"/>
          <w:iCs/>
          <w:color w:val="auto"/>
          <w:szCs w:val="21"/>
        </w:rPr>
        <w:sym w:font="Wingdings" w:char="00A8"/>
      </w:r>
      <w:r>
        <w:rPr>
          <w:rFonts w:hint="eastAsia" w:ascii="宋体" w:hAnsi="宋体"/>
          <w:iCs/>
          <w:color w:val="auto"/>
          <w:szCs w:val="21"/>
        </w:rPr>
        <w:t>否</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default" w:ascii="宋体" w:hAnsi="宋体"/>
          <w:color w:val="auto"/>
          <w:szCs w:val="21"/>
          <w:lang w:val="en" w:eastAsia="zh-CN"/>
        </w:rPr>
        <w:t>7</w:t>
      </w:r>
      <w:r>
        <w:rPr>
          <w:rFonts w:hint="eastAsia" w:ascii="宋体" w:hAnsi="宋体"/>
          <w:color w:val="auto"/>
          <w:szCs w:val="21"/>
        </w:rPr>
        <w:t>）合同是否分包：</w:t>
      </w:r>
      <w:r>
        <w:rPr>
          <w:rFonts w:hint="eastAsia" w:ascii="宋体" w:hAnsi="宋体"/>
          <w:iCs/>
          <w:color w:val="auto"/>
          <w:szCs w:val="21"/>
        </w:rPr>
        <w:sym w:font="Wingdings" w:char="00A8"/>
      </w:r>
      <w:r>
        <w:rPr>
          <w:rFonts w:hint="eastAsia" w:ascii="宋体" w:hAnsi="宋体"/>
          <w:iCs/>
          <w:color w:val="auto"/>
          <w:szCs w:val="21"/>
        </w:rPr>
        <w:t xml:space="preserve">是       </w:t>
      </w:r>
      <w:r>
        <w:rPr>
          <w:rFonts w:hint="eastAsia" w:ascii="宋体" w:hAnsi="宋体"/>
          <w:iCs/>
          <w:color w:val="auto"/>
          <w:szCs w:val="21"/>
        </w:rPr>
        <w:sym w:font="Wingdings" w:char="00A8"/>
      </w:r>
      <w:r>
        <w:rPr>
          <w:rFonts w:hint="eastAsia" w:ascii="宋体" w:hAnsi="宋体"/>
          <w:iCs/>
          <w:color w:val="auto"/>
          <w:szCs w:val="21"/>
        </w:rPr>
        <w:t>否</w:t>
      </w:r>
    </w:p>
    <w:p>
      <w:pPr>
        <w:adjustRightInd w:val="0"/>
        <w:snapToGrid w:val="0"/>
        <w:spacing w:before="0" w:beforeLines="0" w:line="400" w:lineRule="exact"/>
        <w:ind w:firstLine="840" w:firstLineChars="400"/>
        <w:rPr>
          <w:rFonts w:hint="eastAsia" w:ascii="宋体" w:hAnsi="宋体"/>
          <w:color w:val="auto"/>
          <w:szCs w:val="21"/>
          <w:u w:val="single"/>
        </w:rPr>
      </w:pPr>
      <w:r>
        <w:rPr>
          <w:rFonts w:hint="eastAsia" w:ascii="宋体" w:hAnsi="宋体"/>
          <w:color w:val="auto"/>
          <w:szCs w:val="21"/>
          <w:lang w:val="en-US" w:eastAsia="zh-CN"/>
        </w:rPr>
        <w:t xml:space="preserve"> </w:t>
      </w:r>
      <w:r>
        <w:rPr>
          <w:rFonts w:hint="eastAsia" w:ascii="宋体" w:hAnsi="宋体"/>
          <w:color w:val="auto"/>
          <w:szCs w:val="21"/>
        </w:rPr>
        <w:t>分包主要内容：</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adjustRightInd w:val="0"/>
        <w:snapToGrid w:val="0"/>
        <w:spacing w:before="0" w:beforeLines="0" w:line="400" w:lineRule="exact"/>
        <w:ind w:firstLine="840" w:firstLineChars="400"/>
        <w:rPr>
          <w:rFonts w:hint="eastAsia" w:ascii="宋体" w:hAnsi="宋体"/>
          <w:color w:val="auto"/>
          <w:szCs w:val="21"/>
          <w:highlight w:val="none"/>
        </w:rPr>
      </w:pPr>
      <w:r>
        <w:rPr>
          <w:rFonts w:hint="eastAsia" w:ascii="宋体" w:hAnsi="宋体"/>
          <w:color w:val="auto"/>
          <w:szCs w:val="21"/>
          <w:u w:val="none"/>
          <w:lang w:val="en-US" w:eastAsia="zh-CN"/>
        </w:rPr>
        <w:t xml:space="preserve"> </w:t>
      </w:r>
      <w:r>
        <w:rPr>
          <w:rFonts w:hint="eastAsia" w:ascii="宋体" w:hAnsi="宋体"/>
          <w:color w:val="auto"/>
          <w:szCs w:val="21"/>
        </w:rPr>
        <w:t>分包</w:t>
      </w:r>
      <w:r>
        <w:rPr>
          <w:rFonts w:hint="eastAsia" w:ascii="宋体" w:hAnsi="宋体"/>
          <w:color w:val="auto"/>
          <w:szCs w:val="21"/>
          <w:highlight w:val="none"/>
        </w:rPr>
        <w:t>供应商</w:t>
      </w:r>
      <w:r>
        <w:rPr>
          <w:rFonts w:hint="eastAsia" w:ascii="宋体" w:hAnsi="宋体"/>
          <w:color w:val="auto"/>
          <w:szCs w:val="21"/>
          <w:highlight w:val="none"/>
          <w:lang w:eastAsia="zh-CN"/>
        </w:rPr>
        <w:t>/制造商</w:t>
      </w:r>
      <w:r>
        <w:rPr>
          <w:rFonts w:hint="eastAsia" w:ascii="宋体" w:hAnsi="宋体"/>
          <w:color w:val="auto"/>
          <w:szCs w:val="21"/>
          <w:highlight w:val="none"/>
        </w:rPr>
        <w:t>名称</w:t>
      </w:r>
      <w:r>
        <w:rPr>
          <w:rFonts w:hint="eastAsia" w:ascii="宋体" w:hAnsi="宋体"/>
          <w:color w:val="auto"/>
          <w:szCs w:val="21"/>
          <w:highlight w:val="none"/>
          <w:lang w:eastAsia="zh-CN"/>
        </w:rPr>
        <w:t>（如供应商和制造商不同，请分别填写）</w:t>
      </w:r>
      <w:r>
        <w:rPr>
          <w:rFonts w:hint="eastAsia" w:ascii="宋体" w:hAnsi="宋体"/>
          <w:color w:val="auto"/>
          <w:szCs w:val="21"/>
          <w:highlight w:val="none"/>
        </w:rPr>
        <w:t>：</w:t>
      </w:r>
    </w:p>
    <w:p>
      <w:pPr>
        <w:adjustRightInd w:val="0"/>
        <w:snapToGrid w:val="0"/>
        <w:spacing w:before="0" w:beforeLines="0" w:line="400" w:lineRule="exact"/>
        <w:ind w:firstLine="840" w:firstLineChars="400"/>
        <w:rPr>
          <w:rFonts w:ascii="宋体" w:hAnsi="宋体"/>
          <w:color w:val="auto"/>
          <w:szCs w:val="21"/>
          <w:highlight w:val="none"/>
          <w:u w:val="single"/>
        </w:rPr>
      </w:pPr>
      <w:r>
        <w:rPr>
          <w:rFonts w:hint="eastAsia" w:ascii="宋体" w:hAnsi="宋体"/>
          <w:color w:val="auto"/>
          <w:szCs w:val="21"/>
          <w:highlight w:val="none"/>
          <w:u w:val="non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color w:val="auto"/>
          <w:szCs w:val="21"/>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分包供应商</w:t>
      </w:r>
      <w:r>
        <w:rPr>
          <w:rFonts w:hint="eastAsia" w:ascii="宋体" w:hAnsi="宋体"/>
          <w:color w:val="auto"/>
          <w:szCs w:val="21"/>
          <w:highlight w:val="none"/>
          <w:lang w:val="en-US" w:eastAsia="zh-CN"/>
        </w:rPr>
        <w:t>/</w:t>
      </w:r>
      <w:r>
        <w:rPr>
          <w:rFonts w:hint="eastAsia" w:ascii="宋体" w:hAnsi="宋体"/>
          <w:color w:val="auto"/>
          <w:szCs w:val="21"/>
          <w:highlight w:val="none"/>
          <w:lang w:eastAsia="zh-CN"/>
        </w:rPr>
        <w:t>制造商</w:t>
      </w:r>
      <w:r>
        <w:rPr>
          <w:rFonts w:hint="eastAsia" w:ascii="宋体" w:hAnsi="宋体"/>
          <w:color w:val="auto"/>
          <w:szCs w:val="21"/>
        </w:rPr>
        <w:t>类型</w:t>
      </w:r>
      <w:r>
        <w:rPr>
          <w:rFonts w:hint="eastAsia" w:ascii="宋体" w:hAnsi="宋体"/>
          <w:color w:val="auto"/>
          <w:szCs w:val="21"/>
          <w:highlight w:val="none"/>
          <w:lang w:eastAsia="zh-CN"/>
        </w:rPr>
        <w:t>（如果供应商和制造商不同，只填写制造商类型）</w:t>
      </w:r>
      <w:r>
        <w:rPr>
          <w:rFonts w:hint="eastAsia" w:ascii="宋体" w:hAnsi="宋体"/>
          <w:color w:val="auto"/>
          <w:szCs w:val="21"/>
        </w:rPr>
        <w:t>：</w:t>
      </w:r>
    </w:p>
    <w:p>
      <w:pPr>
        <w:adjustRightInd w:val="0"/>
        <w:snapToGrid w:val="0"/>
        <w:spacing w:beforeLines="0" w:line="400" w:lineRule="exact"/>
        <w:ind w:firstLine="840" w:firstLineChars="400"/>
        <w:rPr>
          <w:rFonts w:hint="eastAsia" w:ascii="宋体" w:hAnsi="宋体"/>
          <w:iCs/>
          <w:color w:val="auto"/>
          <w:szCs w:val="21"/>
          <w:lang w:val="en-US" w:eastAsia="zh-CN"/>
        </w:rPr>
      </w:pP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rPr>
        <w:t xml:space="preserve">大型企业  </w:t>
      </w:r>
      <w:r>
        <w:rPr>
          <w:rFonts w:hint="eastAsia" w:ascii="宋体" w:hAnsi="宋体"/>
          <w:iCs/>
          <w:color w:val="auto"/>
          <w:szCs w:val="21"/>
        </w:rPr>
        <w:sym w:font="Wingdings" w:char="00A8"/>
      </w:r>
      <w:r>
        <w:rPr>
          <w:rFonts w:hint="eastAsia" w:ascii="宋体" w:hAnsi="宋体"/>
          <w:iCs/>
          <w:color w:val="auto"/>
          <w:szCs w:val="21"/>
        </w:rPr>
        <w:t xml:space="preserve">中型企业  </w:t>
      </w:r>
      <w:r>
        <w:rPr>
          <w:rFonts w:hint="eastAsia" w:ascii="宋体" w:hAnsi="宋体"/>
          <w:iCs/>
          <w:color w:val="auto"/>
          <w:szCs w:val="21"/>
        </w:rPr>
        <w:sym w:font="Wingdings" w:char="00A8"/>
      </w:r>
      <w:r>
        <w:rPr>
          <w:rFonts w:hint="eastAsia" w:ascii="宋体" w:hAnsi="宋体"/>
          <w:iCs/>
          <w:color w:val="auto"/>
          <w:szCs w:val="21"/>
        </w:rPr>
        <w:t>小微型企业</w:t>
      </w:r>
      <w:r>
        <w:rPr>
          <w:rFonts w:hint="eastAsia" w:ascii="宋体" w:hAnsi="宋体"/>
          <w:iCs/>
          <w:color w:val="auto"/>
          <w:szCs w:val="21"/>
          <w:lang w:val="en-US" w:eastAsia="zh-CN"/>
        </w:rPr>
        <w:t xml:space="preserve">  </w:t>
      </w:r>
    </w:p>
    <w:p>
      <w:pPr>
        <w:adjustRightInd w:val="0"/>
        <w:snapToGrid w:val="0"/>
        <w:spacing w:beforeLines="0" w:line="400" w:lineRule="exact"/>
        <w:ind w:firstLine="840" w:firstLineChars="400"/>
        <w:rPr>
          <w:rFonts w:hint="default" w:eastAsia="华文楷体"/>
          <w:color w:val="auto"/>
          <w:u w:val="none"/>
          <w:lang w:val="en-US" w:eastAsia="zh-CN"/>
        </w:rPr>
      </w:pP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残疾人福利性单位</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监狱</w:t>
      </w:r>
      <w:r>
        <w:rPr>
          <w:rFonts w:hint="eastAsia" w:ascii="宋体" w:hAnsi="宋体"/>
          <w:iCs/>
          <w:color w:val="auto"/>
          <w:szCs w:val="21"/>
        </w:rPr>
        <w:t>企业</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cs="宋体"/>
          <w:iCs/>
          <w:color w:val="auto"/>
          <w:szCs w:val="21"/>
          <w:highlight w:val="none"/>
        </w:rPr>
      </w:pPr>
      <w:r>
        <w:rPr>
          <w:rFonts w:hint="eastAsia" w:ascii="宋体" w:hAnsi="宋体"/>
          <w:color w:val="auto"/>
          <w:szCs w:val="21"/>
          <w:highlight w:val="none"/>
          <w:u w:val="none"/>
          <w:lang w:val="en-US" w:eastAsia="zh-CN"/>
        </w:rPr>
        <w:t xml:space="preserve">    </w:t>
      </w:r>
      <w:r>
        <w:rPr>
          <w:rFonts w:hint="eastAsia" w:ascii="宋体" w:hAnsi="宋体" w:cs="宋体"/>
          <w:color w:val="auto"/>
          <w:szCs w:val="21"/>
          <w:highlight w:val="none"/>
          <w:u w:val="none"/>
          <w:lang w:val="en-US" w:eastAsia="zh-CN"/>
        </w:rPr>
        <w:t>（</w:t>
      </w:r>
      <w:r>
        <w:rPr>
          <w:rFonts w:hint="default" w:ascii="宋体" w:hAnsi="宋体" w:cs="宋体"/>
          <w:color w:val="auto"/>
          <w:szCs w:val="21"/>
          <w:highlight w:val="none"/>
          <w:u w:val="none"/>
          <w:lang w:val="en" w:eastAsia="zh-CN"/>
        </w:rPr>
        <w:t>8</w:t>
      </w:r>
      <w:r>
        <w:rPr>
          <w:rFonts w:hint="eastAsia" w:ascii="宋体" w:hAnsi="宋体" w:cs="宋体"/>
          <w:color w:val="auto"/>
          <w:szCs w:val="21"/>
          <w:highlight w:val="none"/>
          <w:u w:val="none"/>
          <w:lang w:val="en-US" w:eastAsia="zh-CN"/>
        </w:rPr>
        <w:t>）中标（成交）供应商是否为外商投资企业：</w:t>
      </w:r>
      <w:r>
        <w:rPr>
          <w:rFonts w:hint="eastAsia" w:ascii="宋体" w:hAnsi="宋体" w:cs="宋体"/>
          <w:iCs/>
          <w:color w:val="auto"/>
          <w:szCs w:val="21"/>
          <w:highlight w:val="none"/>
        </w:rPr>
        <w:sym w:font="Wingdings" w:char="00A8"/>
      </w:r>
      <w:r>
        <w:rPr>
          <w:rFonts w:hint="eastAsia" w:ascii="宋体" w:hAnsi="宋体" w:cs="宋体"/>
          <w:iCs/>
          <w:color w:val="auto"/>
          <w:szCs w:val="21"/>
          <w:highlight w:val="none"/>
        </w:rPr>
        <w:t xml:space="preserve">是       </w:t>
      </w:r>
      <w:r>
        <w:rPr>
          <w:rFonts w:hint="eastAsia" w:ascii="宋体" w:hAnsi="宋体" w:cs="宋体"/>
          <w:iCs/>
          <w:color w:val="auto"/>
          <w:szCs w:val="21"/>
          <w:highlight w:val="none"/>
        </w:rPr>
        <w:sym w:font="Wingdings" w:char="00A8"/>
      </w:r>
      <w:r>
        <w:rPr>
          <w:rFonts w:hint="eastAsia" w:ascii="宋体" w:hAnsi="宋体" w:cs="宋体"/>
          <w:iCs/>
          <w:color w:val="auto"/>
          <w:szCs w:val="21"/>
          <w:highlight w:val="none"/>
        </w:rPr>
        <w:t>否</w:t>
      </w:r>
    </w:p>
    <w:p>
      <w:pPr>
        <w:pStyle w:val="62"/>
        <w:tabs>
          <w:tab w:val="left" w:pos="1340"/>
        </w:tabs>
        <w:spacing w:beforeLine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lang w:val="en-US" w:eastAsia="zh-CN"/>
        </w:rPr>
        <w:t xml:space="preserve">     外商投资企业类型：</w:t>
      </w:r>
      <w:r>
        <w:rPr>
          <w:rFonts w:hint="eastAsia" w:ascii="宋体" w:hAnsi="宋体" w:eastAsia="宋体" w:cs="宋体"/>
          <w:iCs/>
          <w:color w:val="auto"/>
          <w:sz w:val="21"/>
          <w:szCs w:val="21"/>
          <w:highlight w:val="none"/>
        </w:rPr>
        <w:sym w:font="Wingdings" w:char="00A8"/>
      </w:r>
      <w:r>
        <w:rPr>
          <w:rFonts w:hint="eastAsia" w:ascii="宋体" w:hAnsi="宋体" w:eastAsia="宋体" w:cs="宋体"/>
          <w:color w:val="auto"/>
          <w:sz w:val="21"/>
          <w:szCs w:val="21"/>
          <w:highlight w:val="none"/>
          <w:u w:val="none"/>
          <w:lang w:val="en-US" w:eastAsia="zh-CN"/>
        </w:rPr>
        <w:t xml:space="preserve">全部由外国投资者投资  </w:t>
      </w:r>
      <w:r>
        <w:rPr>
          <w:rFonts w:hint="eastAsia" w:ascii="宋体" w:hAnsi="宋体" w:eastAsia="宋体" w:cs="宋体"/>
          <w:iCs/>
          <w:color w:val="auto"/>
          <w:sz w:val="21"/>
          <w:szCs w:val="21"/>
          <w:highlight w:val="none"/>
        </w:rPr>
        <w:sym w:font="Wingdings" w:char="00A8"/>
      </w:r>
      <w:r>
        <w:rPr>
          <w:rFonts w:hint="eastAsia" w:ascii="宋体" w:hAnsi="宋体" w:eastAsia="宋体" w:cs="宋体"/>
          <w:iCs/>
          <w:color w:val="auto"/>
          <w:sz w:val="21"/>
          <w:szCs w:val="21"/>
          <w:highlight w:val="none"/>
          <w:lang w:val="en-US" w:eastAsia="zh-CN"/>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w:t>
      </w:r>
      <w:r>
        <w:rPr>
          <w:rFonts w:hint="default" w:ascii="宋体" w:hAnsi="宋体" w:cs="宋体"/>
          <w:b w:val="0"/>
          <w:bCs w:val="0"/>
          <w:color w:val="auto"/>
          <w:sz w:val="21"/>
          <w:szCs w:val="21"/>
          <w:u w:val="none"/>
          <w:lang w:val="en" w:eastAsia="zh-CN"/>
        </w:rPr>
        <w:t>9</w:t>
      </w:r>
      <w:r>
        <w:rPr>
          <w:rFonts w:hint="eastAsia" w:ascii="宋体" w:hAnsi="宋体" w:eastAsia="宋体" w:cs="宋体"/>
          <w:b w:val="0"/>
          <w:bCs w:val="0"/>
          <w:color w:val="auto"/>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color w:val="auto"/>
          <w:szCs w:val="21"/>
          <w:u w:val="single"/>
          <w:lang w:val="en-US" w:eastAsia="zh-CN"/>
        </w:rPr>
      </w:pPr>
      <w:r>
        <w:rPr>
          <w:rFonts w:hint="eastAsia" w:ascii="宋体" w:hAnsi="宋体" w:cs="宋体"/>
          <w:iCs w:val="0"/>
          <w:color w:val="auto"/>
          <w:szCs w:val="21"/>
          <w:lang w:val="en-US" w:eastAsia="zh-CN"/>
        </w:rPr>
        <w:t xml:space="preserve"> </w:t>
      </w:r>
      <w:r>
        <w:rPr>
          <w:rFonts w:hint="eastAsia" w:ascii="宋体" w:hAnsi="宋体" w:eastAsia="宋体" w:cs="宋体"/>
          <w:iCs w:val="0"/>
          <w:color w:val="auto"/>
          <w:szCs w:val="21"/>
        </w:rPr>
        <w:sym w:font="Wingdings" w:char="00A8"/>
      </w:r>
      <w:r>
        <w:rPr>
          <w:rFonts w:hint="eastAsia" w:ascii="宋体" w:hAnsi="宋体" w:eastAsia="宋体" w:cs="宋体"/>
          <w:iCs w:val="0"/>
          <w:color w:val="auto"/>
          <w:szCs w:val="21"/>
        </w:rPr>
        <w:t>是</w:t>
      </w:r>
      <w:r>
        <w:rPr>
          <w:rFonts w:hint="eastAsia" w:ascii="宋体" w:hAnsi="宋体" w:eastAsia="宋体" w:cs="宋体"/>
          <w:iCs w:val="0"/>
          <w:color w:val="auto"/>
          <w:szCs w:val="21"/>
          <w:lang w:eastAsia="zh-CN"/>
        </w:rPr>
        <w:t>，</w:t>
      </w:r>
      <w:r>
        <w:rPr>
          <w:rFonts w:hint="eastAsia" w:ascii="宋体" w:hAnsi="宋体" w:cs="宋体"/>
          <w:iCs w:val="0"/>
          <w:color w:val="auto"/>
          <w:szCs w:val="21"/>
          <w:lang w:eastAsia="zh-CN"/>
        </w:rPr>
        <w:t>《政府采购品目分类目录》底级品目名称</w:t>
      </w:r>
      <w:r>
        <w:rPr>
          <w:rFonts w:hint="eastAsia" w:ascii="宋体" w:hAnsi="宋体" w:eastAsia="宋体" w:cs="宋体"/>
          <w:color w:val="auto"/>
          <w:szCs w:val="21"/>
          <w:lang w:val="en-US" w:eastAsia="zh-CN"/>
        </w:rPr>
        <w:t>：</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 xml:space="preserve"> </w:t>
      </w:r>
      <w:r>
        <w:rPr>
          <w:rFonts w:hint="eastAsia" w:ascii="宋体" w:hAnsi="宋体" w:cs="宋体"/>
          <w:color w:val="auto"/>
          <w:szCs w:val="21"/>
          <w:lang w:val="en-US" w:eastAsia="zh-CN"/>
        </w:rPr>
        <w:t>金额：</w:t>
      </w:r>
      <w:r>
        <w:rPr>
          <w:rFonts w:hint="eastAsia" w:ascii="宋体" w:hAnsi="宋体" w:eastAsia="宋体" w:cs="宋体"/>
          <w:color w:val="auto"/>
          <w:szCs w:val="21"/>
          <w:u w:val="single"/>
          <w:lang w:val="en-US" w:eastAsia="zh-CN"/>
        </w:rPr>
        <w:t xml:space="preserve">  </w:t>
      </w: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color w:val="auto"/>
          <w:szCs w:val="21"/>
        </w:rPr>
      </w:pPr>
      <w:r>
        <w:rPr>
          <w:rFonts w:hint="eastAsia" w:ascii="宋体" w:hAnsi="宋体" w:cs="宋体"/>
          <w:color w:val="auto"/>
          <w:szCs w:val="21"/>
          <w:lang w:val="en-US" w:eastAsia="zh-CN"/>
        </w:rPr>
        <w:t xml:space="preserve">        国别：</w:t>
      </w:r>
      <w:r>
        <w:rPr>
          <w:rFonts w:hint="eastAsia" w:ascii="宋体" w:hAnsi="宋体" w:eastAsia="宋体" w:cs="宋体"/>
          <w:color w:val="auto"/>
          <w:szCs w:val="21"/>
          <w:u w:val="single"/>
          <w:lang w:val="en-US" w:eastAsia="zh-CN"/>
        </w:rPr>
        <w:t xml:space="preserve">  </w:t>
      </w: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u w:val="single"/>
          <w:lang w:val="en-US" w:eastAsia="zh-CN"/>
        </w:rPr>
        <w:t xml:space="preserve"> </w:t>
      </w: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品牌：</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none"/>
          <w:lang w:val="en-US" w:eastAsia="zh-CN"/>
        </w:rPr>
        <w:t xml:space="preserve"> 规格型号：</w:t>
      </w:r>
      <w:r>
        <w:rPr>
          <w:rFonts w:hint="eastAsia" w:ascii="宋体" w:hAnsi="宋体" w:eastAsia="宋体" w:cs="宋体"/>
          <w:color w:val="auto"/>
          <w:szCs w:val="21"/>
          <w:u w:val="single"/>
          <w:lang w:val="en-US" w:eastAsia="zh-CN"/>
        </w:rPr>
        <w:t xml:space="preserve">        </w:t>
      </w:r>
      <w:r>
        <w:rPr>
          <w:rFonts w:hint="eastAsia" w:ascii="宋体" w:hAnsi="宋体" w:eastAsia="宋体"/>
          <w:iCs w:val="0"/>
          <w:color w:val="auto"/>
          <w:szCs w:val="21"/>
        </w:rPr>
        <w:t xml:space="preserve">      </w:t>
      </w:r>
    </w:p>
    <w:p>
      <w:pPr>
        <w:adjustRightInd w:val="0"/>
        <w:snapToGrid w:val="0"/>
        <w:spacing w:before="0" w:beforeLines="0" w:line="400" w:lineRule="exact"/>
        <w:ind w:firstLine="840" w:firstLineChars="400"/>
        <w:rPr>
          <w:rFonts w:hint="eastAsia" w:ascii="宋体" w:hAnsi="宋体"/>
          <w:color w:val="auto"/>
          <w:szCs w:val="21"/>
          <w:u w:val="none"/>
          <w:lang w:val="en-US" w:eastAsia="zh-CN"/>
        </w:rPr>
      </w:pPr>
      <w:r>
        <w:rPr>
          <w:rFonts w:hint="eastAsia" w:ascii="宋体" w:hAnsi="宋体"/>
          <w:iCs w:val="0"/>
          <w:color w:val="auto"/>
          <w:szCs w:val="21"/>
          <w:lang w:val="en-US" w:eastAsia="zh-CN"/>
        </w:rPr>
        <w:t xml:space="preserve"> </w:t>
      </w:r>
      <w:r>
        <w:rPr>
          <w:rFonts w:hint="eastAsia" w:ascii="宋体" w:hAnsi="宋体"/>
          <w:iCs w:val="0"/>
          <w:color w:val="auto"/>
          <w:szCs w:val="21"/>
        </w:rPr>
        <w:sym w:font="Wingdings" w:char="00A8"/>
      </w:r>
      <w:r>
        <w:rPr>
          <w:rFonts w:hint="eastAsia" w:ascii="宋体" w:hAnsi="宋体" w:eastAsia="宋体"/>
          <w:iCs w:val="0"/>
          <w:color w:val="auto"/>
          <w:szCs w:val="21"/>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color w:val="auto"/>
          <w:sz w:val="21"/>
          <w:szCs w:val="21"/>
          <w:u w:val="none"/>
          <w:lang w:val="en-US" w:eastAsia="zh-CN"/>
        </w:rPr>
      </w:pPr>
      <w:r>
        <w:rPr>
          <w:rFonts w:hint="eastAsia" w:ascii="宋体" w:hAnsi="宋体"/>
          <w:b w:val="0"/>
          <w:bCs w:val="0"/>
          <w:color w:val="auto"/>
          <w:sz w:val="21"/>
          <w:szCs w:val="21"/>
          <w:u w:val="none"/>
          <w:lang w:val="en-US" w:eastAsia="zh-CN"/>
        </w:rPr>
        <w:t xml:space="preserve">    （1</w:t>
      </w:r>
      <w:r>
        <w:rPr>
          <w:rFonts w:hint="default" w:ascii="宋体" w:hAnsi="宋体"/>
          <w:b w:val="0"/>
          <w:bCs w:val="0"/>
          <w:color w:val="auto"/>
          <w:sz w:val="21"/>
          <w:szCs w:val="21"/>
          <w:u w:val="none"/>
          <w:lang w:val="en" w:eastAsia="zh-CN"/>
        </w:rPr>
        <w:t>0</w:t>
      </w:r>
      <w:r>
        <w:rPr>
          <w:rFonts w:hint="eastAsia" w:ascii="宋体" w:hAnsi="宋体"/>
          <w:b w:val="0"/>
          <w:bCs w:val="0"/>
          <w:color w:val="auto"/>
          <w:sz w:val="21"/>
          <w:szCs w:val="21"/>
          <w:u w:val="none"/>
          <w:lang w:val="en-US" w:eastAsia="zh-CN"/>
        </w:rPr>
        <w:t>）</w:t>
      </w:r>
      <w:r>
        <w:rPr>
          <w:rFonts w:hint="eastAsia" w:ascii="宋体" w:hAnsi="宋体" w:eastAsia="宋体"/>
          <w:b w:val="0"/>
          <w:bCs w:val="0"/>
          <w:color w:val="auto"/>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iCs/>
          <w:color w:val="auto"/>
          <w:szCs w:val="21"/>
          <w:lang w:val="en-US" w:eastAsia="zh-CN"/>
        </w:rPr>
      </w:pPr>
      <w:r>
        <w:rPr>
          <w:rFonts w:hint="eastAsia" w:ascii="宋体" w:hAnsi="宋体"/>
          <w:b w:val="0"/>
          <w:bCs w:val="0"/>
          <w:color w:val="auto"/>
          <w:sz w:val="21"/>
          <w:szCs w:val="21"/>
          <w:u w:val="none"/>
          <w:lang w:val="en-US" w:eastAsia="zh-CN"/>
        </w:rPr>
        <w:t xml:space="preserve">         </w:t>
      </w:r>
      <w:r>
        <w:rPr>
          <w:rFonts w:hint="eastAsia" w:ascii="宋体" w:hAnsi="宋体" w:eastAsia="宋体"/>
          <w:iCs w:val="0"/>
          <w:color w:val="auto"/>
          <w:szCs w:val="21"/>
        </w:rPr>
        <w:sym w:font="Wingdings" w:char="00A8"/>
      </w:r>
      <w:r>
        <w:rPr>
          <w:rFonts w:hint="eastAsia" w:ascii="宋体" w:hAnsi="宋体" w:eastAsia="宋体"/>
          <w:iCs w:val="0"/>
          <w:color w:val="auto"/>
          <w:szCs w:val="21"/>
        </w:rPr>
        <w:t>是</w:t>
      </w:r>
      <w:r>
        <w:rPr>
          <w:rFonts w:hint="eastAsia" w:ascii="宋体" w:hAnsi="宋体" w:eastAsia="宋体"/>
          <w:iCs w:val="0"/>
          <w:color w:val="auto"/>
          <w:szCs w:val="21"/>
          <w:lang w:eastAsia="zh-CN"/>
        </w:rPr>
        <w:t>，</w:t>
      </w:r>
      <w:r>
        <w:rPr>
          <w:rFonts w:hint="eastAsia" w:ascii="宋体" w:hAnsi="宋体"/>
          <w:iCs w:val="0"/>
          <w:color w:val="auto"/>
          <w:szCs w:val="21"/>
          <w:lang w:eastAsia="zh-CN"/>
        </w:rPr>
        <w:t>《节能产品政府采购品目清单》的底级品目名称：</w:t>
      </w:r>
      <w:r>
        <w:rPr>
          <w:rFonts w:hint="eastAsia" w:ascii="宋体" w:hAnsi="宋体" w:eastAsia="宋体"/>
          <w:color w:val="auto"/>
          <w:szCs w:val="21"/>
          <w:u w:val="single"/>
          <w:lang w:val="en-US" w:eastAsia="zh-CN"/>
        </w:rPr>
        <w:t xml:space="preserve">      </w:t>
      </w:r>
      <w:r>
        <w:rPr>
          <w:rFonts w:hint="eastAsia" w:ascii="宋体" w:hAnsi="宋体"/>
          <w:color w:val="auto"/>
          <w:szCs w:val="21"/>
          <w:u w:val="single"/>
          <w:lang w:val="en-US" w:eastAsia="zh-CN"/>
        </w:rPr>
        <w:t xml:space="preserve">   </w:t>
      </w:r>
      <w:r>
        <w:rPr>
          <w:rFonts w:hint="eastAsia" w:ascii="宋体" w:hAnsi="宋体"/>
          <w:iCs/>
          <w:color w:val="auto"/>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color w:val="auto"/>
          <w:szCs w:val="21"/>
          <w:lang w:val="en-US" w:eastAsia="zh-CN"/>
        </w:rPr>
      </w:pP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强制采购</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优先采购</w:t>
      </w:r>
      <w:r>
        <w:rPr>
          <w:rFonts w:hint="eastAsia" w:ascii="宋体" w:hAnsi="宋体"/>
          <w:iCs/>
          <w:color w:val="auto"/>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color w:val="auto"/>
          <w:szCs w:val="21"/>
        </w:rPr>
      </w:pPr>
      <w:r>
        <w:rPr>
          <w:rFonts w:hint="eastAsia" w:ascii="宋体" w:hAnsi="宋体"/>
          <w:iCs/>
          <w:color w:val="auto"/>
          <w:szCs w:val="21"/>
          <w:lang w:val="en-US" w:eastAsia="zh-CN"/>
        </w:rPr>
        <w:t xml:space="preserve">         </w:t>
      </w:r>
      <w:r>
        <w:rPr>
          <w:rFonts w:hint="eastAsia" w:ascii="宋体" w:hAnsi="宋体" w:eastAsia="宋体"/>
          <w:iCs w:val="0"/>
          <w:color w:val="auto"/>
          <w:szCs w:val="21"/>
        </w:rPr>
        <w:sym w:font="Wingdings" w:char="00A8"/>
      </w:r>
      <w:r>
        <w:rPr>
          <w:rFonts w:hint="eastAsia" w:ascii="宋体" w:hAnsi="宋体" w:eastAsia="宋体"/>
          <w:iCs w:val="0"/>
          <w:color w:val="auto"/>
          <w:szCs w:val="21"/>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color w:val="auto"/>
          <w:sz w:val="21"/>
          <w:szCs w:val="21"/>
          <w:u w:val="none"/>
          <w:lang w:val="en-US" w:eastAsia="zh-CN"/>
        </w:rPr>
      </w:pPr>
      <w:r>
        <w:rPr>
          <w:rFonts w:hint="eastAsia" w:ascii="宋体" w:hAnsi="宋体"/>
          <w:b w:val="0"/>
          <w:bCs w:val="0"/>
          <w:color w:val="auto"/>
          <w:sz w:val="21"/>
          <w:szCs w:val="21"/>
          <w:u w:val="none"/>
          <w:lang w:val="en-US" w:eastAsia="zh-CN"/>
        </w:rPr>
        <w:t xml:space="preserve">          </w:t>
      </w:r>
      <w:r>
        <w:rPr>
          <w:rFonts w:hint="eastAsia" w:ascii="宋体" w:hAnsi="宋体" w:eastAsia="宋体"/>
          <w:b w:val="0"/>
          <w:bCs w:val="0"/>
          <w:color w:val="auto"/>
          <w:sz w:val="21"/>
          <w:szCs w:val="21"/>
          <w:u w:val="none"/>
          <w:lang w:val="en-US" w:eastAsia="zh-CN"/>
        </w:rPr>
        <w:t>是否涉及</w:t>
      </w:r>
      <w:r>
        <w:rPr>
          <w:rFonts w:hint="eastAsia" w:ascii="宋体" w:hAnsi="宋体"/>
          <w:b w:val="0"/>
          <w:bCs w:val="0"/>
          <w:color w:val="auto"/>
          <w:sz w:val="21"/>
          <w:szCs w:val="21"/>
          <w:u w:val="none"/>
          <w:lang w:val="en-US" w:eastAsia="zh-CN"/>
        </w:rPr>
        <w:t>环境标志</w:t>
      </w:r>
      <w:r>
        <w:rPr>
          <w:rFonts w:hint="eastAsia" w:ascii="宋体" w:hAnsi="宋体" w:eastAsia="宋体"/>
          <w:b w:val="0"/>
          <w:bCs w:val="0"/>
          <w:color w:val="auto"/>
          <w:sz w:val="21"/>
          <w:szCs w:val="21"/>
          <w:u w:val="none"/>
          <w:lang w:val="en-US" w:eastAsia="zh-CN"/>
        </w:rPr>
        <w:t>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iCs w:val="0"/>
          <w:color w:val="auto"/>
          <w:szCs w:val="21"/>
          <w:lang w:eastAsia="zh-CN"/>
        </w:rPr>
      </w:pPr>
      <w:r>
        <w:rPr>
          <w:rFonts w:hint="eastAsia" w:ascii="宋体" w:hAnsi="宋体"/>
          <w:b w:val="0"/>
          <w:bCs w:val="0"/>
          <w:color w:val="auto"/>
          <w:sz w:val="21"/>
          <w:szCs w:val="21"/>
          <w:u w:val="none"/>
          <w:lang w:val="en-US" w:eastAsia="zh-CN"/>
        </w:rPr>
        <w:t xml:space="preserve">         </w:t>
      </w:r>
      <w:r>
        <w:rPr>
          <w:rFonts w:hint="eastAsia" w:ascii="宋体" w:hAnsi="宋体" w:eastAsia="宋体"/>
          <w:iCs w:val="0"/>
          <w:color w:val="auto"/>
          <w:szCs w:val="21"/>
        </w:rPr>
        <w:sym w:font="Wingdings" w:char="00A8"/>
      </w:r>
      <w:r>
        <w:rPr>
          <w:rFonts w:hint="eastAsia" w:ascii="宋体" w:hAnsi="宋体" w:eastAsia="宋体"/>
          <w:iCs w:val="0"/>
          <w:color w:val="auto"/>
          <w:szCs w:val="21"/>
        </w:rPr>
        <w:t>是</w:t>
      </w:r>
      <w:r>
        <w:rPr>
          <w:rFonts w:hint="eastAsia" w:ascii="宋体" w:hAnsi="宋体" w:eastAsia="宋体"/>
          <w:iCs w:val="0"/>
          <w:color w:val="auto"/>
          <w:szCs w:val="21"/>
          <w:lang w:eastAsia="zh-CN"/>
        </w:rPr>
        <w:t>，</w:t>
      </w:r>
      <w:r>
        <w:rPr>
          <w:rFonts w:hint="eastAsia" w:ascii="宋体" w:hAnsi="宋体"/>
          <w:iCs w:val="0"/>
          <w:color w:val="auto"/>
          <w:szCs w:val="21"/>
          <w:lang w:eastAsia="zh-CN"/>
        </w:rPr>
        <w:t>《环境标志产品政府采购品目清单》的底级品目名称：</w:t>
      </w:r>
      <w:r>
        <w:rPr>
          <w:rFonts w:hint="eastAsia" w:ascii="宋体" w:hAnsi="宋体" w:eastAsia="宋体"/>
          <w:color w:val="auto"/>
          <w:szCs w:val="21"/>
          <w:u w:val="single"/>
          <w:lang w:val="en-US" w:eastAsia="zh-CN"/>
        </w:rPr>
        <w:t xml:space="preserve">      </w:t>
      </w:r>
      <w:r>
        <w:rPr>
          <w:rFonts w:hint="eastAsia" w:ascii="宋体" w:hAnsi="宋体"/>
          <w:color w:val="auto"/>
          <w:szCs w:val="21"/>
          <w:u w:val="single"/>
          <w:lang w:val="en-US" w:eastAsia="zh-CN"/>
        </w:rPr>
        <w:t xml:space="preserve">   </w:t>
      </w:r>
      <w:r>
        <w:rPr>
          <w:rFonts w:hint="eastAsia" w:ascii="宋体" w:hAnsi="宋体"/>
          <w:iCs/>
          <w:color w:val="auto"/>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color w:val="auto"/>
          <w:szCs w:val="21"/>
          <w:lang w:val="en-US" w:eastAsia="zh-CN"/>
        </w:rPr>
      </w:pP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强制采购</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优先采购</w:t>
      </w:r>
      <w:r>
        <w:rPr>
          <w:rFonts w:hint="eastAsia" w:ascii="宋体" w:hAnsi="宋体"/>
          <w:iCs/>
          <w:color w:val="auto"/>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b w:val="0"/>
          <w:bCs w:val="0"/>
          <w:color w:val="auto"/>
          <w:sz w:val="21"/>
          <w:szCs w:val="21"/>
          <w:u w:val="none"/>
          <w:lang w:val="en-US" w:eastAsia="zh-CN"/>
        </w:rPr>
      </w:pPr>
      <w:r>
        <w:rPr>
          <w:rFonts w:hint="eastAsia" w:ascii="宋体" w:hAnsi="宋体"/>
          <w:iCs/>
          <w:color w:val="auto"/>
          <w:szCs w:val="21"/>
          <w:lang w:val="en-US" w:eastAsia="zh-CN"/>
        </w:rPr>
        <w:t xml:space="preserve">         </w:t>
      </w:r>
      <w:r>
        <w:rPr>
          <w:rFonts w:hint="eastAsia" w:ascii="宋体" w:hAnsi="宋体" w:eastAsia="宋体"/>
          <w:iCs w:val="0"/>
          <w:color w:val="auto"/>
          <w:szCs w:val="21"/>
        </w:rPr>
        <w:sym w:font="Wingdings" w:char="00A8"/>
      </w:r>
      <w:r>
        <w:rPr>
          <w:rFonts w:hint="eastAsia" w:ascii="宋体" w:hAnsi="宋体" w:eastAsia="宋体"/>
          <w:iCs w:val="0"/>
          <w:color w:val="auto"/>
          <w:szCs w:val="21"/>
        </w:rPr>
        <w:t>否</w:t>
      </w:r>
    </w:p>
    <w:p>
      <w:pPr>
        <w:pStyle w:val="62"/>
        <w:numPr>
          <w:ilvl w:val="-1"/>
          <w:numId w:val="0"/>
        </w:numPr>
        <w:adjustRightInd w:val="0"/>
        <w:snapToGrid w:val="0"/>
        <w:spacing w:before="0" w:beforeLines="0" w:line="400" w:lineRule="exact"/>
        <w:ind w:firstLine="0" w:firstLineChars="0"/>
        <w:rPr>
          <w:rFonts w:hint="eastAsia" w:ascii="宋体" w:hAnsi="宋体" w:eastAsia="宋体" w:cs="Times New Roman"/>
          <w:iCs w:val="0"/>
          <w:color w:val="auto"/>
          <w:kern w:val="2"/>
          <w:sz w:val="21"/>
          <w:szCs w:val="21"/>
          <w:u w:val="none"/>
          <w:lang w:val="en-US" w:eastAsia="zh-CN"/>
        </w:rPr>
      </w:pPr>
      <w:r>
        <w:rPr>
          <w:rFonts w:hint="eastAsia" w:ascii="宋体" w:hAnsi="宋体"/>
          <w:b w:val="0"/>
          <w:bCs w:val="0"/>
          <w:color w:val="auto"/>
          <w:sz w:val="21"/>
          <w:szCs w:val="21"/>
          <w:u w:val="none"/>
          <w:lang w:val="en-US" w:eastAsia="zh-CN"/>
        </w:rPr>
        <w:t xml:space="preserve">          </w:t>
      </w:r>
      <w:r>
        <w:rPr>
          <w:rFonts w:hint="eastAsia" w:ascii="宋体" w:hAnsi="宋体" w:eastAsia="宋体" w:cs="Times New Roman"/>
          <w:b w:val="0"/>
          <w:bCs w:val="0"/>
          <w:color w:val="auto"/>
          <w:kern w:val="2"/>
          <w:sz w:val="21"/>
          <w:szCs w:val="21"/>
          <w:u w:val="none"/>
          <w:lang w:val="en-US" w:eastAsia="zh-CN"/>
        </w:rPr>
        <w:t>是否涉及绿色产品：</w:t>
      </w:r>
      <w:r>
        <w:rPr>
          <w:rFonts w:hint="eastAsia" w:ascii="宋体" w:hAnsi="宋体" w:eastAsia="宋体" w:cs="Times New Roman"/>
          <w:iCs w:val="0"/>
          <w:color w:val="auto"/>
          <w:kern w:val="2"/>
          <w:sz w:val="21"/>
          <w:szCs w:val="21"/>
          <w:u w:val="none"/>
          <w:lang w:val="en-US" w:eastAsia="zh-CN"/>
        </w:rPr>
        <w:t xml:space="preserve"> </w:t>
      </w:r>
    </w:p>
    <w:p>
      <w:pPr>
        <w:pStyle w:val="62"/>
        <w:spacing w:beforeLines="0"/>
        <w:ind w:firstLine="420" w:firstLineChars="0"/>
        <w:rPr>
          <w:rFonts w:hint="eastAsia" w:ascii="宋体" w:hAnsi="宋体" w:eastAsia="宋体"/>
          <w:color w:val="auto"/>
          <w:szCs w:val="21"/>
          <w:u w:val="single"/>
          <w:lang w:val="en-US" w:eastAsia="zh-CN"/>
        </w:rPr>
      </w:pPr>
      <w:r>
        <w:rPr>
          <w:rFonts w:hint="eastAsia" w:ascii="宋体" w:hAnsi="宋体" w:eastAsia="宋体" w:cs="Times New Roman"/>
          <w:iCs w:val="0"/>
          <w:color w:val="auto"/>
          <w:kern w:val="2"/>
          <w:sz w:val="21"/>
          <w:szCs w:val="21"/>
          <w:u w:val="none"/>
          <w:lang w:val="en-US" w:eastAsia="zh-CN"/>
        </w:rPr>
        <w:t xml:space="preserve">     </w:t>
      </w:r>
      <w:r>
        <w:rPr>
          <w:rFonts w:hint="eastAsia" w:ascii="宋体" w:hAnsi="宋体" w:eastAsia="宋体" w:cs="Times New Roman"/>
          <w:iCs w:val="0"/>
          <w:color w:val="auto"/>
          <w:kern w:val="2"/>
          <w:sz w:val="21"/>
          <w:szCs w:val="21"/>
          <w:u w:val="none"/>
        </w:rPr>
        <w:sym w:font="Wingdings" w:char="00A8"/>
      </w:r>
      <w:r>
        <w:rPr>
          <w:rFonts w:hint="eastAsia" w:ascii="宋体" w:hAnsi="宋体" w:eastAsia="宋体" w:cs="Times New Roman"/>
          <w:iCs w:val="0"/>
          <w:color w:val="auto"/>
          <w:kern w:val="2"/>
          <w:sz w:val="21"/>
          <w:szCs w:val="21"/>
          <w:u w:val="none"/>
        </w:rPr>
        <w:t>是</w:t>
      </w:r>
      <w:r>
        <w:rPr>
          <w:rFonts w:hint="eastAsia" w:ascii="宋体" w:hAnsi="宋体" w:eastAsia="宋体" w:cs="Times New Roman"/>
          <w:iCs w:val="0"/>
          <w:color w:val="auto"/>
          <w:kern w:val="2"/>
          <w:sz w:val="21"/>
          <w:szCs w:val="21"/>
          <w:u w:val="none"/>
          <w:lang w:eastAsia="zh-CN"/>
        </w:rPr>
        <w:t>，绿色产品政府采购相关政策确定的底级品目名称：</w:t>
      </w:r>
      <w:r>
        <w:rPr>
          <w:rFonts w:hint="eastAsia" w:ascii="宋体" w:hAnsi="宋体" w:eastAsia="宋体"/>
          <w:color w:val="auto"/>
          <w:szCs w:val="21"/>
          <w:u w:val="singl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color w:val="auto"/>
          <w:szCs w:val="21"/>
          <w:lang w:val="en-US" w:eastAsia="zh-CN"/>
        </w:rPr>
      </w:pP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强制采购</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优先采购</w:t>
      </w:r>
      <w:r>
        <w:rPr>
          <w:rFonts w:hint="eastAsia" w:ascii="宋体" w:hAnsi="宋体"/>
          <w:iCs/>
          <w:color w:val="auto"/>
          <w:szCs w:val="21"/>
          <w:lang w:val="en-US" w:eastAsia="zh-CN"/>
        </w:rPr>
        <w:t xml:space="preserve">    </w:t>
      </w:r>
    </w:p>
    <w:p>
      <w:pPr>
        <w:pStyle w:val="62"/>
        <w:spacing w:beforeLines="0"/>
        <w:ind w:firstLine="420" w:firstLineChars="0"/>
        <w:rPr>
          <w:rFonts w:hint="eastAsia" w:ascii="宋体" w:hAnsi="宋体"/>
          <w:b w:val="0"/>
          <w:bCs w:val="0"/>
          <w:color w:val="auto"/>
          <w:sz w:val="21"/>
          <w:szCs w:val="21"/>
          <w:u w:val="none"/>
          <w:lang w:val="en-US" w:eastAsia="zh-CN"/>
        </w:rPr>
      </w:pPr>
      <w:r>
        <w:rPr>
          <w:rFonts w:hint="eastAsia" w:ascii="宋体" w:hAnsi="宋体" w:eastAsia="宋体" w:cs="Times New Roman"/>
          <w:iCs w:val="0"/>
          <w:color w:val="auto"/>
          <w:kern w:val="2"/>
          <w:sz w:val="21"/>
          <w:szCs w:val="21"/>
          <w:u w:val="none"/>
          <w:lang w:val="en-US" w:eastAsia="zh-CN"/>
        </w:rPr>
        <w:t xml:space="preserve">     </w:t>
      </w:r>
      <w:r>
        <w:rPr>
          <w:rFonts w:hint="eastAsia" w:ascii="宋体" w:hAnsi="宋体" w:eastAsia="宋体" w:cs="Times New Roman"/>
          <w:iCs w:val="0"/>
          <w:color w:val="auto"/>
          <w:kern w:val="2"/>
          <w:sz w:val="21"/>
          <w:szCs w:val="21"/>
          <w:u w:val="none"/>
        </w:rPr>
        <w:sym w:font="Wingdings" w:char="00A8"/>
      </w:r>
      <w:r>
        <w:rPr>
          <w:rFonts w:hint="eastAsia" w:ascii="宋体" w:hAnsi="宋体" w:eastAsia="宋体" w:cs="Times New Roman"/>
          <w:iCs w:val="0"/>
          <w:color w:val="auto"/>
          <w:kern w:val="2"/>
          <w:sz w:val="21"/>
          <w:szCs w:val="21"/>
          <w:u w:val="none"/>
        </w:rPr>
        <w:t>否</w:t>
      </w:r>
    </w:p>
    <w:p>
      <w:pPr>
        <w:numPr>
          <w:ilvl w:val="-1"/>
          <w:numId w:val="0"/>
        </w:numPr>
        <w:adjustRightInd w:val="0"/>
        <w:snapToGrid w:val="0"/>
        <w:spacing w:before="0" w:beforeLines="0" w:line="400" w:lineRule="exact"/>
        <w:ind w:firstLine="0" w:firstLineChars="0"/>
        <w:rPr>
          <w:rFonts w:hint="eastAsia" w:ascii="宋体" w:hAnsi="宋体" w:eastAsia="宋体"/>
          <w:color w:val="auto"/>
          <w:szCs w:val="21"/>
          <w:lang w:val="en-US" w:eastAsia="zh-CN"/>
        </w:rPr>
      </w:pPr>
      <w:r>
        <w:rPr>
          <w:rFonts w:hint="eastAsia" w:ascii="宋体" w:hAnsi="宋体"/>
          <w:color w:val="auto"/>
          <w:szCs w:val="21"/>
          <w:lang w:val="en-US" w:eastAsia="zh-CN"/>
        </w:rPr>
        <w:t xml:space="preserve">    （1</w:t>
      </w:r>
      <w:r>
        <w:rPr>
          <w:rFonts w:hint="default" w:ascii="宋体" w:hAnsi="宋体"/>
          <w:color w:val="auto"/>
          <w:szCs w:val="21"/>
          <w:lang w:val="en" w:eastAsia="zh-CN"/>
        </w:rPr>
        <w:t>1</w:t>
      </w:r>
      <w:r>
        <w:rPr>
          <w:rFonts w:hint="eastAsia" w:ascii="宋体" w:hAnsi="宋体"/>
          <w:color w:val="auto"/>
          <w:szCs w:val="21"/>
          <w:lang w:val="en-US" w:eastAsia="zh-CN"/>
        </w:rPr>
        <w:t>）</w:t>
      </w:r>
      <w:r>
        <w:rPr>
          <w:rFonts w:hint="eastAsia" w:ascii="宋体" w:hAnsi="宋体" w:eastAsia="宋体"/>
          <w:color w:val="auto"/>
          <w:szCs w:val="21"/>
          <w:lang w:val="en-US" w:eastAsia="zh-CN"/>
        </w:rPr>
        <w:t>涉及商品包装和快递包装的，是否参考</w:t>
      </w:r>
      <w:r>
        <w:rPr>
          <w:rFonts w:hint="eastAsia" w:ascii="宋体" w:hAnsi="宋体"/>
          <w:color w:val="auto"/>
          <w:szCs w:val="21"/>
        </w:rPr>
        <w:t>《商品包装政府采购需求标准（试行）》、《快递包装政府采购需求标准（试行）》</w:t>
      </w:r>
      <w:r>
        <w:rPr>
          <w:rFonts w:hint="eastAsia" w:ascii="宋体" w:hAnsi="宋体" w:eastAsia="宋体"/>
          <w:color w:val="auto"/>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color w:val="auto"/>
          <w:szCs w:val="21"/>
          <w:lang w:val="en-US" w:eastAsia="zh-CN"/>
        </w:rPr>
      </w:pPr>
      <w:r>
        <w:rPr>
          <w:rFonts w:hint="eastAsia" w:ascii="宋体" w:hAnsi="宋体" w:eastAsia="宋体"/>
          <w:iCs w:val="0"/>
          <w:color w:val="auto"/>
          <w:szCs w:val="21"/>
        </w:rPr>
        <w:sym w:font="Wingdings" w:char="00A8"/>
      </w:r>
      <w:r>
        <w:rPr>
          <w:rFonts w:hint="eastAsia" w:ascii="宋体" w:hAnsi="宋体" w:eastAsia="宋体"/>
          <w:iCs w:val="0"/>
          <w:color w:val="auto"/>
          <w:szCs w:val="21"/>
        </w:rPr>
        <w:t xml:space="preserve">是       </w:t>
      </w:r>
      <w:r>
        <w:rPr>
          <w:rFonts w:hint="eastAsia" w:ascii="宋体" w:hAnsi="宋体" w:eastAsia="宋体"/>
          <w:iCs w:val="0"/>
          <w:color w:val="auto"/>
          <w:szCs w:val="21"/>
        </w:rPr>
        <w:sym w:font="Wingdings" w:char="00A8"/>
      </w:r>
      <w:r>
        <w:rPr>
          <w:rFonts w:hint="eastAsia" w:ascii="宋体" w:hAnsi="宋体" w:eastAsia="宋体"/>
          <w:iCs w:val="0"/>
          <w:color w:val="auto"/>
          <w:szCs w:val="21"/>
        </w:rPr>
        <w:t>否</w:t>
      </w:r>
      <w:r>
        <w:rPr>
          <w:rFonts w:hint="eastAsia" w:ascii="宋体" w:hAnsi="宋体" w:eastAsia="宋体"/>
          <w:iCs w:val="0"/>
          <w:color w:val="auto"/>
          <w:szCs w:val="21"/>
          <w:lang w:val="en-US" w:eastAsia="zh-CN"/>
        </w:rPr>
        <w:t xml:space="preserve">      </w:t>
      </w:r>
      <w:r>
        <w:rPr>
          <w:rFonts w:hint="eastAsia" w:ascii="宋体" w:hAnsi="宋体" w:eastAsia="宋体"/>
          <w:iCs w:val="0"/>
          <w:color w:val="auto"/>
          <w:szCs w:val="21"/>
        </w:rPr>
        <w:sym w:font="Wingdings" w:char="00A8"/>
      </w:r>
      <w:r>
        <w:rPr>
          <w:rFonts w:hint="eastAsia" w:ascii="宋体" w:hAnsi="宋体" w:eastAsia="宋体"/>
          <w:iCs w:val="0"/>
          <w:color w:val="auto"/>
          <w:szCs w:val="21"/>
          <w:lang w:eastAsia="zh-CN"/>
        </w:rPr>
        <w:t>不涉及</w:t>
      </w:r>
    </w:p>
    <w:p>
      <w:pPr>
        <w:numPr>
          <w:ilvl w:val="0"/>
          <w:numId w:val="5"/>
        </w:numPr>
        <w:adjustRightInd w:val="0"/>
        <w:snapToGrid w:val="0"/>
        <w:spacing w:before="0" w:beforeLines="0" w:line="400" w:lineRule="exact"/>
        <w:ind w:firstLine="422" w:firstLineChars="200"/>
        <w:rPr>
          <w:rFonts w:ascii="宋体" w:hAnsi="宋体"/>
          <w:b/>
          <w:color w:val="auto"/>
          <w:szCs w:val="21"/>
          <w:highlight w:val="none"/>
        </w:rPr>
      </w:pPr>
      <w:r>
        <w:rPr>
          <w:rFonts w:hint="eastAsia" w:ascii="宋体" w:hAnsi="宋体"/>
          <w:b/>
          <w:color w:val="auto"/>
          <w:szCs w:val="21"/>
          <w:highlight w:val="none"/>
        </w:rPr>
        <w:t>合同金额</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（1）合同金额小写：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adjustRightInd w:val="0"/>
        <w:snapToGrid w:val="0"/>
        <w:spacing w:before="0" w:beforeLines="0" w:line="400" w:lineRule="exact"/>
        <w:ind w:left="0" w:firstLine="0" w:firstLineChars="0"/>
        <w:rPr>
          <w:rFonts w:ascii="宋体" w:hAnsi="宋体"/>
          <w:color w:val="auto"/>
          <w:szCs w:val="21"/>
          <w:u w:val="single"/>
        </w:rPr>
      </w:pPr>
      <w:r>
        <w:rPr>
          <w:rFonts w:hint="eastAsia" w:ascii="宋体" w:hAnsi="宋体"/>
          <w:color w:val="auto"/>
          <w:szCs w:val="21"/>
          <w:lang w:val="en-US" w:eastAsia="zh-CN"/>
        </w:rPr>
        <w:t xml:space="preserve">                 </w:t>
      </w: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adjustRightInd w:val="0"/>
        <w:snapToGrid w:val="0"/>
        <w:spacing w:before="0" w:beforeLines="0" w:line="400" w:lineRule="exact"/>
        <w:ind w:firstLine="0" w:firstLineChars="0"/>
        <w:rPr>
          <w:rFonts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分包金额</w:t>
      </w:r>
      <w:r>
        <w:rPr>
          <w:rFonts w:hint="eastAsia" w:ascii="宋体" w:hAnsi="宋体"/>
          <w:color w:val="auto"/>
          <w:szCs w:val="21"/>
          <w:lang w:eastAsia="zh-CN"/>
        </w:rPr>
        <w:t>（如有）</w:t>
      </w:r>
      <w:r>
        <w:rPr>
          <w:rFonts w:hint="eastAsia" w:ascii="宋体" w:hAnsi="宋体"/>
          <w:color w:val="auto"/>
          <w:szCs w:val="21"/>
        </w:rPr>
        <w:t>小写：</w:t>
      </w:r>
      <w:r>
        <w:rPr>
          <w:rFonts w:hint="eastAsia" w:ascii="宋体" w:hAnsi="宋体"/>
          <w:color w:val="auto"/>
          <w:szCs w:val="21"/>
          <w:u w:val="single"/>
        </w:rPr>
        <w:t xml:space="preserve">                   </w:t>
      </w:r>
    </w:p>
    <w:p>
      <w:pPr>
        <w:adjustRightInd w:val="0"/>
        <w:snapToGrid w:val="0"/>
        <w:spacing w:before="0" w:beforeLines="0" w:line="400" w:lineRule="exact"/>
        <w:ind w:firstLine="0" w:firstLineChars="0"/>
        <w:rPr>
          <w:rFonts w:hint="eastAsia" w:ascii="宋体" w:hAnsi="宋体"/>
          <w:color w:val="auto"/>
          <w:szCs w:val="21"/>
          <w:u w:val="single"/>
        </w:rPr>
      </w:pPr>
      <w:r>
        <w:rPr>
          <w:rFonts w:hint="eastAsia" w:ascii="宋体" w:hAnsi="宋体"/>
          <w:color w:val="auto"/>
          <w:szCs w:val="21"/>
          <w:lang w:val="en-US" w:eastAsia="zh-CN"/>
        </w:rPr>
        <w:t xml:space="preserve">                     </w:t>
      </w: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adjustRightInd w:val="0"/>
        <w:snapToGrid w:val="0"/>
        <w:spacing w:before="0" w:beforeLines="0" w:line="400" w:lineRule="exact"/>
        <w:ind w:firstLine="0" w:firstLineChars="0"/>
        <w:rPr>
          <w:rFonts w:hint="eastAsia" w:ascii="宋体" w:hAnsi="宋体"/>
          <w:color w:val="auto"/>
          <w:szCs w:val="21"/>
          <w:lang w:val="en-US" w:eastAsia="zh-CN"/>
        </w:rPr>
      </w:pPr>
      <w:r>
        <w:rPr>
          <w:rFonts w:hint="eastAsia" w:ascii="宋体" w:hAnsi="宋体"/>
          <w:color w:val="auto"/>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合同定价方式</w:t>
      </w:r>
      <w:r>
        <w:rPr>
          <w:rFonts w:hint="eastAsia" w:ascii="宋体" w:hAnsi="宋体"/>
          <w:color w:val="auto"/>
          <w:szCs w:val="21"/>
          <w:lang w:eastAsia="zh-CN"/>
        </w:rPr>
        <w:t>（采用组合定价方式的，可以勾选多项）</w:t>
      </w:r>
      <w:r>
        <w:rPr>
          <w:rFonts w:hint="eastAsia" w:ascii="宋体" w:hAnsi="宋体"/>
          <w:color w:val="auto"/>
          <w:szCs w:val="21"/>
        </w:rPr>
        <w:t>：</w:t>
      </w:r>
    </w:p>
    <w:p>
      <w:pPr>
        <w:adjustRightInd w:val="0"/>
        <w:snapToGrid w:val="0"/>
        <w:spacing w:before="0" w:beforeLines="0" w:line="400" w:lineRule="exact"/>
        <w:ind w:firstLine="420" w:firstLineChars="200"/>
        <w:rPr>
          <w:rFonts w:hint="eastAsia" w:ascii="宋体" w:hAnsi="宋体" w:eastAsia="宋体"/>
          <w:color w:val="auto"/>
          <w:szCs w:val="21"/>
          <w:lang w:eastAsia="zh-CN"/>
        </w:rPr>
      </w:pP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rPr>
        <w:t xml:space="preserve">固定总价 </w:t>
      </w:r>
      <w:r>
        <w:rPr>
          <w:rFonts w:hint="eastAsia" w:ascii="宋体" w:hAnsi="宋体"/>
          <w:iCs/>
          <w:color w:val="auto"/>
          <w:szCs w:val="21"/>
        </w:rPr>
        <w:sym w:font="Wingdings" w:char="00A8"/>
      </w:r>
      <w:r>
        <w:rPr>
          <w:rFonts w:hint="eastAsia" w:ascii="宋体" w:hAnsi="宋体"/>
          <w:iCs/>
          <w:color w:val="auto"/>
          <w:szCs w:val="21"/>
        </w:rPr>
        <w:t>固定单价</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固定费率</w:t>
      </w:r>
      <w:r>
        <w:rPr>
          <w:rFonts w:hint="eastAsia" w:ascii="宋体" w:hAnsi="宋体"/>
          <w:iCs/>
          <w:color w:val="auto"/>
          <w:szCs w:val="21"/>
        </w:rPr>
        <w:t xml:space="preserve"> </w:t>
      </w:r>
      <w:r>
        <w:rPr>
          <w:rFonts w:hint="eastAsia" w:ascii="宋体" w:hAnsi="宋体"/>
          <w:iCs/>
          <w:color w:val="auto"/>
          <w:szCs w:val="21"/>
        </w:rPr>
        <w:sym w:font="Wingdings" w:char="00A8"/>
      </w:r>
      <w:r>
        <w:rPr>
          <w:rFonts w:hint="eastAsia" w:ascii="宋体" w:hAnsi="宋体"/>
          <w:iCs/>
          <w:color w:val="auto"/>
          <w:szCs w:val="21"/>
        </w:rPr>
        <w:t xml:space="preserve">成本补偿 </w:t>
      </w:r>
      <w:r>
        <w:rPr>
          <w:rFonts w:hint="eastAsia" w:ascii="宋体" w:hAnsi="宋体"/>
          <w:iCs/>
          <w:color w:val="auto"/>
          <w:szCs w:val="21"/>
        </w:rPr>
        <w:sym w:font="Wingdings" w:char="00A8"/>
      </w:r>
      <w:r>
        <w:rPr>
          <w:rFonts w:hint="eastAsia" w:ascii="宋体" w:hAnsi="宋体"/>
          <w:iCs/>
          <w:color w:val="auto"/>
          <w:szCs w:val="21"/>
        </w:rPr>
        <w:t>绩效激励</w:t>
      </w:r>
      <w:r>
        <w:rPr>
          <w:rFonts w:hint="eastAsia" w:ascii="宋体" w:hAnsi="宋体"/>
          <w:iCs/>
          <w:color w:val="auto"/>
          <w:szCs w:val="21"/>
          <w:lang w:val="en-US" w:eastAsia="zh-CN"/>
        </w:rPr>
        <w:t xml:space="preserve"> </w:t>
      </w:r>
      <w:r>
        <w:rPr>
          <w:rFonts w:hint="eastAsia" w:ascii="宋体" w:hAnsi="宋体"/>
          <w:iCs/>
          <w:color w:val="auto"/>
          <w:szCs w:val="21"/>
        </w:rPr>
        <w:sym w:font="Wingdings" w:char="00A8"/>
      </w:r>
      <w:r>
        <w:rPr>
          <w:rFonts w:hint="eastAsia" w:ascii="宋体" w:hAnsi="宋体"/>
          <w:iCs/>
          <w:color w:val="auto"/>
          <w:szCs w:val="21"/>
          <w:lang w:eastAsia="zh-CN"/>
        </w:rPr>
        <w:t>其他</w:t>
      </w:r>
      <w:r>
        <w:rPr>
          <w:rFonts w:hint="eastAsia" w:ascii="宋体" w:hAnsi="宋体"/>
          <w:color w:val="auto"/>
          <w:szCs w:val="21"/>
          <w:u w:val="single"/>
        </w:rPr>
        <w:t xml:space="preserve">       </w:t>
      </w:r>
    </w:p>
    <w:p>
      <w:pPr>
        <w:pStyle w:val="53"/>
        <w:spacing w:beforeLines="0" w:line="400" w:lineRule="exact"/>
        <w:rPr>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）付款方式（按项目实际勾选填写）：</w:t>
      </w:r>
    </w:p>
    <w:p>
      <w:pPr>
        <w:adjustRightInd w:val="0"/>
        <w:snapToGrid w:val="0"/>
        <w:spacing w:before="0" w:beforeLines="0" w:line="400" w:lineRule="exact"/>
        <w:ind w:firstLine="630" w:firstLineChars="300"/>
        <w:rPr>
          <w:rFonts w:ascii="宋体" w:hAnsi="宋体"/>
          <w:color w:val="auto"/>
          <w:szCs w:val="21"/>
          <w:u w:val="single"/>
        </w:rPr>
      </w:pPr>
      <w:r>
        <w:rPr>
          <w:rFonts w:hint="eastAsia" w:ascii="宋体" w:hAnsi="宋体"/>
          <w:color w:val="auto"/>
          <w:szCs w:val="21"/>
        </w:rPr>
        <w:sym w:font="Wingdings" w:char="00A8"/>
      </w:r>
      <w:r>
        <w:rPr>
          <w:rFonts w:hint="eastAsia" w:ascii="宋体" w:hAnsi="宋体"/>
          <w:color w:val="auto"/>
          <w:szCs w:val="21"/>
        </w:rPr>
        <w:t>全额付款：</w:t>
      </w:r>
      <w:r>
        <w:rPr>
          <w:rFonts w:hint="eastAsia" w:ascii="宋体" w:hAnsi="宋体"/>
          <w:color w:val="auto"/>
          <w:szCs w:val="21"/>
          <w:u w:val="single"/>
        </w:rPr>
        <w:t xml:space="preserve">     （应</w:t>
      </w:r>
      <w:r>
        <w:rPr>
          <w:rFonts w:hint="eastAsia" w:ascii="宋体" w:hAnsi="宋体"/>
          <w:color w:val="auto"/>
          <w:szCs w:val="21"/>
          <w:u w:val="single"/>
          <w:lang w:eastAsia="zh-CN"/>
        </w:rPr>
        <w:t>明确</w:t>
      </w:r>
      <w:r>
        <w:rPr>
          <w:rFonts w:hint="eastAsia" w:ascii="宋体" w:hAnsi="宋体"/>
          <w:color w:val="auto"/>
          <w:szCs w:val="21"/>
          <w:u w:val="single"/>
        </w:rPr>
        <w:t>一次性支付合同款项</w:t>
      </w:r>
      <w:r>
        <w:rPr>
          <w:rFonts w:hint="eastAsia" w:ascii="宋体" w:hAnsi="宋体"/>
          <w:color w:val="auto"/>
          <w:szCs w:val="21"/>
          <w:u w:val="single"/>
          <w:lang w:eastAsia="zh-CN"/>
        </w:rPr>
        <w:t>的条件</w:t>
      </w:r>
      <w:r>
        <w:rPr>
          <w:rFonts w:hint="eastAsia" w:ascii="宋体" w:hAnsi="宋体"/>
          <w:color w:val="auto"/>
          <w:szCs w:val="21"/>
          <w:u w:val="single"/>
        </w:rPr>
        <w:t xml:space="preserve">）                    </w:t>
      </w:r>
    </w:p>
    <w:p>
      <w:pPr>
        <w:snapToGrid w:val="0"/>
        <w:spacing w:beforeLines="0" w:line="400" w:lineRule="exact"/>
        <w:ind w:firstLine="630" w:firstLineChars="300"/>
        <w:rPr>
          <w:color w:val="auto"/>
        </w:rPr>
      </w:pPr>
      <w:r>
        <w:rPr>
          <w:rFonts w:hint="eastAsia" w:ascii="宋体" w:hAnsi="宋体"/>
          <w:color w:val="auto"/>
          <w:szCs w:val="21"/>
        </w:rPr>
        <w:sym w:font="Wingdings" w:char="00A8"/>
      </w:r>
      <w:r>
        <w:rPr>
          <w:rFonts w:hint="eastAsia" w:ascii="宋体" w:hAnsi="宋体"/>
          <w:color w:val="auto"/>
          <w:szCs w:val="21"/>
        </w:rPr>
        <w:t>分期付款：</w:t>
      </w:r>
      <w:r>
        <w:rPr>
          <w:rFonts w:hint="eastAsia" w:ascii="宋体" w:hAnsi="宋体"/>
          <w:color w:val="auto"/>
          <w:szCs w:val="21"/>
          <w:u w:val="single"/>
        </w:rPr>
        <w:t xml:space="preserve">  （应明确分期支付合同款项的各期比例和支付条件</w:t>
      </w:r>
      <w:r>
        <w:rPr>
          <w:rFonts w:hint="eastAsia" w:ascii="宋体" w:hAnsi="宋体"/>
          <w:color w:val="auto"/>
          <w:szCs w:val="21"/>
          <w:u w:val="single"/>
          <w:lang w:eastAsia="zh-CN"/>
        </w:rPr>
        <w:t>，各期支付条件应与分期履约验收情况挂钩</w:t>
      </w:r>
      <w:r>
        <w:rPr>
          <w:rFonts w:hint="eastAsia" w:ascii="宋体" w:hAnsi="宋体"/>
          <w:color w:val="auto"/>
          <w:szCs w:val="21"/>
          <w:u w:val="single"/>
        </w:rPr>
        <w:t xml:space="preserve">） </w:t>
      </w:r>
      <w:r>
        <w:rPr>
          <w:rFonts w:hint="eastAsia" w:ascii="宋体" w:hAnsi="宋体"/>
          <w:color w:val="auto"/>
          <w:szCs w:val="21"/>
          <w:u w:val="none"/>
          <w:lang w:eastAsia="zh-CN"/>
        </w:rPr>
        <w:t>，</w:t>
      </w:r>
      <w:r>
        <w:rPr>
          <w:rFonts w:hint="eastAsia" w:ascii="宋体" w:hAnsi="宋体"/>
          <w:color w:val="auto"/>
          <w:szCs w:val="21"/>
          <w:lang w:eastAsia="zh-CN"/>
        </w:rPr>
        <w:t>其中涉及预付款的</w:t>
      </w:r>
      <w:r>
        <w:rPr>
          <w:rFonts w:hint="eastAsia" w:ascii="宋体" w:hAnsi="宋体"/>
          <w:color w:val="auto"/>
          <w:szCs w:val="21"/>
        </w:rPr>
        <w:t>：</w:t>
      </w:r>
      <w:r>
        <w:rPr>
          <w:rFonts w:hint="eastAsia" w:ascii="宋体" w:hAnsi="宋体"/>
          <w:color w:val="auto"/>
          <w:szCs w:val="21"/>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color w:val="auto"/>
          <w:szCs w:val="21"/>
          <w:u w:val="single"/>
        </w:rPr>
      </w:pPr>
      <w:r>
        <w:rPr>
          <w:rFonts w:hint="eastAsia" w:ascii="宋体" w:hAnsi="宋体"/>
          <w:color w:val="auto"/>
          <w:szCs w:val="21"/>
        </w:rPr>
        <w:sym w:font="Wingdings" w:char="00A8"/>
      </w:r>
      <w:r>
        <w:rPr>
          <w:rFonts w:hint="eastAsia" w:ascii="宋体" w:hAnsi="宋体"/>
          <w:color w:val="auto"/>
          <w:szCs w:val="21"/>
        </w:rPr>
        <w:t>成本补偿：</w:t>
      </w:r>
      <w:r>
        <w:rPr>
          <w:rFonts w:hint="eastAsia" w:ascii="宋体" w:hAnsi="宋体"/>
          <w:color w:val="auto"/>
          <w:szCs w:val="21"/>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color w:val="auto"/>
          <w:szCs w:val="21"/>
        </w:rPr>
      </w:pPr>
      <w:r>
        <w:rPr>
          <w:rFonts w:hint="eastAsia" w:ascii="宋体" w:hAnsi="宋体"/>
          <w:color w:val="auto"/>
          <w:szCs w:val="21"/>
        </w:rPr>
        <w:sym w:font="Wingdings" w:char="00A8"/>
      </w:r>
      <w:r>
        <w:rPr>
          <w:rFonts w:hint="eastAsia" w:ascii="宋体" w:hAnsi="宋体"/>
          <w:color w:val="auto"/>
          <w:szCs w:val="21"/>
        </w:rPr>
        <w:t>绩效激励：</w:t>
      </w:r>
      <w:r>
        <w:rPr>
          <w:rFonts w:hint="eastAsia" w:ascii="宋体" w:hAnsi="宋体"/>
          <w:color w:val="auto"/>
          <w:szCs w:val="21"/>
          <w:u w:val="single"/>
        </w:rPr>
        <w:t xml:space="preserve">      （应明确按照绩效激励方式的支付方式和支付条件）   </w:t>
      </w:r>
    </w:p>
    <w:p>
      <w:pPr>
        <w:numPr>
          <w:ilvl w:val="0"/>
          <w:numId w:val="5"/>
        </w:numPr>
        <w:adjustRightInd w:val="0"/>
        <w:snapToGrid w:val="0"/>
        <w:spacing w:before="0" w:beforeLines="0" w:line="400" w:lineRule="exact"/>
        <w:ind w:firstLine="422" w:firstLineChars="200"/>
        <w:rPr>
          <w:rFonts w:ascii="宋体" w:hAnsi="宋体"/>
          <w:b/>
          <w:bCs w:val="0"/>
          <w:color w:val="auto"/>
          <w:szCs w:val="21"/>
          <w:u w:val="single"/>
        </w:rPr>
      </w:pPr>
      <w:r>
        <w:rPr>
          <w:rFonts w:hint="eastAsia" w:ascii="宋体" w:hAnsi="宋体"/>
          <w:b/>
          <w:bCs w:val="0"/>
          <w:color w:val="auto"/>
          <w:szCs w:val="21"/>
        </w:rPr>
        <w:t>合同履行</w:t>
      </w:r>
    </w:p>
    <w:p>
      <w:pPr>
        <w:adjustRightInd w:val="0"/>
        <w:snapToGrid w:val="0"/>
        <w:spacing w:before="0" w:beforeLines="0" w:line="400" w:lineRule="exact"/>
        <w:ind w:firstLine="420" w:firstLineChars="200"/>
        <w:rPr>
          <w:rFonts w:hint="eastAsia" w:ascii="宋体" w:hAnsi="宋体" w:cs="宋体"/>
          <w:color w:val="auto"/>
          <w:szCs w:val="21"/>
        </w:rPr>
      </w:pPr>
      <w:r>
        <w:rPr>
          <w:rFonts w:hint="eastAsia" w:ascii="宋体" w:hAnsi="宋体" w:cs="宋体"/>
          <w:color w:val="auto"/>
          <w:szCs w:val="21"/>
        </w:rPr>
        <w:t>（1）起始日期：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日，完成日期：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before="0" w:beforeLines="0" w:line="400" w:lineRule="exact"/>
        <w:ind w:firstLine="420" w:firstLineChars="200"/>
        <w:rPr>
          <w:rFonts w:hint="eastAsia" w:ascii="宋体" w:hAnsi="宋体" w:cs="宋体"/>
          <w:color w:val="auto"/>
          <w:szCs w:val="21"/>
          <w:u w:val="single"/>
        </w:rPr>
      </w:pPr>
      <w:r>
        <w:rPr>
          <w:rFonts w:hint="eastAsia" w:ascii="宋体" w:hAnsi="宋体" w:cs="宋体"/>
          <w:color w:val="auto"/>
          <w:szCs w:val="21"/>
        </w:rPr>
        <w:t>（2）</w:t>
      </w:r>
      <w:r>
        <w:rPr>
          <w:rFonts w:hint="eastAsia" w:ascii="宋体" w:hAnsi="宋体" w:cs="宋体"/>
          <w:color w:val="auto"/>
          <w:szCs w:val="21"/>
          <w:lang w:eastAsia="zh-CN"/>
        </w:rPr>
        <w:t>履约</w:t>
      </w:r>
      <w:r>
        <w:rPr>
          <w:rFonts w:hint="eastAsia" w:ascii="宋体" w:hAnsi="宋体" w:cs="宋体"/>
          <w:color w:val="auto"/>
          <w:szCs w:val="21"/>
        </w:rPr>
        <w:t>地点</w:t>
      </w:r>
      <w:r>
        <w:rPr>
          <w:rFonts w:hint="eastAsia" w:ascii="宋体" w:hAnsi="宋体" w:cs="宋体"/>
          <w:b w:val="0"/>
          <w:bCs/>
          <w:color w:val="auto"/>
          <w:szCs w:val="21"/>
        </w:rPr>
        <w:t>：</w:t>
      </w:r>
      <w:r>
        <w:rPr>
          <w:rFonts w:hint="eastAsia" w:ascii="宋体" w:hAnsi="宋体" w:cs="宋体"/>
          <w:color w:val="auto"/>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color w:val="auto"/>
          <w:sz w:val="21"/>
          <w:szCs w:val="21"/>
          <w:lang w:eastAsia="zh-CN"/>
        </w:rPr>
      </w:pPr>
      <w:r>
        <w:rPr>
          <w:rFonts w:hint="eastAsia" w:ascii="宋体" w:hAnsi="宋体" w:cs="宋体"/>
          <w:bCs/>
          <w:color w:val="auto"/>
          <w:szCs w:val="21"/>
        </w:rPr>
        <w:t>（3）履约担保：</w:t>
      </w:r>
      <w:r>
        <w:rPr>
          <w:rFonts w:hint="eastAsia" w:ascii="宋体" w:hAnsi="宋体" w:eastAsia="宋体" w:cs="宋体"/>
          <w:color w:val="auto"/>
          <w:sz w:val="21"/>
          <w:lang w:val="en-US" w:eastAsia="zh-CN"/>
        </w:rPr>
        <w:t>是否收取履约保证金：</w:t>
      </w:r>
      <w:r>
        <w:rPr>
          <w:rFonts w:hint="eastAsia" w:ascii="宋体" w:hAnsi="宋体" w:eastAsia="宋体" w:cs="宋体"/>
          <w:color w:val="auto"/>
          <w:sz w:val="21"/>
          <w:szCs w:val="21"/>
        </w:rPr>
        <w:sym w:font="Wingdings" w:char="00A8"/>
      </w:r>
      <w:r>
        <w:rPr>
          <w:rFonts w:hint="eastAsia" w:ascii="宋体" w:hAnsi="宋体" w:eastAsia="宋体" w:cs="宋体"/>
          <w:color w:val="auto"/>
          <w:sz w:val="21"/>
          <w:szCs w:val="21"/>
          <w:lang w:eastAsia="zh-CN"/>
        </w:rPr>
        <w:t>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sym w:font="Wingdings" w:char="00A8"/>
      </w:r>
      <w:r>
        <w:rPr>
          <w:rFonts w:hint="eastAsia" w:ascii="宋体" w:hAnsi="宋体" w:eastAsia="宋体" w:cs="宋体"/>
          <w:color w:val="auto"/>
          <w:sz w:val="21"/>
          <w:szCs w:val="21"/>
          <w:lang w:eastAsia="zh-CN"/>
        </w:rPr>
        <w:t>否</w:t>
      </w:r>
    </w:p>
    <w:p>
      <w:pPr>
        <w:pStyle w:val="62"/>
        <w:spacing w:beforeLines="0"/>
        <w:rPr>
          <w:rFonts w:hint="eastAsia" w:ascii="宋体" w:hAnsi="宋体" w:eastAsia="宋体" w:cs="宋体"/>
          <w:color w:val="auto"/>
          <w:sz w:val="21"/>
          <w:lang w:val="en-US" w:eastAsia="zh-CN"/>
        </w:rPr>
      </w:pPr>
      <w:r>
        <w:rPr>
          <w:rFonts w:hint="eastAsia" w:ascii="宋体" w:hAnsi="宋体" w:cs="宋体"/>
          <w:bCs/>
          <w:color w:val="auto"/>
          <w:szCs w:val="21"/>
          <w:u w:val="none"/>
          <w:lang w:val="en-US" w:eastAsia="zh-CN"/>
        </w:rPr>
        <w:t xml:space="preserve">  </w:t>
      </w:r>
      <w:r>
        <w:rPr>
          <w:rFonts w:hint="eastAsia" w:ascii="宋体" w:hAnsi="宋体" w:eastAsia="宋体" w:cs="宋体"/>
          <w:color w:val="auto"/>
          <w:sz w:val="21"/>
          <w:lang w:val="en-US" w:eastAsia="zh-CN"/>
        </w:rPr>
        <w:t xml:space="preserve">  收取履约保证金形式：</w:t>
      </w:r>
      <w:r>
        <w:rPr>
          <w:rFonts w:hint="eastAsia" w:ascii="宋体" w:hAnsi="宋体" w:eastAsia="宋体" w:cs="宋体"/>
          <w:bCs/>
          <w:color w:val="auto"/>
          <w:sz w:val="21"/>
          <w:szCs w:val="21"/>
          <w:u w:val="single"/>
        </w:rPr>
        <w:t xml:space="preserve">                            </w:t>
      </w:r>
    </w:p>
    <w:p>
      <w:pPr>
        <w:pStyle w:val="62"/>
        <w:spacing w:beforeLines="0"/>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 xml:space="preserve">    收取履约保证金金额：</w:t>
      </w:r>
      <w:r>
        <w:rPr>
          <w:rFonts w:hint="eastAsia" w:ascii="宋体" w:hAnsi="宋体" w:eastAsia="宋体" w:cs="宋体"/>
          <w:bCs/>
          <w:color w:val="auto"/>
          <w:sz w:val="21"/>
          <w:szCs w:val="21"/>
          <w:u w:val="single"/>
        </w:rPr>
        <w:t xml:space="preserve">                            </w:t>
      </w:r>
    </w:p>
    <w:p>
      <w:pPr>
        <w:snapToGrid w:val="0"/>
        <w:spacing w:beforeLines="0" w:line="400" w:lineRule="exact"/>
        <w:ind w:firstLine="420" w:firstLineChars="200"/>
        <w:rPr>
          <w:rFonts w:hint="eastAsia" w:ascii="宋体" w:hAnsi="宋体" w:eastAsia="宋体" w:cs="宋体"/>
          <w:color w:val="auto"/>
          <w:sz w:val="21"/>
          <w:lang w:val="en-US" w:eastAsia="zh-CN"/>
        </w:rPr>
      </w:pPr>
      <w:r>
        <w:rPr>
          <w:rFonts w:hint="eastAsia" w:ascii="宋体" w:hAnsi="宋体" w:cs="宋体"/>
          <w:bCs/>
          <w:color w:val="auto"/>
          <w:szCs w:val="21"/>
          <w:u w:val="none"/>
          <w:lang w:val="en-US" w:eastAsia="zh-CN"/>
        </w:rPr>
        <w:t xml:space="preserve">    履约担保期限</w:t>
      </w:r>
      <w:r>
        <w:rPr>
          <w:rFonts w:hint="eastAsia" w:ascii="宋体" w:hAnsi="宋体" w:cs="宋体"/>
          <w:bCs/>
          <w:color w:val="auto"/>
          <w:szCs w:val="21"/>
          <w:u w:val="none"/>
          <w:lang w:eastAsia="zh-CN"/>
        </w:rPr>
        <w:t>：</w:t>
      </w:r>
      <w:r>
        <w:rPr>
          <w:rFonts w:hint="eastAsia" w:ascii="宋体" w:hAnsi="宋体" w:eastAsia="宋体" w:cs="宋体"/>
          <w:bCs/>
          <w:color w:val="auto"/>
          <w:sz w:val="21"/>
          <w:szCs w:val="21"/>
          <w:u w:val="single"/>
        </w:rPr>
        <w:t xml:space="preserve">      </w:t>
      </w:r>
      <w:r>
        <w:rPr>
          <w:rFonts w:hint="eastAsia" w:ascii="宋体" w:hAnsi="宋体" w:cs="宋体"/>
          <w:bCs/>
          <w:color w:val="auto"/>
          <w:sz w:val="21"/>
          <w:szCs w:val="21"/>
          <w:u w:val="single"/>
          <w:lang w:val="en-US" w:eastAsia="zh-CN"/>
        </w:rPr>
        <w:t xml:space="preserve">                     </w:t>
      </w:r>
      <w:r>
        <w:rPr>
          <w:rFonts w:hint="eastAsia" w:ascii="宋体" w:hAnsi="宋体" w:eastAsia="宋体" w:cs="宋体"/>
          <w:bCs/>
          <w:color w:val="auto"/>
          <w:sz w:val="21"/>
          <w:szCs w:val="21"/>
          <w:u w:val="single"/>
        </w:rPr>
        <w:t xml:space="preserve">       </w:t>
      </w:r>
    </w:p>
    <w:p>
      <w:pPr>
        <w:adjustRightInd w:val="0"/>
        <w:snapToGrid w:val="0"/>
        <w:spacing w:before="0" w:beforeLines="0" w:line="400" w:lineRule="exact"/>
        <w:ind w:firstLine="420" w:firstLineChars="200"/>
        <w:rPr>
          <w:rFonts w:hint="eastAsia" w:ascii="宋体" w:hAnsi="宋体" w:cs="宋体"/>
          <w:bCs/>
          <w:color w:val="auto"/>
          <w:szCs w:val="21"/>
        </w:rPr>
      </w:pPr>
      <w:r>
        <w:rPr>
          <w:rFonts w:hint="eastAsia" w:ascii="宋体" w:hAnsi="宋体" w:cs="宋体"/>
          <w:bCs/>
          <w:color w:val="auto"/>
          <w:szCs w:val="21"/>
        </w:rPr>
        <w:t>（4）分期履行要求：</w:t>
      </w:r>
      <w:r>
        <w:rPr>
          <w:rFonts w:hint="eastAsia" w:ascii="宋体" w:hAnsi="宋体" w:cs="宋体"/>
          <w:bCs/>
          <w:color w:val="auto"/>
          <w:szCs w:val="21"/>
          <w:u w:val="single"/>
        </w:rPr>
        <w:t xml:space="preserve">                                                   </w:t>
      </w:r>
      <w:r>
        <w:rPr>
          <w:rFonts w:hint="eastAsia" w:ascii="宋体" w:hAnsi="宋体" w:cs="宋体"/>
          <w:bCs/>
          <w:color w:val="auto"/>
          <w:szCs w:val="21"/>
          <w:u w:val="single"/>
          <w:lang w:val="en-US" w:eastAsia="zh-CN"/>
        </w:rPr>
        <w:t xml:space="preserve">    </w:t>
      </w:r>
      <w:r>
        <w:rPr>
          <w:rFonts w:hint="eastAsia" w:ascii="宋体" w:hAnsi="宋体" w:cs="宋体"/>
          <w:bCs/>
          <w:color w:val="auto"/>
          <w:szCs w:val="21"/>
          <w:u w:val="single"/>
        </w:rPr>
        <w:t xml:space="preserve"> </w:t>
      </w:r>
    </w:p>
    <w:p>
      <w:pPr>
        <w:adjustRightInd w:val="0"/>
        <w:snapToGrid w:val="0"/>
        <w:spacing w:before="0" w:beforeLines="0" w:line="400" w:lineRule="exact"/>
        <w:ind w:firstLine="420" w:firstLineChars="200"/>
        <w:rPr>
          <w:rFonts w:hint="eastAsia" w:ascii="宋体" w:hAnsi="宋体" w:cs="宋体"/>
          <w:color w:val="auto"/>
          <w:szCs w:val="21"/>
          <w:u w:val="single"/>
        </w:rPr>
      </w:pPr>
      <w:r>
        <w:rPr>
          <w:rFonts w:hint="eastAsia" w:ascii="宋体" w:hAnsi="宋体" w:cs="宋体"/>
          <w:bCs/>
          <w:color w:val="auto"/>
          <w:szCs w:val="21"/>
        </w:rPr>
        <w:t>（5）</w:t>
      </w:r>
      <w:r>
        <w:rPr>
          <w:rFonts w:hint="eastAsia" w:ascii="宋体" w:hAnsi="宋体" w:cs="宋体"/>
          <w:bCs/>
          <w:color w:val="auto"/>
          <w:szCs w:val="21"/>
          <w:lang w:eastAsia="zh-CN"/>
        </w:rPr>
        <w:t>风险处置措施和替代方案</w:t>
      </w:r>
      <w:r>
        <w:rPr>
          <w:rFonts w:hint="eastAsia" w:ascii="宋体" w:hAnsi="宋体" w:cs="宋体"/>
          <w:bCs/>
          <w:color w:val="auto"/>
          <w:szCs w:val="21"/>
        </w:rPr>
        <w:t>：</w:t>
      </w:r>
      <w:r>
        <w:rPr>
          <w:rFonts w:hint="eastAsia" w:ascii="宋体" w:hAnsi="宋体" w:cs="宋体"/>
          <w:color w:val="auto"/>
          <w:szCs w:val="21"/>
          <w:u w:val="single"/>
        </w:rPr>
        <w:t xml:space="preserve">                                                               </w:t>
      </w:r>
    </w:p>
    <w:p>
      <w:pPr>
        <w:numPr>
          <w:ilvl w:val="0"/>
          <w:numId w:val="5"/>
        </w:numPr>
        <w:adjustRightInd w:val="0"/>
        <w:snapToGrid w:val="0"/>
        <w:spacing w:before="0" w:beforeLines="0" w:line="400" w:lineRule="exact"/>
        <w:ind w:firstLine="422" w:firstLineChars="200"/>
        <w:rPr>
          <w:rFonts w:ascii="宋体" w:hAnsi="宋体"/>
          <w:b/>
          <w:color w:val="auto"/>
          <w:szCs w:val="21"/>
        </w:rPr>
      </w:pPr>
      <w:r>
        <w:rPr>
          <w:rFonts w:hint="eastAsia" w:ascii="宋体" w:hAnsi="宋体"/>
          <w:b/>
          <w:color w:val="auto"/>
          <w:szCs w:val="21"/>
        </w:rPr>
        <w:t>合同验收</w:t>
      </w:r>
    </w:p>
    <w:p>
      <w:pPr>
        <w:numPr>
          <w:ilvl w:val="0"/>
          <w:numId w:val="7"/>
        </w:numPr>
        <w:adjustRightInd w:val="0"/>
        <w:snapToGrid w:val="0"/>
        <w:spacing w:before="0" w:beforeLines="0" w:line="400" w:lineRule="exact"/>
        <w:ind w:firstLine="420" w:firstLineChars="200"/>
        <w:rPr>
          <w:rFonts w:hint="eastAsia" w:ascii="宋体" w:hAnsi="宋体"/>
          <w:bCs/>
          <w:color w:val="auto"/>
          <w:szCs w:val="21"/>
        </w:rPr>
      </w:pPr>
      <w:r>
        <w:rPr>
          <w:rFonts w:hint="eastAsia" w:ascii="宋体" w:hAnsi="宋体"/>
          <w:bCs/>
          <w:color w:val="auto"/>
          <w:szCs w:val="21"/>
        </w:rPr>
        <w:t>验收组织方式：</w:t>
      </w:r>
      <w:r>
        <w:rPr>
          <w:rFonts w:hint="eastAsia" w:ascii="宋体" w:hAnsi="宋体" w:eastAsia="宋体" w:cs="宋体"/>
          <w:color w:val="auto"/>
          <w:sz w:val="21"/>
          <w:szCs w:val="21"/>
        </w:rPr>
        <w:sym w:font="Wingdings" w:char="00A8"/>
      </w:r>
      <w:r>
        <w:rPr>
          <w:rFonts w:hint="eastAsia" w:ascii="宋体" w:hAnsi="宋体"/>
          <w:bCs/>
          <w:color w:val="auto"/>
          <w:szCs w:val="21"/>
        </w:rPr>
        <w:t xml:space="preserve">自行组织 </w:t>
      </w:r>
      <w:r>
        <w:rPr>
          <w:rFonts w:hint="eastAsia" w:ascii="宋体" w:hAnsi="宋体" w:eastAsia="宋体" w:cs="宋体"/>
          <w:color w:val="auto"/>
          <w:sz w:val="21"/>
          <w:szCs w:val="21"/>
        </w:rPr>
        <w:sym w:font="Wingdings" w:char="00A8"/>
      </w:r>
      <w:r>
        <w:rPr>
          <w:rFonts w:hint="eastAsia" w:ascii="宋体" w:hAnsi="宋体"/>
          <w:bCs/>
          <w:color w:val="auto"/>
          <w:szCs w:val="21"/>
        </w:rPr>
        <w:t>委托第三方组织</w:t>
      </w:r>
    </w:p>
    <w:p>
      <w:pPr>
        <w:numPr>
          <w:ilvl w:val="0"/>
          <w:numId w:val="0"/>
        </w:numPr>
        <w:adjustRightInd w:val="0"/>
        <w:snapToGrid w:val="0"/>
        <w:spacing w:before="0" w:beforeLines="0" w:line="400" w:lineRule="exact"/>
        <w:rPr>
          <w:rFonts w:ascii="宋体" w:hAnsi="宋体"/>
          <w:bCs/>
          <w:color w:val="auto"/>
          <w:szCs w:val="21"/>
        </w:rPr>
      </w:pPr>
      <w:r>
        <w:rPr>
          <w:rFonts w:hint="eastAsia" w:ascii="宋体" w:hAnsi="宋体"/>
          <w:bCs/>
          <w:color w:val="auto"/>
          <w:szCs w:val="21"/>
          <w:lang w:val="en-US" w:eastAsia="zh-CN"/>
        </w:rPr>
        <w:t xml:space="preserve">         </w:t>
      </w:r>
      <w:r>
        <w:rPr>
          <w:rFonts w:hint="eastAsia" w:ascii="宋体" w:hAnsi="宋体"/>
          <w:bCs/>
          <w:color w:val="auto"/>
          <w:szCs w:val="21"/>
        </w:rPr>
        <w:t>验收主体：</w:t>
      </w:r>
      <w:r>
        <w:rPr>
          <w:rFonts w:hint="eastAsia" w:ascii="宋体" w:hAnsi="宋体"/>
          <w:bCs/>
          <w:color w:val="auto"/>
          <w:szCs w:val="21"/>
          <w:u w:val="single"/>
        </w:rPr>
        <w:t xml:space="preserve">                  </w:t>
      </w:r>
    </w:p>
    <w:p>
      <w:pPr>
        <w:adjustRightInd w:val="0"/>
        <w:snapToGrid w:val="0"/>
        <w:spacing w:before="0" w:beforeLines="0" w:line="400" w:lineRule="exact"/>
        <w:ind w:firstLine="0" w:firstLineChars="0"/>
        <w:rPr>
          <w:rFonts w:ascii="宋体" w:hAnsi="宋体"/>
          <w:bCs/>
          <w:color w:val="auto"/>
          <w:szCs w:val="21"/>
        </w:rPr>
      </w:pPr>
      <w:r>
        <w:rPr>
          <w:rFonts w:hint="eastAsia" w:ascii="宋体" w:hAnsi="宋体"/>
          <w:bCs/>
          <w:color w:val="auto"/>
          <w:szCs w:val="21"/>
          <w:lang w:val="en-US" w:eastAsia="zh-CN"/>
        </w:rPr>
        <w:t xml:space="preserve">        </w:t>
      </w:r>
      <w:r>
        <w:rPr>
          <w:rFonts w:hint="eastAsia" w:ascii="宋体" w:hAnsi="宋体"/>
          <w:bCs/>
          <w:color w:val="auto"/>
          <w:szCs w:val="21"/>
        </w:rPr>
        <w:t>是否邀请本项目的其他供应商</w:t>
      </w:r>
      <w:r>
        <w:rPr>
          <w:rFonts w:hint="eastAsia" w:ascii="宋体" w:hAnsi="宋体"/>
          <w:bCs/>
          <w:color w:val="auto"/>
          <w:szCs w:val="21"/>
          <w:lang w:eastAsia="zh-CN"/>
        </w:rPr>
        <w:t>参加验收</w:t>
      </w:r>
      <w:r>
        <w:rPr>
          <w:rFonts w:hint="eastAsia" w:ascii="宋体" w:hAnsi="宋体"/>
          <w:bCs/>
          <w:color w:val="auto"/>
          <w:szCs w:val="21"/>
        </w:rPr>
        <w:t>：</w:t>
      </w:r>
      <w:r>
        <w:rPr>
          <w:rFonts w:hint="eastAsia" w:ascii="宋体" w:hAnsi="宋体" w:eastAsia="宋体" w:cs="宋体"/>
          <w:color w:val="auto"/>
          <w:sz w:val="21"/>
          <w:szCs w:val="21"/>
        </w:rPr>
        <w:sym w:font="Wingdings" w:char="00A8"/>
      </w:r>
      <w:r>
        <w:rPr>
          <w:rFonts w:hint="eastAsia" w:ascii="宋体" w:hAnsi="宋体"/>
          <w:bCs/>
          <w:color w:val="auto"/>
          <w:szCs w:val="21"/>
        </w:rPr>
        <w:t xml:space="preserve">是  </w:t>
      </w:r>
      <w:r>
        <w:rPr>
          <w:rFonts w:hint="eastAsia" w:ascii="宋体" w:hAnsi="宋体" w:eastAsia="宋体" w:cs="宋体"/>
          <w:color w:val="auto"/>
          <w:sz w:val="21"/>
          <w:szCs w:val="21"/>
        </w:rPr>
        <w:sym w:font="Wingdings" w:char="00A8"/>
      </w:r>
      <w:r>
        <w:rPr>
          <w:rFonts w:hint="eastAsia" w:ascii="宋体" w:hAnsi="宋体"/>
          <w:bCs/>
          <w:color w:val="auto"/>
          <w:szCs w:val="21"/>
        </w:rPr>
        <w:t>否</w:t>
      </w:r>
    </w:p>
    <w:p>
      <w:pPr>
        <w:adjustRightInd w:val="0"/>
        <w:snapToGrid w:val="0"/>
        <w:spacing w:before="0" w:beforeLines="0" w:line="400" w:lineRule="exact"/>
        <w:ind w:firstLine="840" w:firstLineChars="400"/>
        <w:rPr>
          <w:rFonts w:ascii="宋体" w:hAnsi="宋体"/>
          <w:bCs/>
          <w:color w:val="auto"/>
          <w:szCs w:val="21"/>
        </w:rPr>
      </w:pPr>
      <w:r>
        <w:rPr>
          <w:rFonts w:hint="eastAsia" w:ascii="宋体" w:hAnsi="宋体"/>
          <w:bCs/>
          <w:color w:val="auto"/>
          <w:szCs w:val="21"/>
        </w:rPr>
        <w:t>是否邀请专家</w:t>
      </w:r>
      <w:r>
        <w:rPr>
          <w:rFonts w:hint="eastAsia" w:ascii="宋体" w:hAnsi="宋体"/>
          <w:bCs/>
          <w:color w:val="auto"/>
          <w:szCs w:val="21"/>
          <w:lang w:eastAsia="zh-CN"/>
        </w:rPr>
        <w:t>参加验收</w:t>
      </w:r>
      <w:r>
        <w:rPr>
          <w:rFonts w:hint="eastAsia" w:ascii="宋体" w:hAnsi="宋体"/>
          <w:bCs/>
          <w:color w:val="auto"/>
          <w:szCs w:val="21"/>
        </w:rPr>
        <w:t>：</w:t>
      </w:r>
      <w:r>
        <w:rPr>
          <w:rFonts w:hint="eastAsia" w:ascii="宋体" w:hAnsi="宋体" w:eastAsia="宋体" w:cs="宋体"/>
          <w:color w:val="auto"/>
          <w:sz w:val="21"/>
          <w:szCs w:val="21"/>
        </w:rPr>
        <w:sym w:font="Wingdings" w:char="00A8"/>
      </w:r>
      <w:r>
        <w:rPr>
          <w:rFonts w:hint="eastAsia" w:ascii="宋体" w:hAnsi="宋体"/>
          <w:bCs/>
          <w:color w:val="auto"/>
          <w:szCs w:val="21"/>
        </w:rPr>
        <w:t xml:space="preserve">是  </w:t>
      </w:r>
      <w:r>
        <w:rPr>
          <w:rFonts w:hint="eastAsia" w:ascii="宋体" w:hAnsi="宋体" w:eastAsia="宋体" w:cs="宋体"/>
          <w:color w:val="auto"/>
          <w:sz w:val="21"/>
          <w:szCs w:val="21"/>
        </w:rPr>
        <w:sym w:font="Wingdings" w:char="00A8"/>
      </w:r>
      <w:r>
        <w:rPr>
          <w:rFonts w:hint="eastAsia" w:ascii="宋体" w:hAnsi="宋体"/>
          <w:bCs/>
          <w:color w:val="auto"/>
          <w:szCs w:val="21"/>
        </w:rPr>
        <w:t>否</w:t>
      </w:r>
    </w:p>
    <w:p>
      <w:pPr>
        <w:adjustRightInd w:val="0"/>
        <w:snapToGrid w:val="0"/>
        <w:spacing w:before="0" w:beforeLines="0" w:line="400" w:lineRule="exact"/>
        <w:ind w:firstLine="840" w:firstLineChars="400"/>
        <w:rPr>
          <w:rFonts w:ascii="宋体" w:hAnsi="宋体"/>
          <w:bCs/>
          <w:color w:val="auto"/>
          <w:szCs w:val="21"/>
        </w:rPr>
      </w:pPr>
      <w:r>
        <w:rPr>
          <w:rFonts w:hint="eastAsia" w:ascii="宋体" w:hAnsi="宋体"/>
          <w:bCs/>
          <w:color w:val="auto"/>
          <w:szCs w:val="21"/>
        </w:rPr>
        <w:t>是否邀请服务对象</w:t>
      </w:r>
      <w:r>
        <w:rPr>
          <w:rFonts w:hint="eastAsia" w:ascii="宋体" w:hAnsi="宋体"/>
          <w:bCs/>
          <w:color w:val="auto"/>
          <w:szCs w:val="21"/>
          <w:lang w:eastAsia="zh-CN"/>
        </w:rPr>
        <w:t>参加验收</w:t>
      </w:r>
      <w:r>
        <w:rPr>
          <w:rFonts w:hint="eastAsia" w:ascii="宋体" w:hAnsi="宋体"/>
          <w:bCs/>
          <w:color w:val="auto"/>
          <w:szCs w:val="21"/>
        </w:rPr>
        <w:t>：</w:t>
      </w:r>
      <w:r>
        <w:rPr>
          <w:rFonts w:hint="eastAsia" w:ascii="宋体" w:hAnsi="宋体" w:eastAsia="宋体" w:cs="宋体"/>
          <w:color w:val="auto"/>
          <w:sz w:val="21"/>
          <w:szCs w:val="21"/>
        </w:rPr>
        <w:sym w:font="Wingdings" w:char="00A8"/>
      </w:r>
      <w:r>
        <w:rPr>
          <w:rFonts w:hint="eastAsia" w:ascii="宋体" w:hAnsi="宋体"/>
          <w:bCs/>
          <w:color w:val="auto"/>
          <w:szCs w:val="21"/>
        </w:rPr>
        <w:t xml:space="preserve">是  </w:t>
      </w:r>
      <w:r>
        <w:rPr>
          <w:rFonts w:hint="eastAsia" w:ascii="宋体" w:hAnsi="宋体" w:eastAsia="宋体" w:cs="宋体"/>
          <w:color w:val="auto"/>
          <w:sz w:val="21"/>
          <w:szCs w:val="21"/>
        </w:rPr>
        <w:sym w:font="Wingdings" w:char="00A8"/>
      </w:r>
      <w:r>
        <w:rPr>
          <w:rFonts w:hint="eastAsia" w:ascii="宋体" w:hAnsi="宋体"/>
          <w:bCs/>
          <w:color w:val="auto"/>
          <w:szCs w:val="21"/>
        </w:rPr>
        <w:t>否</w:t>
      </w:r>
    </w:p>
    <w:p>
      <w:pPr>
        <w:adjustRightInd w:val="0"/>
        <w:snapToGrid w:val="0"/>
        <w:spacing w:before="0" w:beforeLines="0" w:line="400" w:lineRule="exact"/>
        <w:ind w:firstLine="840" w:firstLineChars="400"/>
        <w:rPr>
          <w:rFonts w:ascii="宋体" w:hAnsi="宋体"/>
          <w:bCs/>
          <w:color w:val="auto"/>
          <w:szCs w:val="21"/>
        </w:rPr>
      </w:pPr>
      <w:r>
        <w:rPr>
          <w:rFonts w:hint="eastAsia" w:ascii="宋体" w:hAnsi="宋体"/>
          <w:bCs/>
          <w:color w:val="auto"/>
          <w:szCs w:val="21"/>
        </w:rPr>
        <w:t>是否邀请第三方检测机构</w:t>
      </w:r>
      <w:r>
        <w:rPr>
          <w:rFonts w:hint="eastAsia" w:ascii="宋体" w:hAnsi="宋体"/>
          <w:bCs/>
          <w:color w:val="auto"/>
          <w:szCs w:val="21"/>
          <w:lang w:eastAsia="zh-CN"/>
        </w:rPr>
        <w:t>参加验收</w:t>
      </w:r>
      <w:r>
        <w:rPr>
          <w:rFonts w:hint="eastAsia" w:ascii="宋体" w:hAnsi="宋体"/>
          <w:bCs/>
          <w:color w:val="auto"/>
          <w:szCs w:val="21"/>
        </w:rPr>
        <w:t>：</w:t>
      </w:r>
      <w:r>
        <w:rPr>
          <w:rFonts w:hint="eastAsia" w:ascii="宋体" w:hAnsi="宋体" w:eastAsia="宋体" w:cs="宋体"/>
          <w:color w:val="auto"/>
          <w:sz w:val="21"/>
          <w:szCs w:val="21"/>
        </w:rPr>
        <w:sym w:font="Wingdings" w:char="00A8"/>
      </w:r>
      <w:r>
        <w:rPr>
          <w:rFonts w:hint="eastAsia" w:ascii="宋体" w:hAnsi="宋体"/>
          <w:bCs/>
          <w:color w:val="auto"/>
          <w:szCs w:val="21"/>
        </w:rPr>
        <w:t xml:space="preserve">是  </w:t>
      </w:r>
      <w:r>
        <w:rPr>
          <w:rFonts w:hint="eastAsia" w:ascii="宋体" w:hAnsi="宋体" w:eastAsia="宋体" w:cs="宋体"/>
          <w:color w:val="auto"/>
          <w:sz w:val="21"/>
          <w:szCs w:val="21"/>
        </w:rPr>
        <w:sym w:font="Wingdings" w:char="00A8"/>
      </w:r>
      <w:r>
        <w:rPr>
          <w:rFonts w:hint="eastAsia" w:ascii="宋体" w:hAnsi="宋体"/>
          <w:bCs/>
          <w:color w:val="auto"/>
          <w:szCs w:val="21"/>
        </w:rPr>
        <w:t>否</w:t>
      </w:r>
    </w:p>
    <w:p>
      <w:pPr>
        <w:adjustRightInd w:val="0"/>
        <w:snapToGrid w:val="0"/>
        <w:spacing w:before="0" w:beforeLines="0" w:line="400" w:lineRule="exact"/>
        <w:ind w:firstLine="840" w:firstLineChars="400"/>
        <w:rPr>
          <w:rFonts w:hint="eastAsia" w:ascii="宋体" w:hAnsi="宋体"/>
          <w:bCs/>
          <w:color w:val="auto"/>
          <w:szCs w:val="21"/>
        </w:rPr>
      </w:pPr>
      <w:r>
        <w:rPr>
          <w:rFonts w:hint="eastAsia" w:ascii="宋体" w:hAnsi="宋体"/>
          <w:bCs/>
          <w:color w:val="auto"/>
          <w:szCs w:val="21"/>
          <w:lang w:eastAsia="zh-CN"/>
        </w:rPr>
        <w:t>是否进行抽查检测：</w:t>
      </w:r>
      <w:r>
        <w:rPr>
          <w:rFonts w:hint="eastAsia" w:ascii="宋体" w:hAnsi="宋体" w:eastAsia="宋体" w:cs="宋体"/>
          <w:color w:val="auto"/>
          <w:sz w:val="21"/>
          <w:szCs w:val="21"/>
        </w:rPr>
        <w:sym w:font="Wingdings" w:char="00A8"/>
      </w:r>
      <w:r>
        <w:rPr>
          <w:rFonts w:hint="eastAsia" w:ascii="宋体" w:hAnsi="宋体"/>
          <w:bCs/>
          <w:color w:val="auto"/>
          <w:szCs w:val="21"/>
        </w:rPr>
        <w:t>是</w:t>
      </w:r>
      <w:r>
        <w:rPr>
          <w:rFonts w:hint="eastAsia" w:ascii="宋体" w:hAnsi="宋体"/>
          <w:bCs/>
          <w:color w:val="auto"/>
          <w:szCs w:val="21"/>
          <w:lang w:eastAsia="zh-CN"/>
        </w:rPr>
        <w:t>，抽查比例：</w:t>
      </w:r>
      <w:r>
        <w:rPr>
          <w:rFonts w:hint="eastAsia" w:ascii="宋体" w:hAnsi="宋体"/>
          <w:bCs/>
          <w:color w:val="auto"/>
          <w:szCs w:val="21"/>
          <w:u w:val="single"/>
        </w:rPr>
        <w:t xml:space="preserve">   </w:t>
      </w:r>
      <w:r>
        <w:rPr>
          <w:rFonts w:hint="eastAsia" w:ascii="宋体" w:hAnsi="宋体"/>
          <w:bCs/>
          <w:color w:val="auto"/>
          <w:szCs w:val="21"/>
          <w:u w:val="single"/>
          <w:lang w:val="en-US" w:eastAsia="zh-CN"/>
        </w:rPr>
        <w:t xml:space="preserve">     </w:t>
      </w:r>
      <w:r>
        <w:rPr>
          <w:rFonts w:hint="eastAsia" w:ascii="宋体" w:hAnsi="宋体"/>
          <w:bCs/>
          <w:color w:val="auto"/>
          <w:szCs w:val="21"/>
        </w:rPr>
        <w:t xml:space="preserve"> </w:t>
      </w:r>
      <w:r>
        <w:rPr>
          <w:rFonts w:hint="eastAsia" w:ascii="宋体" w:hAnsi="宋体" w:eastAsia="宋体" w:cs="宋体"/>
          <w:color w:val="auto"/>
          <w:sz w:val="21"/>
          <w:szCs w:val="21"/>
        </w:rPr>
        <w:sym w:font="Wingdings" w:char="00A8"/>
      </w:r>
      <w:r>
        <w:rPr>
          <w:rFonts w:hint="eastAsia" w:ascii="宋体" w:hAnsi="宋体"/>
          <w:bCs/>
          <w:color w:val="auto"/>
          <w:szCs w:val="21"/>
        </w:rPr>
        <w:t>否</w:t>
      </w:r>
    </w:p>
    <w:p>
      <w:pPr>
        <w:adjustRightInd w:val="0"/>
        <w:snapToGrid w:val="0"/>
        <w:spacing w:before="0" w:beforeLines="0" w:line="400" w:lineRule="exact"/>
        <w:ind w:firstLine="840" w:firstLineChars="400"/>
        <w:rPr>
          <w:rFonts w:hint="eastAsia" w:ascii="宋体" w:hAnsi="宋体" w:eastAsia="宋体"/>
          <w:bCs/>
          <w:color w:val="auto"/>
          <w:szCs w:val="21"/>
          <w:u w:val="single"/>
          <w:lang w:eastAsia="zh-CN"/>
        </w:rPr>
      </w:pPr>
      <w:r>
        <w:rPr>
          <w:rFonts w:hint="eastAsia" w:ascii="宋体" w:hAnsi="宋体" w:eastAsia="宋体"/>
          <w:bCs/>
          <w:color w:val="auto"/>
          <w:szCs w:val="21"/>
          <w:lang w:val="en-US" w:eastAsia="zh-CN"/>
        </w:rPr>
        <w:t>是否存在破坏性检测：</w:t>
      </w:r>
      <w:r>
        <w:rPr>
          <w:rFonts w:hint="eastAsia" w:ascii="宋体" w:hAnsi="宋体" w:eastAsia="宋体" w:cs="宋体"/>
          <w:color w:val="auto"/>
          <w:sz w:val="21"/>
          <w:szCs w:val="21"/>
        </w:rPr>
        <w:sym w:font="Wingdings" w:char="00A8"/>
      </w:r>
      <w:r>
        <w:rPr>
          <w:rFonts w:hint="eastAsia" w:ascii="宋体" w:hAnsi="宋体" w:eastAsia="宋体"/>
          <w:bCs/>
          <w:color w:val="auto"/>
          <w:szCs w:val="21"/>
        </w:rPr>
        <w:t>是</w:t>
      </w:r>
      <w:r>
        <w:rPr>
          <w:rFonts w:hint="eastAsia" w:ascii="宋体" w:hAnsi="宋体" w:eastAsia="宋体"/>
          <w:bCs/>
          <w:color w:val="auto"/>
          <w:szCs w:val="21"/>
          <w:lang w:eastAsia="zh-CN"/>
        </w:rPr>
        <w:t>，</w:t>
      </w:r>
      <w:r>
        <w:rPr>
          <w:rFonts w:hint="eastAsia" w:ascii="宋体" w:hAnsi="宋体" w:eastAsia="宋体"/>
          <w:bCs/>
          <w:color w:val="auto"/>
          <w:szCs w:val="21"/>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color w:val="auto"/>
          <w:szCs w:val="21"/>
          <w:lang w:eastAsia="zh-CN"/>
        </w:rPr>
      </w:pPr>
      <w:r>
        <w:rPr>
          <w:rFonts w:hint="eastAsia" w:ascii="宋体" w:hAnsi="宋体" w:eastAsia="宋体"/>
          <w:bCs/>
          <w:color w:val="auto"/>
          <w:szCs w:val="21"/>
          <w:lang w:val="en-US" w:eastAsia="zh-CN"/>
        </w:rPr>
        <w:t xml:space="preserve">                    </w:t>
      </w:r>
      <w:r>
        <w:rPr>
          <w:rFonts w:hint="eastAsia" w:ascii="宋体" w:hAnsi="宋体" w:eastAsia="宋体" w:cs="宋体"/>
          <w:color w:val="auto"/>
          <w:sz w:val="21"/>
          <w:szCs w:val="21"/>
        </w:rPr>
        <w:sym w:font="Wingdings" w:char="00A8"/>
      </w:r>
      <w:r>
        <w:rPr>
          <w:rFonts w:hint="eastAsia" w:ascii="宋体" w:hAnsi="宋体" w:eastAsia="宋体"/>
          <w:bCs/>
          <w:color w:val="auto"/>
          <w:szCs w:val="21"/>
        </w:rPr>
        <w:t>否</w:t>
      </w:r>
    </w:p>
    <w:p>
      <w:pPr>
        <w:adjustRightInd w:val="0"/>
        <w:snapToGrid w:val="0"/>
        <w:spacing w:before="0" w:beforeLines="0" w:line="400" w:lineRule="exact"/>
        <w:ind w:firstLine="840" w:firstLineChars="400"/>
        <w:rPr>
          <w:rFonts w:hint="eastAsia" w:ascii="宋体" w:hAnsi="宋体"/>
          <w:bCs/>
          <w:color w:val="auto"/>
          <w:szCs w:val="21"/>
          <w:u w:val="single"/>
        </w:rPr>
      </w:pPr>
      <w:r>
        <w:rPr>
          <w:rFonts w:hint="eastAsia" w:ascii="宋体" w:hAnsi="宋体"/>
          <w:bCs/>
          <w:color w:val="auto"/>
          <w:szCs w:val="21"/>
        </w:rPr>
        <w:t>验收组织的其他事项：</w:t>
      </w:r>
      <w:r>
        <w:rPr>
          <w:rFonts w:hint="eastAsia" w:ascii="宋体" w:hAnsi="宋体"/>
          <w:bCs/>
          <w:color w:val="auto"/>
          <w:szCs w:val="21"/>
          <w:u w:val="single"/>
        </w:rPr>
        <w:t xml:space="preserve">                </w:t>
      </w:r>
    </w:p>
    <w:p>
      <w:pPr>
        <w:adjustRightInd w:val="0"/>
        <w:snapToGrid w:val="0"/>
        <w:spacing w:before="0" w:beforeLines="0" w:line="400" w:lineRule="exact"/>
        <w:ind w:firstLine="420" w:firstLineChars="200"/>
        <w:rPr>
          <w:rFonts w:hint="eastAsia" w:ascii="宋体" w:hAnsi="宋体"/>
          <w:bCs/>
          <w:color w:val="auto"/>
          <w:szCs w:val="21"/>
          <w:u w:val="single"/>
        </w:rPr>
      </w:pPr>
      <w:r>
        <w:rPr>
          <w:rFonts w:hint="eastAsia" w:ascii="宋体" w:hAnsi="宋体"/>
          <w:bCs/>
          <w:color w:val="auto"/>
          <w:szCs w:val="21"/>
        </w:rPr>
        <w:t>（2）履约验收时间：</w:t>
      </w:r>
      <w:r>
        <w:rPr>
          <w:rFonts w:hint="eastAsia" w:ascii="宋体" w:hAnsi="宋体"/>
          <w:bCs/>
          <w:color w:val="auto"/>
          <w:szCs w:val="21"/>
          <w:u w:val="single"/>
        </w:rPr>
        <w:t>（计划于何时验收/供应商提出验收申请之日起   日内组织验收）</w:t>
      </w:r>
      <w:r>
        <w:rPr>
          <w:rFonts w:hint="eastAsia" w:ascii="宋体" w:hAnsi="宋体"/>
          <w:bCs/>
          <w:color w:val="auto"/>
          <w:szCs w:val="21"/>
          <w:u w:val="single"/>
          <w:lang w:val="en-US" w:eastAsia="zh-CN"/>
        </w:rPr>
        <w:t xml:space="preserve"> </w:t>
      </w:r>
    </w:p>
    <w:p>
      <w:pPr>
        <w:adjustRightInd w:val="0"/>
        <w:snapToGrid w:val="0"/>
        <w:spacing w:before="0" w:beforeLines="0" w:line="400" w:lineRule="exact"/>
        <w:ind w:firstLine="420" w:firstLineChars="200"/>
        <w:rPr>
          <w:rFonts w:hint="eastAsia" w:ascii="宋体" w:hAnsi="宋体"/>
          <w:bCs/>
          <w:color w:val="auto"/>
          <w:szCs w:val="21"/>
        </w:rPr>
      </w:pPr>
      <w:r>
        <w:rPr>
          <w:rFonts w:hint="eastAsia" w:ascii="宋体" w:hAnsi="宋体"/>
          <w:bCs/>
          <w:color w:val="auto"/>
          <w:szCs w:val="21"/>
        </w:rPr>
        <w:t>（3）履约验收方式：</w:t>
      </w:r>
      <w:r>
        <w:rPr>
          <w:rFonts w:hint="eastAsia" w:ascii="宋体" w:hAnsi="宋体" w:eastAsia="宋体" w:cs="宋体"/>
          <w:color w:val="auto"/>
          <w:sz w:val="21"/>
          <w:szCs w:val="21"/>
        </w:rPr>
        <w:sym w:font="Wingdings" w:char="00A8"/>
      </w:r>
      <w:r>
        <w:rPr>
          <w:rFonts w:hint="eastAsia" w:ascii="宋体" w:hAnsi="宋体"/>
          <w:bCs/>
          <w:color w:val="auto"/>
          <w:szCs w:val="21"/>
        </w:rPr>
        <w:t xml:space="preserve">一次性验收         </w:t>
      </w:r>
    </w:p>
    <w:p>
      <w:pPr>
        <w:adjustRightInd w:val="0"/>
        <w:snapToGrid w:val="0"/>
        <w:spacing w:before="0" w:beforeLines="0" w:line="400" w:lineRule="exact"/>
        <w:ind w:firstLine="0" w:firstLineChars="0"/>
        <w:rPr>
          <w:rFonts w:hint="eastAsia" w:ascii="宋体" w:hAnsi="宋体" w:eastAsia="宋体"/>
          <w:bCs/>
          <w:color w:val="auto"/>
          <w:szCs w:val="21"/>
          <w:lang w:val="en-US" w:eastAsia="zh-CN"/>
        </w:rPr>
      </w:pPr>
      <w:r>
        <w:rPr>
          <w:rFonts w:hint="eastAsia" w:ascii="宋体" w:hAnsi="宋体"/>
          <w:bCs/>
          <w:color w:val="auto"/>
          <w:szCs w:val="21"/>
          <w:lang w:val="en-US" w:eastAsia="zh-CN"/>
        </w:rPr>
        <w:t xml:space="preserve">                       </w:t>
      </w:r>
      <w:r>
        <w:rPr>
          <w:rFonts w:hint="eastAsia" w:ascii="宋体" w:hAnsi="宋体" w:eastAsia="宋体" w:cs="宋体"/>
          <w:color w:val="auto"/>
          <w:sz w:val="21"/>
          <w:szCs w:val="21"/>
        </w:rPr>
        <w:sym w:font="Wingdings" w:char="00A8"/>
      </w:r>
      <w:r>
        <w:rPr>
          <w:rFonts w:hint="eastAsia" w:ascii="宋体" w:hAnsi="宋体"/>
          <w:bCs/>
          <w:color w:val="auto"/>
          <w:szCs w:val="21"/>
        </w:rPr>
        <w:t>分期/分项验收</w:t>
      </w:r>
      <w:r>
        <w:rPr>
          <w:rFonts w:hint="eastAsia" w:ascii="宋体" w:hAnsi="宋体"/>
          <w:bCs/>
          <w:color w:val="auto"/>
          <w:szCs w:val="21"/>
          <w:lang w:eastAsia="zh-CN"/>
        </w:rPr>
        <w:t>：</w:t>
      </w:r>
      <w:r>
        <w:rPr>
          <w:rFonts w:hint="eastAsia" w:ascii="宋体" w:hAnsi="宋体"/>
          <w:bCs/>
          <w:color w:val="auto"/>
          <w:szCs w:val="21"/>
          <w:u w:val="single"/>
        </w:rPr>
        <w:t xml:space="preserve"> </w:t>
      </w:r>
      <w:r>
        <w:rPr>
          <w:rFonts w:hint="eastAsia" w:ascii="宋体" w:hAnsi="宋体"/>
          <w:bCs/>
          <w:color w:val="auto"/>
          <w:szCs w:val="21"/>
          <w:u w:val="single"/>
          <w:lang w:eastAsia="zh-CN"/>
        </w:rPr>
        <w:t>（应明确分期</w:t>
      </w:r>
      <w:r>
        <w:rPr>
          <w:rFonts w:hint="default" w:ascii="宋体" w:hAnsi="宋体"/>
          <w:bCs/>
          <w:color w:val="auto"/>
          <w:szCs w:val="21"/>
          <w:u w:val="single"/>
          <w:lang w:val="en" w:eastAsia="zh-CN"/>
        </w:rPr>
        <w:t>/</w:t>
      </w:r>
      <w:r>
        <w:rPr>
          <w:rFonts w:hint="eastAsia" w:ascii="宋体" w:hAnsi="宋体"/>
          <w:bCs/>
          <w:color w:val="auto"/>
          <w:szCs w:val="21"/>
          <w:u w:val="single"/>
          <w:lang w:val="en" w:eastAsia="zh-CN"/>
        </w:rPr>
        <w:t>分项验收的工作安排</w:t>
      </w:r>
      <w:r>
        <w:rPr>
          <w:rFonts w:hint="eastAsia" w:ascii="宋体" w:hAnsi="宋体"/>
          <w:bCs/>
          <w:color w:val="auto"/>
          <w:szCs w:val="21"/>
          <w:u w:val="single"/>
          <w:lang w:eastAsia="zh-CN"/>
        </w:rPr>
        <w:t>）</w:t>
      </w:r>
      <w:r>
        <w:rPr>
          <w:rFonts w:hint="eastAsia" w:ascii="宋体" w:hAnsi="宋体"/>
          <w:bCs/>
          <w:color w:val="auto"/>
          <w:szCs w:val="21"/>
          <w:u w:val="single"/>
        </w:rPr>
        <w:t xml:space="preserve"> </w:t>
      </w:r>
      <w:r>
        <w:rPr>
          <w:rFonts w:hint="eastAsia" w:ascii="宋体" w:hAnsi="宋体"/>
          <w:bCs/>
          <w:color w:val="auto"/>
          <w:szCs w:val="21"/>
          <w:u w:val="single"/>
          <w:lang w:val="en-US" w:eastAsia="zh-CN"/>
        </w:rPr>
        <w:t xml:space="preserve"> </w:t>
      </w:r>
    </w:p>
    <w:p>
      <w:pPr>
        <w:adjustRightInd w:val="0"/>
        <w:snapToGrid w:val="0"/>
        <w:spacing w:before="0" w:beforeLines="0" w:line="400" w:lineRule="exact"/>
        <w:ind w:firstLine="420" w:firstLineChars="200"/>
        <w:rPr>
          <w:rFonts w:ascii="宋体" w:hAnsi="宋体"/>
          <w:bCs/>
          <w:color w:val="auto"/>
          <w:szCs w:val="21"/>
        </w:rPr>
      </w:pPr>
      <w:r>
        <w:rPr>
          <w:rFonts w:hint="eastAsia" w:ascii="宋体" w:hAnsi="宋体"/>
          <w:bCs/>
          <w:color w:val="auto"/>
          <w:szCs w:val="21"/>
        </w:rPr>
        <w:t>（4）履约验收程序：</w:t>
      </w:r>
      <w:r>
        <w:rPr>
          <w:rFonts w:hint="eastAsia" w:ascii="宋体" w:hAnsi="宋体"/>
          <w:bCs/>
          <w:color w:val="auto"/>
          <w:szCs w:val="21"/>
          <w:u w:val="single"/>
        </w:rPr>
        <w:t xml:space="preserve">                                         </w:t>
      </w:r>
    </w:p>
    <w:p>
      <w:pPr>
        <w:adjustRightInd w:val="0"/>
        <w:snapToGrid w:val="0"/>
        <w:spacing w:before="0" w:beforeLines="0" w:line="400" w:lineRule="exact"/>
        <w:ind w:firstLine="420" w:firstLineChars="200"/>
        <w:rPr>
          <w:rFonts w:ascii="宋体" w:hAnsi="宋体"/>
          <w:bCs/>
          <w:color w:val="auto"/>
          <w:szCs w:val="21"/>
          <w:u w:val="single"/>
        </w:rPr>
      </w:pPr>
      <w:r>
        <w:rPr>
          <w:rFonts w:hint="eastAsia" w:ascii="宋体" w:hAnsi="宋体"/>
          <w:bCs/>
          <w:color w:val="auto"/>
          <w:szCs w:val="21"/>
        </w:rPr>
        <w:t>（5）履约验收的内容：</w:t>
      </w:r>
      <w:r>
        <w:rPr>
          <w:rFonts w:hint="eastAsia" w:ascii="宋体" w:hAnsi="宋体"/>
          <w:bCs/>
          <w:color w:val="auto"/>
          <w:szCs w:val="21"/>
          <w:u w:val="single"/>
        </w:rPr>
        <w:t xml:space="preserve"> </w:t>
      </w:r>
      <w:r>
        <w:rPr>
          <w:rFonts w:hint="eastAsia" w:ascii="宋体" w:hAnsi="宋体"/>
          <w:bCs/>
          <w:color w:val="auto"/>
          <w:szCs w:val="21"/>
          <w:u w:val="single"/>
          <w:lang w:eastAsia="zh-CN"/>
        </w:rPr>
        <w:t>（应当包括每一项技术和商务要求的履约情况，特别是落实政府采购扶持中小企业，支持绿色发展和乡村振兴等政策情况）</w:t>
      </w:r>
      <w:r>
        <w:rPr>
          <w:rFonts w:hint="eastAsia" w:ascii="宋体" w:hAnsi="宋体"/>
          <w:bCs/>
          <w:color w:val="auto"/>
          <w:szCs w:val="21"/>
          <w:u w:val="single"/>
        </w:rPr>
        <w:t xml:space="preserve">                                      </w:t>
      </w:r>
    </w:p>
    <w:p>
      <w:pPr>
        <w:adjustRightInd w:val="0"/>
        <w:snapToGrid w:val="0"/>
        <w:spacing w:before="0" w:beforeLines="0" w:line="400" w:lineRule="exact"/>
        <w:ind w:firstLine="420" w:firstLineChars="200"/>
        <w:rPr>
          <w:rFonts w:hint="eastAsia" w:ascii="宋体" w:hAnsi="宋体"/>
          <w:bCs/>
          <w:color w:val="auto"/>
          <w:szCs w:val="21"/>
          <w:u w:val="single"/>
        </w:rPr>
      </w:pPr>
      <w:r>
        <w:rPr>
          <w:rFonts w:hint="eastAsia" w:ascii="宋体" w:hAnsi="宋体"/>
          <w:bCs/>
          <w:color w:val="auto"/>
          <w:szCs w:val="21"/>
        </w:rPr>
        <w:t>（6）履约验收标准：</w:t>
      </w:r>
      <w:r>
        <w:rPr>
          <w:rFonts w:hint="eastAsia" w:ascii="宋体" w:hAnsi="宋体"/>
          <w:bCs/>
          <w:color w:val="auto"/>
          <w:szCs w:val="21"/>
          <w:u w:val="single"/>
        </w:rPr>
        <w:t xml:space="preserve">                                         </w:t>
      </w:r>
    </w:p>
    <w:p>
      <w:pPr>
        <w:pStyle w:val="62"/>
        <w:spacing w:beforeLines="0"/>
        <w:rPr>
          <w:rFonts w:hint="eastAsia" w:ascii="宋体" w:hAnsi="宋体" w:eastAsia="宋体" w:cs="宋体"/>
          <w:color w:val="auto"/>
          <w:sz w:val="21"/>
          <w:lang w:eastAsia="zh-CN"/>
        </w:rPr>
      </w:pPr>
      <w:r>
        <w:rPr>
          <w:rFonts w:hint="eastAsia" w:ascii="宋体" w:hAnsi="宋体" w:eastAsia="宋体" w:cs="宋体"/>
          <w:bCs/>
          <w:color w:val="auto"/>
          <w:sz w:val="21"/>
          <w:szCs w:val="21"/>
          <w:u w:val="none"/>
          <w:lang w:eastAsia="zh-CN"/>
        </w:rPr>
        <w:t>（</w:t>
      </w:r>
      <w:r>
        <w:rPr>
          <w:rFonts w:hint="eastAsia" w:ascii="宋体" w:hAnsi="宋体" w:eastAsia="宋体" w:cs="宋体"/>
          <w:bCs/>
          <w:color w:val="auto"/>
          <w:sz w:val="21"/>
          <w:szCs w:val="21"/>
          <w:u w:val="none"/>
          <w:lang w:val="en-US" w:eastAsia="zh-CN"/>
        </w:rPr>
        <w:t>7</w:t>
      </w:r>
      <w:r>
        <w:rPr>
          <w:rFonts w:hint="eastAsia" w:ascii="宋体" w:hAnsi="宋体" w:eastAsia="宋体" w:cs="宋体"/>
          <w:bCs/>
          <w:color w:val="auto"/>
          <w:sz w:val="21"/>
          <w:szCs w:val="21"/>
          <w:u w:val="none"/>
          <w:lang w:eastAsia="zh-CN"/>
        </w:rPr>
        <w:t>）是否以采购活动中供应商提供的样品作为参考：</w:t>
      </w:r>
      <w:r>
        <w:rPr>
          <w:rFonts w:hint="eastAsia" w:ascii="宋体" w:hAnsi="宋体" w:eastAsia="宋体" w:cs="宋体"/>
          <w:color w:val="auto"/>
          <w:sz w:val="21"/>
          <w:szCs w:val="21"/>
        </w:rPr>
        <w:sym w:font="Wingdings" w:char="00A8"/>
      </w:r>
      <w:r>
        <w:rPr>
          <w:rFonts w:hint="eastAsia" w:ascii="宋体" w:hAnsi="宋体" w:eastAsia="宋体" w:cs="宋体"/>
          <w:bCs/>
          <w:color w:val="auto"/>
          <w:sz w:val="21"/>
          <w:szCs w:val="21"/>
        </w:rPr>
        <w:t xml:space="preserve">是  </w:t>
      </w:r>
      <w:r>
        <w:rPr>
          <w:rFonts w:hint="eastAsia" w:ascii="宋体" w:hAnsi="宋体" w:eastAsia="宋体" w:cs="宋体"/>
          <w:color w:val="auto"/>
          <w:sz w:val="21"/>
          <w:szCs w:val="21"/>
        </w:rPr>
        <w:sym w:font="Wingdings" w:char="00A8"/>
      </w:r>
      <w:r>
        <w:rPr>
          <w:rFonts w:hint="eastAsia" w:ascii="宋体" w:hAnsi="宋体" w:eastAsia="宋体" w:cs="宋体"/>
          <w:bCs/>
          <w:color w:val="auto"/>
          <w:sz w:val="21"/>
          <w:szCs w:val="21"/>
        </w:rPr>
        <w:t>否</w:t>
      </w:r>
    </w:p>
    <w:p>
      <w:pPr>
        <w:adjustRightInd w:val="0"/>
        <w:snapToGrid w:val="0"/>
        <w:spacing w:before="0" w:beforeLines="0" w:line="400" w:lineRule="exact"/>
        <w:ind w:firstLine="420" w:firstLineChars="200"/>
        <w:rPr>
          <w:rFonts w:hint="eastAsia" w:ascii="宋体" w:hAnsi="宋体" w:cs="宋体"/>
          <w:bCs/>
          <w:color w:val="auto"/>
          <w:szCs w:val="21"/>
          <w:u w:val="single"/>
        </w:rPr>
      </w:pPr>
      <w:r>
        <w:rPr>
          <w:rFonts w:hint="eastAsia" w:ascii="宋体" w:hAnsi="宋体" w:cs="宋体"/>
          <w:bCs/>
          <w:color w:val="auto"/>
          <w:szCs w:val="21"/>
        </w:rPr>
        <w:t>（8）履约验收其他事项：</w:t>
      </w:r>
      <w:r>
        <w:rPr>
          <w:rFonts w:hint="eastAsia" w:ascii="宋体" w:hAnsi="宋体" w:cs="宋体"/>
          <w:bCs/>
          <w:color w:val="auto"/>
          <w:szCs w:val="21"/>
          <w:u w:val="single"/>
        </w:rPr>
        <w:t xml:space="preserve">      </w:t>
      </w:r>
      <w:r>
        <w:rPr>
          <w:rFonts w:hint="eastAsia" w:ascii="宋体" w:hAnsi="宋体" w:cs="宋体"/>
          <w:bCs/>
          <w:i w:val="0"/>
          <w:iCs w:val="0"/>
          <w:color w:val="auto"/>
          <w:szCs w:val="21"/>
          <w:u w:val="single"/>
        </w:rPr>
        <w:t>（产权过户登记等）</w:t>
      </w:r>
      <w:r>
        <w:rPr>
          <w:rFonts w:hint="eastAsia" w:ascii="宋体" w:hAnsi="宋体" w:cs="宋体"/>
          <w:bCs/>
          <w:color w:val="auto"/>
          <w:szCs w:val="21"/>
          <w:u w:val="single"/>
        </w:rPr>
        <w:t xml:space="preserve">          </w:t>
      </w:r>
    </w:p>
    <w:p>
      <w:pPr>
        <w:numPr>
          <w:ilvl w:val="0"/>
          <w:numId w:val="5"/>
        </w:numPr>
        <w:adjustRightInd w:val="0"/>
        <w:snapToGrid w:val="0"/>
        <w:spacing w:before="0" w:beforeLines="0" w:line="400" w:lineRule="exact"/>
        <w:ind w:firstLine="422" w:firstLineChars="200"/>
        <w:rPr>
          <w:rFonts w:hint="eastAsia" w:ascii="宋体" w:hAnsi="宋体"/>
          <w:b/>
          <w:color w:val="auto"/>
          <w:szCs w:val="21"/>
        </w:rPr>
      </w:pPr>
      <w:r>
        <w:rPr>
          <w:rFonts w:hint="eastAsia" w:ascii="宋体" w:hAnsi="宋体"/>
          <w:b/>
          <w:color w:val="auto"/>
          <w:szCs w:val="21"/>
        </w:rPr>
        <w:t>组成合同的文件</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color w:val="auto"/>
          <w:szCs w:val="21"/>
          <w:lang w:eastAsia="zh-CN"/>
        </w:rPr>
      </w:pPr>
      <w:r>
        <w:rPr>
          <w:rFonts w:hint="eastAsia" w:ascii="宋体" w:hAnsi="宋体"/>
          <w:color w:val="auto"/>
          <w:szCs w:val="21"/>
        </w:rPr>
        <w:t>（1）</w:t>
      </w:r>
      <w:r>
        <w:rPr>
          <w:rFonts w:hint="eastAsia" w:ascii="宋体" w:hAnsi="宋体"/>
          <w:color w:val="auto"/>
          <w:szCs w:val="21"/>
          <w:lang w:eastAsia="zh-CN"/>
        </w:rPr>
        <w:t>政府采购</w:t>
      </w:r>
      <w:r>
        <w:rPr>
          <w:rFonts w:hint="eastAsia" w:ascii="宋体" w:hAnsi="宋体"/>
          <w:color w:val="auto"/>
          <w:szCs w:val="21"/>
        </w:rPr>
        <w:t>合同协议书及其变更、补充</w:t>
      </w:r>
      <w:r>
        <w:rPr>
          <w:rFonts w:hint="eastAsia" w:ascii="宋体" w:hAnsi="宋体"/>
          <w:color w:val="auto"/>
          <w:szCs w:val="21"/>
          <w:lang w:eastAsia="zh-CN"/>
        </w:rPr>
        <w:t>协议</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）政府采购合同专用条款</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）政府采购合同通用条款</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）中标</w:t>
      </w:r>
      <w:r>
        <w:rPr>
          <w:rFonts w:hint="eastAsia" w:ascii="宋体" w:hAnsi="宋体"/>
          <w:color w:val="auto"/>
          <w:szCs w:val="21"/>
          <w:lang w:eastAsia="zh-CN"/>
        </w:rPr>
        <w:t>（成交）</w:t>
      </w:r>
      <w:r>
        <w:rPr>
          <w:rFonts w:hint="eastAsia" w:ascii="宋体" w:hAnsi="宋体"/>
          <w:color w:val="auto"/>
          <w:szCs w:val="21"/>
        </w:rPr>
        <w:t>通知书</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）投标（响应）文件</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（6）采购文件</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（7）有关技术文件，图纸</w:t>
      </w:r>
    </w:p>
    <w:p>
      <w:pPr>
        <w:pStyle w:val="62"/>
        <w:spacing w:beforeLines="0"/>
        <w:rPr>
          <w:rFonts w:hint="eastAsia" w:ascii="宋体" w:hAnsi="宋体" w:eastAsia="宋体" w:cs="宋体"/>
          <w:color w:val="auto"/>
          <w:kern w:val="2"/>
          <w:sz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bCs w:val="0"/>
          <w:color w:val="auto"/>
          <w:kern w:val="2"/>
          <w:sz w:val="21"/>
          <w:szCs w:val="21"/>
          <w:highlight w:val="none"/>
          <w:lang w:eastAsia="zh-CN"/>
        </w:rPr>
        <w:t>国家法律、行政法规和规章制度规定或合同约定的作为合同组成部分的其他文件</w:t>
      </w:r>
    </w:p>
    <w:p>
      <w:pPr>
        <w:numPr>
          <w:ilvl w:val="0"/>
          <w:numId w:val="5"/>
        </w:numPr>
        <w:adjustRightInd w:val="0"/>
        <w:snapToGrid w:val="0"/>
        <w:spacing w:before="0" w:beforeLines="0" w:line="400" w:lineRule="exact"/>
        <w:ind w:firstLine="422" w:firstLineChars="200"/>
        <w:rPr>
          <w:rFonts w:hint="eastAsia" w:ascii="宋体" w:hAnsi="宋体"/>
          <w:b/>
          <w:color w:val="auto"/>
          <w:szCs w:val="21"/>
        </w:rPr>
      </w:pPr>
      <w:r>
        <w:rPr>
          <w:rFonts w:hint="eastAsia" w:ascii="宋体" w:hAnsi="宋体"/>
          <w:b/>
          <w:color w:val="auto"/>
          <w:szCs w:val="21"/>
        </w:rPr>
        <w:t>合同生效</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本合同自</w:t>
      </w:r>
      <w:r>
        <w:rPr>
          <w:rFonts w:hint="eastAsia" w:ascii="宋体" w:hAnsi="宋体"/>
          <w:color w:val="auto"/>
          <w:szCs w:val="21"/>
          <w:u w:val="single"/>
        </w:rPr>
        <w:t xml:space="preserve">                             </w:t>
      </w:r>
      <w:r>
        <w:rPr>
          <w:rFonts w:hint="eastAsia" w:ascii="宋体" w:hAnsi="宋体"/>
          <w:color w:val="auto"/>
          <w:szCs w:val="21"/>
        </w:rPr>
        <w:t>生效。</w:t>
      </w:r>
    </w:p>
    <w:p>
      <w:pPr>
        <w:numPr>
          <w:ilvl w:val="0"/>
          <w:numId w:val="5"/>
        </w:numPr>
        <w:adjustRightInd w:val="0"/>
        <w:snapToGrid w:val="0"/>
        <w:spacing w:before="0" w:beforeLines="0" w:line="400" w:lineRule="exact"/>
        <w:ind w:firstLine="422" w:firstLineChars="200"/>
        <w:rPr>
          <w:rFonts w:hint="eastAsia" w:ascii="宋体" w:hAnsi="宋体"/>
          <w:b/>
          <w:color w:val="auto"/>
          <w:szCs w:val="21"/>
        </w:rPr>
      </w:pPr>
      <w:r>
        <w:rPr>
          <w:rFonts w:hint="eastAsia" w:ascii="宋体" w:hAnsi="宋体"/>
          <w:b/>
          <w:color w:val="auto"/>
          <w:szCs w:val="21"/>
        </w:rPr>
        <w:t>合同份数</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本合同一式</w:t>
      </w:r>
      <w:r>
        <w:rPr>
          <w:rFonts w:hint="eastAsia" w:ascii="宋体" w:hAnsi="宋体"/>
          <w:color w:val="auto"/>
          <w:szCs w:val="21"/>
          <w:u w:val="single"/>
        </w:rPr>
        <w:t xml:space="preserve">    </w:t>
      </w:r>
      <w:r>
        <w:rPr>
          <w:rFonts w:hint="eastAsia" w:ascii="宋体" w:hAnsi="宋体"/>
          <w:color w:val="auto"/>
          <w:szCs w:val="21"/>
        </w:rPr>
        <w:t>份，</w:t>
      </w:r>
      <w:r>
        <w:rPr>
          <w:rFonts w:hint="eastAsia" w:ascii="宋体" w:hAnsi="宋体"/>
          <w:color w:val="auto"/>
          <w:szCs w:val="21"/>
          <w:lang w:eastAsia="zh-CN"/>
        </w:rPr>
        <w:t>甲方</w:t>
      </w:r>
      <w:r>
        <w:rPr>
          <w:rFonts w:hint="eastAsia" w:ascii="宋体" w:hAnsi="宋体"/>
          <w:color w:val="auto"/>
          <w:szCs w:val="21"/>
        </w:rPr>
        <w:t>执</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份，</w:t>
      </w:r>
      <w:r>
        <w:rPr>
          <w:rFonts w:hint="eastAsia" w:ascii="宋体" w:hAnsi="宋体"/>
          <w:color w:val="auto"/>
          <w:szCs w:val="21"/>
          <w:lang w:eastAsia="zh-CN"/>
        </w:rPr>
        <w:t>乙方</w:t>
      </w:r>
      <w:r>
        <w:rPr>
          <w:rFonts w:hint="eastAsia" w:ascii="宋体" w:hAnsi="宋体"/>
          <w:color w:val="auto"/>
          <w:szCs w:val="21"/>
        </w:rPr>
        <w:t>执</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份，均具有同等法律效力。</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合同订立时间：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合同订立地点：</w:t>
      </w:r>
      <w:r>
        <w:rPr>
          <w:rFonts w:hint="eastAsia" w:ascii="宋体" w:hAnsi="宋体"/>
          <w:color w:val="auto"/>
          <w:szCs w:val="21"/>
          <w:u w:val="single"/>
        </w:rPr>
        <w:t xml:space="preserve">                           </w:t>
      </w:r>
    </w:p>
    <w:p>
      <w:pPr>
        <w:adjustRightInd w:val="0"/>
        <w:snapToGrid w:val="0"/>
        <w:spacing w:before="0" w:beforeLines="0" w:line="400" w:lineRule="exact"/>
        <w:ind w:firstLine="420" w:firstLineChars="200"/>
        <w:rPr>
          <w:color w:val="auto"/>
        </w:rPr>
      </w:pPr>
      <w:r>
        <w:rPr>
          <w:rFonts w:hint="eastAsia" w:ascii="宋体" w:hAnsi="宋体"/>
          <w:color w:val="auto"/>
          <w:szCs w:val="21"/>
        </w:rPr>
        <w:t>附件：具体标</w:t>
      </w:r>
      <w:r>
        <w:rPr>
          <w:rFonts w:hint="eastAsia" w:ascii="宋体" w:hAnsi="宋体"/>
          <w:color w:val="auto"/>
          <w:szCs w:val="21"/>
          <w:lang w:eastAsia="zh-CN"/>
        </w:rPr>
        <w:t>的及其</w:t>
      </w:r>
      <w:r>
        <w:rPr>
          <w:rFonts w:hint="eastAsia" w:ascii="宋体" w:hAnsi="宋体"/>
          <w:color w:val="auto"/>
          <w:szCs w:val="21"/>
          <w:highlight w:val="none"/>
          <w:u w:val="none"/>
          <w:lang w:val="en-US" w:eastAsia="zh-CN"/>
        </w:rPr>
        <w:t>技术要求和商务要求</w:t>
      </w:r>
      <w:r>
        <w:rPr>
          <w:rFonts w:hint="eastAsia" w:ascii="宋体" w:hAnsi="宋体"/>
          <w:color w:val="auto"/>
          <w:szCs w:val="21"/>
        </w:rPr>
        <w:t>、联合协议、分包</w:t>
      </w:r>
      <w:r>
        <w:rPr>
          <w:rFonts w:hint="eastAsia" w:ascii="宋体" w:hAnsi="宋体"/>
          <w:color w:val="auto"/>
          <w:szCs w:val="21"/>
          <w:lang w:eastAsia="zh-CN"/>
        </w:rPr>
        <w:t>意向</w:t>
      </w:r>
      <w:r>
        <w:rPr>
          <w:rFonts w:hint="eastAsia" w:ascii="宋体" w:hAnsi="宋体"/>
          <w:color w:val="auto"/>
          <w:szCs w:val="21"/>
        </w:rPr>
        <w:t>协议等。</w:t>
      </w:r>
    </w:p>
    <w:p>
      <w:pPr>
        <w:pStyle w:val="53"/>
        <w:spacing w:beforeLines="0" w:line="400" w:lineRule="exact"/>
        <w:rPr>
          <w:color w:val="auto"/>
        </w:rPr>
      </w:pPr>
    </w:p>
    <w:p>
      <w:pPr>
        <w:pStyle w:val="4"/>
        <w:spacing w:beforeLines="0" w:line="400" w:lineRule="exact"/>
        <w:rPr>
          <w:rFonts w:hint="eastAsia" w:ascii="宋体" w:hAnsi="宋体" w:cs="Times New Roman"/>
          <w:b w:val="0"/>
          <w:bCs w:val="0"/>
          <w:color w:val="auto"/>
          <w:sz w:val="21"/>
          <w:szCs w:val="21"/>
          <w:highlight w:val="none"/>
          <w:lang w:val="en-US" w:eastAsia="zh-CN"/>
        </w:rPr>
      </w:pPr>
      <w:r>
        <w:rPr>
          <w:rFonts w:hint="default"/>
          <w:color w:val="auto"/>
          <w:lang w:val="en"/>
        </w:rPr>
        <w:t xml:space="preserve">   </w:t>
      </w:r>
    </w:p>
    <w:p>
      <w:pPr>
        <w:rPr>
          <w:rFonts w:hint="eastAsia"/>
          <w:color w:val="auto"/>
        </w:rPr>
      </w:pPr>
      <w:r>
        <w:rPr>
          <w:rFonts w:hint="eastAsia"/>
          <w:color w:val="auto"/>
        </w:rPr>
        <w:br w:type="page"/>
      </w:r>
    </w:p>
    <w:p>
      <w:pPr>
        <w:pStyle w:val="53"/>
        <w:rPr>
          <w:rFonts w:hint="eastAsia"/>
          <w:color w:val="auto"/>
        </w:rPr>
      </w:pPr>
    </w:p>
    <w:tbl>
      <w:tblPr>
        <w:tblStyle w:val="25"/>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2211"/>
        <w:gridCol w:w="2819"/>
        <w:gridCol w:w="2313"/>
        <w:gridCol w:w="247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rPr>
            </w:pPr>
            <w:r>
              <w:rPr>
                <w:rFonts w:hint="default"/>
                <w:color w:val="auto"/>
                <w:szCs w:val="21"/>
              </w:rPr>
              <w:t>甲方</w:t>
            </w:r>
            <w:r>
              <w:rPr>
                <w:rFonts w:hint="eastAsia"/>
                <w:color w:val="auto"/>
                <w:szCs w:val="21"/>
              </w:rPr>
              <w:t>（采购人</w:t>
            </w:r>
            <w:r>
              <w:rPr>
                <w:rFonts w:hint="eastAsia" w:ascii="宋体" w:hAnsi="宋体"/>
                <w:color w:val="auto"/>
                <w:szCs w:val="21"/>
                <w:lang w:eastAsia="zh-CN"/>
              </w:rPr>
              <w:t>、受采购人委托签订合同的单位</w:t>
            </w:r>
            <w:r>
              <w:rPr>
                <w:rFonts w:hint="eastAsia" w:ascii="宋体" w:hAnsi="宋体"/>
                <w:color w:val="auto"/>
                <w:szCs w:val="21"/>
              </w:rPr>
              <w:t>或</w:t>
            </w:r>
            <w:r>
              <w:rPr>
                <w:rFonts w:hint="eastAsia"/>
                <w:color w:val="auto"/>
                <w:szCs w:val="21"/>
              </w:rPr>
              <w:t>采购文件约定的合同甲方）</w:t>
            </w:r>
          </w:p>
        </w:tc>
        <w:tc>
          <w:tcPr>
            <w:tcW w:w="2437" w:type="pct"/>
            <w:gridSpan w:val="2"/>
            <w:tcBorders>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rPr>
            </w:pPr>
            <w:r>
              <w:rPr>
                <w:rFonts w:hint="default"/>
                <w:color w:val="auto"/>
                <w:szCs w:val="21"/>
              </w:rPr>
              <w:t>乙方</w:t>
            </w:r>
            <w:r>
              <w:rPr>
                <w:rFonts w:hint="eastAsia"/>
                <w:color w:val="auto"/>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单位名称</w:t>
            </w:r>
            <w:r>
              <w:rPr>
                <w:rFonts w:hint="eastAsia"/>
                <w:color w:val="auto"/>
                <w:szCs w:val="21"/>
              </w:rPr>
              <w:t>（公章</w:t>
            </w:r>
            <w:r>
              <w:rPr>
                <w:rFonts w:hint="eastAsia"/>
                <w:color w:val="auto"/>
                <w:szCs w:val="21"/>
                <w:lang w:eastAsia="zh-CN"/>
              </w:rPr>
              <w:t>或合同章</w:t>
            </w:r>
            <w:r>
              <w:rPr>
                <w:rFonts w:hint="eastAsia"/>
                <w:color w:val="auto"/>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单位名称</w:t>
            </w:r>
            <w:r>
              <w:rPr>
                <w:rFonts w:hint="eastAsia"/>
                <w:color w:val="auto"/>
                <w:szCs w:val="21"/>
              </w:rPr>
              <w:t>（公章</w:t>
            </w:r>
            <w:r>
              <w:rPr>
                <w:rFonts w:hint="eastAsia"/>
                <w:color w:val="auto"/>
                <w:szCs w:val="21"/>
                <w:lang w:eastAsia="zh-CN"/>
              </w:rPr>
              <w:t>或合同章</w:t>
            </w:r>
            <w:r>
              <w:rPr>
                <w:rFonts w:hint="eastAsia"/>
                <w:color w:val="auto"/>
                <w:szCs w:val="21"/>
              </w:rPr>
              <w:t>）</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法定代表人</w:t>
            </w:r>
          </w:p>
          <w:p>
            <w:pPr>
              <w:keepNext w:val="0"/>
              <w:keepLines w:val="0"/>
              <w:suppressLineNumbers w:val="0"/>
              <w:adjustRightInd w:val="0"/>
              <w:snapToGrid w:val="0"/>
              <w:spacing w:before="0" w:beforeAutospacing="0" w:after="0" w:afterAutospacing="0" w:line="300" w:lineRule="exact"/>
              <w:ind w:left="0" w:right="0" w:firstLine="100" w:firstLineChars="48"/>
              <w:jc w:val="center"/>
              <w:rPr>
                <w:rFonts w:hint="default"/>
                <w:color w:val="auto"/>
                <w:szCs w:val="21"/>
              </w:rPr>
            </w:pPr>
            <w:r>
              <w:rPr>
                <w:rFonts w:hint="eastAsia"/>
                <w:color w:val="auto"/>
                <w:szCs w:val="21"/>
              </w:rPr>
              <w:t>或其</w:t>
            </w:r>
            <w:r>
              <w:rPr>
                <w:rFonts w:hint="default"/>
                <w:color w:val="auto"/>
                <w:szCs w:val="21"/>
              </w:rPr>
              <w:t>委托代理人</w:t>
            </w:r>
            <w:r>
              <w:rPr>
                <w:rFonts w:hint="eastAsia"/>
                <w:color w:val="auto"/>
                <w:szCs w:val="21"/>
              </w:rPr>
              <w:t>（签章）</w:t>
            </w:r>
          </w:p>
        </w:tc>
        <w:tc>
          <w:tcPr>
            <w:tcW w:w="1436" w:type="pct"/>
            <w:vMerge w:val="restart"/>
            <w:tcBorders>
              <w:top w:val="single" w:color="auto" w:sz="2" w:space="0"/>
              <w:left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法定代表人</w:t>
            </w:r>
          </w:p>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eastAsia"/>
                <w:color w:val="auto"/>
                <w:szCs w:val="21"/>
              </w:rPr>
              <w:t>或其</w:t>
            </w:r>
            <w:r>
              <w:rPr>
                <w:rFonts w:hint="default"/>
                <w:color w:val="auto"/>
                <w:szCs w:val="21"/>
              </w:rPr>
              <w:t>委托代理人</w:t>
            </w:r>
            <w:r>
              <w:rPr>
                <w:rFonts w:hint="eastAsia"/>
                <w:color w:val="auto"/>
                <w:szCs w:val="21"/>
              </w:rPr>
              <w:t>（签章）</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436" w:type="pct"/>
            <w:vMerge w:val="continue"/>
            <w:tcBorders>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color w:val="auto"/>
                <w:szCs w:val="21"/>
                <w:lang w:eastAsia="zh-CN"/>
              </w:rPr>
            </w:pPr>
            <w:r>
              <w:rPr>
                <w:rFonts w:hint="eastAsia"/>
                <w:color w:val="auto"/>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color w:val="auto"/>
                <w:szCs w:val="21"/>
                <w:lang w:eastAsia="zh-CN"/>
              </w:rPr>
            </w:pPr>
            <w:r>
              <w:rPr>
                <w:rFonts w:hint="eastAsia"/>
                <w:color w:val="auto"/>
                <w:szCs w:val="21"/>
                <w:lang w:eastAsia="zh-CN"/>
              </w:rPr>
              <w:t>住</w:t>
            </w:r>
            <w:r>
              <w:rPr>
                <w:rFonts w:hint="eastAsia"/>
                <w:color w:val="auto"/>
                <w:szCs w:val="21"/>
                <w:lang w:val="en-US" w:eastAsia="zh-CN"/>
              </w:rPr>
              <w:t xml:space="preserve">  </w:t>
            </w:r>
            <w:r>
              <w:rPr>
                <w:rFonts w:hint="eastAsia"/>
                <w:color w:val="auto"/>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color w:val="auto"/>
                <w:szCs w:val="21"/>
                <w:lang w:eastAsia="zh-CN"/>
              </w:rPr>
            </w:pPr>
            <w:r>
              <w:rPr>
                <w:rFonts w:hint="eastAsia"/>
                <w:color w:val="auto"/>
                <w:szCs w:val="21"/>
                <w:lang w:eastAsia="zh-CN"/>
              </w:rPr>
              <w:t>住</w:t>
            </w:r>
            <w:r>
              <w:rPr>
                <w:rFonts w:hint="eastAsia"/>
                <w:color w:val="auto"/>
                <w:szCs w:val="21"/>
                <w:lang w:val="en-US" w:eastAsia="zh-CN"/>
              </w:rPr>
              <w:t xml:space="preserve">  </w:t>
            </w:r>
            <w:r>
              <w:rPr>
                <w:rFonts w:hint="eastAsia"/>
                <w:color w:val="auto"/>
                <w:szCs w:val="21"/>
                <w:lang w:eastAsia="zh-CN"/>
              </w:rPr>
              <w:t>所</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联 系 人</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联系电话</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color w:val="auto"/>
                <w:szCs w:val="21"/>
                <w:lang w:eastAsia="zh-CN"/>
              </w:rPr>
            </w:pPr>
            <w:r>
              <w:rPr>
                <w:rFonts w:hint="eastAsia"/>
                <w:color w:val="auto"/>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eastAsia"/>
                <w:color w:val="auto"/>
                <w:szCs w:val="21"/>
                <w:lang w:eastAsia="zh-CN"/>
              </w:rPr>
              <w:t>通信地址</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邮政编码</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eastAsia"/>
                <w:color w:val="auto"/>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eastAsia"/>
                <w:color w:val="auto"/>
                <w:szCs w:val="21"/>
              </w:rPr>
              <w:t>电子邮箱</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eastAsia"/>
                <w:color w:val="auto"/>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eastAsia"/>
                <w:color w:val="auto"/>
                <w:szCs w:val="21"/>
              </w:rPr>
              <w:t>统一社会信用代码</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开户名称</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开户银行</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zCs w:val="21"/>
              </w:rPr>
            </w:pPr>
            <w:r>
              <w:rPr>
                <w:rFonts w:hint="default"/>
                <w:color w:val="auto"/>
                <w:szCs w:val="21"/>
              </w:rPr>
              <w:t>银行账号</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pStyle w:val="11"/>
              <w:keepNext w:val="0"/>
              <w:keepLines w:val="0"/>
              <w:suppressLineNumbers w:val="0"/>
              <w:adjustRightInd w:val="0"/>
              <w:snapToGrid w:val="0"/>
              <w:spacing w:before="156" w:beforeLines="50" w:beforeAutospacing="0" w:after="0" w:afterAutospacing="0" w:line="360" w:lineRule="auto"/>
              <w:ind w:left="0" w:leftChars="0" w:right="0"/>
              <w:jc w:val="left"/>
              <w:rPr>
                <w:rFonts w:hint="default"/>
                <w:color w:val="auto"/>
                <w:spacing w:val="20"/>
                <w:szCs w:val="21"/>
              </w:rPr>
            </w:pPr>
            <w:r>
              <w:rPr>
                <w:rFonts w:hint="eastAsia" w:ascii="宋体" w:hAnsi="宋体"/>
                <w:color w:val="auto"/>
                <w:szCs w:val="21"/>
              </w:rPr>
              <w:t>注：涉及联合体或其他合同主体的信息应按上表格式加列。</w:t>
            </w:r>
          </w:p>
        </w:tc>
      </w:tr>
    </w:tbl>
    <w:p>
      <w:pPr>
        <w:pStyle w:val="4"/>
        <w:adjustRightInd w:val="0"/>
        <w:snapToGrid w:val="0"/>
        <w:spacing w:before="156" w:beforeLines="50"/>
        <w:jc w:val="center"/>
        <w:rPr>
          <w:rFonts w:ascii="黑体" w:hAnsi="黑体" w:eastAsia="黑体"/>
          <w:color w:val="auto"/>
          <w:sz w:val="28"/>
          <w:szCs w:val="28"/>
        </w:rPr>
      </w:pPr>
      <w:r>
        <w:rPr>
          <w:rFonts w:ascii="宋体" w:hAnsi="宋体"/>
          <w:color w:val="auto"/>
          <w:sz w:val="21"/>
          <w:szCs w:val="21"/>
          <w:u w:val="single"/>
        </w:rPr>
        <w:br w:type="page"/>
      </w:r>
      <w:bookmarkStart w:id="151" w:name="_Toc27624"/>
      <w:r>
        <w:rPr>
          <w:rFonts w:hint="eastAsia" w:ascii="黑体" w:hAnsi="黑体" w:eastAsia="黑体"/>
          <w:b w:val="0"/>
          <w:bCs w:val="0"/>
          <w:color w:val="auto"/>
          <w:sz w:val="28"/>
          <w:szCs w:val="28"/>
        </w:rPr>
        <w:t>第二节 政府采购合同通用条款</w:t>
      </w:r>
      <w:bookmarkEnd w:id="151"/>
    </w:p>
    <w:p>
      <w:pPr>
        <w:tabs>
          <w:tab w:val="left" w:pos="8820"/>
          <w:tab w:val="left" w:pos="9345"/>
          <w:tab w:val="left" w:pos="9765"/>
        </w:tabs>
        <w:adjustRightInd w:val="0"/>
        <w:snapToGrid w:val="0"/>
        <w:spacing w:before="0" w:line="400" w:lineRule="exact"/>
        <w:jc w:val="left"/>
        <w:rPr>
          <w:rFonts w:ascii="宋体" w:hAnsi="宋体"/>
          <w:b/>
          <w:bCs/>
          <w:color w:val="auto"/>
          <w:sz w:val="24"/>
        </w:rPr>
      </w:pPr>
      <w:r>
        <w:rPr>
          <w:rFonts w:hint="eastAsia" w:ascii="宋体" w:hAnsi="宋体"/>
          <w:b/>
          <w:color w:val="auto"/>
          <w:sz w:val="24"/>
        </w:rPr>
        <w:t>1.</w:t>
      </w:r>
      <w:r>
        <w:rPr>
          <w:rFonts w:hint="eastAsia" w:ascii="宋体" w:hAnsi="宋体"/>
          <w:b/>
          <w:color w:val="auto"/>
          <w:sz w:val="24"/>
          <w:lang w:val="en-US" w:eastAsia="zh-CN"/>
        </w:rPr>
        <w:t xml:space="preserve"> </w:t>
      </w:r>
      <w:r>
        <w:rPr>
          <w:rFonts w:hint="eastAsia" w:ascii="宋体" w:hAnsi="宋体"/>
          <w:b/>
          <w:bCs/>
          <w:color w:val="auto"/>
          <w:sz w:val="24"/>
        </w:rPr>
        <w:t>定义</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1.1合同当事人</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（1）采购人（以下称甲方）是指使用财政性资金，通过政府采购方式向供应商购买货物</w:t>
      </w:r>
      <w:r>
        <w:rPr>
          <w:rFonts w:hint="eastAsia" w:ascii="宋体" w:hAnsi="宋体"/>
          <w:color w:val="auto"/>
          <w:szCs w:val="21"/>
          <w:highlight w:val="none"/>
          <w:lang w:val="en-US" w:eastAsia="zh-CN"/>
        </w:rPr>
        <w:t>及其相关服务的</w:t>
      </w:r>
      <w:r>
        <w:rPr>
          <w:rFonts w:hint="eastAsia" w:ascii="宋体" w:hAnsi="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（2）供应商（以下称</w:t>
      </w:r>
      <w:r>
        <w:rPr>
          <w:rFonts w:hint="eastAsia" w:ascii="宋体" w:hAnsi="宋体"/>
          <w:color w:val="auto"/>
          <w:szCs w:val="21"/>
          <w:highlight w:val="none"/>
          <w:lang w:eastAsia="zh-CN"/>
        </w:rPr>
        <w:t>乙</w:t>
      </w:r>
      <w:r>
        <w:rPr>
          <w:rFonts w:hint="eastAsia" w:ascii="宋体" w:hAnsi="宋体"/>
          <w:color w:val="auto"/>
          <w:szCs w:val="21"/>
          <w:highlight w:val="none"/>
        </w:rPr>
        <w:t>方）是指参加政府采购活动并且中标（成交），向采购人提供</w:t>
      </w:r>
      <w:r>
        <w:rPr>
          <w:rFonts w:hint="eastAsia" w:ascii="宋体" w:hAnsi="宋体"/>
          <w:color w:val="auto"/>
          <w:szCs w:val="21"/>
          <w:highlight w:val="none"/>
          <w:lang w:val="en-US" w:eastAsia="zh-CN"/>
        </w:rPr>
        <w:t>合同约定的货物及其相关服务的法人、非法人组织或者自然人</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（3）其他合同主体是指除采购人和供应商以外，</w:t>
      </w:r>
      <w:r>
        <w:rPr>
          <w:rFonts w:hint="eastAsia" w:ascii="宋体" w:hAnsi="宋体" w:eastAsia="宋体" w:cs="宋体"/>
          <w:bCs/>
          <w:color w:val="auto"/>
          <w:szCs w:val="21"/>
        </w:rPr>
        <w:t>依法参与合同缔结或履行，享有权利、承担义务的合同当事人</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（1）“合同”系指</w:t>
      </w:r>
      <w:r>
        <w:rPr>
          <w:rFonts w:hint="eastAsia" w:ascii="宋体" w:hAnsi="宋体" w:eastAsia="宋体" w:cs="宋体"/>
          <w:bCs/>
          <w:color w:val="auto"/>
          <w:szCs w:val="21"/>
        </w:rPr>
        <w:t>合同当事人意思表示达成一致的任何协议，包括签署的</w:t>
      </w:r>
      <w:r>
        <w:rPr>
          <w:rFonts w:hint="eastAsia" w:ascii="宋体" w:hAnsi="宋体"/>
          <w:color w:val="auto"/>
          <w:szCs w:val="21"/>
          <w:lang w:eastAsia="zh-CN"/>
        </w:rPr>
        <w:t>政府采购</w:t>
      </w:r>
      <w:r>
        <w:rPr>
          <w:rFonts w:hint="eastAsia" w:ascii="宋体" w:hAnsi="宋体"/>
          <w:color w:val="auto"/>
          <w:szCs w:val="21"/>
        </w:rPr>
        <w:t>合同协议书及其变更、补充</w:t>
      </w:r>
      <w:r>
        <w:rPr>
          <w:rFonts w:hint="eastAsia" w:ascii="宋体" w:hAnsi="宋体"/>
          <w:color w:val="auto"/>
          <w:szCs w:val="21"/>
          <w:lang w:eastAsia="zh-CN"/>
        </w:rPr>
        <w:t>协议，</w:t>
      </w:r>
      <w:r>
        <w:rPr>
          <w:rFonts w:hint="eastAsia" w:ascii="宋体" w:hAnsi="宋体"/>
          <w:color w:val="auto"/>
          <w:szCs w:val="21"/>
        </w:rPr>
        <w:t>政府采购合同专用条款</w:t>
      </w:r>
      <w:r>
        <w:rPr>
          <w:rFonts w:hint="eastAsia" w:ascii="宋体" w:hAnsi="宋体"/>
          <w:color w:val="auto"/>
          <w:szCs w:val="21"/>
          <w:lang w:eastAsia="zh-CN"/>
        </w:rPr>
        <w:t>，</w:t>
      </w:r>
      <w:r>
        <w:rPr>
          <w:rFonts w:hint="eastAsia" w:ascii="宋体" w:hAnsi="宋体"/>
          <w:color w:val="auto"/>
          <w:szCs w:val="21"/>
        </w:rPr>
        <w:t>政府采购合同通用条款</w:t>
      </w:r>
      <w:r>
        <w:rPr>
          <w:rFonts w:hint="eastAsia" w:ascii="宋体" w:hAnsi="宋体"/>
          <w:color w:val="auto"/>
          <w:szCs w:val="21"/>
          <w:lang w:eastAsia="zh-CN"/>
        </w:rPr>
        <w:t>，</w:t>
      </w:r>
      <w:r>
        <w:rPr>
          <w:rFonts w:hint="eastAsia" w:ascii="宋体" w:hAnsi="宋体"/>
          <w:color w:val="auto"/>
          <w:szCs w:val="21"/>
        </w:rPr>
        <w:t>中标</w:t>
      </w:r>
      <w:r>
        <w:rPr>
          <w:rFonts w:hint="eastAsia" w:ascii="宋体" w:hAnsi="宋体"/>
          <w:color w:val="auto"/>
          <w:szCs w:val="21"/>
          <w:lang w:eastAsia="zh-CN"/>
        </w:rPr>
        <w:t>（成交）</w:t>
      </w:r>
      <w:r>
        <w:rPr>
          <w:rFonts w:hint="eastAsia" w:ascii="宋体" w:hAnsi="宋体"/>
          <w:color w:val="auto"/>
          <w:szCs w:val="21"/>
        </w:rPr>
        <w:t>通知书</w:t>
      </w:r>
      <w:r>
        <w:rPr>
          <w:rFonts w:hint="eastAsia" w:ascii="宋体" w:hAnsi="宋体"/>
          <w:color w:val="auto"/>
          <w:szCs w:val="21"/>
          <w:lang w:eastAsia="zh-CN"/>
        </w:rPr>
        <w:t>，</w:t>
      </w:r>
      <w:r>
        <w:rPr>
          <w:rFonts w:hint="eastAsia" w:ascii="宋体" w:hAnsi="宋体"/>
          <w:color w:val="auto"/>
          <w:szCs w:val="21"/>
        </w:rPr>
        <w:t>投标（响应）文件</w:t>
      </w:r>
      <w:r>
        <w:rPr>
          <w:rFonts w:hint="eastAsia" w:ascii="宋体" w:hAnsi="宋体"/>
          <w:color w:val="auto"/>
          <w:szCs w:val="21"/>
          <w:lang w:eastAsia="zh-CN"/>
        </w:rPr>
        <w:t>，</w:t>
      </w:r>
      <w:r>
        <w:rPr>
          <w:rFonts w:hint="eastAsia" w:ascii="宋体" w:hAnsi="宋体"/>
          <w:color w:val="auto"/>
          <w:szCs w:val="21"/>
        </w:rPr>
        <w:t>采购文件</w:t>
      </w:r>
      <w:r>
        <w:rPr>
          <w:rFonts w:hint="eastAsia" w:ascii="宋体" w:hAnsi="宋体"/>
          <w:color w:val="auto"/>
          <w:szCs w:val="21"/>
          <w:lang w:eastAsia="zh-CN"/>
        </w:rPr>
        <w:t>，</w:t>
      </w:r>
      <w:r>
        <w:rPr>
          <w:rFonts w:hint="eastAsia" w:ascii="宋体" w:hAnsi="宋体"/>
          <w:color w:val="auto"/>
          <w:szCs w:val="21"/>
        </w:rPr>
        <w:t>有关技术文件</w:t>
      </w:r>
      <w:r>
        <w:rPr>
          <w:rFonts w:hint="eastAsia" w:ascii="宋体" w:hAnsi="宋体"/>
          <w:color w:val="auto"/>
          <w:szCs w:val="21"/>
          <w:lang w:eastAsia="zh-CN"/>
        </w:rPr>
        <w:t>和</w:t>
      </w:r>
      <w:r>
        <w:rPr>
          <w:rFonts w:hint="eastAsia" w:ascii="宋体" w:hAnsi="宋体"/>
          <w:color w:val="auto"/>
          <w:szCs w:val="21"/>
        </w:rPr>
        <w:t>图纸</w:t>
      </w:r>
      <w:r>
        <w:rPr>
          <w:rFonts w:hint="eastAsia" w:ascii="宋体" w:hAnsi="宋体"/>
          <w:color w:val="auto"/>
          <w:szCs w:val="21"/>
          <w:lang w:eastAsia="zh-CN"/>
        </w:rPr>
        <w:t>，以及</w:t>
      </w:r>
      <w:r>
        <w:rPr>
          <w:rFonts w:hint="eastAsia" w:ascii="宋体" w:hAnsi="宋体" w:eastAsia="宋体" w:cs="宋体"/>
          <w:bCs w:val="0"/>
          <w:color w:val="auto"/>
          <w:kern w:val="2"/>
          <w:sz w:val="21"/>
          <w:szCs w:val="21"/>
          <w:highlight w:val="none"/>
          <w:lang w:eastAsia="zh-CN"/>
        </w:rPr>
        <w:t>国家法律、行政法规和规章制度规定或合同约定的作为合同组成部分的其他文件</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）“合同价</w:t>
      </w:r>
      <w:r>
        <w:rPr>
          <w:rFonts w:hint="eastAsia" w:ascii="宋体" w:hAnsi="宋体"/>
          <w:color w:val="auto"/>
          <w:szCs w:val="21"/>
          <w:highlight w:val="none"/>
          <w:lang w:val="en-US" w:eastAsia="zh-CN"/>
        </w:rPr>
        <w:t>款</w:t>
      </w:r>
      <w:r>
        <w:rPr>
          <w:rFonts w:hint="eastAsia" w:ascii="宋体" w:hAnsi="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）“货物”系指乙方根据本合同规定须向甲方提供的各种形态和种类的物品，包括原材料、设备、产品（包括软件）及相关的其备品备件、工具、手册及</w:t>
      </w:r>
      <w:r>
        <w:rPr>
          <w:rFonts w:hint="default" w:ascii="宋体" w:hAnsi="宋体"/>
          <w:color w:val="auto"/>
          <w:szCs w:val="21"/>
          <w:highlight w:val="none"/>
          <w:lang w:val="en"/>
        </w:rPr>
        <w:t>其他</w:t>
      </w:r>
      <w:r>
        <w:rPr>
          <w:rFonts w:hint="eastAsia" w:ascii="宋体" w:hAnsi="宋体"/>
          <w:color w:val="auto"/>
          <w:szCs w:val="21"/>
          <w:highlight w:val="none"/>
        </w:rPr>
        <w:t>技术资料和材料</w:t>
      </w:r>
      <w:r>
        <w:rPr>
          <w:rFonts w:hint="eastAsia" w:ascii="宋体" w:hAnsi="宋体"/>
          <w:color w:val="auto"/>
          <w:szCs w:val="21"/>
          <w:highlight w:val="none"/>
          <w:lang w:eastAsia="zh-CN"/>
        </w:rPr>
        <w:t>等</w:t>
      </w:r>
      <w:r>
        <w:rPr>
          <w:rFonts w:hint="eastAsia" w:ascii="宋体" w:hAnsi="宋体"/>
          <w:color w:val="auto"/>
          <w:szCs w:val="21"/>
          <w:highlight w:val="none"/>
        </w:rPr>
        <w:t>。</w:t>
      </w:r>
    </w:p>
    <w:p>
      <w:pPr>
        <w:adjustRightInd w:val="0"/>
        <w:snapToGrid w:val="0"/>
        <w:spacing w:before="0" w:line="400" w:lineRule="exact"/>
        <w:ind w:firstLine="420" w:firstLineChars="200"/>
        <w:jc w:val="left"/>
        <w:rPr>
          <w:rFonts w:hint="eastAsia" w:ascii="宋体" w:hAnsi="宋体" w:eastAsia="宋体"/>
          <w:color w:val="auto"/>
          <w:szCs w:val="21"/>
          <w:highlight w:val="yellow"/>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olor w:val="auto"/>
          <w:szCs w:val="21"/>
          <w:highlight w:val="none"/>
          <w:lang w:val="en-US" w:eastAsia="zh-CN"/>
        </w:rPr>
        <w:t>相关</w:t>
      </w:r>
      <w:r>
        <w:rPr>
          <w:rFonts w:hint="eastAsia" w:ascii="宋体" w:hAnsi="宋体"/>
          <w:color w:val="auto"/>
          <w:szCs w:val="21"/>
          <w:highlight w:val="none"/>
        </w:rPr>
        <w:t>服务”系指根据合同规定，乙方应提供的</w:t>
      </w:r>
      <w:r>
        <w:rPr>
          <w:rFonts w:hint="eastAsia" w:ascii="宋体" w:hAnsi="宋体"/>
          <w:color w:val="auto"/>
          <w:szCs w:val="21"/>
          <w:highlight w:val="none"/>
          <w:lang w:val="en-US" w:eastAsia="zh-CN"/>
        </w:rPr>
        <w:t>与货物有关的</w:t>
      </w:r>
      <w:r>
        <w:rPr>
          <w:rFonts w:hint="eastAsia" w:ascii="宋体" w:hAnsi="宋体"/>
          <w:color w:val="auto"/>
          <w:szCs w:val="21"/>
          <w:highlight w:val="none"/>
        </w:rPr>
        <w:t>技术、管理和</w:t>
      </w:r>
      <w:r>
        <w:rPr>
          <w:rFonts w:hint="default" w:ascii="宋体" w:hAnsi="宋体"/>
          <w:color w:val="auto"/>
          <w:szCs w:val="21"/>
          <w:highlight w:val="none"/>
          <w:lang w:val="en"/>
        </w:rPr>
        <w:t>其他</w:t>
      </w:r>
      <w:r>
        <w:rPr>
          <w:rFonts w:hint="eastAsia" w:ascii="宋体" w:hAnsi="宋体"/>
          <w:color w:val="auto"/>
          <w:szCs w:val="21"/>
          <w:highlight w:val="none"/>
        </w:rPr>
        <w:t>服务，包括但不限于：管理和质量保证、运输、保险、检验、现场准备、安装、集成、调试、培训、维修、</w:t>
      </w:r>
      <w:r>
        <w:rPr>
          <w:rFonts w:hint="eastAsia" w:ascii="宋体" w:hAnsi="宋体"/>
          <w:color w:val="auto"/>
          <w:szCs w:val="21"/>
          <w:highlight w:val="none"/>
          <w:lang w:eastAsia="zh-CN"/>
        </w:rPr>
        <w:t>废弃处置、</w:t>
      </w:r>
      <w:r>
        <w:rPr>
          <w:rFonts w:hint="eastAsia" w:ascii="宋体" w:hAnsi="宋体"/>
          <w:color w:val="auto"/>
          <w:szCs w:val="21"/>
          <w:highlight w:val="none"/>
        </w:rPr>
        <w:t>技术支持等以及合同中规定乙方应承担的</w:t>
      </w:r>
      <w:r>
        <w:rPr>
          <w:rFonts w:hint="default" w:ascii="宋体" w:hAnsi="宋体"/>
          <w:color w:val="auto"/>
          <w:szCs w:val="21"/>
          <w:highlight w:val="none"/>
          <w:lang w:val="en"/>
        </w:rPr>
        <w:t>其他</w:t>
      </w:r>
      <w:r>
        <w:rPr>
          <w:rFonts w:hint="eastAsia" w:ascii="宋体" w:hAnsi="宋体"/>
          <w:color w:val="auto"/>
          <w:szCs w:val="21"/>
          <w:highlight w:val="none"/>
        </w:rPr>
        <w:t>义务。</w:t>
      </w:r>
    </w:p>
    <w:p>
      <w:pPr>
        <w:adjustRightInd w:val="0"/>
        <w:snapToGrid w:val="0"/>
        <w:spacing w:before="0" w:line="400" w:lineRule="exact"/>
        <w:ind w:firstLine="420" w:firstLineChars="200"/>
        <w:jc w:val="left"/>
        <w:rPr>
          <w:rFonts w:hint="eastAsia" w:ascii="宋体" w:hAnsi="宋体" w:eastAsia="宋体"/>
          <w:color w:val="auto"/>
          <w:szCs w:val="21"/>
          <w:highlight w:val="yellow"/>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）“分包”系指中标</w:t>
      </w:r>
      <w:r>
        <w:rPr>
          <w:rFonts w:hint="eastAsia" w:ascii="宋体" w:hAnsi="宋体"/>
          <w:color w:val="auto"/>
          <w:szCs w:val="21"/>
          <w:highlight w:val="none"/>
          <w:lang w:eastAsia="zh-CN"/>
        </w:rPr>
        <w:t>（</w:t>
      </w:r>
      <w:r>
        <w:rPr>
          <w:rFonts w:hint="eastAsia" w:ascii="宋体" w:hAnsi="宋体"/>
          <w:color w:val="auto"/>
          <w:szCs w:val="21"/>
          <w:highlight w:val="none"/>
        </w:rPr>
        <w:t>成交</w:t>
      </w:r>
      <w:r>
        <w:rPr>
          <w:rFonts w:hint="eastAsia" w:ascii="宋体" w:hAnsi="宋体"/>
          <w:color w:val="auto"/>
          <w:szCs w:val="21"/>
          <w:highlight w:val="none"/>
          <w:lang w:eastAsia="zh-CN"/>
        </w:rPr>
        <w:t>）</w:t>
      </w:r>
      <w:r>
        <w:rPr>
          <w:rFonts w:hint="eastAsia" w:ascii="宋体" w:hAnsi="宋体"/>
          <w:color w:val="auto"/>
          <w:szCs w:val="21"/>
          <w:highlight w:val="none"/>
        </w:rPr>
        <w:t>供应商按采购文件、投标（响应）文件的规定，根据分包意向协议，将中标</w:t>
      </w:r>
      <w:r>
        <w:rPr>
          <w:rFonts w:hint="eastAsia" w:ascii="宋体" w:hAnsi="宋体"/>
          <w:color w:val="auto"/>
          <w:szCs w:val="21"/>
          <w:highlight w:val="none"/>
          <w:lang w:eastAsia="zh-CN"/>
        </w:rPr>
        <w:t>（</w:t>
      </w:r>
      <w:r>
        <w:rPr>
          <w:rFonts w:hint="eastAsia" w:ascii="宋体" w:hAnsi="宋体"/>
          <w:color w:val="auto"/>
          <w:szCs w:val="21"/>
          <w:highlight w:val="none"/>
        </w:rPr>
        <w:t>成交</w:t>
      </w:r>
      <w:r>
        <w:rPr>
          <w:rFonts w:hint="eastAsia" w:ascii="宋体" w:hAnsi="宋体"/>
          <w:color w:val="auto"/>
          <w:szCs w:val="21"/>
          <w:highlight w:val="none"/>
          <w:lang w:eastAsia="zh-CN"/>
        </w:rPr>
        <w:t>）</w:t>
      </w:r>
      <w:r>
        <w:rPr>
          <w:rFonts w:hint="eastAsia" w:ascii="宋体" w:hAnsi="宋体"/>
          <w:color w:val="auto"/>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rPr>
        <w:t>“联合体”系指</w:t>
      </w:r>
      <w:r>
        <w:rPr>
          <w:rFonts w:hint="eastAsia" w:ascii="宋体" w:hAnsi="宋体"/>
          <w:color w:val="auto"/>
          <w:szCs w:val="21"/>
          <w:lang w:eastAsia="zh-CN"/>
        </w:rPr>
        <w:t>由</w:t>
      </w:r>
      <w:r>
        <w:rPr>
          <w:rFonts w:hint="eastAsia" w:ascii="宋体" w:hAnsi="宋体"/>
          <w:color w:val="auto"/>
          <w:szCs w:val="21"/>
        </w:rPr>
        <w:t>两个以上的自然人、法人或者</w:t>
      </w:r>
      <w:r>
        <w:rPr>
          <w:rFonts w:hint="eastAsia" w:ascii="宋体" w:hAnsi="宋体"/>
          <w:color w:val="auto"/>
          <w:szCs w:val="21"/>
          <w:lang w:val="en-US" w:eastAsia="zh-CN"/>
        </w:rPr>
        <w:t>非法人</w:t>
      </w:r>
      <w:r>
        <w:rPr>
          <w:rFonts w:hint="eastAsia" w:ascii="宋体" w:hAnsi="宋体"/>
          <w:color w:val="auto"/>
          <w:szCs w:val="21"/>
        </w:rPr>
        <w:t>组织组成，</w:t>
      </w:r>
      <w:r>
        <w:rPr>
          <w:rFonts w:hint="eastAsia" w:ascii="宋体" w:hAnsi="宋体"/>
          <w:color w:val="auto"/>
          <w:szCs w:val="21"/>
          <w:lang w:eastAsia="zh-CN"/>
        </w:rPr>
        <w:t>以一个供应商的身份共同参加政府采购的主体</w:t>
      </w:r>
      <w:r>
        <w:rPr>
          <w:rFonts w:hint="eastAsia" w:ascii="宋体" w:hAnsi="宋体"/>
          <w:color w:val="auto"/>
          <w:szCs w:val="21"/>
          <w:highlight w:val="none"/>
          <w:lang w:eastAsia="zh-CN"/>
        </w:rPr>
        <w:t>。</w:t>
      </w:r>
      <w:r>
        <w:rPr>
          <w:rFonts w:hint="eastAsia" w:ascii="宋体" w:hAnsi="宋体"/>
          <w:color w:val="auto"/>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color w:val="auto"/>
          <w:szCs w:val="21"/>
          <w:highlight w:val="none"/>
          <w:lang w:eastAsia="zh-CN"/>
        </w:rPr>
        <w:t>甲方</w:t>
      </w:r>
      <w:r>
        <w:rPr>
          <w:rFonts w:hint="eastAsia" w:ascii="宋体" w:hAnsi="宋体"/>
          <w:color w:val="auto"/>
          <w:szCs w:val="21"/>
          <w:highlight w:val="none"/>
        </w:rPr>
        <w:t>承担连带责任。联合体具体要求见【</w:t>
      </w:r>
      <w:r>
        <w:rPr>
          <w:rFonts w:hint="eastAsia" w:ascii="宋体" w:hAnsi="宋体"/>
          <w:b/>
          <w:bCs/>
          <w:color w:val="auto"/>
          <w:szCs w:val="21"/>
          <w:highlight w:val="none"/>
        </w:rPr>
        <w:t>政府采购合同专用条款</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）其他术语解释，见【</w:t>
      </w:r>
      <w:r>
        <w:rPr>
          <w:rFonts w:hint="eastAsia" w:ascii="宋体" w:hAnsi="宋体"/>
          <w:b/>
          <w:bCs/>
          <w:color w:val="auto"/>
          <w:szCs w:val="21"/>
          <w:highlight w:val="none"/>
        </w:rPr>
        <w:t>政府采购合同专用条款</w:t>
      </w:r>
      <w:r>
        <w:rPr>
          <w:rFonts w:hint="eastAsia" w:ascii="宋体" w:hAnsi="宋体"/>
          <w:color w:val="auto"/>
          <w:szCs w:val="21"/>
          <w:highlight w:val="none"/>
        </w:rPr>
        <w:t>】。</w:t>
      </w:r>
    </w:p>
    <w:p>
      <w:pPr>
        <w:numPr>
          <w:ilvl w:val="0"/>
          <w:numId w:val="8"/>
        </w:num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color w:val="auto"/>
          <w:sz w:val="24"/>
          <w:highlight w:val="none"/>
        </w:rPr>
        <w:t>合同标的及金额</w:t>
      </w:r>
    </w:p>
    <w:p>
      <w:pPr>
        <w:autoSpaceDE w:val="0"/>
        <w:autoSpaceDN w:val="0"/>
        <w:adjustRightInd w:val="0"/>
        <w:snapToGrid w:val="0"/>
        <w:spacing w:before="0" w:line="400" w:lineRule="exact"/>
        <w:ind w:firstLine="420" w:firstLineChars="200"/>
        <w:jc w:val="left"/>
        <w:rPr>
          <w:rFonts w:ascii="宋体" w:hAnsi="宋体"/>
          <w:b/>
          <w:bCs/>
          <w:i/>
          <w:iCs/>
          <w:color w:val="auto"/>
          <w:szCs w:val="21"/>
          <w:highlight w:val="none"/>
        </w:rPr>
      </w:pPr>
      <w:r>
        <w:rPr>
          <w:rFonts w:hint="eastAsia" w:ascii="宋体" w:hAnsi="宋体"/>
          <w:color w:val="auto"/>
          <w:szCs w:val="21"/>
          <w:highlight w:val="none"/>
          <w:lang w:eastAsia="zh-CN"/>
        </w:rPr>
        <w:t>2</w:t>
      </w:r>
      <w:r>
        <w:rPr>
          <w:rFonts w:hint="eastAsia" w:ascii="宋体" w:hAnsi="宋体"/>
          <w:color w:val="auto"/>
          <w:szCs w:val="21"/>
          <w:highlight w:val="none"/>
        </w:rPr>
        <w:t>.1 合同标的及金额应与中标（成交）结果一致。乙方为履行本合同而发生的所有费用均应包含在合同</w:t>
      </w:r>
      <w:r>
        <w:rPr>
          <w:rFonts w:hint="eastAsia" w:ascii="宋体" w:hAnsi="宋体"/>
          <w:color w:val="auto"/>
          <w:szCs w:val="21"/>
          <w:highlight w:val="none"/>
          <w:lang w:eastAsia="zh-CN"/>
        </w:rPr>
        <w:t>价款</w:t>
      </w:r>
      <w:r>
        <w:rPr>
          <w:rFonts w:hint="eastAsia" w:ascii="宋体" w:hAnsi="宋体"/>
          <w:color w:val="auto"/>
          <w:szCs w:val="21"/>
          <w:highlight w:val="none"/>
        </w:rPr>
        <w:t>中，甲方不再另行支付</w:t>
      </w:r>
      <w:r>
        <w:rPr>
          <w:rFonts w:hint="default" w:ascii="宋体" w:hAnsi="宋体"/>
          <w:color w:val="auto"/>
          <w:szCs w:val="21"/>
          <w:highlight w:val="none"/>
          <w:lang w:val="en"/>
        </w:rPr>
        <w:t>其他</w:t>
      </w:r>
      <w:r>
        <w:rPr>
          <w:rFonts w:hint="eastAsia" w:ascii="宋体" w:hAnsi="宋体"/>
          <w:color w:val="auto"/>
          <w:szCs w:val="21"/>
          <w:highlight w:val="none"/>
        </w:rPr>
        <w:t>任何费用。</w:t>
      </w:r>
    </w:p>
    <w:p>
      <w:pPr>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lang w:eastAsia="zh-CN"/>
        </w:rPr>
        <w:t>3</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履行合同的时间、地点和方式</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3</w:t>
      </w:r>
      <w:r>
        <w:rPr>
          <w:rFonts w:hint="eastAsia" w:ascii="宋体" w:hAnsi="宋体"/>
          <w:color w:val="auto"/>
          <w:szCs w:val="21"/>
          <w:highlight w:val="none"/>
        </w:rPr>
        <w:t xml:space="preserve">.1 </w:t>
      </w:r>
      <w:r>
        <w:rPr>
          <w:rFonts w:hint="eastAsia" w:ascii="宋体" w:hAnsi="宋体" w:eastAsia="宋体" w:cs="宋体"/>
          <w:color w:val="auto"/>
          <w:szCs w:val="21"/>
        </w:rPr>
        <w:t>乙方应当在约定的时间、地点</w:t>
      </w:r>
      <w:r>
        <w:rPr>
          <w:rFonts w:hint="eastAsia" w:ascii="宋体" w:hAnsi="宋体" w:cs="宋体"/>
          <w:color w:val="auto"/>
          <w:szCs w:val="21"/>
          <w:lang w:eastAsia="zh-CN"/>
        </w:rPr>
        <w:t>，按照约定</w:t>
      </w:r>
      <w:r>
        <w:rPr>
          <w:rFonts w:hint="eastAsia" w:ascii="宋体" w:hAnsi="宋体" w:eastAsia="宋体" w:cs="宋体"/>
          <w:color w:val="auto"/>
          <w:szCs w:val="21"/>
        </w:rPr>
        <w:t>方式履行合同。</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4</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甲方的权利和义务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4</w:t>
      </w:r>
      <w:r>
        <w:rPr>
          <w:rFonts w:hint="eastAsia" w:ascii="宋体" w:hAnsi="宋体"/>
          <w:color w:val="auto"/>
          <w:szCs w:val="21"/>
          <w:highlight w:val="none"/>
        </w:rPr>
        <w:t>.1</w:t>
      </w:r>
      <w:r>
        <w:rPr>
          <w:rFonts w:ascii="宋体" w:hAnsi="宋体"/>
          <w:color w:val="auto"/>
          <w:szCs w:val="21"/>
          <w:highlight w:val="none"/>
        </w:rPr>
        <w:t xml:space="preserve"> 签署合同后，甲方</w:t>
      </w:r>
      <w:r>
        <w:rPr>
          <w:rFonts w:hint="eastAsia" w:ascii="宋体" w:hAnsi="宋体"/>
          <w:color w:val="auto"/>
          <w:szCs w:val="21"/>
          <w:highlight w:val="none"/>
          <w:lang w:eastAsia="zh-CN"/>
        </w:rPr>
        <w:t>应</w:t>
      </w:r>
      <w:r>
        <w:rPr>
          <w:rFonts w:ascii="宋体" w:hAnsi="宋体"/>
          <w:color w:val="auto"/>
          <w:szCs w:val="21"/>
          <w:highlight w:val="none"/>
        </w:rPr>
        <w:t>确定</w:t>
      </w:r>
      <w:r>
        <w:rPr>
          <w:rFonts w:hint="eastAsia" w:ascii="宋体" w:hAnsi="宋体"/>
          <w:color w:val="auto"/>
          <w:szCs w:val="21"/>
          <w:highlight w:val="none"/>
          <w:lang w:val="en-US" w:eastAsia="zh-CN"/>
        </w:rPr>
        <w:t>项目负责人（或项目联系人）</w:t>
      </w:r>
      <w:r>
        <w:rPr>
          <w:rFonts w:ascii="宋体" w:hAnsi="宋体"/>
          <w:color w:val="auto"/>
          <w:szCs w:val="21"/>
          <w:highlight w:val="none"/>
        </w:rPr>
        <w:t>，负责与本合同有关的事务。</w:t>
      </w:r>
      <w:r>
        <w:rPr>
          <w:rFonts w:hint="eastAsia" w:ascii="宋体" w:hAnsi="宋体"/>
          <w:color w:val="auto"/>
          <w:szCs w:val="21"/>
          <w:highlight w:val="none"/>
        </w:rPr>
        <w:t>甲方有权对乙方的履约行为进行检查，并</w:t>
      </w:r>
      <w:r>
        <w:rPr>
          <w:rFonts w:ascii="宋体" w:hAnsi="宋体"/>
          <w:color w:val="auto"/>
          <w:szCs w:val="21"/>
          <w:highlight w:val="none"/>
        </w:rPr>
        <w:t>及时确认乙方提交的事项</w:t>
      </w:r>
      <w:r>
        <w:rPr>
          <w:rFonts w:hint="eastAsia" w:ascii="宋体" w:hAnsi="宋体"/>
          <w:color w:val="auto"/>
          <w:szCs w:val="21"/>
          <w:highlight w:val="none"/>
        </w:rPr>
        <w:t>。甲方应当</w:t>
      </w:r>
      <w:r>
        <w:rPr>
          <w:rFonts w:ascii="宋体" w:hAnsi="宋体"/>
          <w:color w:val="auto"/>
          <w:szCs w:val="21"/>
          <w:highlight w:val="none"/>
        </w:rPr>
        <w:t>配合乙方完成</w:t>
      </w:r>
      <w:r>
        <w:rPr>
          <w:rFonts w:hint="eastAsia" w:ascii="宋体" w:hAnsi="宋体"/>
          <w:color w:val="auto"/>
          <w:szCs w:val="21"/>
          <w:highlight w:val="none"/>
        </w:rPr>
        <w:t>相关项目</w:t>
      </w:r>
      <w:r>
        <w:rPr>
          <w:rFonts w:ascii="宋体" w:hAnsi="宋体"/>
          <w:color w:val="auto"/>
          <w:szCs w:val="21"/>
          <w:highlight w:val="none"/>
        </w:rPr>
        <w:t>实施工作。</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4</w:t>
      </w:r>
      <w:r>
        <w:rPr>
          <w:rFonts w:hint="eastAsia" w:ascii="宋体" w:hAnsi="宋体"/>
          <w:color w:val="auto"/>
          <w:szCs w:val="21"/>
          <w:highlight w:val="none"/>
        </w:rPr>
        <w:t xml:space="preserve">.2 </w:t>
      </w:r>
      <w:r>
        <w:rPr>
          <w:rFonts w:ascii="宋体" w:hAnsi="宋体"/>
          <w:color w:val="auto"/>
          <w:szCs w:val="21"/>
          <w:highlight w:val="none"/>
        </w:rPr>
        <w:t>甲方有权要求乙方按时提交各阶段有关</w:t>
      </w:r>
      <w:r>
        <w:rPr>
          <w:rFonts w:hint="eastAsia" w:ascii="宋体" w:hAnsi="宋体"/>
          <w:color w:val="auto"/>
          <w:szCs w:val="21"/>
          <w:highlight w:val="none"/>
        </w:rPr>
        <w:t>安排计划</w:t>
      </w:r>
      <w:r>
        <w:rPr>
          <w:rFonts w:ascii="宋体" w:hAnsi="宋体"/>
          <w:color w:val="auto"/>
          <w:szCs w:val="21"/>
          <w:highlight w:val="none"/>
        </w:rPr>
        <w:t>，并有权</w:t>
      </w:r>
      <w:r>
        <w:rPr>
          <w:rFonts w:hint="eastAsia" w:ascii="宋体" w:hAnsi="宋体"/>
          <w:color w:val="auto"/>
          <w:szCs w:val="21"/>
          <w:highlight w:val="none"/>
        </w:rPr>
        <w:t>定期核对乙方提供货物数量、规格、质量等内容。甲方</w:t>
      </w:r>
      <w:r>
        <w:rPr>
          <w:rFonts w:ascii="宋体" w:hAnsi="宋体"/>
          <w:color w:val="auto"/>
          <w:szCs w:val="21"/>
          <w:highlight w:val="none"/>
        </w:rPr>
        <w:t>有权督促乙方工作并要求乙方</w:t>
      </w:r>
      <w:r>
        <w:rPr>
          <w:rFonts w:hint="eastAsia" w:ascii="宋体" w:hAnsi="宋体"/>
          <w:color w:val="auto"/>
          <w:szCs w:val="21"/>
          <w:highlight w:val="none"/>
        </w:rPr>
        <w:t>更</w:t>
      </w:r>
      <w:r>
        <w:rPr>
          <w:rFonts w:ascii="宋体" w:hAnsi="宋体"/>
          <w:color w:val="auto"/>
          <w:szCs w:val="21"/>
          <w:highlight w:val="none"/>
        </w:rPr>
        <w:t>换不符合要求的</w:t>
      </w:r>
      <w:r>
        <w:rPr>
          <w:rFonts w:hint="eastAsia" w:ascii="宋体" w:hAnsi="宋体"/>
          <w:color w:val="auto"/>
          <w:szCs w:val="21"/>
          <w:highlight w:val="none"/>
        </w:rPr>
        <w:t>货物</w:t>
      </w:r>
      <w:r>
        <w:rPr>
          <w:rFonts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4</w:t>
      </w: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 xml:space="preserve"> </w:t>
      </w:r>
      <w:r>
        <w:rPr>
          <w:rFonts w:ascii="宋体" w:hAnsi="宋体"/>
          <w:color w:val="auto"/>
          <w:szCs w:val="21"/>
          <w:highlight w:val="none"/>
        </w:rPr>
        <w:t>甲方</w:t>
      </w:r>
      <w:r>
        <w:rPr>
          <w:rFonts w:hint="eastAsia" w:ascii="宋体" w:hAnsi="宋体"/>
          <w:color w:val="auto"/>
          <w:szCs w:val="21"/>
          <w:highlight w:val="none"/>
        </w:rPr>
        <w:t>有权要求乙方对缺陷部分予以修复，并按合同约定享有货物保修及其他合同约定的权利。</w:t>
      </w:r>
    </w:p>
    <w:p>
      <w:pPr>
        <w:snapToGrid w:val="0"/>
        <w:spacing w:line="400" w:lineRule="exact"/>
        <w:ind w:firstLine="420" w:firstLineChars="200"/>
        <w:rPr>
          <w:rFonts w:hint="eastAsia" w:eastAsia="华文楷体"/>
          <w:color w:val="auto"/>
          <w:lang w:val="en-US" w:eastAsia="zh-CN"/>
        </w:rPr>
      </w:pPr>
      <w:r>
        <w:rPr>
          <w:rFonts w:hint="default" w:ascii="宋体" w:hAnsi="宋体"/>
          <w:color w:val="auto"/>
          <w:szCs w:val="21"/>
          <w:highlight w:val="none"/>
          <w:lang w:val="en-US" w:eastAsia="zh-CN"/>
        </w:rPr>
        <w:t>4.4 甲方应当按照合同约定及时对交付的货物进行验收</w:t>
      </w:r>
      <w:r>
        <w:rPr>
          <w:rFonts w:hint="eastAsia" w:ascii="宋体" w:hAnsi="宋体"/>
          <w:color w:val="auto"/>
          <w:szCs w:val="21"/>
          <w:highlight w:val="none"/>
          <w:lang w:val="en-US" w:eastAsia="zh-CN"/>
        </w:rPr>
        <w:t>，</w:t>
      </w:r>
      <w:r>
        <w:rPr>
          <w:rFonts w:hint="eastAsia" w:ascii="宋体" w:hAnsi="宋体" w:cs="宋体"/>
          <w:b w:val="0"/>
          <w:bCs w:val="0"/>
          <w:color w:val="auto"/>
          <w:szCs w:val="21"/>
          <w:highlight w:val="none"/>
          <w:lang w:eastAsia="zh-CN"/>
        </w:rPr>
        <w:t>未</w:t>
      </w:r>
      <w:r>
        <w:rPr>
          <w:rFonts w:hint="eastAsia" w:ascii="宋体" w:hAnsi="宋体"/>
          <w:color w:val="auto"/>
          <w:szCs w:val="21"/>
          <w:highlight w:val="none"/>
          <w:lang w:val="en-US" w:eastAsia="zh-CN"/>
        </w:rPr>
        <w:t>在</w:t>
      </w:r>
      <w:r>
        <w:rPr>
          <w:rFonts w:hint="eastAsia" w:ascii="宋体" w:hAnsi="宋体" w:eastAsia="宋体" w:cs="宋体"/>
          <w:b/>
          <w:bCs/>
          <w:color w:val="auto"/>
          <w:szCs w:val="21"/>
          <w:highlight w:val="none"/>
        </w:rPr>
        <w:t>【政府采购合同专用条款】</w:t>
      </w:r>
      <w:r>
        <w:rPr>
          <w:rFonts w:hint="eastAsia" w:ascii="宋体" w:hAnsi="宋体" w:cs="宋体"/>
          <w:b w:val="0"/>
          <w:bCs w:val="0"/>
          <w:color w:val="auto"/>
          <w:szCs w:val="21"/>
          <w:highlight w:val="none"/>
          <w:lang w:eastAsia="zh-CN"/>
        </w:rPr>
        <w:t>约定的期限内对乙方履约提出任何异议或者向乙方作出任何说明的，</w:t>
      </w:r>
      <w:r>
        <w:rPr>
          <w:rFonts w:hint="eastAsia" w:ascii="宋体" w:hAnsi="宋体"/>
          <w:color w:val="auto"/>
          <w:szCs w:val="21"/>
          <w:highlight w:val="none"/>
          <w:lang w:val="en-US" w:eastAsia="zh-CN"/>
        </w:rPr>
        <w:t>视为验收通过。</w:t>
      </w:r>
    </w:p>
    <w:p>
      <w:pPr>
        <w:autoSpaceDE w:val="0"/>
        <w:autoSpaceDN w:val="0"/>
        <w:adjustRightInd w:val="0"/>
        <w:snapToGrid w:val="0"/>
        <w:spacing w:line="400" w:lineRule="exact"/>
        <w:ind w:firstLine="420" w:firstLineChars="200"/>
        <w:jc w:val="left"/>
        <w:rPr>
          <w:rFonts w:hint="eastAsia" w:ascii="宋体" w:hAnsi="宋体"/>
          <w:color w:val="auto"/>
          <w:szCs w:val="21"/>
          <w:highlight w:val="none"/>
        </w:rPr>
      </w:pPr>
      <w:r>
        <w:rPr>
          <w:rFonts w:hint="default" w:ascii="宋体" w:hAnsi="宋体"/>
          <w:color w:val="auto"/>
          <w:szCs w:val="21"/>
          <w:highlight w:val="none"/>
          <w:lang w:eastAsia="zh-CN"/>
        </w:rPr>
        <w:t>4</w:t>
      </w:r>
      <w:r>
        <w:rPr>
          <w:rFonts w:hint="eastAsia" w:ascii="宋体" w:hAnsi="宋体"/>
          <w:color w:val="auto"/>
          <w:szCs w:val="21"/>
          <w:highlight w:val="none"/>
        </w:rPr>
        <w:t>.</w:t>
      </w:r>
      <w:r>
        <w:rPr>
          <w:rFonts w:hint="default" w:ascii="宋体" w:hAnsi="宋体"/>
          <w:color w:val="auto"/>
          <w:szCs w:val="21"/>
          <w:highlight w:val="none"/>
          <w:lang w:val="en-US" w:eastAsia="zh-CN"/>
        </w:rPr>
        <w:t>5</w:t>
      </w:r>
      <w:r>
        <w:rPr>
          <w:rFonts w:ascii="宋体" w:hAnsi="宋体"/>
          <w:color w:val="auto"/>
          <w:szCs w:val="21"/>
          <w:highlight w:val="none"/>
        </w:rPr>
        <w:t xml:space="preserve"> </w:t>
      </w:r>
      <w:r>
        <w:rPr>
          <w:rFonts w:hint="eastAsia" w:ascii="宋体" w:hAnsi="宋体"/>
          <w:color w:val="auto"/>
          <w:szCs w:val="21"/>
          <w:highlight w:val="none"/>
        </w:rPr>
        <w:t>甲方应当根据合同约定</w:t>
      </w:r>
      <w:r>
        <w:rPr>
          <w:rFonts w:hint="eastAsia" w:ascii="宋体" w:hAnsi="宋体"/>
          <w:color w:val="auto"/>
          <w:szCs w:val="21"/>
          <w:highlight w:val="none"/>
          <w:lang w:eastAsia="zh-CN"/>
        </w:rPr>
        <w:t>及</w:t>
      </w:r>
      <w:r>
        <w:rPr>
          <w:rFonts w:hint="eastAsia" w:ascii="宋体" w:hAnsi="宋体"/>
          <w:color w:val="auto"/>
          <w:szCs w:val="21"/>
          <w:highlight w:val="none"/>
        </w:rPr>
        <w:t>时向乙方支付</w:t>
      </w:r>
      <w:r>
        <w:rPr>
          <w:rFonts w:hint="eastAsia" w:ascii="宋体" w:hAnsi="宋体"/>
          <w:color w:val="auto"/>
          <w:szCs w:val="21"/>
          <w:highlight w:val="none"/>
          <w:lang w:eastAsia="zh-CN"/>
        </w:rPr>
        <w:t>合同价款</w:t>
      </w:r>
      <w:r>
        <w:rPr>
          <w:rFonts w:hint="default" w:ascii="宋体" w:hAnsi="宋体"/>
          <w:color w:val="auto"/>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4</w:t>
      </w: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ascii="宋体" w:hAnsi="宋体"/>
          <w:color w:val="auto"/>
          <w:szCs w:val="21"/>
          <w:highlight w:val="none"/>
        </w:rPr>
        <w:t xml:space="preserve"> </w:t>
      </w:r>
      <w:r>
        <w:rPr>
          <w:rFonts w:hint="eastAsia" w:ascii="宋体" w:hAnsi="宋体"/>
          <w:color w:val="auto"/>
          <w:szCs w:val="21"/>
          <w:highlight w:val="none"/>
        </w:rPr>
        <w:t>国家法律法规规定</w:t>
      </w:r>
      <w:r>
        <w:rPr>
          <w:rFonts w:hint="eastAsia" w:ascii="宋体" w:hAnsi="宋体"/>
          <w:color w:val="auto"/>
          <w:szCs w:val="21"/>
          <w:highlight w:val="none"/>
          <w:lang w:eastAsia="zh-CN"/>
        </w:rPr>
        <w:t>及</w:t>
      </w:r>
      <w:r>
        <w:rPr>
          <w:rFonts w:hint="eastAsia" w:ascii="宋体" w:hAnsi="宋体" w:eastAsia="宋体" w:cs="宋体"/>
          <w:b/>
          <w:bCs/>
          <w:color w:val="auto"/>
          <w:szCs w:val="21"/>
          <w:highlight w:val="none"/>
        </w:rPr>
        <w:t>【政府采购合同专用条款】</w:t>
      </w:r>
      <w:r>
        <w:rPr>
          <w:rFonts w:hint="eastAsia" w:ascii="宋体" w:hAnsi="宋体"/>
          <w:color w:val="auto"/>
          <w:szCs w:val="21"/>
          <w:highlight w:val="none"/>
          <w:lang w:eastAsia="zh-CN"/>
        </w:rPr>
        <w:t>约定应</w:t>
      </w:r>
      <w:r>
        <w:rPr>
          <w:rFonts w:hint="eastAsia" w:ascii="宋体" w:hAnsi="宋体"/>
          <w:color w:val="auto"/>
          <w:szCs w:val="21"/>
          <w:highlight w:val="none"/>
        </w:rPr>
        <w:t>由甲方承担的其他义务和责任。</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5</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乙方的权利和义务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5</w:t>
      </w:r>
      <w:r>
        <w:rPr>
          <w:rFonts w:hint="eastAsia" w:ascii="宋体" w:hAnsi="宋体"/>
          <w:color w:val="auto"/>
          <w:szCs w:val="21"/>
          <w:highlight w:val="none"/>
        </w:rPr>
        <w:t xml:space="preserve">.1 </w:t>
      </w:r>
      <w:r>
        <w:rPr>
          <w:rFonts w:ascii="宋体" w:hAnsi="宋体"/>
          <w:color w:val="auto"/>
          <w:szCs w:val="21"/>
          <w:highlight w:val="none"/>
        </w:rPr>
        <w:t>签署合同后，乙方</w:t>
      </w:r>
      <w:r>
        <w:rPr>
          <w:rFonts w:hint="eastAsia" w:ascii="宋体" w:hAnsi="宋体"/>
          <w:color w:val="auto"/>
          <w:szCs w:val="21"/>
          <w:highlight w:val="none"/>
          <w:lang w:eastAsia="zh-CN"/>
        </w:rPr>
        <w:t>应</w:t>
      </w:r>
      <w:r>
        <w:rPr>
          <w:rFonts w:ascii="宋体" w:hAnsi="宋体"/>
          <w:color w:val="auto"/>
          <w:szCs w:val="21"/>
          <w:highlight w:val="none"/>
        </w:rPr>
        <w:t>确定</w:t>
      </w:r>
      <w:r>
        <w:rPr>
          <w:rFonts w:hint="eastAsia" w:ascii="宋体" w:hAnsi="宋体"/>
          <w:color w:val="auto"/>
          <w:szCs w:val="21"/>
          <w:highlight w:val="none"/>
          <w:lang w:val="en-US" w:eastAsia="zh-CN"/>
        </w:rPr>
        <w:t>项目负责人（或项目联系人）</w:t>
      </w:r>
      <w:r>
        <w:rPr>
          <w:rFonts w:ascii="宋体" w:hAnsi="宋体"/>
          <w:color w:val="auto"/>
          <w:szCs w:val="21"/>
          <w:highlight w:val="none"/>
        </w:rPr>
        <w:t>，负责与本合同有关的事务。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5</w:t>
      </w:r>
      <w:r>
        <w:rPr>
          <w:rFonts w:hint="eastAsia" w:ascii="宋体" w:hAnsi="宋体"/>
          <w:color w:val="auto"/>
          <w:szCs w:val="21"/>
          <w:highlight w:val="none"/>
        </w:rPr>
        <w:t>.</w:t>
      </w:r>
      <w:r>
        <w:rPr>
          <w:rFonts w:ascii="宋体" w:hAnsi="宋体"/>
          <w:color w:val="auto"/>
          <w:szCs w:val="21"/>
          <w:highlight w:val="none"/>
        </w:rPr>
        <w:t>2 乙方应按照合同要求</w:t>
      </w:r>
      <w:r>
        <w:rPr>
          <w:rFonts w:hint="eastAsia" w:ascii="宋体" w:hAnsi="宋体"/>
          <w:color w:val="auto"/>
          <w:szCs w:val="21"/>
          <w:highlight w:val="none"/>
        </w:rPr>
        <w:t>履约</w:t>
      </w:r>
      <w:r>
        <w:rPr>
          <w:rFonts w:ascii="宋体" w:hAnsi="宋体"/>
          <w:color w:val="auto"/>
          <w:szCs w:val="21"/>
          <w:highlight w:val="none"/>
        </w:rPr>
        <w:t>，充分合理安排，确保</w:t>
      </w:r>
      <w:r>
        <w:rPr>
          <w:rFonts w:hint="eastAsia" w:ascii="宋体" w:hAnsi="宋体"/>
          <w:color w:val="auto"/>
          <w:szCs w:val="21"/>
          <w:highlight w:val="none"/>
        </w:rPr>
        <w:t>提供的货物</w:t>
      </w:r>
      <w:r>
        <w:rPr>
          <w:rFonts w:hint="eastAsia" w:ascii="宋体" w:hAnsi="宋体"/>
          <w:color w:val="auto"/>
          <w:szCs w:val="21"/>
          <w:highlight w:val="none"/>
          <w:lang w:eastAsia="zh-CN"/>
        </w:rPr>
        <w:t>及相关</w:t>
      </w:r>
      <w:r>
        <w:rPr>
          <w:rFonts w:hint="eastAsia" w:ascii="宋体" w:hAnsi="宋体"/>
          <w:color w:val="auto"/>
          <w:szCs w:val="21"/>
          <w:highlight w:val="none"/>
        </w:rPr>
        <w:t>服务符合合同</w:t>
      </w:r>
      <w:r>
        <w:rPr>
          <w:rFonts w:hint="eastAsia" w:ascii="宋体" w:hAnsi="宋体"/>
          <w:color w:val="auto"/>
          <w:szCs w:val="21"/>
          <w:highlight w:val="none"/>
          <w:lang w:eastAsia="zh-CN"/>
        </w:rPr>
        <w:t>有关</w:t>
      </w:r>
      <w:r>
        <w:rPr>
          <w:rFonts w:ascii="宋体" w:hAnsi="宋体"/>
          <w:color w:val="auto"/>
          <w:szCs w:val="21"/>
          <w:highlight w:val="none"/>
        </w:rPr>
        <w:t>要求</w:t>
      </w:r>
      <w:r>
        <w:rPr>
          <w:rFonts w:hint="eastAsia" w:ascii="宋体" w:hAnsi="宋体"/>
          <w:color w:val="auto"/>
          <w:szCs w:val="21"/>
          <w:highlight w:val="none"/>
        </w:rPr>
        <w:t>。接受项目行业管理部门及政府有关部门的指导，配合甲方的履约检查</w:t>
      </w:r>
      <w:r>
        <w:rPr>
          <w:rFonts w:hint="eastAsia" w:ascii="宋体" w:hAnsi="宋体"/>
          <w:color w:val="auto"/>
          <w:szCs w:val="21"/>
          <w:highlight w:val="none"/>
          <w:lang w:eastAsia="zh-CN"/>
        </w:rPr>
        <w:t>及验收</w:t>
      </w:r>
      <w:r>
        <w:rPr>
          <w:rFonts w:hint="eastAsia" w:ascii="宋体" w:hAnsi="宋体"/>
          <w:color w:val="auto"/>
          <w:szCs w:val="21"/>
          <w:highlight w:val="none"/>
        </w:rPr>
        <w:t>，并</w:t>
      </w:r>
      <w:r>
        <w:rPr>
          <w:rFonts w:ascii="宋体" w:hAnsi="宋体"/>
          <w:color w:val="auto"/>
          <w:szCs w:val="21"/>
          <w:highlight w:val="none"/>
        </w:rPr>
        <w:t>负责项目实施过程中的所有协调工作。</w:t>
      </w:r>
    </w:p>
    <w:p>
      <w:pPr>
        <w:pStyle w:val="2"/>
        <w:spacing w:after="0" w:line="400" w:lineRule="exact"/>
        <w:ind w:firstLine="369" w:firstLineChars="176"/>
        <w:rPr>
          <w:rFonts w:ascii="宋体" w:hAnsi="宋体" w:cs="宋体"/>
          <w:color w:val="auto"/>
          <w:szCs w:val="21"/>
          <w:highlight w:val="none"/>
        </w:rPr>
      </w:pPr>
      <w:r>
        <w:rPr>
          <w:rFonts w:hint="eastAsia" w:ascii="宋体" w:hAnsi="宋体"/>
          <w:color w:val="auto"/>
          <w:szCs w:val="21"/>
          <w:highlight w:val="none"/>
          <w:lang w:eastAsia="zh-CN"/>
        </w:rPr>
        <w:t>5</w:t>
      </w: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乙方有权</w:t>
      </w:r>
      <w:r>
        <w:rPr>
          <w:rFonts w:hint="eastAsia" w:ascii="宋体" w:hAnsi="宋体" w:cs="宋体"/>
          <w:color w:val="auto"/>
          <w:szCs w:val="21"/>
          <w:highlight w:val="none"/>
        </w:rPr>
        <w:t>根据合同约定向甲方收取</w:t>
      </w:r>
      <w:r>
        <w:rPr>
          <w:rFonts w:hint="eastAsia" w:ascii="宋体" w:hAnsi="宋体" w:cs="宋体"/>
          <w:color w:val="auto"/>
          <w:szCs w:val="21"/>
          <w:highlight w:val="none"/>
          <w:lang w:eastAsia="zh-CN"/>
        </w:rPr>
        <w:t>合同价款</w:t>
      </w:r>
      <w:r>
        <w:rPr>
          <w:rFonts w:hint="eastAsia" w:ascii="宋体" w:hAnsi="宋体" w:cs="宋体"/>
          <w:color w:val="auto"/>
          <w:szCs w:val="21"/>
          <w:highlight w:val="none"/>
        </w:rPr>
        <w:t>。</w:t>
      </w:r>
    </w:p>
    <w:p>
      <w:pPr>
        <w:pStyle w:val="2"/>
        <w:spacing w:after="0" w:line="400" w:lineRule="exact"/>
        <w:ind w:firstLine="369" w:firstLineChars="176"/>
        <w:rPr>
          <w:rFonts w:ascii="宋体" w:hAnsi="宋体" w:cs="宋体"/>
          <w:color w:val="auto"/>
          <w:szCs w:val="21"/>
          <w:highlight w:val="none"/>
        </w:rPr>
      </w:pPr>
      <w:r>
        <w:rPr>
          <w:rFonts w:hint="eastAsia" w:ascii="宋体" w:hAnsi="宋体"/>
          <w:color w:val="auto"/>
          <w:szCs w:val="21"/>
          <w:highlight w:val="none"/>
          <w:lang w:eastAsia="zh-CN"/>
        </w:rPr>
        <w:t>5</w:t>
      </w: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s="宋体"/>
          <w:color w:val="auto"/>
          <w:szCs w:val="21"/>
          <w:highlight w:val="none"/>
        </w:rPr>
        <w:t>国家法律法规规定</w:t>
      </w:r>
      <w:r>
        <w:rPr>
          <w:rFonts w:hint="eastAsia" w:ascii="宋体" w:hAnsi="宋体"/>
          <w:color w:val="auto"/>
          <w:szCs w:val="21"/>
          <w:highlight w:val="none"/>
          <w:lang w:eastAsia="zh-CN"/>
        </w:rPr>
        <w:t>及</w:t>
      </w:r>
      <w:r>
        <w:rPr>
          <w:rFonts w:hint="eastAsia" w:ascii="宋体" w:hAnsi="宋体" w:eastAsia="宋体" w:cs="宋体"/>
          <w:b/>
          <w:bCs/>
          <w:color w:val="auto"/>
          <w:szCs w:val="21"/>
          <w:highlight w:val="none"/>
        </w:rPr>
        <w:t>【政府采购合同专用条款】</w:t>
      </w:r>
      <w:r>
        <w:rPr>
          <w:rFonts w:hint="eastAsia" w:ascii="宋体" w:hAnsi="宋体" w:cs="宋体"/>
          <w:b w:val="0"/>
          <w:bCs w:val="0"/>
          <w:color w:val="auto"/>
          <w:szCs w:val="21"/>
          <w:highlight w:val="none"/>
          <w:lang w:eastAsia="zh-CN"/>
        </w:rPr>
        <w:t>约定应</w:t>
      </w:r>
      <w:r>
        <w:rPr>
          <w:rFonts w:hint="eastAsia" w:ascii="宋体" w:hAnsi="宋体" w:cs="宋体"/>
          <w:color w:val="auto"/>
          <w:szCs w:val="21"/>
          <w:highlight w:val="none"/>
        </w:rPr>
        <w:t>由乙方承担的其他义务和责任。</w:t>
      </w:r>
    </w:p>
    <w:p>
      <w:pPr>
        <w:numPr>
          <w:ilvl w:val="0"/>
          <w:numId w:val="9"/>
        </w:numPr>
        <w:autoSpaceDE w:val="0"/>
        <w:autoSpaceDN w:val="0"/>
        <w:adjustRightInd w:val="0"/>
        <w:snapToGrid w:val="0"/>
        <w:spacing w:before="0" w:line="400" w:lineRule="exact"/>
        <w:jc w:val="left"/>
        <w:rPr>
          <w:rFonts w:hint="eastAsia" w:ascii="宋体" w:hAnsi="宋体"/>
          <w:b/>
          <w:bCs/>
          <w:color w:val="auto"/>
          <w:sz w:val="24"/>
          <w:highlight w:val="none"/>
        </w:rPr>
      </w:pPr>
      <w:r>
        <w:rPr>
          <w:rFonts w:hint="eastAsia" w:ascii="宋体" w:hAnsi="宋体"/>
          <w:b/>
          <w:bCs/>
          <w:color w:val="auto"/>
          <w:sz w:val="24"/>
          <w:highlight w:val="none"/>
        </w:rPr>
        <w:t>合同履</w:t>
      </w:r>
      <w:r>
        <w:rPr>
          <w:rFonts w:hint="eastAsia" w:ascii="宋体" w:hAnsi="宋体"/>
          <w:b/>
          <w:bCs/>
          <w:color w:val="auto"/>
          <w:sz w:val="24"/>
          <w:highlight w:val="none"/>
          <w:lang w:val="en-US" w:eastAsia="zh-CN"/>
        </w:rPr>
        <w:t>行</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6</w:t>
      </w:r>
      <w:r>
        <w:rPr>
          <w:rFonts w:hint="eastAsia" w:ascii="宋体" w:hAnsi="宋体"/>
          <w:color w:val="auto"/>
          <w:szCs w:val="21"/>
          <w:highlight w:val="none"/>
        </w:rPr>
        <w:t>.1 甲乙双方应当按照</w:t>
      </w:r>
      <w:r>
        <w:rPr>
          <w:rFonts w:hint="eastAsia" w:ascii="宋体" w:hAnsi="宋体" w:eastAsia="宋体" w:cs="宋体"/>
          <w:b/>
          <w:bCs/>
          <w:color w:val="auto"/>
          <w:szCs w:val="21"/>
          <w:highlight w:val="none"/>
        </w:rPr>
        <w:t>【政府采购合同专用条款】</w:t>
      </w:r>
      <w:r>
        <w:rPr>
          <w:rFonts w:hint="eastAsia" w:ascii="宋体" w:hAnsi="宋体"/>
          <w:color w:val="auto"/>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rPr>
          <w:color w:val="auto"/>
        </w:rPr>
      </w:pPr>
      <w:r>
        <w:rPr>
          <w:rFonts w:hint="eastAsia" w:ascii="宋体" w:hAnsi="宋体"/>
          <w:color w:val="auto"/>
          <w:szCs w:val="21"/>
          <w:highlight w:val="none"/>
          <w:lang w:eastAsia="zh-CN"/>
        </w:rPr>
        <w:t>6</w:t>
      </w:r>
      <w:r>
        <w:rPr>
          <w:rFonts w:hint="eastAsia" w:ascii="宋体" w:hAnsi="宋体"/>
          <w:color w:val="auto"/>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7</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货物包装、运输</w:t>
      </w:r>
      <w:r>
        <w:rPr>
          <w:rFonts w:hint="eastAsia" w:ascii="宋体" w:hAnsi="宋体"/>
          <w:b/>
          <w:bCs/>
          <w:color w:val="auto"/>
          <w:sz w:val="24"/>
          <w:highlight w:val="none"/>
          <w:lang w:eastAsia="zh-CN"/>
        </w:rPr>
        <w:t>、</w:t>
      </w:r>
      <w:r>
        <w:rPr>
          <w:rFonts w:hint="eastAsia" w:ascii="宋体" w:hAnsi="宋体"/>
          <w:b/>
          <w:bCs/>
          <w:color w:val="auto"/>
          <w:sz w:val="24"/>
          <w:highlight w:val="none"/>
        </w:rPr>
        <w:t>保险</w:t>
      </w:r>
      <w:r>
        <w:rPr>
          <w:rFonts w:hint="eastAsia" w:ascii="宋体" w:hAnsi="宋体"/>
          <w:b/>
          <w:bCs/>
          <w:color w:val="auto"/>
          <w:sz w:val="24"/>
          <w:highlight w:val="none"/>
          <w:lang w:eastAsia="zh-CN"/>
        </w:rPr>
        <w:t>和交付</w:t>
      </w:r>
      <w:r>
        <w:rPr>
          <w:rFonts w:hint="eastAsia" w:ascii="宋体" w:hAnsi="宋体"/>
          <w:b/>
          <w:bCs/>
          <w:color w:val="auto"/>
          <w:sz w:val="24"/>
          <w:highlight w:val="none"/>
        </w:rPr>
        <w:t>要求</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7</w:t>
      </w:r>
      <w:r>
        <w:rPr>
          <w:rFonts w:hint="eastAsia" w:ascii="宋体" w:hAnsi="宋体"/>
          <w:color w:val="auto"/>
          <w:szCs w:val="21"/>
          <w:highlight w:val="none"/>
        </w:rPr>
        <w:t>.1 本合同</w:t>
      </w:r>
      <w:r>
        <w:rPr>
          <w:rFonts w:hint="eastAsia" w:ascii="宋体" w:hAnsi="宋体"/>
          <w:bCs/>
          <w:color w:val="auto"/>
          <w:szCs w:val="21"/>
          <w:highlight w:val="none"/>
        </w:rPr>
        <w:t>涉及商品包装</w:t>
      </w:r>
      <w:r>
        <w:rPr>
          <w:rFonts w:hint="eastAsia" w:ascii="宋体" w:hAnsi="宋体"/>
          <w:bCs/>
          <w:color w:val="auto"/>
          <w:szCs w:val="21"/>
          <w:highlight w:val="none"/>
          <w:lang w:eastAsia="zh-CN"/>
        </w:rPr>
        <w:t>、</w:t>
      </w:r>
      <w:r>
        <w:rPr>
          <w:rFonts w:hint="eastAsia" w:ascii="宋体" w:hAnsi="宋体"/>
          <w:bCs/>
          <w:color w:val="auto"/>
          <w:szCs w:val="21"/>
          <w:highlight w:val="none"/>
        </w:rPr>
        <w:t>快递包装的，</w:t>
      </w:r>
      <w:r>
        <w:rPr>
          <w:rFonts w:hint="eastAsia" w:ascii="宋体" w:hAnsi="宋体"/>
          <w:color w:val="auto"/>
          <w:szCs w:val="21"/>
          <w:highlight w:val="none"/>
        </w:rPr>
        <w:t>除</w:t>
      </w:r>
      <w:r>
        <w:rPr>
          <w:rFonts w:hint="eastAsia" w:ascii="宋体" w:hAnsi="宋体"/>
          <w:b/>
          <w:color w:val="auto"/>
          <w:szCs w:val="21"/>
          <w:highlight w:val="none"/>
        </w:rPr>
        <w:t>【政府采购合同专用条款】</w:t>
      </w:r>
      <w:r>
        <w:rPr>
          <w:rFonts w:hint="eastAsia" w:ascii="宋体" w:hAnsi="宋体"/>
          <w:bCs/>
          <w:color w:val="auto"/>
          <w:szCs w:val="21"/>
          <w:highlight w:val="none"/>
        </w:rPr>
        <w:t>另有</w:t>
      </w:r>
      <w:r>
        <w:rPr>
          <w:rFonts w:hint="eastAsia" w:ascii="宋体" w:hAnsi="宋体"/>
          <w:bCs/>
          <w:color w:val="auto"/>
          <w:szCs w:val="21"/>
          <w:highlight w:val="none"/>
          <w:lang w:eastAsia="zh-CN"/>
        </w:rPr>
        <w:t>约</w:t>
      </w:r>
      <w:r>
        <w:rPr>
          <w:rFonts w:hint="eastAsia" w:ascii="宋体" w:hAnsi="宋体"/>
          <w:bCs/>
          <w:color w:val="auto"/>
          <w:szCs w:val="21"/>
          <w:highlight w:val="none"/>
        </w:rPr>
        <w:t>定</w:t>
      </w:r>
      <w:r>
        <w:rPr>
          <w:rFonts w:hint="eastAsia" w:ascii="宋体" w:hAnsi="宋体"/>
          <w:bCs/>
          <w:color w:val="auto"/>
          <w:szCs w:val="21"/>
          <w:highlight w:val="none"/>
          <w:lang w:eastAsia="zh-CN"/>
        </w:rPr>
        <w:t>外</w:t>
      </w:r>
      <w:r>
        <w:rPr>
          <w:rFonts w:hint="eastAsia" w:ascii="宋体" w:hAnsi="宋体"/>
          <w:bCs/>
          <w:color w:val="auto"/>
          <w:szCs w:val="21"/>
          <w:highlight w:val="none"/>
        </w:rPr>
        <w:t>，</w:t>
      </w:r>
      <w:r>
        <w:rPr>
          <w:rFonts w:hint="eastAsia" w:ascii="宋体" w:hAnsi="宋体"/>
          <w:color w:val="auto"/>
          <w:szCs w:val="21"/>
          <w:highlight w:val="none"/>
        </w:rPr>
        <w:t>包装应适应远距离运输、防潮、防震、防锈和防野蛮装卸等要求，确保货物安全无损地运抵</w:t>
      </w:r>
      <w:r>
        <w:rPr>
          <w:rFonts w:hint="eastAsia" w:ascii="宋体" w:hAnsi="宋体"/>
          <w:b/>
          <w:color w:val="auto"/>
          <w:szCs w:val="21"/>
          <w:highlight w:val="none"/>
        </w:rPr>
        <w:t>【政府采购合同专用条款】</w:t>
      </w:r>
      <w:r>
        <w:rPr>
          <w:rFonts w:hint="eastAsia" w:ascii="宋体" w:hAnsi="宋体"/>
          <w:b w:val="0"/>
          <w:bCs/>
          <w:color w:val="auto"/>
          <w:szCs w:val="21"/>
          <w:highlight w:val="none"/>
          <w:lang w:eastAsia="zh-CN"/>
        </w:rPr>
        <w:t>约定的</w:t>
      </w:r>
      <w:r>
        <w:rPr>
          <w:rFonts w:hint="eastAsia" w:ascii="宋体" w:hAnsi="宋体"/>
          <w:color w:val="auto"/>
          <w:szCs w:val="21"/>
          <w:highlight w:val="none"/>
        </w:rPr>
        <w:t>指定现场。</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7</w:t>
      </w:r>
      <w:r>
        <w:rPr>
          <w:rFonts w:hint="eastAsia" w:ascii="宋体" w:hAnsi="宋体"/>
          <w:color w:val="auto"/>
          <w:szCs w:val="21"/>
          <w:highlight w:val="none"/>
        </w:rPr>
        <w:t>.2 除</w:t>
      </w:r>
      <w:r>
        <w:rPr>
          <w:rFonts w:hint="eastAsia" w:ascii="宋体" w:hAnsi="宋体"/>
          <w:b/>
          <w:color w:val="auto"/>
          <w:szCs w:val="21"/>
          <w:highlight w:val="none"/>
        </w:rPr>
        <w:t>【政府采购合同专用条款】</w:t>
      </w:r>
      <w:r>
        <w:rPr>
          <w:rFonts w:hint="eastAsia" w:ascii="宋体" w:hAnsi="宋体"/>
          <w:bCs/>
          <w:color w:val="auto"/>
          <w:szCs w:val="21"/>
          <w:highlight w:val="none"/>
        </w:rPr>
        <w:t>另有</w:t>
      </w:r>
      <w:r>
        <w:rPr>
          <w:rFonts w:hint="eastAsia" w:ascii="宋体" w:hAnsi="宋体"/>
          <w:bCs/>
          <w:color w:val="auto"/>
          <w:szCs w:val="21"/>
          <w:highlight w:val="none"/>
          <w:lang w:eastAsia="zh-CN"/>
        </w:rPr>
        <w:t>约</w:t>
      </w:r>
      <w:r>
        <w:rPr>
          <w:rFonts w:hint="eastAsia" w:ascii="宋体" w:hAnsi="宋体"/>
          <w:bCs/>
          <w:color w:val="auto"/>
          <w:szCs w:val="21"/>
          <w:highlight w:val="none"/>
        </w:rPr>
        <w:t>定</w:t>
      </w:r>
      <w:r>
        <w:rPr>
          <w:rFonts w:hint="eastAsia" w:ascii="宋体" w:hAnsi="宋体"/>
          <w:bCs/>
          <w:color w:val="auto"/>
          <w:szCs w:val="21"/>
          <w:highlight w:val="none"/>
          <w:lang w:eastAsia="zh-CN"/>
        </w:rPr>
        <w:t>外</w:t>
      </w:r>
      <w:r>
        <w:rPr>
          <w:rFonts w:hint="eastAsia" w:ascii="宋体" w:hAnsi="宋体"/>
          <w:bCs/>
          <w:color w:val="auto"/>
          <w:szCs w:val="21"/>
          <w:highlight w:val="none"/>
        </w:rPr>
        <w:t>，</w:t>
      </w:r>
      <w:r>
        <w:rPr>
          <w:rFonts w:hint="eastAsia" w:ascii="宋体" w:hAnsi="宋体"/>
          <w:color w:val="auto"/>
          <w:szCs w:val="21"/>
          <w:highlight w:val="none"/>
        </w:rPr>
        <w:t>乙方负责办理将货物运抵本合同规定的交货地点</w:t>
      </w:r>
      <w:r>
        <w:rPr>
          <w:rFonts w:hint="eastAsia" w:ascii="宋体" w:hAnsi="宋体"/>
          <w:color w:val="auto"/>
          <w:szCs w:val="21"/>
          <w:highlight w:val="none"/>
          <w:lang w:eastAsia="zh-CN"/>
        </w:rPr>
        <w:t>，并装卸、交付至甲方</w:t>
      </w:r>
      <w:r>
        <w:rPr>
          <w:rFonts w:hint="eastAsia" w:ascii="宋体" w:hAnsi="宋体"/>
          <w:color w:val="auto"/>
          <w:szCs w:val="21"/>
          <w:highlight w:val="none"/>
        </w:rPr>
        <w:t>的一切运输事项，相关费用应</w:t>
      </w:r>
      <w:r>
        <w:rPr>
          <w:rFonts w:hint="eastAsia" w:ascii="宋体" w:hAnsi="宋体"/>
          <w:color w:val="auto"/>
          <w:szCs w:val="21"/>
          <w:highlight w:val="none"/>
          <w:lang w:eastAsia="zh-CN"/>
        </w:rPr>
        <w:t>包含</w:t>
      </w:r>
      <w:r>
        <w:rPr>
          <w:rFonts w:hint="eastAsia" w:ascii="宋体" w:hAnsi="宋体"/>
          <w:color w:val="auto"/>
          <w:szCs w:val="21"/>
          <w:highlight w:val="none"/>
        </w:rPr>
        <w:t>在合同</w:t>
      </w:r>
      <w:r>
        <w:rPr>
          <w:rFonts w:hint="eastAsia" w:ascii="宋体" w:hAnsi="宋体"/>
          <w:color w:val="auto"/>
          <w:szCs w:val="21"/>
          <w:highlight w:val="none"/>
          <w:lang w:eastAsia="zh-CN"/>
        </w:rPr>
        <w:t>价款</w:t>
      </w:r>
      <w:r>
        <w:rPr>
          <w:rFonts w:hint="eastAsia" w:ascii="宋体" w:hAnsi="宋体"/>
          <w:color w:val="auto"/>
          <w:szCs w:val="21"/>
          <w:highlight w:val="none"/>
        </w:rPr>
        <w:t>中。</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7</w:t>
      </w:r>
      <w:r>
        <w:rPr>
          <w:rFonts w:hint="eastAsia" w:ascii="宋体" w:hAnsi="宋体"/>
          <w:color w:val="auto"/>
          <w:szCs w:val="21"/>
          <w:highlight w:val="none"/>
        </w:rPr>
        <w:t>.3 货物保险要求按</w:t>
      </w:r>
      <w:r>
        <w:rPr>
          <w:rFonts w:hint="eastAsia" w:ascii="宋体" w:hAnsi="宋体"/>
          <w:b/>
          <w:color w:val="auto"/>
          <w:szCs w:val="21"/>
          <w:highlight w:val="none"/>
        </w:rPr>
        <w:t>【政府采购合同专用条款】</w:t>
      </w:r>
      <w:r>
        <w:rPr>
          <w:rFonts w:hint="eastAsia" w:ascii="宋体" w:hAnsi="宋体"/>
          <w:bCs/>
          <w:color w:val="auto"/>
          <w:szCs w:val="21"/>
          <w:highlight w:val="none"/>
        </w:rPr>
        <w:t>规定执行</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7</w:t>
      </w:r>
      <w:r>
        <w:rPr>
          <w:rFonts w:hint="eastAsia" w:ascii="宋体" w:hAnsi="宋体"/>
          <w:color w:val="auto"/>
          <w:szCs w:val="21"/>
          <w:highlight w:val="none"/>
        </w:rPr>
        <w:t xml:space="preserve">.4 </w:t>
      </w:r>
      <w:r>
        <w:rPr>
          <w:rFonts w:hint="eastAsia" w:ascii="宋体" w:hAnsi="宋体"/>
          <w:color w:val="auto"/>
          <w:szCs w:val="21"/>
          <w:highlight w:val="none"/>
          <w:lang w:val="en-US" w:eastAsia="zh-CN"/>
        </w:rPr>
        <w:t>除采购活动</w:t>
      </w:r>
      <w:r>
        <w:rPr>
          <w:rFonts w:hint="eastAsia" w:ascii="宋体" w:hAnsi="宋体"/>
          <w:color w:val="auto"/>
          <w:szCs w:val="21"/>
          <w:highlight w:val="none"/>
        </w:rPr>
        <w:t>对商品包装</w:t>
      </w:r>
      <w:r>
        <w:rPr>
          <w:rFonts w:hint="eastAsia" w:ascii="宋体" w:hAnsi="宋体"/>
          <w:color w:val="auto"/>
          <w:szCs w:val="21"/>
          <w:highlight w:val="none"/>
          <w:lang w:eastAsia="zh-CN"/>
        </w:rPr>
        <w:t>、</w:t>
      </w:r>
      <w:r>
        <w:rPr>
          <w:rFonts w:hint="eastAsia" w:ascii="宋体" w:hAnsi="宋体"/>
          <w:color w:val="auto"/>
          <w:szCs w:val="21"/>
          <w:highlight w:val="none"/>
        </w:rPr>
        <w:t>快递包装</w:t>
      </w:r>
      <w:r>
        <w:rPr>
          <w:rFonts w:hint="eastAsia" w:ascii="宋体" w:hAnsi="宋体"/>
          <w:color w:val="auto"/>
          <w:szCs w:val="21"/>
          <w:highlight w:val="none"/>
          <w:lang w:val="en-US" w:eastAsia="zh-CN"/>
        </w:rPr>
        <w:t>达成具体约定外</w:t>
      </w:r>
      <w:r>
        <w:rPr>
          <w:rFonts w:hint="eastAsia" w:ascii="宋体" w:hAnsi="宋体"/>
          <w:color w:val="auto"/>
          <w:szCs w:val="21"/>
          <w:highlight w:val="none"/>
        </w:rPr>
        <w:t>，乙方提供产品及相关快递服务</w:t>
      </w:r>
      <w:r>
        <w:rPr>
          <w:rFonts w:hint="eastAsia" w:ascii="宋体" w:hAnsi="宋体"/>
          <w:color w:val="auto"/>
          <w:szCs w:val="21"/>
          <w:highlight w:val="none"/>
          <w:lang w:val="en-US" w:eastAsia="zh-CN"/>
        </w:rPr>
        <w:t>涉及到</w:t>
      </w:r>
      <w:r>
        <w:rPr>
          <w:rFonts w:hint="eastAsia" w:ascii="宋体" w:hAnsi="宋体"/>
          <w:color w:val="auto"/>
          <w:szCs w:val="21"/>
          <w:highlight w:val="none"/>
        </w:rPr>
        <w:t>具体包装要求</w:t>
      </w:r>
      <w:r>
        <w:rPr>
          <w:rFonts w:hint="eastAsia" w:ascii="宋体" w:hAnsi="宋体"/>
          <w:color w:val="auto"/>
          <w:szCs w:val="21"/>
          <w:highlight w:val="none"/>
          <w:lang w:val="en-US" w:eastAsia="zh-CN"/>
        </w:rPr>
        <w:t>的，</w:t>
      </w:r>
      <w:r>
        <w:rPr>
          <w:rFonts w:hint="eastAsia" w:ascii="宋体" w:hAnsi="宋体"/>
          <w:color w:val="auto"/>
          <w:szCs w:val="21"/>
          <w:highlight w:val="none"/>
        </w:rPr>
        <w:t>应</w:t>
      </w:r>
      <w:r>
        <w:rPr>
          <w:rFonts w:hint="eastAsia" w:ascii="宋体" w:hAnsi="宋体"/>
          <w:color w:val="auto"/>
          <w:szCs w:val="21"/>
          <w:highlight w:val="none"/>
          <w:lang w:val="en-US" w:eastAsia="zh-CN"/>
        </w:rPr>
        <w:t>不低于</w:t>
      </w:r>
      <w:r>
        <w:rPr>
          <w:rFonts w:hint="eastAsia" w:ascii="宋体" w:hAnsi="宋体"/>
          <w:color w:val="auto"/>
          <w:szCs w:val="21"/>
          <w:highlight w:val="none"/>
        </w:rPr>
        <w:t>《商品包装政府采购需求标准（试行）</w:t>
      </w:r>
      <w:r>
        <w:rPr>
          <w:rFonts w:hint="eastAsia" w:ascii="宋体" w:hAnsi="宋体"/>
          <w:color w:val="auto"/>
          <w:szCs w:val="21"/>
          <w:highlight w:val="none"/>
          <w:lang w:eastAsia="zh-CN"/>
        </w:rPr>
        <w:t>》《</w:t>
      </w:r>
      <w:r>
        <w:rPr>
          <w:rFonts w:hint="eastAsia" w:ascii="宋体" w:hAnsi="宋体"/>
          <w:color w:val="auto"/>
          <w:szCs w:val="21"/>
          <w:highlight w:val="none"/>
        </w:rPr>
        <w:t>快递包装政府采购需求标准（试行）》</w:t>
      </w:r>
      <w:r>
        <w:rPr>
          <w:rFonts w:hint="eastAsia" w:ascii="宋体" w:hAnsi="宋体"/>
          <w:color w:val="auto"/>
          <w:szCs w:val="21"/>
          <w:highlight w:val="none"/>
          <w:lang w:val="en-US" w:eastAsia="zh-CN"/>
        </w:rPr>
        <w:t>标准</w:t>
      </w:r>
      <w:r>
        <w:rPr>
          <w:rFonts w:hint="eastAsia" w:ascii="宋体" w:hAnsi="宋体"/>
          <w:color w:val="auto"/>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7.5 </w:t>
      </w:r>
      <w:r>
        <w:rPr>
          <w:rFonts w:hint="eastAsia" w:ascii="宋体" w:hAnsi="宋体" w:eastAsia="宋体" w:cs="宋体"/>
          <w:color w:val="auto"/>
          <w:szCs w:val="21"/>
        </w:rPr>
        <w:t>乙方在运输到达之前</w:t>
      </w:r>
      <w:r>
        <w:rPr>
          <w:rFonts w:hint="eastAsia" w:ascii="宋体" w:hAnsi="宋体" w:cs="宋体"/>
          <w:color w:val="auto"/>
          <w:szCs w:val="21"/>
          <w:lang w:eastAsia="zh-CN"/>
        </w:rPr>
        <w:t>应</w:t>
      </w:r>
      <w:r>
        <w:rPr>
          <w:rFonts w:hint="eastAsia" w:ascii="宋体" w:hAnsi="宋体" w:eastAsia="宋体" w:cs="宋体"/>
          <w:color w:val="auto"/>
          <w:szCs w:val="21"/>
        </w:rPr>
        <w:t>提前通知</w:t>
      </w:r>
      <w:r>
        <w:rPr>
          <w:rFonts w:hint="eastAsia" w:ascii="宋体" w:hAnsi="宋体" w:cs="宋体"/>
          <w:color w:val="auto"/>
          <w:szCs w:val="21"/>
          <w:lang w:eastAsia="zh-CN"/>
        </w:rPr>
        <w:t>甲方</w:t>
      </w:r>
      <w:r>
        <w:rPr>
          <w:rFonts w:hint="eastAsia" w:ascii="宋体" w:hAnsi="宋体" w:eastAsia="宋体" w:cs="宋体"/>
          <w:color w:val="auto"/>
          <w:szCs w:val="21"/>
        </w:rPr>
        <w:t>，并提示货物运输装卸的注意事项</w:t>
      </w:r>
      <w:r>
        <w:rPr>
          <w:rFonts w:hint="eastAsia" w:ascii="宋体" w:hAnsi="宋体" w:cs="宋体"/>
          <w:color w:val="auto"/>
          <w:szCs w:val="21"/>
          <w:lang w:eastAsia="zh-CN"/>
        </w:rPr>
        <w:t>，甲方配合乙方做好货物的接收工作。</w:t>
      </w:r>
    </w:p>
    <w:p>
      <w:pPr>
        <w:pStyle w:val="62"/>
        <w:rPr>
          <w:rFonts w:hint="default" w:eastAsia="华文楷体"/>
          <w:color w:val="auto"/>
          <w:sz w:val="21"/>
          <w:lang w:val="en-US" w:eastAsia="zh-CN"/>
        </w:rPr>
      </w:pPr>
      <w:r>
        <w:rPr>
          <w:rFonts w:hint="eastAsia" w:ascii="宋体" w:hAnsi="宋体" w:eastAsia="宋体" w:cs="Times New Roman"/>
          <w:color w:val="auto"/>
          <w:kern w:val="2"/>
          <w:sz w:val="21"/>
          <w:szCs w:val="21"/>
          <w:highlight w:val="none"/>
          <w:lang w:val="en-US" w:eastAsia="zh-CN"/>
        </w:rPr>
        <w:t xml:space="preserve">7.6 </w:t>
      </w:r>
      <w:r>
        <w:rPr>
          <w:rFonts w:hint="eastAsia" w:ascii="宋体" w:hAnsi="宋体" w:eastAsia="宋体" w:cs="Times New Roman"/>
          <w:color w:val="auto"/>
          <w:kern w:val="2"/>
          <w:sz w:val="21"/>
          <w:szCs w:val="21"/>
          <w:highlight w:val="none"/>
        </w:rPr>
        <w:t>如因包装</w:t>
      </w:r>
      <w:r>
        <w:rPr>
          <w:rFonts w:hint="eastAsia" w:ascii="宋体" w:hAnsi="宋体" w:eastAsia="宋体" w:cs="Times New Roman"/>
          <w:color w:val="auto"/>
          <w:kern w:val="2"/>
          <w:sz w:val="21"/>
          <w:szCs w:val="21"/>
          <w:highlight w:val="none"/>
          <w:lang w:eastAsia="zh-CN"/>
        </w:rPr>
        <w:t>、运输</w:t>
      </w:r>
      <w:r>
        <w:rPr>
          <w:rFonts w:hint="eastAsia" w:ascii="宋体" w:hAnsi="宋体" w:eastAsia="宋体" w:cs="Times New Roman"/>
          <w:color w:val="auto"/>
          <w:kern w:val="2"/>
          <w:sz w:val="21"/>
          <w:szCs w:val="21"/>
          <w:highlight w:val="none"/>
        </w:rPr>
        <w:t>问题导致货物</w:t>
      </w:r>
      <w:r>
        <w:rPr>
          <w:rFonts w:hint="eastAsia" w:ascii="宋体" w:hAnsi="宋体" w:eastAsia="宋体" w:cs="Times New Roman"/>
          <w:color w:val="auto"/>
          <w:kern w:val="2"/>
          <w:sz w:val="21"/>
          <w:szCs w:val="21"/>
          <w:highlight w:val="none"/>
          <w:lang w:eastAsia="zh-CN"/>
        </w:rPr>
        <w:t>损毁、丢失</w:t>
      </w:r>
      <w:r>
        <w:rPr>
          <w:rFonts w:hint="eastAsia" w:ascii="宋体" w:hAnsi="宋体" w:eastAsia="宋体" w:cs="Times New Roman"/>
          <w:color w:val="auto"/>
          <w:kern w:val="2"/>
          <w:sz w:val="21"/>
          <w:szCs w:val="21"/>
          <w:highlight w:val="none"/>
        </w:rPr>
        <w:t>或者品质下降，</w:t>
      </w:r>
      <w:r>
        <w:rPr>
          <w:rFonts w:hint="eastAsia" w:ascii="宋体" w:hAnsi="宋体" w:eastAsia="宋体" w:cs="Times New Roman"/>
          <w:color w:val="auto"/>
          <w:kern w:val="2"/>
          <w:sz w:val="21"/>
          <w:szCs w:val="21"/>
          <w:highlight w:val="none"/>
          <w:lang w:eastAsia="zh-CN"/>
        </w:rPr>
        <w:t>甲方</w:t>
      </w:r>
      <w:r>
        <w:rPr>
          <w:rFonts w:hint="eastAsia" w:ascii="宋体" w:hAnsi="宋体" w:eastAsia="宋体" w:cs="Times New Roman"/>
          <w:color w:val="auto"/>
          <w:kern w:val="2"/>
          <w:sz w:val="21"/>
          <w:szCs w:val="21"/>
          <w:highlight w:val="none"/>
        </w:rPr>
        <w:t>有权要求降价、换货、拒收部分或整批货物，由此</w:t>
      </w:r>
      <w:r>
        <w:rPr>
          <w:rFonts w:hint="eastAsia" w:ascii="宋体" w:hAnsi="宋体" w:eastAsia="宋体" w:cs="Times New Roman"/>
          <w:color w:val="auto"/>
          <w:kern w:val="2"/>
          <w:sz w:val="21"/>
          <w:szCs w:val="21"/>
          <w:highlight w:val="none"/>
          <w:lang w:eastAsia="zh-CN"/>
        </w:rPr>
        <w:t>产生</w:t>
      </w:r>
      <w:r>
        <w:rPr>
          <w:rFonts w:hint="eastAsia" w:ascii="宋体" w:hAnsi="宋体" w:eastAsia="宋体" w:cs="Times New Roman"/>
          <w:color w:val="auto"/>
          <w:kern w:val="2"/>
          <w:sz w:val="21"/>
          <w:szCs w:val="21"/>
          <w:highlight w:val="none"/>
        </w:rPr>
        <w:t>的费用和损失，均由</w:t>
      </w:r>
      <w:r>
        <w:rPr>
          <w:rFonts w:hint="eastAsia" w:ascii="宋体" w:hAnsi="宋体" w:eastAsia="宋体" w:cs="Times New Roman"/>
          <w:color w:val="auto"/>
          <w:kern w:val="2"/>
          <w:sz w:val="21"/>
          <w:szCs w:val="21"/>
          <w:highlight w:val="none"/>
          <w:lang w:eastAsia="zh-CN"/>
        </w:rPr>
        <w:t>乙方</w:t>
      </w:r>
      <w:r>
        <w:rPr>
          <w:rFonts w:hint="eastAsia" w:ascii="宋体" w:hAnsi="宋体" w:eastAsia="宋体" w:cs="Times New Roman"/>
          <w:color w:val="auto"/>
          <w:kern w:val="2"/>
          <w:sz w:val="21"/>
          <w:szCs w:val="21"/>
          <w:highlight w:val="none"/>
        </w:rPr>
        <w:t>承担。</w:t>
      </w:r>
    </w:p>
    <w:p>
      <w:pPr>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lang w:eastAsia="zh-CN"/>
        </w:rPr>
        <w:t>8</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质量标准和保证</w:t>
      </w:r>
    </w:p>
    <w:p>
      <w:pPr>
        <w:pStyle w:val="12"/>
        <w:adjustRightInd w:val="0"/>
        <w:snapToGrid w:val="0"/>
        <w:spacing w:before="0" w:line="400" w:lineRule="exact"/>
        <w:ind w:firstLine="422" w:firstLineChars="200"/>
        <w:jc w:val="left"/>
        <w:rPr>
          <w:rFonts w:hAnsi="宋体"/>
          <w:b/>
          <w:color w:val="auto"/>
          <w:highlight w:val="none"/>
        </w:rPr>
      </w:pPr>
      <w:r>
        <w:rPr>
          <w:rFonts w:hint="eastAsia" w:hAnsi="宋体"/>
          <w:color w:val="auto"/>
          <w:highlight w:val="none"/>
          <w:lang w:eastAsia="zh-CN"/>
        </w:rPr>
        <w:t>8</w:t>
      </w:r>
      <w:r>
        <w:rPr>
          <w:rFonts w:hint="eastAsia" w:hAnsi="宋体"/>
          <w:color w:val="auto"/>
          <w:highlight w:val="none"/>
        </w:rPr>
        <w:t>.1 质量标准</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（1）本合同下</w:t>
      </w:r>
      <w:r>
        <w:rPr>
          <w:rFonts w:hint="eastAsia" w:ascii="宋体" w:hAnsi="宋体"/>
          <w:color w:val="auto"/>
          <w:szCs w:val="21"/>
          <w:highlight w:val="none"/>
          <w:lang w:eastAsia="zh-CN"/>
        </w:rPr>
        <w:t>提供</w:t>
      </w:r>
      <w:r>
        <w:rPr>
          <w:rFonts w:hint="eastAsia" w:ascii="宋体" w:hAnsi="宋体"/>
          <w:color w:val="auto"/>
          <w:szCs w:val="21"/>
          <w:highlight w:val="none"/>
        </w:rPr>
        <w:t>的货物应符合</w:t>
      </w:r>
      <w:r>
        <w:rPr>
          <w:rFonts w:hint="eastAsia" w:ascii="宋体" w:hAnsi="宋体"/>
          <w:color w:val="auto"/>
          <w:szCs w:val="21"/>
          <w:highlight w:val="none"/>
          <w:lang w:eastAsia="zh-CN"/>
        </w:rPr>
        <w:t>合同</w:t>
      </w:r>
      <w:r>
        <w:rPr>
          <w:rFonts w:hint="eastAsia" w:ascii="宋体" w:hAnsi="宋体" w:cs="宋体"/>
          <w:color w:val="auto"/>
          <w:szCs w:val="21"/>
          <w:lang w:eastAsia="zh-CN"/>
        </w:rPr>
        <w:t>约</w:t>
      </w:r>
      <w:r>
        <w:rPr>
          <w:rFonts w:hint="eastAsia" w:ascii="宋体" w:hAnsi="宋体" w:eastAsia="宋体" w:cs="宋体"/>
          <w:color w:val="auto"/>
          <w:szCs w:val="21"/>
        </w:rPr>
        <w:t>定的品牌、规格型号、技术性能、配置、质量、数量等要求。</w:t>
      </w:r>
      <w:r>
        <w:rPr>
          <w:rFonts w:hint="eastAsia" w:ascii="宋体" w:hAnsi="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color w:val="auto"/>
          <w:szCs w:val="21"/>
          <w:highlight w:val="none"/>
          <w:lang w:eastAsia="zh-CN"/>
        </w:rPr>
        <w:t>。</w:t>
      </w:r>
    </w:p>
    <w:p>
      <w:pPr>
        <w:pStyle w:val="12"/>
        <w:adjustRightInd w:val="0"/>
        <w:snapToGrid w:val="0"/>
        <w:spacing w:before="0" w:line="400" w:lineRule="exact"/>
        <w:ind w:firstLine="422" w:firstLineChars="200"/>
        <w:jc w:val="left"/>
        <w:rPr>
          <w:rFonts w:hAnsi="宋体"/>
          <w:color w:val="auto"/>
          <w:highlight w:val="none"/>
        </w:rPr>
      </w:pPr>
      <w:r>
        <w:rPr>
          <w:rFonts w:hint="eastAsia" w:hAnsi="宋体"/>
          <w:color w:val="auto"/>
          <w:highlight w:val="none"/>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（3）乙方所</w:t>
      </w:r>
      <w:r>
        <w:rPr>
          <w:rFonts w:hint="eastAsia" w:ascii="宋体" w:hAnsi="宋体"/>
          <w:color w:val="auto"/>
          <w:szCs w:val="21"/>
          <w:highlight w:val="none"/>
          <w:lang w:eastAsia="zh-CN"/>
        </w:rPr>
        <w:t>提供</w:t>
      </w:r>
      <w:r>
        <w:rPr>
          <w:rFonts w:hint="eastAsia" w:ascii="宋体" w:hAnsi="宋体"/>
          <w:color w:val="auto"/>
          <w:szCs w:val="21"/>
          <w:highlight w:val="none"/>
        </w:rPr>
        <w:t>的货物应符合国家有关安全、环保、卫生</w:t>
      </w:r>
      <w:r>
        <w:rPr>
          <w:rFonts w:hint="eastAsia" w:ascii="宋体" w:hAnsi="宋体"/>
          <w:color w:val="auto"/>
          <w:szCs w:val="21"/>
          <w:highlight w:val="none"/>
          <w:lang w:eastAsia="zh-CN"/>
        </w:rPr>
        <w:t>的</w:t>
      </w:r>
      <w:r>
        <w:rPr>
          <w:rFonts w:hint="eastAsia" w:ascii="宋体" w:hAnsi="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（4）乙方应向甲方提交所</w:t>
      </w:r>
      <w:r>
        <w:rPr>
          <w:rFonts w:hint="eastAsia" w:ascii="宋体" w:hAnsi="宋体"/>
          <w:color w:val="auto"/>
          <w:szCs w:val="21"/>
          <w:highlight w:val="none"/>
          <w:lang w:eastAsia="zh-CN"/>
        </w:rPr>
        <w:t>提供</w:t>
      </w:r>
      <w:r>
        <w:rPr>
          <w:rFonts w:hint="eastAsia" w:ascii="宋体" w:hAnsi="宋体"/>
          <w:color w:val="auto"/>
          <w:szCs w:val="21"/>
          <w:highlight w:val="none"/>
        </w:rPr>
        <w:t>货物的技术文件，包括相应的中文技术文件，如：产品目录、图纸、操作手册、使用说明、维护手册或服务指南</w:t>
      </w:r>
      <w:r>
        <w:rPr>
          <w:rFonts w:hint="eastAsia" w:ascii="宋体" w:hAnsi="宋体"/>
          <w:color w:val="auto"/>
          <w:szCs w:val="21"/>
          <w:highlight w:val="none"/>
          <w:lang w:eastAsia="zh-CN"/>
        </w:rPr>
        <w:t>等</w:t>
      </w:r>
      <w:r>
        <w:rPr>
          <w:rFonts w:hint="eastAsia" w:ascii="宋体" w:hAnsi="宋体"/>
          <w:color w:val="auto"/>
          <w:szCs w:val="21"/>
          <w:highlight w:val="none"/>
        </w:rPr>
        <w:t>。</w:t>
      </w:r>
      <w:r>
        <w:rPr>
          <w:rFonts w:hint="eastAsia" w:ascii="宋体" w:hAnsi="宋体"/>
          <w:color w:val="auto"/>
          <w:szCs w:val="21"/>
          <w:highlight w:val="none"/>
          <w:lang w:eastAsia="zh-CN"/>
        </w:rPr>
        <w:t>上述</w:t>
      </w:r>
      <w:r>
        <w:rPr>
          <w:rFonts w:hint="eastAsia" w:ascii="宋体" w:hAnsi="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8</w:t>
      </w:r>
      <w:r>
        <w:rPr>
          <w:rFonts w:hint="eastAsia" w:ascii="宋体" w:hAnsi="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（1）乙方应保证</w:t>
      </w:r>
      <w:r>
        <w:rPr>
          <w:rFonts w:hint="eastAsia" w:ascii="宋体" w:hAnsi="宋体"/>
          <w:color w:val="auto"/>
          <w:szCs w:val="21"/>
          <w:highlight w:val="none"/>
          <w:lang w:eastAsia="zh-CN"/>
        </w:rPr>
        <w:t>提供的货物</w:t>
      </w:r>
      <w:r>
        <w:rPr>
          <w:rFonts w:hint="eastAsia" w:ascii="宋体" w:hAnsi="宋体"/>
          <w:color w:val="auto"/>
          <w:szCs w:val="21"/>
          <w:highlight w:val="none"/>
        </w:rPr>
        <w:t>完全符合合同规定的质量、规格和性能要求。乙方应保证货物在正确安装、正常使用和保养条件下，</w:t>
      </w:r>
      <w:r>
        <w:rPr>
          <w:rFonts w:hint="eastAsia" w:ascii="宋体" w:hAnsi="宋体" w:eastAsia="宋体" w:cs="宋体"/>
          <w:color w:val="auto"/>
          <w:szCs w:val="21"/>
        </w:rPr>
        <w:t>在其使用寿命期内具</w:t>
      </w:r>
      <w:r>
        <w:rPr>
          <w:rFonts w:hint="eastAsia" w:ascii="宋体" w:hAnsi="宋体" w:cs="宋体"/>
          <w:color w:val="auto"/>
          <w:szCs w:val="21"/>
          <w:lang w:eastAsia="zh-CN"/>
        </w:rPr>
        <w:t>备合同约定</w:t>
      </w:r>
      <w:r>
        <w:rPr>
          <w:rFonts w:hint="eastAsia" w:ascii="宋体" w:hAnsi="宋体" w:eastAsia="宋体" w:cs="宋体"/>
          <w:color w:val="auto"/>
          <w:szCs w:val="21"/>
        </w:rPr>
        <w:t>的性能</w:t>
      </w:r>
      <w:r>
        <w:rPr>
          <w:rFonts w:hint="eastAsia" w:ascii="宋体" w:hAnsi="宋体"/>
          <w:color w:val="auto"/>
          <w:szCs w:val="21"/>
          <w:highlight w:val="none"/>
        </w:rPr>
        <w:t>。</w:t>
      </w:r>
      <w:r>
        <w:rPr>
          <w:rFonts w:hint="eastAsia" w:ascii="宋体" w:hAnsi="宋体"/>
          <w:color w:val="auto"/>
          <w:szCs w:val="21"/>
          <w:highlight w:val="none"/>
          <w:lang w:eastAsia="zh-CN"/>
        </w:rPr>
        <w:t>存在</w:t>
      </w:r>
      <w:r>
        <w:rPr>
          <w:rFonts w:hint="eastAsia" w:ascii="宋体" w:hAnsi="宋体"/>
          <w:color w:val="auto"/>
          <w:szCs w:val="21"/>
          <w:highlight w:val="none"/>
        </w:rPr>
        <w:t>质量保证期的，货物最终交付验收</w:t>
      </w:r>
      <w:r>
        <w:rPr>
          <w:rFonts w:hint="eastAsia" w:ascii="宋体" w:hAnsi="宋体"/>
          <w:color w:val="auto"/>
          <w:szCs w:val="21"/>
          <w:highlight w:val="none"/>
          <w:lang w:eastAsia="zh-CN"/>
        </w:rPr>
        <w:t>合格</w:t>
      </w:r>
      <w:r>
        <w:rPr>
          <w:rFonts w:hint="eastAsia" w:ascii="宋体" w:hAnsi="宋体"/>
          <w:color w:val="auto"/>
          <w:szCs w:val="21"/>
          <w:highlight w:val="none"/>
        </w:rPr>
        <w:t>后</w:t>
      </w:r>
      <w:r>
        <w:rPr>
          <w:rFonts w:hint="eastAsia" w:ascii="宋体" w:hAnsi="宋体"/>
          <w:color w:val="auto"/>
          <w:szCs w:val="21"/>
          <w:highlight w:val="none"/>
          <w:lang w:eastAsia="zh-CN"/>
        </w:rPr>
        <w:t>在</w:t>
      </w:r>
      <w:r>
        <w:rPr>
          <w:rFonts w:hint="eastAsia" w:ascii="宋体" w:hAnsi="宋体"/>
          <w:b/>
          <w:color w:val="auto"/>
          <w:szCs w:val="21"/>
          <w:highlight w:val="none"/>
        </w:rPr>
        <w:t>【政府采购合同专用条款】</w:t>
      </w:r>
      <w:r>
        <w:rPr>
          <w:rFonts w:hint="eastAsia" w:ascii="宋体" w:hAnsi="宋体"/>
          <w:color w:val="auto"/>
          <w:szCs w:val="21"/>
          <w:highlight w:val="none"/>
        </w:rPr>
        <w:t>规定或乙方</w:t>
      </w:r>
      <w:r>
        <w:rPr>
          <w:rFonts w:hint="eastAsia" w:ascii="宋体" w:hAnsi="宋体"/>
          <w:color w:val="auto"/>
          <w:szCs w:val="21"/>
          <w:highlight w:val="none"/>
          <w:lang w:eastAsia="zh-CN"/>
        </w:rPr>
        <w:t>书面</w:t>
      </w:r>
      <w:r>
        <w:rPr>
          <w:rFonts w:hint="eastAsia" w:ascii="宋体" w:hAnsi="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（3）乙方收到通知后</w:t>
      </w:r>
      <w:r>
        <w:rPr>
          <w:rFonts w:hint="eastAsia" w:ascii="宋体" w:hAnsi="宋体"/>
          <w:color w:val="auto"/>
          <w:szCs w:val="21"/>
          <w:highlight w:val="none"/>
          <w:lang w:eastAsia="zh-CN"/>
        </w:rPr>
        <w:t>，</w:t>
      </w:r>
      <w:r>
        <w:rPr>
          <w:rFonts w:hint="eastAsia" w:ascii="宋体" w:hAnsi="宋体"/>
          <w:color w:val="auto"/>
          <w:szCs w:val="21"/>
          <w:highlight w:val="none"/>
        </w:rPr>
        <w:t>应在</w:t>
      </w:r>
      <w:r>
        <w:rPr>
          <w:rFonts w:hint="eastAsia" w:ascii="宋体" w:hAnsi="宋体"/>
          <w:b/>
          <w:color w:val="auto"/>
          <w:szCs w:val="21"/>
          <w:highlight w:val="none"/>
        </w:rPr>
        <w:t>【政府采购合同专用条款】</w:t>
      </w:r>
      <w:r>
        <w:rPr>
          <w:rFonts w:hint="eastAsia" w:ascii="宋体" w:hAnsi="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color w:val="auto"/>
          <w:szCs w:val="21"/>
          <w:highlight w:val="none"/>
          <w:lang w:val="en-US" w:eastAsia="zh-CN"/>
        </w:rPr>
        <w:t>5</w:t>
      </w:r>
      <w:r>
        <w:rPr>
          <w:rFonts w:hint="eastAsia" w:ascii="宋体" w:hAnsi="宋体"/>
          <w:color w:val="auto"/>
          <w:szCs w:val="21"/>
          <w:highlight w:val="none"/>
        </w:rPr>
        <w:t>.1条规定以书面形式</w:t>
      </w:r>
      <w:r>
        <w:rPr>
          <w:rFonts w:hint="eastAsia" w:ascii="宋体" w:hAnsi="宋体"/>
          <w:color w:val="auto"/>
          <w:szCs w:val="21"/>
          <w:highlight w:val="none"/>
          <w:lang w:eastAsia="zh-CN"/>
        </w:rPr>
        <w:t>追究</w:t>
      </w:r>
      <w:r>
        <w:rPr>
          <w:rFonts w:hint="eastAsia" w:ascii="宋体" w:hAnsi="宋体"/>
          <w:color w:val="auto"/>
          <w:szCs w:val="21"/>
          <w:highlight w:val="none"/>
        </w:rPr>
        <w:t>乙方</w:t>
      </w:r>
      <w:r>
        <w:rPr>
          <w:rFonts w:hint="eastAsia" w:ascii="宋体" w:hAnsi="宋体"/>
          <w:color w:val="auto"/>
          <w:szCs w:val="21"/>
          <w:highlight w:val="none"/>
          <w:lang w:eastAsia="zh-CN"/>
        </w:rPr>
        <w:t>的违约责任</w:t>
      </w:r>
      <w:r>
        <w:rPr>
          <w:rFonts w:hint="eastAsia" w:ascii="宋体" w:hAnsi="宋体"/>
          <w:color w:val="auto"/>
          <w:szCs w:val="21"/>
          <w:highlight w:val="none"/>
        </w:rPr>
        <w:t>。</w:t>
      </w:r>
    </w:p>
    <w:p>
      <w:pPr>
        <w:adjustRightInd w:val="0"/>
        <w:snapToGrid w:val="0"/>
        <w:spacing w:before="0" w:line="400" w:lineRule="exact"/>
        <w:ind w:firstLine="420" w:firstLineChars="200"/>
        <w:jc w:val="left"/>
        <w:rPr>
          <w:color w:val="auto"/>
          <w:highlight w:val="none"/>
        </w:rPr>
      </w:pPr>
      <w:r>
        <w:rPr>
          <w:rFonts w:hint="eastAsia" w:ascii="宋体" w:hAnsi="宋体"/>
          <w:color w:val="auto"/>
          <w:szCs w:val="21"/>
          <w:highlight w:val="none"/>
        </w:rPr>
        <w:t>（5）乙方在约定的时间内未能弥补缺陷，甲方可采取必要的补救措施，但其风险和费用将由乙方承担，甲方根据合同</w:t>
      </w:r>
      <w:r>
        <w:rPr>
          <w:rFonts w:hint="eastAsia" w:ascii="宋体" w:hAnsi="宋体"/>
          <w:color w:val="auto"/>
          <w:szCs w:val="21"/>
          <w:highlight w:val="none"/>
          <w:lang w:eastAsia="zh-CN"/>
        </w:rPr>
        <w:t>约定</w:t>
      </w:r>
      <w:r>
        <w:rPr>
          <w:rFonts w:hint="eastAsia" w:ascii="宋体" w:hAnsi="宋体"/>
          <w:color w:val="auto"/>
          <w:szCs w:val="21"/>
          <w:highlight w:val="none"/>
        </w:rPr>
        <w:t>对乙方行使的其他权利不受影响。</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9</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9</w:t>
      </w:r>
      <w:r>
        <w:rPr>
          <w:rFonts w:hint="eastAsia" w:ascii="宋体" w:hAnsi="宋体"/>
          <w:color w:val="auto"/>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9</w:t>
      </w:r>
      <w:r>
        <w:rPr>
          <w:rFonts w:hint="eastAsia" w:ascii="宋体" w:hAnsi="宋体"/>
          <w:color w:val="auto"/>
          <w:szCs w:val="21"/>
          <w:highlight w:val="none"/>
        </w:rPr>
        <w:t xml:space="preserve">.2 </w:t>
      </w:r>
      <w:r>
        <w:rPr>
          <w:rFonts w:hint="eastAsia" w:ascii="宋体" w:hAnsi="宋体" w:eastAsia="宋体" w:cs="宋体"/>
          <w:color w:val="auto"/>
          <w:szCs w:val="15"/>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9</w:t>
      </w:r>
      <w:r>
        <w:rPr>
          <w:rFonts w:hint="eastAsia" w:ascii="宋体" w:hAnsi="宋体"/>
          <w:color w:val="auto"/>
          <w:szCs w:val="21"/>
          <w:highlight w:val="none"/>
        </w:rPr>
        <w:t>.3 如甲方使用</w:t>
      </w:r>
      <w:r>
        <w:rPr>
          <w:rFonts w:hint="eastAsia" w:ascii="宋体" w:hAnsi="宋体"/>
          <w:color w:val="auto"/>
          <w:szCs w:val="21"/>
          <w:highlight w:val="none"/>
          <w:lang w:val="en-US" w:eastAsia="zh-CN"/>
        </w:rPr>
        <w:t>上述</w:t>
      </w:r>
      <w:r>
        <w:rPr>
          <w:rFonts w:hint="eastAsia" w:ascii="宋体" w:hAnsi="宋体"/>
          <w:color w:val="auto"/>
          <w:szCs w:val="21"/>
          <w:highlight w:val="none"/>
        </w:rPr>
        <w:t>货物构成</w:t>
      </w:r>
      <w:r>
        <w:rPr>
          <w:rFonts w:hint="eastAsia" w:ascii="宋体" w:hAnsi="宋体"/>
          <w:color w:val="auto"/>
          <w:szCs w:val="21"/>
          <w:highlight w:val="none"/>
          <w:lang w:val="en-US" w:eastAsia="zh-CN"/>
        </w:rPr>
        <w:t>对第三人</w:t>
      </w:r>
      <w:r>
        <w:rPr>
          <w:rFonts w:hint="eastAsia" w:ascii="宋体" w:hAnsi="宋体"/>
          <w:color w:val="auto"/>
          <w:szCs w:val="21"/>
          <w:highlight w:val="none"/>
        </w:rPr>
        <w:t>侵权的，则由乙方承担全部责任。</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0</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知识产权保护</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0</w:t>
      </w:r>
      <w:r>
        <w:rPr>
          <w:rFonts w:hint="eastAsia" w:ascii="宋体" w:hAnsi="宋体"/>
          <w:color w:val="auto"/>
          <w:szCs w:val="21"/>
          <w:highlight w:val="none"/>
        </w:rPr>
        <w:t>.1 乙方对其所销售的货物应当享有知识产权或经权利人合法授权，保证没有侵犯任何第三人的知识产权等权利。</w:t>
      </w:r>
      <w:bookmarkStart w:id="152" w:name="_Hlk163047038"/>
      <w:r>
        <w:rPr>
          <w:rFonts w:hint="eastAsia" w:ascii="宋体" w:hAnsi="宋体" w:eastAsia="宋体" w:cs="宋体"/>
          <w:color w:val="auto"/>
          <w:szCs w:val="15"/>
        </w:rPr>
        <w:t>因违反前述约定对第三人构成侵权的，应当由乙方向第三人承担法律责任；甲方依法向第三人赔偿后，有权向乙方追偿。甲方有其他损失的，乙方应当赔偿</w:t>
      </w:r>
      <w:bookmarkEnd w:id="152"/>
      <w:r>
        <w:rPr>
          <w:rFonts w:hint="eastAsia" w:ascii="宋体" w:hAnsi="宋体"/>
          <w:color w:val="auto"/>
          <w:szCs w:val="21"/>
          <w:highlight w:val="none"/>
        </w:rPr>
        <w:t>。</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1</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color w:val="auto"/>
          <w:szCs w:val="15"/>
        </w:rPr>
      </w:pPr>
      <w:r>
        <w:rPr>
          <w:rFonts w:hint="eastAsia" w:ascii="宋体" w:hAnsi="宋体" w:cs="宋体"/>
          <w:color w:val="auto"/>
          <w:szCs w:val="15"/>
          <w:lang w:val="en-US" w:eastAsia="zh-CN"/>
        </w:rPr>
        <w:t xml:space="preserve">11.1 </w:t>
      </w:r>
      <w:r>
        <w:rPr>
          <w:rFonts w:hint="eastAsia" w:ascii="宋体" w:hAnsi="宋体" w:eastAsia="宋体" w:cs="宋体"/>
          <w:color w:val="auto"/>
          <w:szCs w:val="15"/>
        </w:rPr>
        <w:t>甲、乙双方</w:t>
      </w:r>
      <w:r>
        <w:rPr>
          <w:rFonts w:hint="eastAsia" w:ascii="宋体" w:hAnsi="宋体" w:cs="宋体"/>
          <w:color w:val="auto"/>
          <w:szCs w:val="15"/>
          <w:lang w:eastAsia="zh-CN"/>
        </w:rPr>
        <w:t>对</w:t>
      </w:r>
      <w:r>
        <w:rPr>
          <w:rFonts w:hint="eastAsia" w:ascii="宋体" w:hAnsi="宋体" w:eastAsia="宋体" w:cs="宋体"/>
          <w:color w:val="auto"/>
          <w:szCs w:val="15"/>
        </w:rPr>
        <w:t>采购和合同履行过程中所获悉的</w:t>
      </w:r>
      <w:r>
        <w:rPr>
          <w:rFonts w:hint="eastAsia" w:ascii="宋体" w:hAnsi="宋体" w:cs="宋体"/>
          <w:color w:val="auto"/>
          <w:szCs w:val="15"/>
          <w:lang w:eastAsia="zh-CN"/>
        </w:rPr>
        <w:t>国家秘密、工作秘密、</w:t>
      </w:r>
      <w:r>
        <w:rPr>
          <w:rFonts w:hint="eastAsia" w:ascii="宋体" w:hAnsi="宋体" w:eastAsia="宋体" w:cs="宋体"/>
          <w:color w:val="auto"/>
          <w:szCs w:val="15"/>
        </w:rPr>
        <w:t>商业秘密或者其他应当保密的信息，均有保密义务</w:t>
      </w:r>
      <w:r>
        <w:rPr>
          <w:rFonts w:hint="eastAsia" w:ascii="宋体" w:hAnsi="宋体" w:cs="宋体"/>
          <w:color w:val="auto"/>
          <w:szCs w:val="15"/>
          <w:lang w:eastAsia="zh-CN"/>
        </w:rPr>
        <w:t>且不受合同有效期所限，直至该信息成为公开信息</w:t>
      </w:r>
      <w:r>
        <w:rPr>
          <w:rFonts w:hint="eastAsia" w:ascii="宋体" w:hAnsi="宋体" w:eastAsia="宋体" w:cs="宋体"/>
          <w:color w:val="auto"/>
          <w:szCs w:val="15"/>
        </w:rPr>
        <w:t>。泄露、不正当地使用</w:t>
      </w:r>
      <w:r>
        <w:rPr>
          <w:rFonts w:hint="eastAsia" w:ascii="宋体" w:hAnsi="宋体" w:cs="宋体"/>
          <w:color w:val="auto"/>
          <w:szCs w:val="15"/>
          <w:lang w:eastAsia="zh-CN"/>
        </w:rPr>
        <w:t>国家秘密、工作秘密、</w:t>
      </w:r>
      <w:r>
        <w:rPr>
          <w:rFonts w:hint="eastAsia" w:ascii="宋体" w:hAnsi="宋体" w:eastAsia="宋体" w:cs="宋体"/>
          <w:color w:val="auto"/>
          <w:szCs w:val="15"/>
        </w:rPr>
        <w:t>商业秘密或者</w:t>
      </w:r>
      <w:r>
        <w:rPr>
          <w:rFonts w:hint="eastAsia" w:ascii="宋体" w:hAnsi="宋体" w:cs="宋体"/>
          <w:color w:val="auto"/>
          <w:szCs w:val="15"/>
          <w:lang w:eastAsia="zh-CN"/>
        </w:rPr>
        <w:t>其他应当保密的</w:t>
      </w:r>
      <w:r>
        <w:rPr>
          <w:rFonts w:hint="eastAsia" w:ascii="宋体" w:hAnsi="宋体" w:eastAsia="宋体" w:cs="宋体"/>
          <w:color w:val="auto"/>
          <w:szCs w:val="15"/>
        </w:rPr>
        <w:t>信息，应当承担</w:t>
      </w:r>
      <w:r>
        <w:rPr>
          <w:rFonts w:hint="eastAsia" w:ascii="宋体" w:hAnsi="宋体" w:cs="宋体"/>
          <w:color w:val="auto"/>
          <w:szCs w:val="15"/>
          <w:lang w:eastAsia="zh-CN"/>
        </w:rPr>
        <w:t>相应</w:t>
      </w:r>
      <w:r>
        <w:rPr>
          <w:rFonts w:hint="eastAsia" w:ascii="宋体" w:hAnsi="宋体" w:eastAsia="宋体" w:cs="宋体"/>
          <w:color w:val="auto"/>
          <w:szCs w:val="15"/>
        </w:rPr>
        <w:t>责任。其他应当保密的信息由双方在</w:t>
      </w:r>
      <w:r>
        <w:rPr>
          <w:rFonts w:hint="eastAsia" w:ascii="宋体" w:hAnsi="宋体" w:eastAsia="宋体" w:cs="宋体"/>
          <w:b/>
          <w:bCs/>
          <w:color w:val="auto"/>
          <w:szCs w:val="15"/>
        </w:rPr>
        <w:t>【政府采购合同专用条款】</w:t>
      </w:r>
      <w:r>
        <w:rPr>
          <w:rFonts w:hint="eastAsia" w:ascii="宋体" w:hAnsi="宋体" w:eastAsia="宋体" w:cs="宋体"/>
          <w:color w:val="auto"/>
          <w:szCs w:val="15"/>
        </w:rPr>
        <w:t>中约定。</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2</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eastAsia="zh-CN"/>
        </w:rPr>
        <w:t>2</w:t>
      </w:r>
      <w:r>
        <w:rPr>
          <w:rFonts w:hint="eastAsia" w:ascii="宋体" w:hAnsi="宋体"/>
          <w:color w:val="auto"/>
          <w:szCs w:val="21"/>
          <w:highlight w:val="none"/>
        </w:rPr>
        <w:t xml:space="preserve">.1 </w:t>
      </w:r>
      <w:r>
        <w:rPr>
          <w:rFonts w:hint="eastAsia" w:ascii="宋体" w:hAnsi="宋体"/>
          <w:color w:val="auto"/>
          <w:szCs w:val="21"/>
          <w:highlight w:val="none"/>
          <w:lang w:eastAsia="zh-CN"/>
        </w:rPr>
        <w:t>合同价款支付</w:t>
      </w:r>
      <w:r>
        <w:rPr>
          <w:rFonts w:hint="eastAsia" w:ascii="宋体" w:hAnsi="宋体"/>
          <w:color w:val="auto"/>
          <w:szCs w:val="21"/>
          <w:highlight w:val="none"/>
        </w:rPr>
        <w:t>按照国库集中支付</w:t>
      </w:r>
      <w:r>
        <w:rPr>
          <w:rFonts w:hint="eastAsia" w:ascii="宋体" w:hAnsi="宋体"/>
          <w:color w:val="auto"/>
          <w:szCs w:val="21"/>
          <w:highlight w:val="none"/>
          <w:lang w:eastAsia="zh-CN"/>
        </w:rPr>
        <w:t>制度及财政管理相关</w:t>
      </w:r>
      <w:r>
        <w:rPr>
          <w:rFonts w:hint="eastAsia" w:ascii="宋体" w:hAnsi="宋体"/>
          <w:color w:val="auto"/>
          <w:szCs w:val="21"/>
          <w:highlight w:val="none"/>
        </w:rPr>
        <w:t>规定执行。</w:t>
      </w:r>
    </w:p>
    <w:p>
      <w:pPr>
        <w:pStyle w:val="4"/>
        <w:spacing w:line="400" w:lineRule="exact"/>
        <w:ind w:firstLine="420" w:firstLineChars="200"/>
        <w:rPr>
          <w:rFonts w:hint="eastAsia" w:eastAsia="宋体"/>
          <w:color w:val="auto"/>
          <w:highlight w:val="none"/>
          <w:lang w:eastAsia="zh-CN"/>
        </w:rPr>
      </w:pPr>
      <w:r>
        <w:rPr>
          <w:rFonts w:hint="eastAsia" w:ascii="宋体" w:hAnsi="宋体" w:cs="Times New Roman"/>
          <w:b w:val="0"/>
          <w:bCs w:val="0"/>
          <w:color w:val="auto"/>
          <w:sz w:val="21"/>
          <w:szCs w:val="21"/>
          <w:highlight w:val="none"/>
          <w:lang w:val="en-US" w:eastAsia="zh-CN"/>
        </w:rPr>
        <w:t xml:space="preserve">12.2 </w:t>
      </w:r>
      <w:r>
        <w:rPr>
          <w:rFonts w:hint="eastAsia" w:ascii="宋体" w:hAnsi="宋体" w:eastAsia="宋体" w:cs="Times New Roman"/>
          <w:b w:val="0"/>
          <w:bCs w:val="0"/>
          <w:color w:val="auto"/>
          <w:kern w:val="2"/>
          <w:sz w:val="21"/>
          <w:szCs w:val="21"/>
          <w:highlight w:val="none"/>
        </w:rPr>
        <w:t>对于满足合同约定支付条件的，</w:t>
      </w:r>
      <w:r>
        <w:rPr>
          <w:rFonts w:hint="eastAsia" w:ascii="宋体" w:hAnsi="宋体" w:eastAsia="宋体" w:cs="Times New Roman"/>
          <w:b w:val="0"/>
          <w:bCs w:val="0"/>
          <w:color w:val="auto"/>
          <w:kern w:val="2"/>
          <w:sz w:val="21"/>
          <w:szCs w:val="21"/>
          <w:highlight w:val="none"/>
          <w:lang w:val="en-US" w:eastAsia="zh-CN"/>
        </w:rPr>
        <w:t>甲方</w:t>
      </w:r>
      <w:r>
        <w:rPr>
          <w:rFonts w:hint="eastAsia" w:ascii="宋体" w:hAnsi="宋体" w:eastAsia="宋体" w:cs="Times New Roman"/>
          <w:b w:val="0"/>
          <w:bCs w:val="0"/>
          <w:i w:val="0"/>
          <w:iCs w:val="0"/>
          <w:caps w:val="0"/>
          <w:color w:val="auto"/>
          <w:spacing w:val="0"/>
          <w:sz w:val="21"/>
          <w:szCs w:val="21"/>
          <w:highlight w:val="none"/>
          <w:shd w:val="clear"/>
          <w:vertAlign w:val="baseline"/>
        </w:rPr>
        <w:t>原则上应当自收到发票后10个工作日内</w:t>
      </w:r>
      <w:r>
        <w:rPr>
          <w:rFonts w:hint="eastAsia" w:ascii="宋体" w:hAnsi="宋体" w:eastAsia="宋体" w:cs="Times New Roman"/>
          <w:b w:val="0"/>
          <w:bCs w:val="0"/>
          <w:color w:val="auto"/>
          <w:kern w:val="2"/>
          <w:sz w:val="21"/>
          <w:szCs w:val="21"/>
          <w:highlight w:val="none"/>
        </w:rPr>
        <w:t>将资金支付到合同约定的</w:t>
      </w:r>
      <w:r>
        <w:rPr>
          <w:rFonts w:hint="eastAsia" w:ascii="宋体" w:hAnsi="宋体" w:cs="Times New Roman"/>
          <w:b w:val="0"/>
          <w:bCs w:val="0"/>
          <w:color w:val="auto"/>
          <w:kern w:val="2"/>
          <w:sz w:val="21"/>
          <w:szCs w:val="21"/>
          <w:highlight w:val="none"/>
          <w:lang w:eastAsia="zh-CN"/>
        </w:rPr>
        <w:t>乙方</w:t>
      </w:r>
      <w:r>
        <w:rPr>
          <w:rFonts w:hint="eastAsia" w:ascii="宋体" w:hAnsi="宋体" w:eastAsia="宋体" w:cs="Times New Roman"/>
          <w:b w:val="0"/>
          <w:bCs w:val="0"/>
          <w:color w:val="auto"/>
          <w:kern w:val="2"/>
          <w:sz w:val="21"/>
          <w:szCs w:val="21"/>
          <w:highlight w:val="none"/>
        </w:rPr>
        <w:t>账户，不得以机构变动、人员更替、政策调整等为由迟延付款，不得将采购文件和合同中未规定的义务作为向</w:t>
      </w:r>
      <w:r>
        <w:rPr>
          <w:rFonts w:hint="eastAsia" w:ascii="宋体" w:hAnsi="宋体" w:eastAsia="宋体" w:cs="Times New Roman"/>
          <w:b w:val="0"/>
          <w:bCs w:val="0"/>
          <w:color w:val="auto"/>
          <w:kern w:val="2"/>
          <w:sz w:val="21"/>
          <w:szCs w:val="21"/>
          <w:highlight w:val="none"/>
          <w:lang w:val="en-US" w:eastAsia="zh-CN"/>
        </w:rPr>
        <w:t>乙方</w:t>
      </w:r>
      <w:r>
        <w:rPr>
          <w:rFonts w:hint="eastAsia" w:ascii="宋体" w:hAnsi="宋体" w:eastAsia="宋体" w:cs="Times New Roman"/>
          <w:b w:val="0"/>
          <w:bCs w:val="0"/>
          <w:color w:val="auto"/>
          <w:kern w:val="2"/>
          <w:sz w:val="21"/>
          <w:szCs w:val="21"/>
          <w:highlight w:val="none"/>
        </w:rPr>
        <w:t>付款的条件。具体合同价款支付时间在【</w:t>
      </w:r>
      <w:r>
        <w:rPr>
          <w:rFonts w:hint="eastAsia" w:ascii="宋体" w:hAnsi="宋体" w:eastAsia="宋体" w:cs="Times New Roman"/>
          <w:b/>
          <w:bCs/>
          <w:color w:val="auto"/>
          <w:kern w:val="2"/>
          <w:sz w:val="21"/>
          <w:szCs w:val="21"/>
          <w:highlight w:val="none"/>
        </w:rPr>
        <w:t>政府采购合同专用条款</w:t>
      </w:r>
      <w:r>
        <w:rPr>
          <w:rFonts w:hint="eastAsia" w:ascii="宋体" w:hAnsi="宋体" w:eastAsia="宋体" w:cs="Times New Roman"/>
          <w:b w:val="0"/>
          <w:bCs w:val="0"/>
          <w:color w:val="auto"/>
          <w:kern w:val="2"/>
          <w:sz w:val="21"/>
          <w:szCs w:val="21"/>
          <w:highlight w:val="none"/>
        </w:rPr>
        <w:t>】中</w:t>
      </w:r>
      <w:r>
        <w:rPr>
          <w:rFonts w:hint="eastAsia" w:ascii="宋体" w:hAnsi="宋体" w:cs="Times New Roman"/>
          <w:b w:val="0"/>
          <w:bCs w:val="0"/>
          <w:color w:val="auto"/>
          <w:kern w:val="2"/>
          <w:sz w:val="21"/>
          <w:szCs w:val="21"/>
          <w:highlight w:val="none"/>
          <w:lang w:eastAsia="zh-CN"/>
        </w:rPr>
        <w:t>约</w:t>
      </w:r>
      <w:r>
        <w:rPr>
          <w:rFonts w:hint="eastAsia" w:ascii="宋体" w:hAnsi="宋体" w:eastAsia="宋体" w:cs="Times New Roman"/>
          <w:b w:val="0"/>
          <w:bCs w:val="0"/>
          <w:color w:val="auto"/>
          <w:kern w:val="2"/>
          <w:sz w:val="21"/>
          <w:szCs w:val="21"/>
          <w:highlight w:val="none"/>
        </w:rPr>
        <w:t>定。</w:t>
      </w:r>
    </w:p>
    <w:p>
      <w:pPr>
        <w:pStyle w:val="2"/>
        <w:spacing w:after="0" w:line="400" w:lineRule="exact"/>
        <w:rPr>
          <w:rFonts w:ascii="宋体" w:hAnsi="宋体"/>
          <w:b/>
          <w:bCs/>
          <w:color w:val="auto"/>
          <w:sz w:val="24"/>
          <w:szCs w:val="24"/>
          <w:highlight w:val="none"/>
        </w:rPr>
      </w:pPr>
      <w:r>
        <w:rPr>
          <w:rFonts w:hint="eastAsia" w:ascii="宋体" w:hAnsi="宋体"/>
          <w:b/>
          <w:bCs/>
          <w:color w:val="auto"/>
          <w:sz w:val="24"/>
          <w:szCs w:val="24"/>
          <w:highlight w:val="none"/>
        </w:rPr>
        <w:t>1</w:t>
      </w:r>
      <w:r>
        <w:rPr>
          <w:rFonts w:hint="eastAsia" w:ascii="宋体" w:hAnsi="宋体"/>
          <w:b/>
          <w:bCs/>
          <w:color w:val="auto"/>
          <w:sz w:val="24"/>
          <w:szCs w:val="24"/>
          <w:highlight w:val="none"/>
          <w:lang w:eastAsia="zh-CN"/>
        </w:rPr>
        <w:t>3</w:t>
      </w:r>
      <w:r>
        <w:rPr>
          <w:rFonts w:hint="eastAsia" w:ascii="宋体" w:hAnsi="宋体"/>
          <w:b/>
          <w:bCs/>
          <w:color w:val="auto"/>
          <w:sz w:val="24"/>
          <w:szCs w:val="24"/>
          <w:highlight w:val="none"/>
        </w:rPr>
        <w:t>.</w:t>
      </w:r>
      <w:r>
        <w:rPr>
          <w:rFonts w:hint="eastAsia" w:ascii="宋体" w:hAnsi="宋体"/>
          <w:b/>
          <w:bCs/>
          <w:color w:val="auto"/>
          <w:sz w:val="24"/>
          <w:szCs w:val="24"/>
          <w:highlight w:val="none"/>
          <w:lang w:val="en-US" w:eastAsia="zh-CN"/>
        </w:rPr>
        <w:t xml:space="preserve"> </w:t>
      </w:r>
      <w:r>
        <w:rPr>
          <w:rFonts w:hint="eastAsia" w:ascii="宋体" w:hAnsi="宋体"/>
          <w:b/>
          <w:bCs/>
          <w:color w:val="auto"/>
          <w:sz w:val="24"/>
          <w:szCs w:val="24"/>
          <w:highlight w:val="none"/>
        </w:rPr>
        <w:t>履约保证金</w:t>
      </w:r>
    </w:p>
    <w:p>
      <w:pPr>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 xml:space="preserve">.1 </w:t>
      </w:r>
      <w:r>
        <w:rPr>
          <w:rFonts w:hint="eastAsia" w:ascii="宋体" w:hAnsi="宋体" w:eastAsia="宋体" w:cs="宋体"/>
          <w:color w:val="auto"/>
          <w:szCs w:val="15"/>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.2 如果乙方</w:t>
      </w:r>
      <w:r>
        <w:rPr>
          <w:rFonts w:hint="eastAsia" w:ascii="宋体" w:hAnsi="宋体"/>
          <w:color w:val="auto"/>
          <w:szCs w:val="21"/>
          <w:highlight w:val="none"/>
          <w:lang w:eastAsia="zh-CN"/>
        </w:rPr>
        <w:t>出现</w:t>
      </w:r>
      <w:r>
        <w:rPr>
          <w:rFonts w:hint="eastAsia" w:ascii="宋体" w:hAnsi="宋体" w:eastAsia="宋体" w:cs="宋体"/>
          <w:b/>
          <w:bCs/>
          <w:color w:val="auto"/>
          <w:szCs w:val="15"/>
          <w:highlight w:val="none"/>
        </w:rPr>
        <w:t>【政府采购合同专用条款】</w:t>
      </w:r>
      <w:r>
        <w:rPr>
          <w:rFonts w:hint="eastAsia" w:ascii="宋体" w:hAnsi="宋体" w:cs="宋体"/>
          <w:b w:val="0"/>
          <w:bCs w:val="0"/>
          <w:color w:val="auto"/>
          <w:szCs w:val="15"/>
          <w:highlight w:val="none"/>
          <w:lang w:eastAsia="zh-CN"/>
        </w:rPr>
        <w:t>约定</w:t>
      </w:r>
      <w:r>
        <w:rPr>
          <w:rFonts w:hint="eastAsia" w:ascii="宋体" w:hAnsi="宋体" w:cs="宋体"/>
          <w:b w:val="0"/>
          <w:bCs w:val="0"/>
          <w:color w:val="auto"/>
          <w:szCs w:val="15"/>
          <w:lang w:eastAsia="zh-CN"/>
        </w:rPr>
        <w:t>情形的</w:t>
      </w:r>
      <w:r>
        <w:rPr>
          <w:rFonts w:hint="eastAsia" w:ascii="宋体" w:hAnsi="宋体"/>
          <w:color w:val="auto"/>
          <w:szCs w:val="21"/>
          <w:highlight w:val="none"/>
        </w:rPr>
        <w:t>，履约保证金不予退还；如果乙方未能按合同约定全面履行义务，甲方有权从履约保证金中取得补偿或赔偿，</w:t>
      </w:r>
      <w:r>
        <w:rPr>
          <w:rFonts w:hint="eastAsia" w:ascii="宋体" w:hAnsi="宋体"/>
          <w:color w:val="auto"/>
          <w:szCs w:val="21"/>
          <w:highlight w:val="none"/>
          <w:lang w:eastAsia="zh-CN"/>
        </w:rPr>
        <w:t>且</w:t>
      </w:r>
      <w:r>
        <w:rPr>
          <w:rFonts w:hint="eastAsia" w:ascii="宋体" w:hAnsi="宋体"/>
          <w:color w:val="auto"/>
          <w:szCs w:val="21"/>
          <w:highlight w:val="none"/>
        </w:rPr>
        <w:t>不影响甲方要求乙方承担合同约定的超过履约保证金的违约责任的权利。</w:t>
      </w:r>
    </w:p>
    <w:p>
      <w:pPr>
        <w:spacing w:line="400" w:lineRule="exact"/>
        <w:ind w:firstLine="420"/>
        <w:rPr>
          <w:color w:val="auto"/>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.3 甲方在项目通过验收后按照</w:t>
      </w:r>
      <w:r>
        <w:rPr>
          <w:rFonts w:hint="eastAsia" w:ascii="宋体" w:hAnsi="宋体"/>
          <w:b/>
          <w:color w:val="auto"/>
          <w:szCs w:val="21"/>
          <w:highlight w:val="none"/>
        </w:rPr>
        <w:t>【政府采购合同专用条款】</w:t>
      </w:r>
      <w:r>
        <w:rPr>
          <w:rFonts w:hint="eastAsia" w:ascii="宋体" w:hAnsi="宋体"/>
          <w:color w:val="auto"/>
          <w:szCs w:val="21"/>
          <w:highlight w:val="none"/>
        </w:rPr>
        <w:t>规定的时间内将履约保证金退还乙方；逾期退还的，乙方可要求甲方支付违约金，违约金按照</w:t>
      </w:r>
      <w:r>
        <w:rPr>
          <w:rFonts w:hint="eastAsia" w:ascii="宋体" w:hAnsi="宋体"/>
          <w:b/>
          <w:color w:val="auto"/>
          <w:szCs w:val="21"/>
          <w:highlight w:val="none"/>
        </w:rPr>
        <w:t>【政府采购合同专用条款】</w:t>
      </w:r>
      <w:r>
        <w:rPr>
          <w:rFonts w:hint="eastAsia" w:ascii="宋体" w:hAnsi="宋体"/>
          <w:color w:val="auto"/>
          <w:szCs w:val="21"/>
          <w:highlight w:val="none"/>
        </w:rPr>
        <w:t>规定支付。</w:t>
      </w:r>
    </w:p>
    <w:p>
      <w:p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4</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b/>
          <w:color w:val="auto"/>
          <w:sz w:val="24"/>
          <w:highlight w:val="none"/>
        </w:rPr>
        <w:t>售后</w:t>
      </w:r>
      <w:r>
        <w:rPr>
          <w:rFonts w:hint="eastAsia" w:ascii="宋体" w:hAnsi="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4</w:t>
      </w:r>
      <w:r>
        <w:rPr>
          <w:rFonts w:hint="eastAsia" w:ascii="宋体" w:hAnsi="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（3）在</w:t>
      </w:r>
      <w:r>
        <w:rPr>
          <w:rFonts w:hint="eastAsia" w:ascii="宋体" w:hAnsi="宋体" w:eastAsia="宋体" w:cs="宋体"/>
          <w:b/>
          <w:bCs/>
          <w:color w:val="auto"/>
          <w:szCs w:val="15"/>
          <w:highlight w:val="none"/>
        </w:rPr>
        <w:t>【政府采购合同专用条款】</w:t>
      </w:r>
      <w:r>
        <w:rPr>
          <w:rFonts w:hint="eastAsia" w:ascii="宋体" w:hAnsi="宋体"/>
          <w:color w:val="auto"/>
          <w:szCs w:val="21"/>
          <w:highlight w:val="none"/>
          <w:lang w:eastAsia="zh-CN"/>
        </w:rPr>
        <w:t>约定</w:t>
      </w:r>
      <w:r>
        <w:rPr>
          <w:rFonts w:hint="eastAsia" w:ascii="宋体" w:hAnsi="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（4）在制造商</w:t>
      </w:r>
      <w:r>
        <w:rPr>
          <w:rFonts w:hint="eastAsia" w:ascii="宋体" w:hAnsi="宋体"/>
          <w:color w:val="auto"/>
          <w:szCs w:val="21"/>
          <w:highlight w:val="none"/>
          <w:lang w:eastAsia="zh-CN"/>
        </w:rPr>
        <w:t>所在地</w:t>
      </w:r>
      <w:r>
        <w:rPr>
          <w:rFonts w:hint="eastAsia" w:ascii="宋体" w:hAnsi="宋体"/>
          <w:color w:val="auto"/>
          <w:szCs w:val="21"/>
          <w:highlight w:val="none"/>
        </w:rPr>
        <w:t>或</w:t>
      </w:r>
      <w:r>
        <w:rPr>
          <w:rFonts w:hint="eastAsia" w:ascii="宋体" w:hAnsi="宋体"/>
          <w:color w:val="auto"/>
          <w:szCs w:val="21"/>
          <w:highlight w:val="none"/>
          <w:lang w:eastAsia="zh-CN"/>
        </w:rPr>
        <w:t>指定</w:t>
      </w:r>
      <w:r>
        <w:rPr>
          <w:rFonts w:hint="eastAsia" w:ascii="宋体" w:hAnsi="宋体"/>
          <w:color w:val="auto"/>
          <w:szCs w:val="21"/>
          <w:highlight w:val="none"/>
        </w:rPr>
        <w:t>现场就货物的安装、启动、运营、维护</w:t>
      </w:r>
      <w:r>
        <w:rPr>
          <w:rFonts w:hint="eastAsia" w:ascii="宋体" w:hAnsi="宋体"/>
          <w:color w:val="auto"/>
          <w:szCs w:val="21"/>
          <w:highlight w:val="none"/>
          <w:lang w:eastAsia="zh-CN"/>
        </w:rPr>
        <w:t>、废弃处置等</w:t>
      </w:r>
      <w:r>
        <w:rPr>
          <w:rFonts w:hint="eastAsia" w:ascii="宋体" w:hAnsi="宋体"/>
          <w:color w:val="auto"/>
          <w:szCs w:val="21"/>
          <w:highlight w:val="none"/>
        </w:rPr>
        <w:t>对甲方操作人员进行培训</w:t>
      </w:r>
      <w:r>
        <w:rPr>
          <w:rFonts w:hint="eastAsia" w:ascii="宋体" w:hAnsi="宋体" w:cs="宋体"/>
          <w:color w:val="auto"/>
          <w:szCs w:val="15"/>
          <w:lang w:eastAsia="zh-CN"/>
        </w:rPr>
        <w:t>；</w:t>
      </w:r>
    </w:p>
    <w:p>
      <w:pPr>
        <w:pStyle w:val="62"/>
        <w:rPr>
          <w:rFonts w:hint="eastAsia" w:ascii="宋体" w:hAnsi="宋体" w:eastAsia="宋体" w:cs="宋体"/>
          <w:color w:val="auto"/>
          <w:sz w:val="21"/>
          <w:szCs w:val="21"/>
        </w:rPr>
      </w:pPr>
      <w:r>
        <w:rPr>
          <w:rFonts w:hint="eastAsia" w:ascii="宋体" w:hAnsi="宋体" w:eastAsia="宋体" w:cs="宋体"/>
          <w:color w:val="auto"/>
          <w:sz w:val="21"/>
          <w:szCs w:val="21"/>
        </w:rPr>
        <w:t>（5）依照法律、行政法规的规定或者按照</w:t>
      </w:r>
      <w:r>
        <w:rPr>
          <w:rFonts w:hint="eastAsia" w:ascii="宋体" w:hAnsi="宋体" w:eastAsia="宋体" w:cs="宋体"/>
          <w:b/>
          <w:bCs/>
          <w:color w:val="auto"/>
          <w:sz w:val="21"/>
          <w:szCs w:val="21"/>
        </w:rPr>
        <w:t>【政府采购合同专用条款】</w:t>
      </w:r>
      <w:r>
        <w:rPr>
          <w:rFonts w:hint="eastAsia" w:ascii="宋体" w:hAnsi="宋体" w:eastAsia="宋体" w:cs="宋体"/>
          <w:color w:val="auto"/>
          <w:sz w:val="21"/>
          <w:szCs w:val="21"/>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b/>
          <w:color w:val="auto"/>
          <w:szCs w:val="21"/>
          <w:highlight w:val="none"/>
        </w:rPr>
        <w:t>【政府采购合同专用条款】</w:t>
      </w:r>
      <w:r>
        <w:rPr>
          <w:rFonts w:hint="eastAsia" w:ascii="宋体" w:hAnsi="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.2 乙方提供的</w:t>
      </w:r>
      <w:r>
        <w:rPr>
          <w:rFonts w:hint="eastAsia" w:ascii="宋体" w:hAnsi="宋体"/>
          <w:color w:val="auto"/>
          <w:szCs w:val="21"/>
          <w:highlight w:val="none"/>
          <w:lang w:eastAsia="zh-CN"/>
        </w:rPr>
        <w:t>售后</w:t>
      </w:r>
      <w:r>
        <w:rPr>
          <w:rFonts w:hint="eastAsia" w:ascii="宋体" w:hAnsi="宋体"/>
          <w:color w:val="auto"/>
          <w:szCs w:val="21"/>
          <w:highlight w:val="none"/>
        </w:rPr>
        <w:t>服务的费用</w:t>
      </w:r>
      <w:r>
        <w:rPr>
          <w:rFonts w:hint="eastAsia" w:ascii="宋体" w:hAnsi="宋体"/>
          <w:color w:val="auto"/>
          <w:szCs w:val="21"/>
          <w:highlight w:val="none"/>
          <w:lang w:val="en-US" w:eastAsia="zh-CN"/>
        </w:rPr>
        <w:t>已</w:t>
      </w:r>
      <w:r>
        <w:rPr>
          <w:rFonts w:hint="eastAsia" w:ascii="宋体" w:hAnsi="宋体"/>
          <w:color w:val="auto"/>
          <w:szCs w:val="21"/>
          <w:highlight w:val="none"/>
        </w:rPr>
        <w:t>包含在合同价款中，甲方不再另行支付。</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5</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.1质量瑕疵的</w:t>
      </w:r>
      <w:r>
        <w:rPr>
          <w:rFonts w:hint="eastAsia" w:ascii="宋体" w:hAnsi="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乙方</w:t>
      </w:r>
      <w:r>
        <w:rPr>
          <w:rFonts w:hint="eastAsia" w:ascii="宋体" w:hAnsi="宋体"/>
          <w:color w:val="auto"/>
          <w:szCs w:val="21"/>
          <w:highlight w:val="none"/>
          <w:lang w:eastAsia="zh-CN"/>
        </w:rPr>
        <w:t>提供</w:t>
      </w:r>
      <w:r>
        <w:rPr>
          <w:rFonts w:hint="eastAsia" w:ascii="宋体" w:hAnsi="宋体"/>
          <w:color w:val="auto"/>
          <w:szCs w:val="21"/>
          <w:highlight w:val="none"/>
        </w:rPr>
        <w:t>的产品不符合</w:t>
      </w:r>
      <w:r>
        <w:rPr>
          <w:rFonts w:hint="eastAsia" w:ascii="宋体" w:hAnsi="宋体"/>
          <w:color w:val="auto"/>
          <w:szCs w:val="21"/>
          <w:highlight w:val="none"/>
          <w:lang w:eastAsia="zh-CN"/>
        </w:rPr>
        <w:t>合同约定的</w:t>
      </w:r>
      <w:r>
        <w:rPr>
          <w:rFonts w:hint="eastAsia" w:ascii="宋体" w:hAnsi="宋体"/>
          <w:color w:val="auto"/>
          <w:szCs w:val="21"/>
          <w:highlight w:val="none"/>
        </w:rPr>
        <w:t>质量标准或存在产品质量缺陷，</w:t>
      </w:r>
      <w:r>
        <w:rPr>
          <w:rFonts w:hint="eastAsia" w:ascii="宋体" w:hAnsi="宋体"/>
          <w:color w:val="auto"/>
          <w:szCs w:val="21"/>
          <w:highlight w:val="none"/>
          <w:lang w:eastAsia="zh-CN"/>
        </w:rPr>
        <w:t>甲方有权要求乙方根据</w:t>
      </w:r>
      <w:r>
        <w:rPr>
          <w:rFonts w:hint="eastAsia" w:ascii="宋体" w:hAnsi="宋体"/>
          <w:b/>
          <w:color w:val="auto"/>
          <w:szCs w:val="21"/>
          <w:highlight w:val="none"/>
        </w:rPr>
        <w:t>【政府采购合同专用条款】</w:t>
      </w:r>
      <w:r>
        <w:rPr>
          <w:rFonts w:hint="eastAsia" w:ascii="宋体" w:hAnsi="宋体"/>
          <w:b w:val="0"/>
          <w:bCs/>
          <w:color w:val="auto"/>
          <w:szCs w:val="21"/>
          <w:highlight w:val="none"/>
          <w:lang w:eastAsia="zh-CN"/>
        </w:rPr>
        <w:t>要求</w:t>
      </w:r>
      <w:r>
        <w:rPr>
          <w:rFonts w:hint="eastAsia" w:ascii="宋体" w:hAnsi="宋体"/>
          <w:color w:val="auto"/>
          <w:szCs w:val="21"/>
          <w:highlight w:val="none"/>
          <w:lang w:eastAsia="zh-CN"/>
        </w:rPr>
        <w:t>及时修理、重作、更换，并承担由此给甲</w:t>
      </w:r>
      <w:r>
        <w:rPr>
          <w:rFonts w:hint="eastAsia" w:ascii="宋体" w:hAnsi="宋体"/>
          <w:color w:val="auto"/>
          <w:szCs w:val="21"/>
          <w:highlight w:val="none"/>
        </w:rPr>
        <w:t>方</w:t>
      </w:r>
      <w:r>
        <w:rPr>
          <w:rFonts w:hint="eastAsia" w:ascii="宋体" w:hAnsi="宋体"/>
          <w:color w:val="auto"/>
          <w:szCs w:val="21"/>
          <w:highlight w:val="none"/>
          <w:lang w:eastAsia="zh-CN"/>
        </w:rPr>
        <w:t>造成的损失</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（1）乙方应按照本合同规定的时间、地点交货和提供</w:t>
      </w:r>
      <w:r>
        <w:rPr>
          <w:rFonts w:hint="eastAsia" w:ascii="宋体" w:hAnsi="宋体"/>
          <w:color w:val="auto"/>
          <w:szCs w:val="21"/>
          <w:highlight w:val="none"/>
          <w:lang w:eastAsia="zh-CN"/>
        </w:rPr>
        <w:t>相关</w:t>
      </w:r>
      <w:r>
        <w:rPr>
          <w:rFonts w:hint="eastAsia" w:ascii="宋体" w:hAnsi="宋体"/>
          <w:color w:val="auto"/>
          <w:szCs w:val="21"/>
          <w:highlight w:val="none"/>
        </w:rPr>
        <w:t>服务。在履行合同过程中，如果乙方遇到可能</w:t>
      </w:r>
      <w:r>
        <w:rPr>
          <w:rFonts w:hint="eastAsia" w:ascii="宋体" w:hAnsi="宋体"/>
          <w:color w:val="auto"/>
          <w:szCs w:val="21"/>
          <w:highlight w:val="none"/>
          <w:lang w:eastAsia="zh-CN"/>
        </w:rPr>
        <w:t>影响</w:t>
      </w:r>
      <w:r>
        <w:rPr>
          <w:rFonts w:hint="eastAsia" w:ascii="宋体" w:hAnsi="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color w:val="auto"/>
          <w:szCs w:val="21"/>
          <w:highlight w:val="none"/>
          <w:lang w:eastAsia="zh-CN"/>
        </w:rPr>
        <w:t>长</w:t>
      </w:r>
      <w:r>
        <w:rPr>
          <w:rFonts w:hint="eastAsia" w:ascii="宋体" w:hAnsi="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（2）如果乙方没有按照合同规定的时间交货和提供</w:t>
      </w:r>
      <w:r>
        <w:rPr>
          <w:rFonts w:hint="eastAsia" w:ascii="宋体" w:hAnsi="宋体"/>
          <w:color w:val="auto"/>
          <w:szCs w:val="21"/>
          <w:highlight w:val="none"/>
          <w:lang w:eastAsia="zh-CN"/>
        </w:rPr>
        <w:t>相关</w:t>
      </w:r>
      <w:r>
        <w:rPr>
          <w:rFonts w:hint="eastAsia" w:ascii="宋体" w:hAnsi="宋体"/>
          <w:color w:val="auto"/>
          <w:szCs w:val="21"/>
          <w:highlight w:val="none"/>
        </w:rPr>
        <w:t>服务，甲方有权从货款中扣除误期赔偿费而不影响合同项下的其他补救方法，赔偿费按</w:t>
      </w:r>
      <w:r>
        <w:rPr>
          <w:rFonts w:hint="eastAsia" w:ascii="宋体" w:hAnsi="宋体"/>
          <w:b/>
          <w:color w:val="auto"/>
          <w:szCs w:val="21"/>
          <w:highlight w:val="none"/>
        </w:rPr>
        <w:t>【政府采购合同专用条款】</w:t>
      </w:r>
      <w:r>
        <w:rPr>
          <w:rFonts w:hint="eastAsia" w:ascii="宋体" w:hAnsi="宋体"/>
          <w:color w:val="auto"/>
          <w:szCs w:val="21"/>
          <w:highlight w:val="none"/>
        </w:rPr>
        <w:t>规定执行。如果涉及公共利益，且赔偿金额无法弥补公共利益损失，</w:t>
      </w:r>
      <w:r>
        <w:rPr>
          <w:rFonts w:hint="eastAsia" w:ascii="宋体" w:hAnsi="宋体"/>
          <w:color w:val="auto"/>
          <w:szCs w:val="21"/>
          <w:highlight w:val="none"/>
          <w:lang w:eastAsia="zh-CN"/>
        </w:rPr>
        <w:t>甲方</w:t>
      </w:r>
      <w:r>
        <w:rPr>
          <w:rFonts w:hint="eastAsia" w:ascii="宋体" w:hAnsi="宋体"/>
          <w:color w:val="auto"/>
          <w:szCs w:val="21"/>
          <w:highlight w:val="none"/>
        </w:rPr>
        <w:t>可要求继续履行或者</w:t>
      </w:r>
      <w:r>
        <w:rPr>
          <w:rFonts w:hint="eastAsia" w:ascii="宋体" w:hAnsi="宋体"/>
          <w:color w:val="auto"/>
          <w:szCs w:val="21"/>
          <w:highlight w:val="none"/>
          <w:lang w:eastAsia="zh-CN"/>
        </w:rPr>
        <w:t>采取其他补救措施</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5</w:t>
      </w:r>
      <w:r>
        <w:rPr>
          <w:rFonts w:hint="eastAsia" w:ascii="宋体" w:hAnsi="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甲方存在迟延支付乙方合同款项的，应当承担</w:t>
      </w:r>
      <w:r>
        <w:rPr>
          <w:rFonts w:hint="eastAsia" w:ascii="宋体" w:hAnsi="宋体"/>
          <w:b/>
          <w:bCs/>
          <w:color w:val="auto"/>
          <w:szCs w:val="21"/>
          <w:highlight w:val="none"/>
        </w:rPr>
        <w:t>【政府采购合同专用条款】</w:t>
      </w:r>
      <w:r>
        <w:rPr>
          <w:rFonts w:hint="eastAsia" w:ascii="宋体" w:hAnsi="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.4其他违约责任根据项目实际需要按</w:t>
      </w:r>
      <w:r>
        <w:rPr>
          <w:rFonts w:hint="eastAsia" w:ascii="宋体" w:hAnsi="宋体"/>
          <w:b/>
          <w:bCs/>
          <w:color w:val="auto"/>
          <w:szCs w:val="21"/>
          <w:highlight w:val="none"/>
        </w:rPr>
        <w:t>【政府采购合同专用条款】</w:t>
      </w:r>
      <w:r>
        <w:rPr>
          <w:rFonts w:hint="eastAsia" w:ascii="宋体" w:hAnsi="宋体"/>
          <w:color w:val="auto"/>
          <w:szCs w:val="21"/>
          <w:highlight w:val="none"/>
        </w:rPr>
        <w:t>规定执行。</w:t>
      </w:r>
    </w:p>
    <w:p>
      <w:pPr>
        <w:numPr>
          <w:ilvl w:val="0"/>
          <w:numId w:val="10"/>
        </w:num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rPr>
        <w:t>合同变更</w:t>
      </w:r>
      <w:r>
        <w:rPr>
          <w:rFonts w:hint="eastAsia" w:ascii="宋体" w:hAnsi="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.1合同的</w:t>
      </w:r>
      <w:r>
        <w:rPr>
          <w:rFonts w:hint="eastAsia" w:ascii="宋体" w:hAnsi="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政府采购合同履行中，</w:t>
      </w:r>
      <w:r>
        <w:rPr>
          <w:rFonts w:hint="eastAsia" w:ascii="宋体" w:hAnsi="宋体"/>
          <w:color w:val="auto"/>
          <w:szCs w:val="21"/>
          <w:highlight w:val="none"/>
        </w:rPr>
        <w:t>在不改变合同其他条款的前提下，甲方可以在合同价款10%的范围内追加与合同标的相同的货物，并就此与乙方协商</w:t>
      </w:r>
      <w:r>
        <w:rPr>
          <w:rFonts w:hint="eastAsia" w:ascii="宋体" w:hAnsi="宋体"/>
          <w:color w:val="auto"/>
          <w:szCs w:val="21"/>
          <w:highlight w:val="none"/>
          <w:lang w:eastAsia="zh-CN"/>
        </w:rPr>
        <w:t>一致后</w:t>
      </w:r>
      <w:r>
        <w:rPr>
          <w:rFonts w:hint="eastAsia" w:ascii="宋体" w:hAnsi="宋体"/>
          <w:color w:val="auto"/>
          <w:szCs w:val="21"/>
          <w:highlight w:val="none"/>
        </w:rPr>
        <w:t>签订补充协议。</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（1）合同履行过程中因供应商就采购文件、采购过程或结果提起投诉的，甲方认为有必要的，</w:t>
      </w:r>
      <w:r>
        <w:rPr>
          <w:rFonts w:hint="eastAsia" w:ascii="宋体" w:hAnsi="宋体"/>
          <w:color w:val="auto"/>
          <w:szCs w:val="21"/>
          <w:highlight w:val="none"/>
          <w:lang w:eastAsia="zh-CN"/>
        </w:rPr>
        <w:t>可以</w:t>
      </w:r>
      <w:r>
        <w:rPr>
          <w:rFonts w:hint="eastAsia" w:ascii="宋体" w:hAnsi="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合同履行过程中，</w:t>
      </w:r>
      <w:r>
        <w:rPr>
          <w:rFonts w:hint="eastAsia" w:ascii="宋体" w:hAnsi="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color w:val="auto"/>
          <w:szCs w:val="21"/>
          <w:highlight w:val="none"/>
          <w:lang w:eastAsia="zh-CN"/>
        </w:rPr>
        <w:t>，乙方有义务及时告知甲方</w:t>
      </w:r>
      <w:r>
        <w:rPr>
          <w:rFonts w:hint="eastAsia" w:ascii="宋体" w:hAnsi="宋体"/>
          <w:color w:val="auto"/>
          <w:szCs w:val="21"/>
          <w:highlight w:val="none"/>
        </w:rPr>
        <w:t>。甲方</w:t>
      </w:r>
      <w:r>
        <w:rPr>
          <w:rFonts w:hint="eastAsia" w:ascii="宋体" w:hAnsi="宋体"/>
          <w:color w:val="auto"/>
          <w:szCs w:val="21"/>
          <w:highlight w:val="none"/>
          <w:lang w:eastAsia="zh-CN"/>
        </w:rPr>
        <w:t>有权</w:t>
      </w:r>
      <w:r>
        <w:rPr>
          <w:rFonts w:hint="eastAsia" w:ascii="宋体" w:hAnsi="宋体"/>
          <w:color w:val="auto"/>
          <w:szCs w:val="21"/>
          <w:highlight w:val="none"/>
        </w:rPr>
        <w:t>以书面形式通知乙方中止合同</w:t>
      </w:r>
      <w:r>
        <w:rPr>
          <w:rFonts w:hint="eastAsia" w:ascii="宋体" w:hAnsi="宋体"/>
          <w:color w:val="auto"/>
          <w:szCs w:val="21"/>
          <w:highlight w:val="none"/>
          <w:lang w:eastAsia="zh-CN"/>
        </w:rPr>
        <w:t>并要求乙方在合理期限内消除相关情形或者提供适当担保。</w:t>
      </w:r>
      <w:r>
        <w:rPr>
          <w:rFonts w:hint="eastAsia" w:ascii="宋体" w:hAnsi="宋体"/>
          <w:color w:val="auto"/>
          <w:szCs w:val="21"/>
          <w:highlight w:val="none"/>
        </w:rPr>
        <w:t>乙方提供适当担保的，</w:t>
      </w:r>
      <w:r>
        <w:rPr>
          <w:rFonts w:hint="eastAsia" w:ascii="宋体" w:hAnsi="宋体"/>
          <w:color w:val="auto"/>
          <w:szCs w:val="21"/>
          <w:highlight w:val="none"/>
          <w:lang w:eastAsia="zh-CN"/>
        </w:rPr>
        <w:t>合同继续</w:t>
      </w:r>
      <w:r>
        <w:rPr>
          <w:rFonts w:hint="eastAsia" w:ascii="宋体" w:hAnsi="宋体"/>
          <w:color w:val="auto"/>
          <w:szCs w:val="21"/>
          <w:highlight w:val="none"/>
        </w:rPr>
        <w:t>履行</w:t>
      </w:r>
      <w:r>
        <w:rPr>
          <w:rFonts w:hint="eastAsia" w:ascii="宋体" w:hAnsi="宋体"/>
          <w:color w:val="auto"/>
          <w:szCs w:val="21"/>
          <w:highlight w:val="none"/>
          <w:lang w:eastAsia="zh-CN"/>
        </w:rPr>
        <w:t>；乙</w:t>
      </w:r>
      <w:r>
        <w:rPr>
          <w:rFonts w:hint="eastAsia" w:ascii="宋体" w:hAnsi="宋体"/>
          <w:color w:val="auto"/>
          <w:szCs w:val="21"/>
          <w:highlight w:val="none"/>
        </w:rPr>
        <w:t>方在合理期限内未恢复履约能力且未提供适当担保的，视为拒绝</w:t>
      </w:r>
      <w:r>
        <w:rPr>
          <w:rFonts w:hint="eastAsia" w:ascii="宋体" w:hAnsi="宋体"/>
          <w:color w:val="auto"/>
          <w:szCs w:val="21"/>
          <w:highlight w:val="none"/>
          <w:lang w:eastAsia="zh-CN"/>
        </w:rPr>
        <w:t>继续</w:t>
      </w:r>
      <w:r>
        <w:rPr>
          <w:rFonts w:hint="eastAsia" w:ascii="宋体" w:hAnsi="宋体"/>
          <w:color w:val="auto"/>
          <w:szCs w:val="21"/>
          <w:highlight w:val="none"/>
        </w:rPr>
        <w:t>履约，甲方</w:t>
      </w:r>
      <w:r>
        <w:rPr>
          <w:rFonts w:hint="eastAsia" w:ascii="宋体" w:hAnsi="宋体"/>
          <w:color w:val="auto"/>
          <w:szCs w:val="21"/>
          <w:highlight w:val="none"/>
          <w:lang w:eastAsia="zh-CN"/>
        </w:rPr>
        <w:t>有权</w:t>
      </w:r>
      <w:r>
        <w:rPr>
          <w:rFonts w:hint="eastAsia" w:ascii="宋体" w:hAnsi="宋体"/>
          <w:color w:val="auto"/>
          <w:szCs w:val="21"/>
          <w:highlight w:val="none"/>
        </w:rPr>
        <w:t>解除合同并要求乙方承担</w:t>
      </w:r>
      <w:r>
        <w:rPr>
          <w:rFonts w:hint="eastAsia" w:ascii="宋体" w:hAnsi="宋体"/>
          <w:color w:val="auto"/>
          <w:szCs w:val="21"/>
          <w:highlight w:val="none"/>
          <w:lang w:eastAsia="zh-CN"/>
        </w:rPr>
        <w:t>由此给甲方造成的损失</w:t>
      </w:r>
      <w:r>
        <w:rPr>
          <w:rFonts w:hint="eastAsia" w:ascii="宋体" w:hAnsi="宋体"/>
          <w:color w:val="auto"/>
          <w:szCs w:val="21"/>
          <w:highlight w:val="none"/>
        </w:rPr>
        <w:t>。</w:t>
      </w:r>
    </w:p>
    <w:p>
      <w:pPr>
        <w:pStyle w:val="62"/>
        <w:jc w:val="both"/>
        <w:rPr>
          <w:color w:val="auto"/>
          <w:sz w:val="21"/>
        </w:rPr>
      </w:pPr>
      <w:r>
        <w:rPr>
          <w:rFonts w:hint="eastAsia" w:ascii="宋体" w:hAnsi="宋体" w:eastAsia="宋体" w:cs="宋体"/>
          <w:color w:val="auto"/>
          <w:sz w:val="21"/>
        </w:rPr>
        <w:t>（3）乙方分立、合并或者变更住所的，应当及时以书面形式告知甲方。乙方没有</w:t>
      </w:r>
      <w:r>
        <w:rPr>
          <w:rFonts w:hint="eastAsia" w:ascii="宋体" w:hAnsi="宋体" w:eastAsia="宋体" w:cs="宋体"/>
          <w:color w:val="auto"/>
          <w:sz w:val="21"/>
          <w:lang w:eastAsia="zh-CN"/>
        </w:rPr>
        <w:t>及时告知</w:t>
      </w:r>
      <w:r>
        <w:rPr>
          <w:rFonts w:hint="eastAsia" w:ascii="宋体" w:hAnsi="宋体" w:eastAsia="宋体" w:cs="宋体"/>
          <w:color w:val="auto"/>
          <w:sz w:val="21"/>
        </w:rPr>
        <w:t>甲方，致使</w:t>
      </w:r>
      <w:r>
        <w:rPr>
          <w:rFonts w:hint="eastAsia" w:ascii="宋体" w:hAnsi="宋体" w:eastAsia="宋体" w:cs="宋体"/>
          <w:color w:val="auto"/>
          <w:sz w:val="21"/>
          <w:lang w:eastAsia="zh-CN"/>
        </w:rPr>
        <w:t>合同</w:t>
      </w:r>
      <w:r>
        <w:rPr>
          <w:rFonts w:hint="eastAsia" w:ascii="宋体" w:hAnsi="宋体" w:eastAsia="宋体" w:cs="宋体"/>
          <w:color w:val="auto"/>
          <w:sz w:val="21"/>
        </w:rPr>
        <w:t>履行发生困难的，甲方可以中止合同履行并要求乙方承担由此给甲方造成的损失。</w:t>
      </w:r>
    </w:p>
    <w:p>
      <w:pPr>
        <w:snapToGrid w:val="0"/>
        <w:spacing w:line="400" w:lineRule="exact"/>
        <w:ind w:firstLine="420" w:firstLineChars="200"/>
        <w:jc w:val="left"/>
        <w:rPr>
          <w:color w:val="auto"/>
          <w:sz w:val="21"/>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color w:val="auto"/>
          <w:szCs w:val="21"/>
          <w:lang w:eastAsia="zh-CN"/>
        </w:rPr>
      </w:pPr>
      <w:r>
        <w:rPr>
          <w:rFonts w:hint="eastAsia" w:ascii="宋体" w:hAnsi="宋体"/>
          <w:color w:val="auto"/>
          <w:szCs w:val="21"/>
          <w:highlight w:val="none"/>
        </w:rPr>
        <w:t>（2）乙方未</w:t>
      </w:r>
      <w:r>
        <w:rPr>
          <w:rFonts w:hint="eastAsia" w:ascii="宋体" w:hAnsi="宋体"/>
          <w:color w:val="auto"/>
          <w:szCs w:val="21"/>
          <w:highlight w:val="none"/>
          <w:lang w:eastAsia="zh-CN"/>
        </w:rPr>
        <w:t>按</w:t>
      </w:r>
      <w:r>
        <w:rPr>
          <w:rFonts w:hint="eastAsia" w:ascii="宋体" w:hAnsi="宋体"/>
          <w:color w:val="auto"/>
          <w:szCs w:val="21"/>
          <w:highlight w:val="none"/>
        </w:rPr>
        <w:t>合同约定履行，构成根本性违约的，甲方有权终止合同</w:t>
      </w:r>
      <w:r>
        <w:rPr>
          <w:rFonts w:hint="eastAsia" w:ascii="宋体" w:hAnsi="宋体"/>
          <w:color w:val="auto"/>
          <w:szCs w:val="21"/>
          <w:highlight w:val="none"/>
          <w:lang w:eastAsia="zh-CN"/>
        </w:rPr>
        <w:t>，</w:t>
      </w:r>
      <w:r>
        <w:rPr>
          <w:rFonts w:hint="eastAsia" w:ascii="宋体" w:hAnsi="宋体" w:eastAsia="宋体" w:cs="宋体"/>
          <w:color w:val="auto"/>
          <w:szCs w:val="21"/>
        </w:rPr>
        <w:t>并追究乙方的违约责</w:t>
      </w:r>
      <w:r>
        <w:rPr>
          <w:rFonts w:hint="eastAsia" w:ascii="宋体" w:hAnsi="宋体" w:cs="宋体"/>
          <w:color w:val="auto"/>
          <w:szCs w:val="21"/>
          <w:lang w:val="en-US" w:eastAsia="zh-CN"/>
        </w:rPr>
        <w:t>任</w:t>
      </w:r>
      <w:r>
        <w:rPr>
          <w:rFonts w:hint="eastAsia" w:ascii="宋体" w:hAnsi="宋体"/>
          <w:color w:val="auto"/>
          <w:szCs w:val="21"/>
          <w:highlight w:val="none"/>
        </w:rPr>
        <w:t>。</w:t>
      </w:r>
    </w:p>
    <w:p>
      <w:pPr>
        <w:pStyle w:val="62"/>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16.4 </w:t>
      </w:r>
      <w:r>
        <w:rPr>
          <w:rFonts w:hint="eastAsia" w:ascii="宋体" w:hAnsi="宋体" w:eastAsia="宋体" w:cs="Times New Roman"/>
          <w:color w:val="auto"/>
          <w:kern w:val="2"/>
          <w:sz w:val="21"/>
          <w:szCs w:val="21"/>
          <w:highlight w:val="none"/>
          <w:lang w:val="en-US" w:eastAsia="zh-CN"/>
        </w:rPr>
        <w:t>涉及国家利益、社会公共利益的情形</w:t>
      </w:r>
    </w:p>
    <w:p>
      <w:pPr>
        <w:pStyle w:val="62"/>
        <w:jc w:val="both"/>
        <w:rPr>
          <w:color w:val="auto"/>
          <w:sz w:val="21"/>
        </w:rPr>
      </w:pPr>
      <w:r>
        <w:rPr>
          <w:rFonts w:hint="eastAsia" w:ascii="宋体" w:hAnsi="宋体" w:eastAsia="宋体" w:cs="宋体"/>
          <w:color w:val="auto"/>
          <w:sz w:val="21"/>
        </w:rPr>
        <w:t>政府采购合同继续履行将损害国家利益和社会公共利益的，双方当事人</w:t>
      </w:r>
      <w:r>
        <w:rPr>
          <w:rFonts w:hint="eastAsia" w:ascii="宋体" w:hAnsi="宋体" w:eastAsia="宋体" w:cs="宋体"/>
          <w:color w:val="auto"/>
          <w:sz w:val="21"/>
          <w:highlight w:val="none"/>
          <w:lang w:val="en-US" w:eastAsia="zh-CN"/>
        </w:rPr>
        <w:t>应当变更、</w:t>
      </w:r>
      <w:r>
        <w:rPr>
          <w:rFonts w:hint="eastAsia" w:ascii="宋体" w:hAnsi="宋体" w:eastAsia="宋体" w:cs="宋体"/>
          <w:color w:val="auto"/>
          <w:sz w:val="21"/>
        </w:rPr>
        <w:t>中止</w:t>
      </w:r>
      <w:r>
        <w:rPr>
          <w:rFonts w:hint="eastAsia" w:ascii="宋体" w:hAnsi="宋体" w:eastAsia="宋体" w:cs="宋体"/>
          <w:color w:val="auto"/>
          <w:sz w:val="21"/>
          <w:lang w:eastAsia="zh-CN"/>
        </w:rPr>
        <w:t>或者终止</w:t>
      </w:r>
      <w:r>
        <w:rPr>
          <w:rFonts w:hint="eastAsia" w:ascii="宋体" w:hAnsi="宋体" w:eastAsia="宋体" w:cs="宋体"/>
          <w:color w:val="auto"/>
          <w:sz w:val="21"/>
        </w:rPr>
        <w:t>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val="en-US" w:eastAsia="zh-CN"/>
        </w:rPr>
        <w:t>7</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.1 乙方不得</w:t>
      </w:r>
      <w:r>
        <w:rPr>
          <w:rFonts w:hint="eastAsia" w:ascii="宋体" w:hAnsi="宋体"/>
          <w:color w:val="auto"/>
          <w:szCs w:val="21"/>
          <w:highlight w:val="none"/>
          <w:lang w:eastAsia="zh-CN"/>
        </w:rPr>
        <w:t>将合同转包给其他供应商。涉及合同分包的，乙方</w:t>
      </w:r>
      <w:r>
        <w:rPr>
          <w:rFonts w:hint="eastAsia" w:ascii="宋体" w:hAnsi="宋体"/>
          <w:color w:val="auto"/>
          <w:szCs w:val="21"/>
          <w:highlight w:val="none"/>
          <w:lang w:val="en-US" w:eastAsia="zh-CN"/>
        </w:rPr>
        <w:t>应</w:t>
      </w:r>
      <w:r>
        <w:rPr>
          <w:rFonts w:hint="eastAsia" w:ascii="宋体" w:hAnsi="宋体"/>
          <w:color w:val="auto"/>
          <w:szCs w:val="21"/>
          <w:highlight w:val="none"/>
          <w:lang w:eastAsia="zh-CN"/>
        </w:rPr>
        <w:t>根据采购文件和投标（响应）文件规定进行</w:t>
      </w:r>
      <w:r>
        <w:rPr>
          <w:rFonts w:hint="eastAsia" w:ascii="宋体" w:hAnsi="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.2 乙方执行政府采购政策向中小企业依法分包的</w:t>
      </w:r>
      <w:r>
        <w:rPr>
          <w:rFonts w:hint="eastAsia" w:ascii="宋体" w:hAnsi="宋体"/>
          <w:color w:val="auto"/>
          <w:szCs w:val="21"/>
          <w:highlight w:val="none"/>
          <w:lang w:eastAsia="zh-CN"/>
        </w:rPr>
        <w:t>，</w:t>
      </w:r>
      <w:r>
        <w:rPr>
          <w:rFonts w:hint="eastAsia" w:ascii="宋体" w:hAnsi="宋体"/>
          <w:color w:val="auto"/>
          <w:szCs w:val="21"/>
          <w:highlight w:val="none"/>
        </w:rPr>
        <w:t>乙方应当按采购文件</w:t>
      </w:r>
      <w:r>
        <w:rPr>
          <w:rFonts w:hint="eastAsia" w:ascii="宋体" w:hAnsi="宋体"/>
          <w:color w:val="auto"/>
          <w:szCs w:val="21"/>
          <w:highlight w:val="none"/>
          <w:lang w:eastAsia="zh-CN"/>
        </w:rPr>
        <w:t>和</w:t>
      </w:r>
      <w:r>
        <w:rPr>
          <w:rFonts w:hint="eastAsia" w:ascii="宋体" w:hAnsi="宋体"/>
          <w:color w:val="auto"/>
          <w:szCs w:val="21"/>
          <w:highlight w:val="none"/>
        </w:rPr>
        <w:t>投标（响应）文件签订分包</w:t>
      </w:r>
      <w:r>
        <w:rPr>
          <w:rFonts w:hint="eastAsia" w:ascii="宋体" w:hAnsi="宋体"/>
          <w:color w:val="auto"/>
          <w:szCs w:val="21"/>
          <w:highlight w:val="none"/>
          <w:lang w:eastAsia="zh-CN"/>
        </w:rPr>
        <w:t>意向</w:t>
      </w:r>
      <w:r>
        <w:rPr>
          <w:rFonts w:hint="eastAsia" w:ascii="宋体" w:hAnsi="宋体"/>
          <w:color w:val="auto"/>
          <w:szCs w:val="21"/>
          <w:highlight w:val="none"/>
        </w:rPr>
        <w:t>协议，分包</w:t>
      </w:r>
      <w:r>
        <w:rPr>
          <w:rFonts w:hint="eastAsia" w:ascii="宋体" w:hAnsi="宋体"/>
          <w:color w:val="auto"/>
          <w:szCs w:val="21"/>
          <w:highlight w:val="none"/>
          <w:lang w:eastAsia="zh-CN"/>
        </w:rPr>
        <w:t>意向</w:t>
      </w:r>
      <w:r>
        <w:rPr>
          <w:rFonts w:hint="eastAsia" w:ascii="宋体" w:hAnsi="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1</w:t>
      </w:r>
      <w:r>
        <w:rPr>
          <w:rFonts w:hint="eastAsia" w:ascii="宋体" w:hAnsi="宋体"/>
          <w:b/>
          <w:bCs/>
          <w:color w:val="auto"/>
          <w:sz w:val="24"/>
          <w:highlight w:val="none"/>
          <w:lang w:val="en-US" w:eastAsia="zh-CN"/>
        </w:rPr>
        <w:t>8</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.3 遇有不可抗力的一方，应及时将事件情况以书面形式</w:t>
      </w:r>
      <w:r>
        <w:rPr>
          <w:rFonts w:hint="eastAsia" w:ascii="宋体" w:hAnsi="宋体"/>
          <w:color w:val="auto"/>
          <w:szCs w:val="21"/>
          <w:highlight w:val="none"/>
          <w:lang w:eastAsia="zh-CN"/>
        </w:rPr>
        <w:t>告</w:t>
      </w:r>
      <w:r>
        <w:rPr>
          <w:rFonts w:hint="eastAsia" w:ascii="宋体" w:hAnsi="宋体"/>
          <w:color w:val="auto"/>
          <w:szCs w:val="21"/>
          <w:highlight w:val="none"/>
        </w:rPr>
        <w:t>知另一方，并在事件发生后及时向另一方提交合同不能履行或部分不能履行或需要延期履行</w:t>
      </w:r>
      <w:r>
        <w:rPr>
          <w:rFonts w:hint="eastAsia" w:ascii="宋体" w:hAnsi="宋体"/>
          <w:color w:val="auto"/>
          <w:szCs w:val="21"/>
          <w:highlight w:val="none"/>
          <w:lang w:eastAsia="zh-CN"/>
        </w:rPr>
        <w:t>的详细</w:t>
      </w:r>
      <w:r>
        <w:rPr>
          <w:rFonts w:hint="eastAsia" w:ascii="宋体" w:hAnsi="宋体"/>
          <w:color w:val="auto"/>
          <w:szCs w:val="21"/>
          <w:highlight w:val="none"/>
        </w:rPr>
        <w:t>报告</w:t>
      </w:r>
      <w:r>
        <w:rPr>
          <w:rFonts w:hint="eastAsia" w:ascii="宋体" w:hAnsi="宋体"/>
          <w:color w:val="auto"/>
          <w:szCs w:val="21"/>
          <w:highlight w:val="none"/>
          <w:lang w:eastAsia="zh-CN"/>
        </w:rPr>
        <w:t>，以</w:t>
      </w:r>
      <w:r>
        <w:rPr>
          <w:rFonts w:hint="eastAsia" w:ascii="宋体" w:hAnsi="宋体"/>
          <w:color w:val="auto"/>
          <w:szCs w:val="21"/>
          <w:highlight w:val="none"/>
          <w:lang w:val="en-US" w:eastAsia="zh-CN"/>
        </w:rPr>
        <w:t>及证明不可抗力发生及其持续时间的证据</w:t>
      </w:r>
      <w:r>
        <w:rPr>
          <w:rFonts w:hint="eastAsia" w:ascii="宋体" w:hAnsi="宋体"/>
          <w:color w:val="auto"/>
          <w:szCs w:val="21"/>
          <w:highlight w:val="none"/>
        </w:rPr>
        <w:t>。</w:t>
      </w:r>
    </w:p>
    <w:p>
      <w:pPr>
        <w:autoSpaceDE w:val="0"/>
        <w:autoSpaceDN w:val="0"/>
        <w:adjustRightInd w:val="0"/>
        <w:snapToGrid w:val="0"/>
        <w:spacing w:before="0" w:line="400" w:lineRule="exact"/>
        <w:jc w:val="left"/>
        <w:rPr>
          <w:rFonts w:hint="eastAsia" w:ascii="宋体" w:hAnsi="宋体"/>
          <w:b/>
          <w:bCs/>
          <w:color w:val="auto"/>
          <w:sz w:val="24"/>
          <w:highlight w:val="none"/>
        </w:rPr>
      </w:pPr>
      <w:r>
        <w:rPr>
          <w:rFonts w:hint="eastAsia" w:ascii="宋体" w:hAnsi="宋体"/>
          <w:b/>
          <w:bCs/>
          <w:color w:val="auto"/>
          <w:sz w:val="24"/>
          <w:highlight w:val="none"/>
          <w:lang w:val="en-US" w:eastAsia="zh-CN"/>
        </w:rPr>
        <w:t>19</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解决争议的方法</w:t>
      </w:r>
    </w:p>
    <w:p>
      <w:pPr>
        <w:pStyle w:val="62"/>
        <w:jc w:val="both"/>
        <w:rPr>
          <w:rFonts w:hint="eastAsia" w:ascii="宋体" w:hAnsi="宋体" w:eastAsia="宋体" w:cs="宋体"/>
          <w:color w:val="auto"/>
          <w:sz w:val="21"/>
        </w:rPr>
      </w:pPr>
      <w:r>
        <w:rPr>
          <w:rFonts w:hint="eastAsia" w:ascii="宋体" w:hAnsi="宋体" w:eastAsia="宋体" w:cs="宋体"/>
          <w:color w:val="auto"/>
          <w:sz w:val="21"/>
          <w:lang w:val="en-US" w:eastAsia="zh-CN"/>
        </w:rPr>
        <w:t>19</w:t>
      </w:r>
      <w:r>
        <w:rPr>
          <w:rFonts w:hint="eastAsia" w:ascii="宋体" w:hAnsi="宋体" w:eastAsia="宋体" w:cs="宋体"/>
          <w:color w:val="auto"/>
          <w:sz w:val="21"/>
        </w:rPr>
        <w:t>.1 因本合同及合同有关事项发生的争议，由</w:t>
      </w:r>
      <w:r>
        <w:rPr>
          <w:rFonts w:hint="eastAsia" w:ascii="宋体" w:hAnsi="宋体" w:eastAsia="宋体" w:cs="宋体"/>
          <w:color w:val="auto"/>
          <w:sz w:val="21"/>
          <w:lang w:eastAsia="zh-CN"/>
        </w:rPr>
        <w:t>甲乙双</w:t>
      </w:r>
      <w:r>
        <w:rPr>
          <w:rFonts w:hint="eastAsia" w:ascii="宋体" w:hAnsi="宋体" w:eastAsia="宋体" w:cs="宋体"/>
          <w:color w:val="auto"/>
          <w:sz w:val="21"/>
        </w:rPr>
        <w:t>方友好协商解决。协商不成时，可以</w:t>
      </w:r>
      <w:r>
        <w:rPr>
          <w:rFonts w:hint="eastAsia" w:ascii="宋体" w:hAnsi="宋体" w:eastAsia="宋体" w:cs="宋体"/>
          <w:color w:val="auto"/>
          <w:sz w:val="21"/>
          <w:lang w:eastAsia="zh-CN"/>
        </w:rPr>
        <w:t>向有关组织申请</w:t>
      </w:r>
      <w:r>
        <w:rPr>
          <w:rFonts w:hint="eastAsia" w:ascii="宋体" w:hAnsi="宋体" w:eastAsia="宋体" w:cs="宋体"/>
          <w:color w:val="auto"/>
          <w:sz w:val="21"/>
        </w:rPr>
        <w:t>调解。合同一方或</w:t>
      </w:r>
      <w:r>
        <w:rPr>
          <w:rFonts w:hint="eastAsia" w:ascii="宋体" w:hAnsi="宋体" w:eastAsia="宋体" w:cs="宋体"/>
          <w:color w:val="auto"/>
          <w:sz w:val="21"/>
          <w:lang w:eastAsia="zh-CN"/>
        </w:rPr>
        <w:t>双</w:t>
      </w:r>
      <w:r>
        <w:rPr>
          <w:rFonts w:hint="eastAsia" w:ascii="宋体" w:hAnsi="宋体" w:eastAsia="宋体" w:cs="宋体"/>
          <w:color w:val="auto"/>
          <w:sz w:val="21"/>
        </w:rPr>
        <w:t>方不愿调解或调解不成的，可以通过仲裁或诉讼的方式解决争议。</w:t>
      </w:r>
    </w:p>
    <w:p>
      <w:pPr>
        <w:pStyle w:val="62"/>
        <w:jc w:val="both"/>
        <w:rPr>
          <w:rFonts w:hint="eastAsia" w:ascii="宋体" w:hAnsi="宋体" w:eastAsia="宋体" w:cs="宋体"/>
          <w:color w:val="auto"/>
          <w:sz w:val="21"/>
        </w:rPr>
      </w:pPr>
      <w:r>
        <w:rPr>
          <w:rFonts w:hint="eastAsia" w:ascii="宋体" w:hAnsi="宋体" w:eastAsia="宋体" w:cs="宋体"/>
          <w:color w:val="auto"/>
          <w:sz w:val="21"/>
          <w:lang w:val="en-US" w:eastAsia="zh-CN"/>
        </w:rPr>
        <w:t>19</w:t>
      </w:r>
      <w:r>
        <w:rPr>
          <w:rFonts w:hint="eastAsia" w:ascii="宋体" w:hAnsi="宋体" w:eastAsia="宋体" w:cs="宋体"/>
          <w:color w:val="auto"/>
          <w:sz w:val="21"/>
        </w:rPr>
        <w:t>.2 选择仲裁的，应在</w:t>
      </w:r>
      <w:r>
        <w:rPr>
          <w:rFonts w:hint="eastAsia" w:ascii="宋体" w:hAnsi="宋体" w:eastAsia="宋体" w:cs="宋体"/>
          <w:b/>
          <w:bCs/>
          <w:color w:val="auto"/>
          <w:sz w:val="21"/>
          <w:szCs w:val="21"/>
          <w:highlight w:val="none"/>
        </w:rPr>
        <w:t>【政府采购合同专用条款】</w:t>
      </w:r>
      <w:r>
        <w:rPr>
          <w:rFonts w:hint="eastAsia" w:ascii="宋体" w:hAnsi="宋体" w:eastAsia="宋体" w:cs="宋体"/>
          <w:color w:val="auto"/>
          <w:sz w:val="21"/>
        </w:rPr>
        <w:t>中明确仲裁机构及仲裁地；通过诉讼方式解决的，可以在</w:t>
      </w:r>
      <w:r>
        <w:rPr>
          <w:rFonts w:hint="eastAsia" w:ascii="宋体" w:hAnsi="宋体" w:eastAsia="宋体" w:cs="宋体"/>
          <w:b/>
          <w:bCs/>
          <w:color w:val="auto"/>
          <w:sz w:val="21"/>
          <w:szCs w:val="21"/>
          <w:highlight w:val="none"/>
        </w:rPr>
        <w:t>【政府采购合同专用条款】</w:t>
      </w:r>
      <w:r>
        <w:rPr>
          <w:rFonts w:hint="eastAsia" w:ascii="宋体" w:hAnsi="宋体" w:eastAsia="宋体" w:cs="宋体"/>
          <w:color w:val="auto"/>
          <w:sz w:val="21"/>
        </w:rPr>
        <w:t>中进一步约定选择与争议有实际联系的地点的人民法院管辖，但管辖法院的约定不得违反级别管辖和专属管辖的规定。</w:t>
      </w:r>
    </w:p>
    <w:p>
      <w:pPr>
        <w:pStyle w:val="62"/>
        <w:jc w:val="both"/>
        <w:rPr>
          <w:rFonts w:hint="eastAsia" w:ascii="宋体" w:hAnsi="宋体" w:eastAsia="宋体" w:cs="宋体"/>
          <w:color w:val="auto"/>
          <w:sz w:val="21"/>
        </w:rPr>
      </w:pPr>
      <w:r>
        <w:rPr>
          <w:rFonts w:hint="eastAsia" w:ascii="宋体" w:hAnsi="宋体" w:eastAsia="宋体" w:cs="宋体"/>
          <w:color w:val="auto"/>
          <w:sz w:val="21"/>
          <w:lang w:val="en-US" w:eastAsia="zh-CN"/>
        </w:rPr>
        <w:t>19</w:t>
      </w:r>
      <w:r>
        <w:rPr>
          <w:rFonts w:hint="eastAsia" w:ascii="宋体" w:hAnsi="宋体" w:eastAsia="宋体" w:cs="宋体"/>
          <w:color w:val="auto"/>
          <w:sz w:val="21"/>
        </w:rPr>
        <w:t>.3 如</w:t>
      </w:r>
      <w:r>
        <w:rPr>
          <w:rFonts w:hint="eastAsia" w:ascii="宋体" w:hAnsi="宋体" w:eastAsia="宋体" w:cs="宋体"/>
          <w:color w:val="auto"/>
          <w:sz w:val="21"/>
          <w:lang w:eastAsia="zh-CN"/>
        </w:rPr>
        <w:t>甲乙双方</w:t>
      </w:r>
      <w:r>
        <w:rPr>
          <w:rFonts w:hint="eastAsia" w:ascii="宋体" w:hAnsi="宋体" w:eastAsia="宋体" w:cs="宋体"/>
          <w:color w:val="auto"/>
          <w:sz w:val="21"/>
        </w:rPr>
        <w:t>有争议的事项不影响合同其他部分的履行，在争议解决期间，合同其他部分应</w:t>
      </w:r>
      <w:r>
        <w:rPr>
          <w:rFonts w:hint="eastAsia" w:ascii="宋体" w:hAnsi="宋体" w:eastAsia="宋体" w:cs="宋体"/>
          <w:color w:val="auto"/>
          <w:sz w:val="21"/>
          <w:lang w:eastAsia="zh-CN"/>
        </w:rPr>
        <w:t>当</w:t>
      </w:r>
      <w:r>
        <w:rPr>
          <w:rFonts w:hint="eastAsia" w:ascii="宋体" w:hAnsi="宋体" w:eastAsia="宋体" w:cs="宋体"/>
          <w:color w:val="auto"/>
          <w:sz w:val="21"/>
        </w:rPr>
        <w:t>继续履行。</w:t>
      </w:r>
    </w:p>
    <w:p>
      <w:pPr>
        <w:autoSpaceDE w:val="0"/>
        <w:autoSpaceDN w:val="0"/>
        <w:adjustRightInd w:val="0"/>
        <w:snapToGrid w:val="0"/>
        <w:spacing w:before="0" w:line="400" w:lineRule="exact"/>
        <w:jc w:val="left"/>
        <w:rPr>
          <w:rFonts w:ascii="宋体" w:hAnsi="宋体"/>
          <w:color w:val="auto"/>
          <w:sz w:val="24"/>
          <w:highlight w:val="none"/>
        </w:rPr>
      </w:pPr>
      <w:r>
        <w:rPr>
          <w:rFonts w:hint="eastAsia" w:ascii="宋体" w:hAnsi="宋体"/>
          <w:b/>
          <w:color w:val="auto"/>
          <w:sz w:val="24"/>
          <w:highlight w:val="none"/>
          <w:lang w:val="en-US" w:eastAsia="zh-CN"/>
        </w:rPr>
        <w:t>20</w:t>
      </w:r>
      <w:r>
        <w:rPr>
          <w:rFonts w:hint="eastAsia" w:ascii="宋体" w:hAnsi="宋体"/>
          <w:b/>
          <w:color w:val="auto"/>
          <w:sz w:val="24"/>
          <w:highlight w:val="none"/>
        </w:rPr>
        <w:t>.</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20.1 </w:t>
      </w:r>
      <w:r>
        <w:rPr>
          <w:rFonts w:hint="eastAsia" w:ascii="宋体" w:hAnsi="宋体" w:eastAsia="宋体" w:cs="宋体"/>
          <w:color w:val="auto"/>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 xml:space="preserve"> 本合同依法执行政府采购政策的方式和内容，属于合同履约验收的范围。</w:t>
      </w:r>
      <w:r>
        <w:rPr>
          <w:rFonts w:hint="eastAsia" w:ascii="宋体" w:hAnsi="宋体" w:eastAsia="宋体" w:cs="宋体"/>
          <w:color w:val="auto"/>
          <w:sz w:val="21"/>
          <w:lang w:eastAsia="zh-CN"/>
        </w:rPr>
        <w:t>甲乙双方</w:t>
      </w:r>
      <w:r>
        <w:rPr>
          <w:rFonts w:hint="eastAsia" w:ascii="宋体" w:hAnsi="宋体" w:eastAsia="宋体" w:cs="宋体"/>
          <w:color w:val="auto"/>
          <w:lang w:val="en-GB"/>
        </w:rPr>
        <w:t>未按规定要求执行政府采购政策造成损失的</w:t>
      </w:r>
      <w:r>
        <w:rPr>
          <w:rFonts w:hint="eastAsia" w:ascii="宋体" w:hAnsi="宋体"/>
          <w:color w:val="auto"/>
          <w:szCs w:val="21"/>
          <w:highlight w:val="none"/>
        </w:rPr>
        <w:t>，有过错的一方应当承担赔偿责任，双方都有过错的，各自承担相应的责任。</w:t>
      </w:r>
    </w:p>
    <w:p>
      <w:pPr>
        <w:pStyle w:val="2"/>
        <w:spacing w:after="0" w:line="400" w:lineRule="exact"/>
        <w:ind w:firstLine="420" w:firstLineChars="200"/>
        <w:rPr>
          <w:color w:val="auto"/>
          <w:highlight w:val="none"/>
        </w:rPr>
      </w:pPr>
      <w:r>
        <w:rPr>
          <w:rFonts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对于</w:t>
      </w:r>
      <w:r>
        <w:rPr>
          <w:rFonts w:hint="eastAsia" w:ascii="宋体" w:hAnsi="宋体"/>
          <w:color w:val="auto"/>
          <w:szCs w:val="21"/>
          <w:highlight w:val="none"/>
          <w:lang w:eastAsia="zh-CN"/>
        </w:rPr>
        <w:t>为落实中小企业支持政策，</w:t>
      </w:r>
      <w:r>
        <w:rPr>
          <w:rFonts w:hint="eastAsia" w:ascii="宋体" w:hAnsi="宋体"/>
          <w:color w:val="auto"/>
          <w:szCs w:val="21"/>
          <w:highlight w:val="none"/>
        </w:rPr>
        <w:t>通过采购项目</w:t>
      </w:r>
      <w:r>
        <w:rPr>
          <w:rFonts w:hint="eastAsia" w:ascii="宋体" w:hAnsi="宋体"/>
          <w:color w:val="auto"/>
          <w:szCs w:val="21"/>
          <w:highlight w:val="none"/>
          <w:lang w:eastAsia="zh-CN"/>
        </w:rPr>
        <w:t>整体</w:t>
      </w:r>
      <w:r>
        <w:rPr>
          <w:rFonts w:hint="eastAsia" w:ascii="宋体" w:hAnsi="宋体"/>
          <w:color w:val="auto"/>
          <w:szCs w:val="21"/>
          <w:highlight w:val="none"/>
        </w:rPr>
        <w:t>预留、</w:t>
      </w:r>
      <w:r>
        <w:rPr>
          <w:rFonts w:hint="eastAsia" w:ascii="宋体" w:hAnsi="宋体"/>
          <w:color w:val="auto"/>
          <w:szCs w:val="21"/>
          <w:highlight w:val="none"/>
          <w:lang w:eastAsia="zh-CN"/>
        </w:rPr>
        <w:t>设置</w:t>
      </w:r>
      <w:r>
        <w:rPr>
          <w:rFonts w:hint="eastAsia" w:ascii="宋体" w:hAnsi="宋体"/>
          <w:color w:val="auto"/>
          <w:szCs w:val="21"/>
          <w:highlight w:val="none"/>
        </w:rPr>
        <w:t>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1</w:t>
      </w:r>
      <w:r>
        <w:rPr>
          <w:rFonts w:hint="eastAsia" w:ascii="宋体" w:hAnsi="宋体"/>
          <w:b/>
          <w:color w:val="auto"/>
          <w:sz w:val="24"/>
          <w:highlight w:val="none"/>
        </w:rPr>
        <w:t>.</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法律适用</w:t>
      </w:r>
    </w:p>
    <w:p>
      <w:pPr>
        <w:pStyle w:val="62"/>
        <w:jc w:val="both"/>
        <w:rPr>
          <w:rFonts w:hint="eastAsia" w:ascii="宋体" w:hAnsi="宋体" w:eastAsia="宋体" w:cs="宋体"/>
          <w:color w:val="auto"/>
          <w:sz w:val="21"/>
        </w:rPr>
      </w:pPr>
      <w:r>
        <w:rPr>
          <w:rFonts w:hint="eastAsia" w:ascii="宋体" w:hAnsi="宋体" w:eastAsia="宋体" w:cs="宋体"/>
          <w:color w:val="auto"/>
          <w:sz w:val="21"/>
        </w:rPr>
        <w:t>2</w:t>
      </w:r>
      <w:r>
        <w:rPr>
          <w:rFonts w:hint="eastAsia" w:ascii="宋体" w:hAnsi="宋体" w:eastAsia="宋体" w:cs="宋体"/>
          <w:color w:val="auto"/>
          <w:sz w:val="21"/>
          <w:lang w:val="en-US" w:eastAsia="zh-CN"/>
        </w:rPr>
        <w:t>1</w:t>
      </w:r>
      <w:r>
        <w:rPr>
          <w:rFonts w:hint="eastAsia" w:ascii="宋体" w:hAnsi="宋体" w:eastAsia="宋体" w:cs="宋体"/>
          <w:color w:val="auto"/>
          <w:sz w:val="21"/>
        </w:rPr>
        <w:t>.1 本合同的订立、生效、解释、履行及与本合同有关的争议解决，均适用法律、行政法规。</w:t>
      </w:r>
    </w:p>
    <w:p>
      <w:pPr>
        <w:pStyle w:val="62"/>
        <w:jc w:val="both"/>
        <w:rPr>
          <w:rFonts w:hint="eastAsia" w:ascii="宋体" w:hAnsi="宋体" w:eastAsia="宋体" w:cs="宋体"/>
          <w:color w:val="auto"/>
          <w:sz w:val="21"/>
        </w:rPr>
      </w:pPr>
      <w:r>
        <w:rPr>
          <w:rFonts w:hint="eastAsia" w:ascii="宋体" w:hAnsi="宋体" w:eastAsia="宋体" w:cs="宋体"/>
          <w:color w:val="auto"/>
          <w:sz w:val="21"/>
        </w:rPr>
        <w:t>2</w:t>
      </w:r>
      <w:r>
        <w:rPr>
          <w:rFonts w:hint="eastAsia" w:ascii="宋体" w:hAnsi="宋体" w:eastAsia="宋体" w:cs="宋体"/>
          <w:color w:val="auto"/>
          <w:sz w:val="21"/>
          <w:lang w:val="en-US" w:eastAsia="zh-CN"/>
        </w:rPr>
        <w:t>1</w:t>
      </w:r>
      <w:r>
        <w:rPr>
          <w:rFonts w:hint="eastAsia" w:ascii="宋体" w:hAnsi="宋体" w:eastAsia="宋体" w:cs="宋体"/>
          <w:color w:val="auto"/>
          <w:sz w:val="21"/>
        </w:rPr>
        <w:t>.2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lang w:val="en-US" w:eastAsia="zh-CN"/>
        </w:rPr>
        <w:t xml:space="preserve">22. </w:t>
      </w:r>
      <w:r>
        <w:rPr>
          <w:rFonts w:hint="eastAsia" w:ascii="宋体" w:hAnsi="宋体"/>
          <w:b/>
          <w:color w:val="auto"/>
          <w:sz w:val="24"/>
          <w:highlight w:val="none"/>
        </w:rPr>
        <w:t>通知</w:t>
      </w:r>
    </w:p>
    <w:p>
      <w:pPr>
        <w:pStyle w:val="62"/>
        <w:jc w:val="both"/>
        <w:rPr>
          <w:rFonts w:hint="eastAsia" w:ascii="宋体" w:hAnsi="宋体" w:eastAsia="宋体" w:cs="宋体"/>
          <w:color w:val="auto"/>
          <w:sz w:val="21"/>
        </w:rPr>
      </w:pPr>
      <w:r>
        <w:rPr>
          <w:rFonts w:hint="eastAsia" w:ascii="宋体" w:hAnsi="宋体" w:eastAsia="宋体" w:cs="宋体"/>
          <w:color w:val="auto"/>
          <w:sz w:val="21"/>
        </w:rPr>
        <w:t>2</w:t>
      </w:r>
      <w:r>
        <w:rPr>
          <w:rFonts w:hint="eastAsia" w:ascii="宋体" w:hAnsi="宋体" w:eastAsia="宋体" w:cs="宋体"/>
          <w:color w:val="auto"/>
          <w:sz w:val="21"/>
          <w:lang w:val="en-US" w:eastAsia="zh-CN"/>
        </w:rPr>
        <w:t>2</w:t>
      </w:r>
      <w:r>
        <w:rPr>
          <w:rFonts w:hint="eastAsia" w:ascii="宋体" w:hAnsi="宋体" w:eastAsia="宋体" w:cs="宋体"/>
          <w:color w:val="auto"/>
          <w:sz w:val="21"/>
        </w:rPr>
        <w:t>.1</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本合同任何一方向对方发出的通知、信件、数据电文等，应当发送至本合同第一部分《政府采购合同协议书》所约定的通讯地址、联系人、联系电话或电子邮箱。</w:t>
      </w:r>
    </w:p>
    <w:p>
      <w:pPr>
        <w:pStyle w:val="62"/>
        <w:ind w:firstLine="0" w:firstLineChars="0"/>
        <w:jc w:val="both"/>
        <w:rPr>
          <w:color w:val="auto"/>
          <w:sz w:val="21"/>
        </w:rPr>
      </w:pP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2</w:t>
      </w:r>
      <w:r>
        <w:rPr>
          <w:rFonts w:hint="eastAsia" w:ascii="宋体" w:hAnsi="宋体" w:eastAsia="宋体" w:cs="宋体"/>
          <w:color w:val="auto"/>
          <w:sz w:val="21"/>
          <w:lang w:val="en-US" w:eastAsia="zh-CN"/>
        </w:rPr>
        <w:t>2</w:t>
      </w:r>
      <w:r>
        <w:rPr>
          <w:rFonts w:hint="eastAsia" w:ascii="宋体" w:hAnsi="宋体" w:eastAsia="宋体" w:cs="宋体"/>
          <w:color w:val="auto"/>
          <w:sz w:val="21"/>
        </w:rPr>
        <w:t>.2</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一方当事人变更名称、</w:t>
      </w:r>
      <w:r>
        <w:rPr>
          <w:rFonts w:hint="eastAsia" w:ascii="宋体" w:hAnsi="宋体" w:eastAsia="宋体" w:cs="宋体"/>
          <w:color w:val="auto"/>
          <w:sz w:val="21"/>
          <w:lang w:eastAsia="zh-CN"/>
        </w:rPr>
        <w:t>住所</w:t>
      </w:r>
      <w:r>
        <w:rPr>
          <w:rFonts w:hint="eastAsia" w:ascii="宋体" w:hAnsi="宋体" w:eastAsia="宋体" w:cs="宋体"/>
          <w:color w:val="auto"/>
          <w:sz w:val="21"/>
        </w:rPr>
        <w:t>、联系人、联系电话或电子邮箱</w:t>
      </w:r>
      <w:r>
        <w:rPr>
          <w:rFonts w:hint="eastAsia" w:ascii="宋体" w:hAnsi="宋体" w:eastAsia="宋体" w:cs="宋体"/>
          <w:color w:val="auto"/>
          <w:sz w:val="21"/>
          <w:lang w:eastAsia="zh-CN"/>
        </w:rPr>
        <w:t>等信息</w:t>
      </w:r>
      <w:r>
        <w:rPr>
          <w:rFonts w:hint="eastAsia" w:ascii="宋体" w:hAnsi="宋体" w:eastAsia="宋体" w:cs="宋体"/>
          <w:color w:val="auto"/>
          <w:sz w:val="21"/>
        </w:rPr>
        <w:t>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通知以送达之日或通知书中规定的生效之日起生效，两者中以较迟之日为准。</w:t>
      </w:r>
    </w:p>
    <w:p>
      <w:pPr>
        <w:numPr>
          <w:ilvl w:val="0"/>
          <w:numId w:val="11"/>
        </w:num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2</w:t>
      </w:r>
      <w:r>
        <w:rPr>
          <w:rFonts w:hint="eastAsia" w:ascii="宋体" w:hAnsi="宋体"/>
          <w:bCs/>
          <w:color w:val="auto"/>
          <w:szCs w:val="21"/>
          <w:highlight w:val="none"/>
          <w:lang w:val="en-US" w:eastAsia="zh-CN"/>
        </w:rPr>
        <w:t>3</w:t>
      </w:r>
      <w:r>
        <w:rPr>
          <w:rFonts w:hint="eastAsia" w:ascii="宋体" w:hAnsi="宋体"/>
          <w:bCs/>
          <w:color w:val="auto"/>
          <w:szCs w:val="21"/>
          <w:highlight w:val="none"/>
        </w:rPr>
        <w:t>.1合同未尽事项见</w:t>
      </w:r>
      <w:r>
        <w:rPr>
          <w:rFonts w:hint="eastAsia" w:ascii="宋体" w:hAnsi="宋体"/>
          <w:b/>
          <w:color w:val="auto"/>
          <w:szCs w:val="21"/>
          <w:highlight w:val="none"/>
        </w:rPr>
        <w:t>【政府采购合同专用条款】</w:t>
      </w:r>
      <w:r>
        <w:rPr>
          <w:rFonts w:hint="eastAsia" w:ascii="宋体" w:hAnsi="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rPr>
      </w:pPr>
      <w:r>
        <w:rPr>
          <w:rFonts w:hint="eastAsia" w:ascii="宋体" w:hAnsi="宋体"/>
          <w:bCs/>
          <w:color w:val="auto"/>
          <w:szCs w:val="21"/>
          <w:highlight w:val="none"/>
          <w:lang w:val="en-US" w:eastAsia="zh-CN"/>
        </w:rPr>
        <w:t xml:space="preserve">    23.2 合同附件与合同正文具有同等的法律效力。</w:t>
      </w:r>
      <w:bookmarkStart w:id="153" w:name="_Toc20313"/>
    </w:p>
    <w:p>
      <w:pPr>
        <w:adjustRightInd w:val="0"/>
        <w:snapToGrid w:val="0"/>
        <w:jc w:val="center"/>
        <w:rPr>
          <w:rFonts w:hint="eastAsia" w:ascii="黑体" w:hAnsi="华文中宋" w:eastAsia="黑体"/>
          <w:b w:val="0"/>
          <w:bCs w:val="0"/>
          <w:color w:val="auto"/>
          <w:sz w:val="28"/>
          <w:szCs w:val="28"/>
        </w:rPr>
      </w:pPr>
      <w:r>
        <w:rPr>
          <w:rFonts w:hint="eastAsia" w:ascii="黑体" w:hAnsi="华文中宋" w:eastAsia="黑体"/>
          <w:b w:val="0"/>
          <w:bCs w:val="0"/>
          <w:color w:val="auto"/>
          <w:sz w:val="28"/>
          <w:szCs w:val="28"/>
        </w:rPr>
        <w:br w:type="page"/>
      </w:r>
    </w:p>
    <w:p>
      <w:pPr>
        <w:pStyle w:val="4"/>
        <w:adjustRightInd w:val="0"/>
        <w:snapToGrid w:val="0"/>
        <w:jc w:val="center"/>
        <w:rPr>
          <w:rFonts w:ascii="黑体" w:hAnsi="华文中宋" w:eastAsia="黑体"/>
          <w:b w:val="0"/>
          <w:bCs w:val="0"/>
          <w:color w:val="auto"/>
          <w:sz w:val="28"/>
          <w:szCs w:val="28"/>
        </w:rPr>
      </w:pPr>
      <w:r>
        <w:rPr>
          <w:rFonts w:hint="eastAsia" w:ascii="黑体" w:hAnsi="华文中宋" w:eastAsia="黑体"/>
          <w:b w:val="0"/>
          <w:bCs w:val="0"/>
          <w:color w:val="auto"/>
          <w:sz w:val="28"/>
          <w:szCs w:val="28"/>
        </w:rPr>
        <w:t>第三节 政府采购合同专用条款</w:t>
      </w:r>
      <w:bookmarkEnd w:id="153"/>
    </w:p>
    <w:tbl>
      <w:tblPr>
        <w:tblStyle w:val="25"/>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第1.2（</w:t>
            </w:r>
            <w:r>
              <w:rPr>
                <w:rFonts w:hint="eastAsia" w:ascii="宋体" w:hAnsi="宋体"/>
                <w:color w:val="auto"/>
                <w:szCs w:val="21"/>
                <w:lang w:val="en-US" w:eastAsia="zh-CN"/>
              </w:rPr>
              <w:t>6</w:t>
            </w:r>
            <w:r>
              <w:rPr>
                <w:rFonts w:hint="eastAsia" w:ascii="宋体" w:hAnsi="宋体"/>
                <w:color w:val="auto"/>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lang w:eastAsia="zh-CN"/>
              </w:rPr>
              <w:t>联合体具体要求</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第1.2（</w:t>
            </w:r>
            <w:r>
              <w:rPr>
                <w:rFonts w:hint="eastAsia" w:ascii="宋体" w:hAnsi="宋体"/>
                <w:color w:val="auto"/>
                <w:szCs w:val="21"/>
                <w:lang w:val="en-US" w:eastAsia="zh-CN"/>
              </w:rPr>
              <w:t>7</w:t>
            </w:r>
            <w:r>
              <w:rPr>
                <w:rFonts w:hint="eastAsia" w:ascii="宋体" w:hAnsi="宋体"/>
                <w:color w:val="auto"/>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其他术语解释</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color w:val="auto"/>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color w:val="auto"/>
                <w:szCs w:val="21"/>
                <w:lang w:val="en-US" w:eastAsia="zh-CN"/>
              </w:rPr>
            </w:pPr>
            <w:r>
              <w:rPr>
                <w:rFonts w:hint="eastAsia" w:ascii="宋体" w:hAnsi="宋体"/>
                <w:color w:val="auto"/>
                <w:szCs w:val="21"/>
                <w:lang w:eastAsia="zh-CN"/>
              </w:rPr>
              <w:t>第</w:t>
            </w:r>
            <w:r>
              <w:rPr>
                <w:rFonts w:hint="eastAsia" w:ascii="宋体" w:hAnsi="宋体"/>
                <w:color w:val="auto"/>
                <w:szCs w:val="21"/>
                <w:lang w:val="en-US" w:eastAsia="zh-CN"/>
              </w:rPr>
              <w:t>4.4款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olor w:val="auto"/>
                <w:szCs w:val="21"/>
                <w:lang w:eastAsia="zh-CN"/>
              </w:rPr>
            </w:pPr>
            <w:r>
              <w:rPr>
                <w:rFonts w:hint="eastAsia" w:ascii="宋体" w:hAnsi="宋体"/>
                <w:color w:val="auto"/>
                <w:szCs w:val="21"/>
                <w:lang w:eastAsia="zh-CN"/>
              </w:rPr>
              <w:t>履约验收中甲方提出异议或作出说明的期限</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color w:val="auto"/>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lang w:eastAsia="zh-CN"/>
              </w:rPr>
              <w:t>第</w:t>
            </w:r>
            <w:r>
              <w:rPr>
                <w:rFonts w:hint="eastAsia" w:ascii="宋体" w:hAnsi="宋体"/>
                <w:color w:val="auto"/>
                <w:szCs w:val="21"/>
                <w:lang w:val="en-US" w:eastAsia="zh-CN"/>
              </w:rPr>
              <w:t>4.6款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olor w:val="auto"/>
                <w:szCs w:val="21"/>
                <w:lang w:eastAsia="zh-CN"/>
              </w:rPr>
            </w:pPr>
            <w:r>
              <w:rPr>
                <w:rFonts w:hint="eastAsia" w:ascii="宋体" w:hAnsi="宋体"/>
                <w:color w:val="auto"/>
                <w:szCs w:val="21"/>
                <w:lang w:eastAsia="zh-CN"/>
              </w:rPr>
              <w:t>约定甲方承担的其他义务和责任</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color w:val="auto"/>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lang w:eastAsia="zh-CN"/>
              </w:rPr>
            </w:pPr>
            <w:r>
              <w:rPr>
                <w:rFonts w:hint="eastAsia" w:ascii="宋体" w:hAnsi="宋体"/>
                <w:color w:val="auto"/>
                <w:szCs w:val="21"/>
                <w:lang w:eastAsia="zh-CN"/>
              </w:rPr>
              <w:t>第二节</w:t>
            </w:r>
          </w:p>
          <w:p>
            <w:pPr>
              <w:keepNext w:val="0"/>
              <w:keepLines w:val="0"/>
              <w:suppressLineNumbers w:val="0"/>
              <w:snapToGrid w:val="0"/>
              <w:spacing w:before="0" w:beforeAutospacing="0" w:after="0" w:afterAutospacing="0"/>
              <w:ind w:left="0" w:right="0"/>
              <w:jc w:val="center"/>
              <w:rPr>
                <w:rFonts w:hint="default"/>
                <w:color w:val="auto"/>
                <w:lang w:val="en-US" w:eastAsia="zh-CN"/>
              </w:rPr>
            </w:pPr>
            <w:r>
              <w:rPr>
                <w:rFonts w:hint="eastAsia" w:ascii="宋体" w:hAnsi="宋体"/>
                <w:color w:val="auto"/>
                <w:szCs w:val="21"/>
                <w:lang w:eastAsia="zh-CN"/>
              </w:rPr>
              <w:t>第</w:t>
            </w:r>
            <w:r>
              <w:rPr>
                <w:rFonts w:hint="eastAsia" w:ascii="宋体" w:hAnsi="宋体"/>
                <w:color w:val="auto"/>
                <w:szCs w:val="21"/>
                <w:lang w:val="en-US" w:eastAsia="zh-CN"/>
              </w:rPr>
              <w:t>5.4款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olor w:val="auto"/>
                <w:szCs w:val="21"/>
                <w:lang w:eastAsia="zh-CN"/>
              </w:rPr>
            </w:pPr>
            <w:r>
              <w:rPr>
                <w:rFonts w:hint="eastAsia" w:ascii="宋体" w:hAnsi="宋体"/>
                <w:color w:val="auto"/>
                <w:szCs w:val="21"/>
                <w:lang w:eastAsia="zh-CN"/>
              </w:rPr>
              <w:t>约定乙方承担的其他义务和责任</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color w:val="auto"/>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lang w:eastAsia="zh-CN"/>
              </w:rPr>
            </w:pPr>
            <w:r>
              <w:rPr>
                <w:rFonts w:hint="eastAsia" w:ascii="宋体" w:hAnsi="宋体"/>
                <w:color w:val="auto"/>
                <w:szCs w:val="21"/>
                <w:lang w:eastAsia="zh-CN"/>
              </w:rPr>
              <w:t>第二节</w:t>
            </w:r>
          </w:p>
          <w:p>
            <w:pPr>
              <w:keepNext w:val="0"/>
              <w:keepLines w:val="0"/>
              <w:suppressLineNumbers w:val="0"/>
              <w:snapToGrid w:val="0"/>
              <w:spacing w:before="0" w:beforeAutospacing="0" w:after="0" w:afterAutospacing="0"/>
              <w:ind w:left="0" w:right="0"/>
              <w:jc w:val="center"/>
              <w:rPr>
                <w:rFonts w:hint="eastAsia" w:ascii="宋体" w:hAnsi="宋体"/>
                <w:color w:val="auto"/>
                <w:szCs w:val="21"/>
                <w:lang w:eastAsia="zh-CN"/>
              </w:rPr>
            </w:pPr>
            <w:r>
              <w:rPr>
                <w:rFonts w:hint="eastAsia" w:ascii="宋体" w:hAnsi="宋体"/>
                <w:color w:val="auto"/>
                <w:szCs w:val="21"/>
                <w:lang w:eastAsia="zh-CN"/>
              </w:rPr>
              <w:t>第</w:t>
            </w:r>
            <w:r>
              <w:rPr>
                <w:rFonts w:hint="eastAsia" w:ascii="宋体" w:hAnsi="宋体"/>
                <w:color w:val="auto"/>
                <w:szCs w:val="21"/>
                <w:lang w:val="en-US" w:eastAsia="zh-CN"/>
              </w:rPr>
              <w:t>6.1款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olor w:val="auto"/>
                <w:szCs w:val="21"/>
                <w:lang w:eastAsia="zh-CN"/>
              </w:rPr>
            </w:pPr>
            <w:r>
              <w:rPr>
                <w:rFonts w:hint="eastAsia" w:ascii="宋体" w:hAnsi="宋体"/>
                <w:color w:val="auto"/>
                <w:szCs w:val="21"/>
                <w:lang w:eastAsia="zh-CN"/>
              </w:rPr>
              <w:t>履行合同义务的顺序</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color w:val="auto"/>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7</w:t>
            </w:r>
            <w:r>
              <w:rPr>
                <w:rFonts w:hint="eastAsia" w:ascii="宋体" w:hAnsi="宋体"/>
                <w:color w:val="auto"/>
                <w:szCs w:val="21"/>
              </w:rPr>
              <w:t>.1</w:t>
            </w:r>
            <w:r>
              <w:rPr>
                <w:rFonts w:hint="eastAsia" w:ascii="宋体" w:hAnsi="宋体"/>
                <w:color w:val="auto"/>
                <w:szCs w:val="21"/>
                <w:lang w:val="en-US"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包装</w:t>
            </w:r>
            <w:r>
              <w:rPr>
                <w:rFonts w:hint="eastAsia" w:ascii="宋体" w:hAnsi="宋体"/>
                <w:color w:val="auto"/>
                <w:szCs w:val="21"/>
                <w:lang w:eastAsia="zh-CN"/>
              </w:rPr>
              <w:t>特殊要求</w:t>
            </w:r>
          </w:p>
        </w:tc>
        <w:tc>
          <w:tcPr>
            <w:tcW w:w="5170" w:type="dxa"/>
            <w:vAlign w:val="center"/>
          </w:tcPr>
          <w:p>
            <w:pPr>
              <w:keepNext w:val="0"/>
              <w:keepLines w:val="0"/>
              <w:suppressLineNumbers w:val="0"/>
              <w:spacing w:before="0" w:beforeAutospacing="0" w:after="0" w:afterAutospacing="0"/>
              <w:ind w:left="0" w:right="0"/>
              <w:rPr>
                <w:rFonts w:hint="default"/>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olor w:val="auto"/>
                <w:szCs w:val="21"/>
                <w:lang w:eastAsia="zh-CN"/>
              </w:rPr>
            </w:pPr>
            <w:r>
              <w:rPr>
                <w:rFonts w:hint="eastAsia" w:ascii="宋体" w:hAnsi="宋体"/>
                <w:color w:val="auto"/>
                <w:szCs w:val="21"/>
                <w:lang w:eastAsia="zh-CN"/>
              </w:rPr>
              <w:t>指定现场</w:t>
            </w:r>
          </w:p>
        </w:tc>
        <w:tc>
          <w:tcPr>
            <w:tcW w:w="5170" w:type="dxa"/>
            <w:vAlign w:val="center"/>
          </w:tcPr>
          <w:p>
            <w:pPr>
              <w:keepNext w:val="0"/>
              <w:keepLines w:val="0"/>
              <w:suppressLineNumbers w:val="0"/>
              <w:spacing w:before="0" w:beforeAutospacing="0" w:after="0" w:afterAutospacing="0"/>
              <w:ind w:left="0" w:right="0"/>
              <w:rPr>
                <w:rFonts w:hint="eastAsia"/>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7</w:t>
            </w:r>
            <w:r>
              <w:rPr>
                <w:rFonts w:hint="eastAsia" w:ascii="宋体" w:hAnsi="宋体"/>
                <w:color w:val="auto"/>
                <w:szCs w:val="21"/>
              </w:rPr>
              <w:t>.2</w:t>
            </w:r>
            <w:r>
              <w:rPr>
                <w:rFonts w:hint="eastAsia" w:ascii="宋体" w:hAnsi="宋体"/>
                <w:color w:val="auto"/>
                <w:szCs w:val="21"/>
                <w:lang w:val="en-US"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olor w:val="auto"/>
                <w:szCs w:val="21"/>
                <w:lang w:eastAsia="zh-CN"/>
              </w:rPr>
            </w:pPr>
            <w:r>
              <w:rPr>
                <w:rFonts w:hint="eastAsia" w:ascii="宋体" w:hAnsi="宋体"/>
                <w:color w:val="auto"/>
                <w:szCs w:val="21"/>
                <w:lang w:eastAsia="zh-CN"/>
              </w:rPr>
              <w:t>运输特殊要求</w:t>
            </w:r>
          </w:p>
        </w:tc>
        <w:tc>
          <w:tcPr>
            <w:tcW w:w="5170" w:type="dxa"/>
            <w:vAlign w:val="center"/>
          </w:tcPr>
          <w:p>
            <w:pPr>
              <w:keepNext w:val="0"/>
              <w:keepLines w:val="0"/>
              <w:suppressLineNumbers w:val="0"/>
              <w:spacing w:before="0" w:beforeAutospacing="0" w:after="0" w:afterAutospacing="0"/>
              <w:ind w:left="0" w:right="0"/>
              <w:rPr>
                <w:rFonts w:hint="eastAsia"/>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7</w:t>
            </w:r>
            <w:r>
              <w:rPr>
                <w:rFonts w:hint="eastAsia" w:ascii="宋体" w:hAnsi="宋体"/>
                <w:color w:val="auto"/>
                <w:szCs w:val="21"/>
              </w:rPr>
              <w:t>.3</w:t>
            </w:r>
            <w:r>
              <w:rPr>
                <w:rFonts w:hint="eastAsia" w:ascii="宋体" w:hAnsi="宋体"/>
                <w:color w:val="auto"/>
                <w:szCs w:val="21"/>
                <w:lang w:val="en-US"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olor w:val="auto"/>
                <w:szCs w:val="21"/>
                <w:lang w:eastAsia="zh-CN"/>
              </w:rPr>
            </w:pPr>
            <w:r>
              <w:rPr>
                <w:rFonts w:hint="eastAsia" w:ascii="宋体" w:hAnsi="宋体"/>
                <w:color w:val="auto"/>
                <w:szCs w:val="21"/>
                <w:lang w:eastAsia="zh-CN"/>
              </w:rPr>
              <w:t>保险要求</w:t>
            </w:r>
          </w:p>
        </w:tc>
        <w:tc>
          <w:tcPr>
            <w:tcW w:w="5170" w:type="dxa"/>
            <w:vAlign w:val="center"/>
          </w:tcPr>
          <w:p>
            <w:pPr>
              <w:keepNext w:val="0"/>
              <w:keepLines w:val="0"/>
              <w:suppressLineNumbers w:val="0"/>
              <w:spacing w:before="0" w:beforeAutospacing="0" w:after="0" w:afterAutospacing="0"/>
              <w:ind w:left="0" w:right="0"/>
              <w:rPr>
                <w:rFonts w:hint="eastAsia"/>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8</w:t>
            </w:r>
            <w:r>
              <w:rPr>
                <w:rFonts w:hint="eastAsia" w:ascii="宋体" w:hAnsi="宋体"/>
                <w:color w:val="auto"/>
                <w:szCs w:val="21"/>
              </w:rPr>
              <w:t>.2（1）项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质量保证期</w:t>
            </w:r>
          </w:p>
        </w:tc>
        <w:tc>
          <w:tcPr>
            <w:tcW w:w="5170" w:type="dxa"/>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8</w:t>
            </w:r>
            <w:r>
              <w:rPr>
                <w:rFonts w:hint="eastAsia" w:ascii="宋体" w:hAnsi="宋体"/>
                <w:color w:val="auto"/>
                <w:szCs w:val="21"/>
              </w:rPr>
              <w:t>.2（3）项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olor w:val="auto"/>
                <w:szCs w:val="21"/>
                <w:lang w:eastAsia="zh-CN"/>
              </w:rPr>
            </w:pPr>
            <w:r>
              <w:rPr>
                <w:rFonts w:hint="eastAsia" w:ascii="宋体" w:hAnsi="宋体"/>
                <w:color w:val="auto"/>
                <w:szCs w:val="21"/>
                <w:lang w:eastAsia="zh-CN"/>
              </w:rPr>
              <w:t>货物质量缺陷</w:t>
            </w:r>
          </w:p>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响应时间</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snapToGrid w:val="0"/>
              <w:spacing w:before="0" w:beforeAutospacing="0" w:after="0" w:afterAutospacing="0"/>
              <w:ind w:left="0" w:right="0"/>
              <w:jc w:val="center"/>
              <w:rPr>
                <w:rFonts w:hint="eastAsia" w:ascii="宋体" w:hAnsi="宋体" w:cs="宋体"/>
                <w:color w:val="auto"/>
                <w:szCs w:val="21"/>
                <w:lang w:val="en-US" w:eastAsia="zh-CN"/>
              </w:rPr>
            </w:pPr>
            <w:r>
              <w:rPr>
                <w:rFonts w:hint="eastAsia" w:ascii="宋体" w:hAnsi="宋体" w:cs="宋体"/>
                <w:color w:val="auto"/>
                <w:szCs w:val="21"/>
                <w:lang w:val="en-US" w:eastAsia="zh-CN"/>
              </w:rPr>
              <w:t>第二节</w:t>
            </w:r>
          </w:p>
          <w:p>
            <w:pPr>
              <w:pStyle w:val="62"/>
              <w:keepNext w:val="0"/>
              <w:keepLines w:val="0"/>
              <w:widowControl/>
              <w:suppressLineNumbers w:val="0"/>
              <w:spacing w:before="0" w:beforeAutospacing="0" w:after="0" w:afterAutospacing="0"/>
              <w:ind w:left="0" w:right="0" w:firstLine="0" w:firstLineChars="0"/>
              <w:jc w:val="center"/>
              <w:rPr>
                <w:rFonts w:hint="default"/>
                <w:color w:val="auto"/>
                <w:lang w:val="en-US" w:eastAsia="zh-CN"/>
              </w:rPr>
            </w:pPr>
            <w:r>
              <w:rPr>
                <w:rFonts w:hint="eastAsia" w:ascii="宋体" w:hAnsi="宋体" w:eastAsia="宋体" w:cs="宋体"/>
                <w:color w:val="auto"/>
                <w:szCs w:val="21"/>
                <w:lang w:val="en-US" w:eastAsia="zh-CN"/>
              </w:rPr>
              <w:t>第11.1款</w:t>
            </w:r>
          </w:p>
        </w:tc>
        <w:tc>
          <w:tcPr>
            <w:tcW w:w="1742"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eastAsia="宋体"/>
                <w:color w:val="auto"/>
                <w:szCs w:val="21"/>
                <w:lang w:val="en-US" w:eastAsia="zh-CN"/>
              </w:rPr>
            </w:pPr>
            <w:r>
              <w:rPr>
                <w:rFonts w:hint="eastAsia" w:ascii="宋体" w:hAnsi="宋体"/>
                <w:color w:val="auto"/>
                <w:szCs w:val="21"/>
                <w:lang w:val="en-US" w:eastAsia="zh-CN"/>
              </w:rPr>
              <w:t>其他应当保密的信息</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2</w:t>
            </w:r>
            <w:r>
              <w:rPr>
                <w:rFonts w:hint="eastAsia" w:ascii="宋体" w:hAnsi="宋体"/>
                <w:color w:val="auto"/>
                <w:szCs w:val="21"/>
              </w:rPr>
              <w:t>.2款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olor w:val="auto"/>
                <w:szCs w:val="21"/>
                <w:lang w:eastAsia="zh-CN"/>
              </w:rPr>
            </w:pPr>
            <w:r>
              <w:rPr>
                <w:rFonts w:hint="eastAsia" w:ascii="宋体" w:hAnsi="宋体"/>
                <w:color w:val="auto"/>
                <w:szCs w:val="21"/>
              </w:rPr>
              <w:t>合同价款支付</w:t>
            </w:r>
            <w:r>
              <w:rPr>
                <w:rFonts w:hint="eastAsia" w:ascii="宋体" w:hAnsi="宋体"/>
                <w:color w:val="auto"/>
                <w:szCs w:val="21"/>
                <w:lang w:eastAsia="zh-CN"/>
              </w:rPr>
              <w:t>时间</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13.2</w:t>
            </w:r>
            <w:r>
              <w:rPr>
                <w:rFonts w:hint="eastAsia" w:ascii="宋体" w:hAnsi="宋体"/>
                <w:color w:val="auto"/>
                <w:szCs w:val="21"/>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olor w:val="auto"/>
                <w:szCs w:val="21"/>
                <w:lang w:val="en-US" w:eastAsia="zh-CN"/>
              </w:rPr>
            </w:pPr>
            <w:r>
              <w:rPr>
                <w:rFonts w:hint="eastAsia" w:ascii="宋体" w:hAnsi="宋体"/>
                <w:color w:val="auto"/>
                <w:szCs w:val="21"/>
                <w:lang w:val="en-US" w:eastAsia="zh-CN"/>
              </w:rPr>
              <w:t>履约保证金不予退还的情形</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13.3</w:t>
            </w:r>
            <w:r>
              <w:rPr>
                <w:rFonts w:hint="eastAsia" w:ascii="宋体" w:hAnsi="宋体"/>
                <w:color w:val="auto"/>
                <w:szCs w:val="21"/>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履约保证金退还时间及</w:t>
            </w:r>
            <w:r>
              <w:rPr>
                <w:rFonts w:hint="eastAsia" w:ascii="宋体" w:hAnsi="宋体"/>
                <w:color w:val="auto"/>
                <w:szCs w:val="21"/>
                <w:lang w:eastAsia="zh-CN"/>
              </w:rPr>
              <w:t>逾期退还的</w:t>
            </w:r>
            <w:r>
              <w:rPr>
                <w:rFonts w:hint="eastAsia" w:ascii="宋体" w:hAnsi="宋体"/>
                <w:color w:val="auto"/>
                <w:szCs w:val="21"/>
              </w:rPr>
              <w:t>违约金</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4</w:t>
            </w: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olor w:val="auto"/>
                <w:szCs w:val="21"/>
                <w:lang w:val="en-US" w:eastAsia="zh-CN"/>
              </w:rPr>
            </w:pPr>
            <w:r>
              <w:rPr>
                <w:rFonts w:hint="eastAsia" w:ascii="宋体" w:hAnsi="宋体"/>
                <w:color w:val="auto"/>
                <w:szCs w:val="21"/>
                <w:lang w:val="en-US" w:eastAsia="zh-CN"/>
              </w:rPr>
              <w:t>运行监督、维修期限</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4</w:t>
            </w:r>
            <w:r>
              <w:rPr>
                <w:rFonts w:hint="eastAsia" w:ascii="宋体" w:hAnsi="宋体"/>
                <w:color w:val="auto"/>
                <w:szCs w:val="21"/>
              </w:rPr>
              <w:t>.1（</w:t>
            </w:r>
            <w:r>
              <w:rPr>
                <w:rFonts w:hint="eastAsia" w:ascii="宋体" w:hAnsi="宋体"/>
                <w:color w:val="auto"/>
                <w:szCs w:val="21"/>
                <w:lang w:val="en-US" w:eastAsia="zh-CN"/>
              </w:rPr>
              <w:t>5</w:t>
            </w:r>
            <w:r>
              <w:rPr>
                <w:rFonts w:hint="eastAsia" w:ascii="宋体" w:hAnsi="宋体"/>
                <w:color w:val="auto"/>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olor w:val="auto"/>
                <w:szCs w:val="21"/>
                <w:lang w:val="en-US" w:eastAsia="zh-CN"/>
              </w:rPr>
            </w:pPr>
            <w:r>
              <w:rPr>
                <w:rFonts w:hint="eastAsia" w:ascii="宋体" w:hAnsi="宋体"/>
                <w:color w:val="auto"/>
                <w:szCs w:val="21"/>
                <w:lang w:val="en-US" w:eastAsia="zh-CN"/>
              </w:rPr>
              <w:t>货物回收的约定</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4</w:t>
            </w:r>
            <w:r>
              <w:rPr>
                <w:rFonts w:hint="eastAsia" w:ascii="宋体" w:hAnsi="宋体"/>
                <w:color w:val="auto"/>
                <w:szCs w:val="21"/>
              </w:rPr>
              <w:t>.1（</w:t>
            </w:r>
            <w:r>
              <w:rPr>
                <w:rFonts w:hint="eastAsia" w:ascii="宋体" w:hAnsi="宋体"/>
                <w:color w:val="auto"/>
                <w:szCs w:val="21"/>
                <w:lang w:val="en-US" w:eastAsia="zh-CN"/>
              </w:rPr>
              <w:t>6</w:t>
            </w:r>
            <w:r>
              <w:rPr>
                <w:rFonts w:hint="eastAsia" w:ascii="宋体" w:hAnsi="宋体"/>
                <w:color w:val="auto"/>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乙方提供的其他服务</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color w:val="auto"/>
                <w:szCs w:val="21"/>
                <w:lang w:val="en-US" w:eastAsia="zh-CN"/>
              </w:rPr>
            </w:pPr>
            <w:r>
              <w:rPr>
                <w:rFonts w:hint="eastAsia" w:ascii="宋体" w:hAnsi="宋体"/>
                <w:color w:val="auto"/>
                <w:szCs w:val="21"/>
              </w:rPr>
              <w:t>第1</w:t>
            </w: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color w:val="auto"/>
                <w:szCs w:val="21"/>
                <w:lang w:val="en-US" w:eastAsia="zh-CN"/>
              </w:rPr>
              <w:t>1款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olor w:val="auto"/>
                <w:szCs w:val="21"/>
              </w:rPr>
            </w:pPr>
            <w:r>
              <w:rPr>
                <w:rFonts w:hint="eastAsia" w:ascii="宋体" w:hAnsi="宋体"/>
                <w:color w:val="auto"/>
                <w:szCs w:val="21"/>
                <w:highlight w:val="none"/>
                <w:lang w:eastAsia="zh-CN"/>
              </w:rPr>
              <w:t>修理、重作、更换相关具体规定</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5</w:t>
            </w:r>
            <w:r>
              <w:rPr>
                <w:rFonts w:hint="eastAsia" w:ascii="宋体" w:hAnsi="宋体"/>
                <w:color w:val="auto"/>
                <w:szCs w:val="21"/>
              </w:rPr>
              <w:t>.2（2）项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迟延交货赔偿费</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color w:val="auto"/>
                <w:szCs w:val="21"/>
                <w:lang w:val="en-US" w:eastAsia="zh-CN"/>
              </w:rPr>
              <w:t>3款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olor w:val="auto"/>
                <w:szCs w:val="21"/>
              </w:rPr>
            </w:pPr>
            <w:r>
              <w:rPr>
                <w:rFonts w:hint="eastAsia" w:ascii="宋体" w:hAnsi="宋体"/>
                <w:color w:val="auto"/>
                <w:szCs w:val="21"/>
              </w:rPr>
              <w:t>逾期付款利息</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第1</w:t>
            </w:r>
            <w:r>
              <w:rPr>
                <w:rFonts w:hint="eastAsia" w:ascii="宋体" w:hAnsi="宋体"/>
                <w:color w:val="auto"/>
                <w:szCs w:val="21"/>
                <w:lang w:val="en-US" w:eastAsia="zh-CN"/>
              </w:rPr>
              <w:t>5</w:t>
            </w:r>
            <w:r>
              <w:rPr>
                <w:rFonts w:hint="eastAsia" w:ascii="宋体" w:hAnsi="宋体"/>
                <w:color w:val="auto"/>
                <w:szCs w:val="21"/>
              </w:rPr>
              <w:t>.4</w:t>
            </w:r>
            <w:r>
              <w:rPr>
                <w:rFonts w:hint="eastAsia" w:ascii="宋体" w:hAnsi="宋体"/>
                <w:color w:val="auto"/>
                <w:szCs w:val="21"/>
                <w:lang w:val="en-US" w:eastAsia="zh-CN"/>
              </w:rPr>
              <w:t>款</w:t>
            </w:r>
          </w:p>
        </w:tc>
        <w:tc>
          <w:tcPr>
            <w:tcW w:w="1742" w:type="dxa"/>
            <w:tcBorders>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rPr>
              <w:t>其他违约责任</w:t>
            </w:r>
          </w:p>
        </w:tc>
        <w:tc>
          <w:tcPr>
            <w:tcW w:w="5170" w:type="dxa"/>
            <w:tcBorders>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w:t>
            </w:r>
            <w:r>
              <w:rPr>
                <w:rFonts w:hint="eastAsia" w:ascii="宋体" w:hAnsi="宋体"/>
                <w:color w:val="auto"/>
                <w:szCs w:val="21"/>
                <w:lang w:val="en-US" w:eastAsia="zh-CN"/>
              </w:rPr>
              <w:t>19</w:t>
            </w:r>
            <w:r>
              <w:rPr>
                <w:rFonts w:hint="eastAsia" w:ascii="宋体" w:hAnsi="宋体"/>
                <w:color w:val="auto"/>
                <w:szCs w:val="21"/>
              </w:rPr>
              <w:t>.2</w:t>
            </w:r>
            <w:r>
              <w:rPr>
                <w:rFonts w:hint="eastAsia" w:ascii="宋体" w:hAnsi="宋体"/>
                <w:color w:val="auto"/>
                <w:szCs w:val="21"/>
                <w:lang w:val="en-US" w:eastAsia="zh-CN"/>
              </w:rPr>
              <w:t>款</w:t>
            </w:r>
          </w:p>
        </w:tc>
        <w:tc>
          <w:tcPr>
            <w:tcW w:w="1742" w:type="dxa"/>
            <w:tcBorders>
              <w:top w:val="single" w:color="auto" w:sz="2" w:space="0"/>
              <w:left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color w:val="auto"/>
                <w:szCs w:val="21"/>
                <w:lang w:val="en-US" w:eastAsia="zh-CN"/>
              </w:rPr>
              <w:t>解决争议的方法</w:t>
            </w:r>
          </w:p>
        </w:tc>
        <w:tc>
          <w:tcPr>
            <w:tcW w:w="5170" w:type="dxa"/>
            <w:tcBorders>
              <w:top w:val="single" w:color="auto" w:sz="2" w:space="0"/>
              <w:left w:val="single" w:color="auto" w:sz="2"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left"/>
              <w:rPr>
                <w:rFonts w:hint="eastAsia" w:ascii="宋体" w:hAnsi="宋体" w:eastAsia="宋体" w:cs="宋体"/>
                <w:b w:val="0"/>
                <w:bCs w:val="0"/>
                <w:iCs/>
                <w:color w:val="auto"/>
                <w:szCs w:val="21"/>
              </w:rPr>
            </w:pPr>
            <w:r>
              <w:rPr>
                <w:rFonts w:hint="eastAsia" w:ascii="宋体" w:hAnsi="宋体" w:eastAsia="宋体" w:cs="宋体"/>
                <w:b w:val="0"/>
                <w:bCs w:val="0"/>
                <w:iCs/>
                <w:color w:val="auto"/>
                <w:szCs w:val="21"/>
              </w:rPr>
              <w:t>因本合同及合同有关事项发生的争议，按下列第</w:t>
            </w:r>
            <w:r>
              <w:rPr>
                <w:rFonts w:hint="eastAsia" w:ascii="宋体" w:hAnsi="宋体" w:eastAsia="宋体" w:cs="宋体"/>
                <w:b w:val="0"/>
                <w:bCs w:val="0"/>
                <w:iCs/>
                <w:color w:val="auto"/>
                <w:szCs w:val="21"/>
                <w:u w:val="single"/>
              </w:rPr>
              <w:t xml:space="preserve">   </w:t>
            </w:r>
            <w:r>
              <w:rPr>
                <w:rFonts w:hint="eastAsia" w:ascii="宋体" w:hAnsi="宋体" w:eastAsia="宋体" w:cs="宋体"/>
                <w:b w:val="0"/>
                <w:bCs w:val="0"/>
                <w:iCs/>
                <w:color w:val="auto"/>
                <w:szCs w:val="21"/>
              </w:rPr>
              <w:t>种方式解决：</w:t>
            </w:r>
          </w:p>
          <w:p>
            <w:pPr>
              <w:keepNext w:val="0"/>
              <w:keepLines w:val="0"/>
              <w:suppressLineNumbers w:val="0"/>
              <w:autoSpaceDE w:val="0"/>
              <w:autoSpaceDN w:val="0"/>
              <w:adjustRightInd w:val="0"/>
              <w:snapToGrid w:val="0"/>
              <w:spacing w:before="0" w:beforeAutospacing="0" w:after="0" w:afterAutospacing="0" w:line="400" w:lineRule="exact"/>
              <w:ind w:left="0" w:right="0"/>
              <w:jc w:val="left"/>
              <w:rPr>
                <w:rFonts w:hint="eastAsia" w:ascii="宋体" w:hAnsi="宋体" w:eastAsia="宋体" w:cs="宋体"/>
                <w:b w:val="0"/>
                <w:bCs w:val="0"/>
                <w:iCs/>
                <w:color w:val="auto"/>
                <w:szCs w:val="21"/>
              </w:rPr>
            </w:pPr>
            <w:r>
              <w:rPr>
                <w:rFonts w:hint="eastAsia" w:ascii="宋体" w:hAnsi="宋体" w:eastAsia="宋体" w:cs="宋体"/>
                <w:b w:val="0"/>
                <w:bCs w:val="0"/>
                <w:iCs/>
                <w:color w:val="auto"/>
                <w:szCs w:val="21"/>
              </w:rPr>
              <w:t>（1）向</w:t>
            </w:r>
            <w:r>
              <w:rPr>
                <w:rFonts w:hint="eastAsia" w:ascii="宋体" w:hAnsi="宋体" w:eastAsia="宋体" w:cs="宋体"/>
                <w:b w:val="0"/>
                <w:bCs w:val="0"/>
                <w:iCs/>
                <w:color w:val="auto"/>
                <w:szCs w:val="21"/>
                <w:u w:val="single"/>
              </w:rPr>
              <w:t xml:space="preserve">                    </w:t>
            </w:r>
            <w:r>
              <w:rPr>
                <w:rFonts w:hint="eastAsia" w:ascii="宋体" w:hAnsi="宋体" w:eastAsia="宋体" w:cs="宋体"/>
                <w:b w:val="0"/>
                <w:bCs w:val="0"/>
                <w:iCs/>
                <w:color w:val="auto"/>
                <w:szCs w:val="21"/>
              </w:rPr>
              <w:t>仲裁委员会申请仲裁，仲裁地点为</w:t>
            </w:r>
            <w:r>
              <w:rPr>
                <w:rFonts w:hint="eastAsia" w:ascii="宋体" w:hAnsi="宋体" w:eastAsia="宋体" w:cs="宋体"/>
                <w:b w:val="0"/>
                <w:bCs w:val="0"/>
                <w:iCs/>
                <w:color w:val="auto"/>
                <w:szCs w:val="21"/>
                <w:u w:val="single"/>
              </w:rPr>
              <w:t xml:space="preserve">           </w:t>
            </w:r>
            <w:r>
              <w:rPr>
                <w:rFonts w:hint="eastAsia" w:ascii="宋体" w:hAnsi="宋体" w:eastAsia="宋体" w:cs="宋体"/>
                <w:b w:val="0"/>
                <w:bCs w:val="0"/>
                <w:iCs/>
                <w:color w:val="auto"/>
                <w:szCs w:val="21"/>
              </w:rPr>
              <w:t>；</w:t>
            </w:r>
          </w:p>
          <w:p>
            <w:pPr>
              <w:keepNext w:val="0"/>
              <w:keepLines w:val="0"/>
              <w:suppressLineNumbers w:val="0"/>
              <w:adjustRightInd w:val="0"/>
              <w:snapToGrid w:val="0"/>
              <w:spacing w:before="0" w:beforeAutospacing="0" w:after="0" w:afterAutospacing="0"/>
              <w:ind w:left="0" w:right="0" w:firstLine="0" w:firstLineChars="0"/>
              <w:jc w:val="left"/>
              <w:rPr>
                <w:rFonts w:hint="default" w:ascii="宋体" w:hAnsi="宋体"/>
                <w:color w:val="auto"/>
                <w:szCs w:val="21"/>
                <w:u w:val="single"/>
              </w:rPr>
            </w:pPr>
            <w:r>
              <w:rPr>
                <w:rFonts w:hint="eastAsia" w:ascii="宋体" w:hAnsi="宋体" w:eastAsia="宋体" w:cs="宋体"/>
                <w:b w:val="0"/>
                <w:bCs w:val="0"/>
                <w:iCs/>
                <w:color w:val="auto"/>
                <w:szCs w:val="21"/>
              </w:rPr>
              <w:t>（2）向</w:t>
            </w:r>
            <w:r>
              <w:rPr>
                <w:rFonts w:hint="eastAsia" w:ascii="宋体" w:hAnsi="宋体" w:eastAsia="宋体" w:cs="宋体"/>
                <w:b w:val="0"/>
                <w:bCs w:val="0"/>
                <w:iCs/>
                <w:color w:val="auto"/>
                <w:szCs w:val="21"/>
                <w:u w:val="single"/>
              </w:rPr>
              <w:t xml:space="preserve">                    </w:t>
            </w:r>
            <w:r>
              <w:rPr>
                <w:rFonts w:hint="eastAsia" w:ascii="宋体" w:hAnsi="宋体" w:eastAsia="宋体" w:cs="宋体"/>
                <w:b w:val="0"/>
                <w:bCs w:val="0"/>
                <w:iCs/>
                <w:color w:val="auto"/>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第2</w:t>
            </w:r>
            <w:r>
              <w:rPr>
                <w:rFonts w:hint="eastAsia" w:ascii="宋体" w:hAnsi="宋体"/>
                <w:color w:val="auto"/>
                <w:szCs w:val="21"/>
                <w:lang w:val="en-US" w:eastAsia="zh-CN"/>
              </w:rPr>
              <w:t>3.1</w:t>
            </w:r>
            <w:r>
              <w:rPr>
                <w:rFonts w:hint="eastAsia" w:ascii="宋体" w:hAnsi="宋体"/>
                <w:color w:val="auto"/>
                <w:szCs w:val="21"/>
                <w:lang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color w:val="auto"/>
                <w:szCs w:val="21"/>
              </w:rPr>
            </w:pPr>
            <w:r>
              <w:rPr>
                <w:rFonts w:hint="eastAsia" w:ascii="宋体" w:hAnsi="宋体"/>
                <w:bCs/>
                <w:color w:val="auto"/>
                <w:szCs w:val="21"/>
                <w:highlight w:val="none"/>
                <w:lang w:eastAsia="zh-CN"/>
              </w:rPr>
              <w:t>其他专用条款</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olor w:val="auto"/>
                <w:szCs w:val="21"/>
                <w:lang w:val="en-US" w:eastAsia="zh-CN"/>
              </w:rPr>
            </w:pPr>
          </w:p>
        </w:tc>
      </w:tr>
    </w:tbl>
    <w:p>
      <w:pPr>
        <w:rPr>
          <w:rFonts w:hint="eastAsia" w:ascii="宋体" w:hAnsi="宋体" w:cs="宋体"/>
          <w:color w:val="auto"/>
          <w:highlight w:val="none"/>
          <w:lang w:val="en-US" w:eastAsia="zh-CN"/>
        </w:rPr>
      </w:pPr>
    </w:p>
    <w:p>
      <w:pPr>
        <w:rPr>
          <w:rFonts w:hint="eastAsia" w:ascii="宋体" w:hAnsi="宋体" w:cs="宋体"/>
          <w:color w:val="auto"/>
          <w:highlight w:val="none"/>
        </w:rPr>
      </w:pPr>
      <w:r>
        <w:rPr>
          <w:rFonts w:hint="eastAsia" w:ascii="宋体" w:hAnsi="宋体" w:cs="宋体"/>
          <w:color w:val="auto"/>
          <w:highlight w:val="none"/>
        </w:rPr>
        <w:br w:type="page"/>
      </w:r>
    </w:p>
    <w:bookmarkEnd w:id="148"/>
    <w:bookmarkEnd w:id="149"/>
    <w:bookmarkEnd w:id="150"/>
    <w:p>
      <w:pPr>
        <w:pStyle w:val="3"/>
        <w:numPr>
          <w:ilvl w:val="0"/>
          <w:numId w:val="0"/>
        </w:numPr>
        <w:ind w:left="0" w:leftChars="0" w:firstLine="0" w:firstLineChars="0"/>
        <w:rPr>
          <w:rFonts w:hint="eastAsia"/>
          <w:color w:val="auto"/>
          <w:lang w:val="en-US" w:eastAsia="zh-CN"/>
        </w:rPr>
      </w:pPr>
      <w:bookmarkStart w:id="154" w:name="_Toc317237622"/>
      <w:bookmarkStart w:id="155" w:name="_Toc1288"/>
      <w:bookmarkStart w:id="156" w:name="_Toc6071"/>
      <w:bookmarkStart w:id="157" w:name="_Toc14214"/>
      <w:r>
        <w:rPr>
          <w:rFonts w:hint="eastAsia"/>
          <w:color w:val="auto"/>
          <w:lang w:val="en-US" w:eastAsia="zh-CN"/>
        </w:rPr>
        <w:t xml:space="preserve">B包 </w:t>
      </w:r>
    </w:p>
    <w:p>
      <w:pPr>
        <w:pStyle w:val="3"/>
        <w:numPr>
          <w:ilvl w:val="0"/>
          <w:numId w:val="0"/>
        </w:numPr>
        <w:ind w:left="0" w:leftChars="0" w:firstLine="0" w:firstLineChars="0"/>
        <w:rPr>
          <w:rFonts w:hint="default" w:eastAsia="宋体"/>
          <w:color w:val="auto"/>
          <w:lang w:val="en-US" w:eastAsia="zh-CN"/>
        </w:rPr>
      </w:pPr>
      <w:r>
        <w:rPr>
          <w:rFonts w:hint="eastAsia"/>
          <w:color w:val="auto"/>
        </w:rPr>
        <w:t>合同</w:t>
      </w:r>
      <w:r>
        <w:rPr>
          <w:rFonts w:hint="eastAsia"/>
          <w:color w:val="auto"/>
          <w:lang w:val="en-US" w:eastAsia="zh-CN"/>
        </w:rPr>
        <w:t>主要条款</w:t>
      </w:r>
    </w:p>
    <w:p>
      <w:pPr>
        <w:pStyle w:val="3"/>
        <w:numPr>
          <w:ilvl w:val="0"/>
          <w:numId w:val="0"/>
        </w:numPr>
        <w:ind w:leftChars="0"/>
        <w:jc w:val="center"/>
        <w:rPr>
          <w:rFonts w:hint="eastAsia"/>
          <w:color w:val="auto"/>
          <w:sz w:val="21"/>
          <w:szCs w:val="21"/>
        </w:rPr>
      </w:pPr>
    </w:p>
    <w:p>
      <w:pPr>
        <w:jc w:val="center"/>
        <w:rPr>
          <w:rFonts w:asciiTheme="minorEastAsia" w:hAnsiTheme="minorEastAsia" w:cstheme="minorEastAsia"/>
          <w:color w:val="auto"/>
          <w:sz w:val="24"/>
        </w:rPr>
      </w:pPr>
      <w:r>
        <w:rPr>
          <w:rFonts w:hint="eastAsia" w:asciiTheme="minorEastAsia" w:hAnsiTheme="minorEastAsia" w:cstheme="minorEastAsia"/>
          <w:color w:val="auto"/>
          <w:sz w:val="24"/>
        </w:rPr>
        <w:t>（只在此提供合同模板，具体内容由</w:t>
      </w:r>
      <w:r>
        <w:rPr>
          <w:rFonts w:hint="eastAsia" w:asciiTheme="minorEastAsia" w:hAnsiTheme="minorEastAsia" w:cstheme="minorEastAsia"/>
          <w:color w:val="auto"/>
          <w:sz w:val="24"/>
          <w:lang w:val="en-US" w:eastAsia="zh-CN"/>
        </w:rPr>
        <w:t>采购</w:t>
      </w:r>
      <w:r>
        <w:rPr>
          <w:rFonts w:hint="eastAsia" w:asciiTheme="minorEastAsia" w:hAnsiTheme="minorEastAsia" w:cstheme="minorEastAsia"/>
          <w:color w:val="auto"/>
          <w:sz w:val="24"/>
        </w:rPr>
        <w:t>人和</w:t>
      </w:r>
      <w:r>
        <w:rPr>
          <w:rFonts w:hint="eastAsia" w:asciiTheme="minorEastAsia" w:hAnsiTheme="minorEastAsia" w:cstheme="minorEastAsia"/>
          <w:color w:val="auto"/>
          <w:sz w:val="24"/>
          <w:lang w:val="en-US" w:eastAsia="zh-CN"/>
        </w:rPr>
        <w:t>成交</w:t>
      </w:r>
      <w:r>
        <w:rPr>
          <w:rFonts w:hint="eastAsia" w:asciiTheme="minorEastAsia" w:hAnsiTheme="minorEastAsia" w:cstheme="minorEastAsia"/>
          <w:color w:val="auto"/>
          <w:sz w:val="24"/>
        </w:rPr>
        <w:t>人具体协商约定）</w:t>
      </w:r>
    </w:p>
    <w:p>
      <w:pPr>
        <w:jc w:val="center"/>
        <w:rPr>
          <w:rFonts w:eastAsia="华文中宋"/>
          <w:b/>
          <w:color w:val="auto"/>
          <w:sz w:val="52"/>
          <w:szCs w:val="52"/>
        </w:rPr>
      </w:pPr>
    </w:p>
    <w:p>
      <w:pPr>
        <w:rPr>
          <w:rFonts w:eastAsia="华文中宋"/>
          <w:b/>
          <w:color w:val="auto"/>
          <w:sz w:val="52"/>
          <w:szCs w:val="52"/>
        </w:rPr>
      </w:pPr>
    </w:p>
    <w:p>
      <w:pPr>
        <w:jc w:val="center"/>
        <w:rPr>
          <w:rFonts w:hint="eastAsia" w:eastAsia="华文中宋"/>
          <w:b/>
          <w:color w:val="auto"/>
          <w:sz w:val="72"/>
          <w:szCs w:val="52"/>
          <w:lang w:eastAsia="zh-CN"/>
        </w:rPr>
      </w:pPr>
      <w:r>
        <w:rPr>
          <w:rFonts w:eastAsia="华文中宋"/>
          <w:b/>
          <w:color w:val="auto"/>
          <w:sz w:val="72"/>
          <w:szCs w:val="52"/>
        </w:rPr>
        <w:t>建设工程施工合同</w:t>
      </w:r>
    </w:p>
    <w:p>
      <w:pPr>
        <w:pStyle w:val="2"/>
        <w:rPr>
          <w:rFonts w:hint="eastAsia"/>
          <w:lang w:eastAsia="zh-CN"/>
        </w:rPr>
      </w:pPr>
    </w:p>
    <w:p>
      <w:pPr>
        <w:jc w:val="center"/>
        <w:rPr>
          <w:rFonts w:eastAsia="华文中宋"/>
          <w:b/>
          <w:color w:val="auto"/>
          <w:sz w:val="52"/>
          <w:szCs w:val="52"/>
        </w:rPr>
      </w:pPr>
    </w:p>
    <w:p>
      <w:pPr>
        <w:tabs>
          <w:tab w:val="left" w:pos="5760"/>
        </w:tabs>
        <w:rPr>
          <w:rFonts w:eastAsia="黑体"/>
          <w:b/>
          <w:color w:val="auto"/>
          <w:sz w:val="72"/>
          <w:szCs w:val="72"/>
        </w:rPr>
      </w:pPr>
      <w:r>
        <w:rPr>
          <w:rFonts w:eastAsia="黑体"/>
          <w:b/>
          <w:color w:val="auto"/>
          <w:sz w:val="72"/>
          <w:szCs w:val="72"/>
        </w:rPr>
        <w:tab/>
      </w:r>
    </w:p>
    <w:p>
      <w:pPr>
        <w:rPr>
          <w:b/>
          <w:color w:val="auto"/>
          <w:sz w:val="28"/>
          <w:szCs w:val="28"/>
        </w:rPr>
      </w:pPr>
    </w:p>
    <w:p>
      <w:pPr>
        <w:rPr>
          <w:b/>
          <w:color w:val="auto"/>
          <w:sz w:val="28"/>
          <w:szCs w:val="28"/>
        </w:rPr>
      </w:pPr>
    </w:p>
    <w:p>
      <w:pPr>
        <w:ind w:right="2719" w:rightChars="1295" w:firstLine="2738" w:firstLineChars="1304"/>
        <w:jc w:val="distribute"/>
        <w:rPr>
          <w:b/>
          <w:color w:val="auto"/>
          <w:sz w:val="32"/>
          <w:szCs w:val="28"/>
        </w:rPr>
      </w:pPr>
      <w:r>
        <w:rPr>
          <w:color w:val="auto"/>
        </w:rPr>
        <mc:AlternateContent>
          <mc:Choice Requires="wps">
            <w:drawing>
              <wp:anchor distT="0" distB="0" distL="114300" distR="114300" simplePos="0" relativeHeight="251659264" behindDoc="0" locked="0" layoutInCell="1" allowOverlap="1">
                <wp:simplePos x="0" y="0"/>
                <wp:positionH relativeFrom="column">
                  <wp:posOffset>4525645</wp:posOffset>
                </wp:positionH>
                <wp:positionV relativeFrom="paragraph">
                  <wp:posOffset>167640</wp:posOffset>
                </wp:positionV>
                <wp:extent cx="723900" cy="457200"/>
                <wp:effectExtent l="4445" t="4445" r="8255" b="825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a:effectLst/>
                      </wps:spPr>
                      <wps:txbx>
                        <w:txbxContent>
                          <w:p>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35pt;margin-top:13.2pt;height:36pt;width:57pt;z-index:251659264;mso-width-relative:page;mso-height-relative:page;" filled="f" stroked="t" coordsize="21600,21600" o:gfxdata="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8tCfNkAAAAJAQAADwAAAAAAAAABACAAAAAi&#10;AAAAZHJzL2Rvd25yZXYueG1sUEsBAhQAFAAAAAgAh07iQAC6KB1CAgAAawQAAA4AAAAAAAAAAQAg&#10;AAAAKAEAAGRycy9lMm9Eb2MueG1sUEsFBgAAAAAGAAYAWQEAANwFAAAAAA==&#10;">
                <v:fill on="f" focussize="0,0"/>
                <v:stroke color="#FFFFFF" miterlimit="8" joinstyle="miter"/>
                <v:imagedata o:title=""/>
                <o:lock v:ext="edit" aspectratio="f"/>
                <v:textbox>
                  <w:txbxContent>
                    <w:p>
                      <w:pPr>
                        <w:rPr>
                          <w:b/>
                          <w:bCs/>
                          <w:sz w:val="32"/>
                        </w:rPr>
                      </w:pPr>
                      <w:r>
                        <w:rPr>
                          <w:rFonts w:hint="eastAsia"/>
                          <w:b/>
                          <w:bCs/>
                          <w:sz w:val="32"/>
                        </w:rPr>
                        <w:t>制定</w:t>
                      </w:r>
                    </w:p>
                  </w:txbxContent>
                </v:textbox>
              </v:shape>
            </w:pict>
          </mc:Fallback>
        </mc:AlternateContent>
      </w:r>
      <w:r>
        <w:rPr>
          <w:b/>
          <w:color w:val="auto"/>
          <w:sz w:val="32"/>
          <w:szCs w:val="28"/>
        </w:rPr>
        <w:t>住房城乡建设部</w:t>
      </w:r>
    </w:p>
    <w:p>
      <w:pPr>
        <w:ind w:right="2719" w:rightChars="1295" w:firstLine="2750" w:firstLineChars="856"/>
        <w:jc w:val="distribute"/>
        <w:rPr>
          <w:b/>
          <w:color w:val="auto"/>
          <w:sz w:val="32"/>
          <w:szCs w:val="28"/>
        </w:rPr>
      </w:pPr>
      <w:r>
        <w:rPr>
          <w:b/>
          <w:color w:val="auto"/>
          <w:sz w:val="32"/>
          <w:szCs w:val="28"/>
        </w:rPr>
        <w:t>国家工商行政管理总局</w:t>
      </w:r>
    </w:p>
    <w:p>
      <w:pPr>
        <w:rPr>
          <w:rFonts w:hint="eastAsia"/>
          <w:color w:val="auto"/>
          <w:sz w:val="21"/>
          <w:szCs w:val="21"/>
        </w:rPr>
      </w:pPr>
    </w:p>
    <w:p>
      <w:pPr>
        <w:pStyle w:val="2"/>
        <w:rPr>
          <w:color w:val="auto"/>
        </w:rPr>
      </w:pPr>
    </w:p>
    <w:p>
      <w:pPr>
        <w:rPr>
          <w:color w:val="auto"/>
        </w:rPr>
      </w:pPr>
      <w:bookmarkStart w:id="158" w:name="_Toc18323"/>
      <w:bookmarkStart w:id="159" w:name="_Toc533864026"/>
      <w:bookmarkStart w:id="160" w:name="_Toc30009_WPSOffice_Level1"/>
      <w:bookmarkStart w:id="161" w:name="_Toc13340_WPSOffice_Level1"/>
      <w:bookmarkStart w:id="162" w:name="_Toc516136842"/>
      <w:r>
        <w:rPr>
          <w:color w:val="auto"/>
        </w:rPr>
        <w:br w:type="page"/>
      </w:r>
    </w:p>
    <w:p>
      <w:pPr>
        <w:pStyle w:val="4"/>
        <w:jc w:val="center"/>
        <w:rPr>
          <w:color w:val="auto"/>
        </w:rPr>
      </w:pPr>
      <w:r>
        <w:rPr>
          <w:color w:val="auto"/>
        </w:rPr>
        <w:t>第一部分 合同协议书</w:t>
      </w:r>
      <w:bookmarkEnd w:id="158"/>
      <w:bookmarkEnd w:id="159"/>
      <w:bookmarkEnd w:id="160"/>
      <w:bookmarkEnd w:id="161"/>
      <w:bookmarkEnd w:id="162"/>
    </w:p>
    <w:p>
      <w:pPr>
        <w:spacing w:line="360" w:lineRule="auto"/>
        <w:rPr>
          <w:b/>
          <w:color w:val="auto"/>
          <w:sz w:val="24"/>
        </w:rPr>
      </w:pPr>
      <w:r>
        <w:rPr>
          <w:b/>
          <w:color w:val="auto"/>
          <w:sz w:val="24"/>
        </w:rPr>
        <w:t>发包人（全称）：</w:t>
      </w:r>
      <w:r>
        <w:rPr>
          <w:rFonts w:hint="eastAsia"/>
          <w:bCs/>
          <w:color w:val="auto"/>
          <w:sz w:val="24"/>
          <w:u w:val="single"/>
        </w:rPr>
        <w:t xml:space="preserve">                        </w:t>
      </w:r>
    </w:p>
    <w:p>
      <w:pPr>
        <w:spacing w:line="360" w:lineRule="auto"/>
        <w:rPr>
          <w:b/>
          <w:color w:val="auto"/>
          <w:sz w:val="24"/>
          <w:u w:val="single"/>
        </w:rPr>
      </w:pPr>
      <w:r>
        <w:rPr>
          <w:b/>
          <w:color w:val="auto"/>
          <w:sz w:val="24"/>
        </w:rPr>
        <w:t>承包人（全称）：</w:t>
      </w:r>
      <w:r>
        <w:rPr>
          <w:rFonts w:hint="eastAsia"/>
          <w:bCs/>
          <w:color w:val="auto"/>
          <w:sz w:val="24"/>
          <w:u w:val="single"/>
        </w:rPr>
        <w:t xml:space="preserve">                        </w:t>
      </w:r>
    </w:p>
    <w:p>
      <w:pPr>
        <w:spacing w:line="360" w:lineRule="auto"/>
        <w:ind w:firstLine="480" w:firstLineChars="200"/>
        <w:rPr>
          <w:color w:val="auto"/>
          <w:sz w:val="24"/>
          <w:szCs w:val="24"/>
        </w:rPr>
      </w:pPr>
      <w:r>
        <w:rPr>
          <w:color w:val="auto"/>
          <w:sz w:val="24"/>
          <w:szCs w:val="24"/>
        </w:rPr>
        <w:t>根据《中华人民共和国</w:t>
      </w:r>
      <w:r>
        <w:rPr>
          <w:rFonts w:hint="eastAsia"/>
          <w:color w:val="auto"/>
          <w:sz w:val="24"/>
          <w:szCs w:val="24"/>
          <w:lang w:val="en-US" w:eastAsia="zh-CN"/>
        </w:rPr>
        <w:t>民法典</w:t>
      </w:r>
      <w:r>
        <w:rPr>
          <w:color w:val="auto"/>
          <w:sz w:val="24"/>
          <w:szCs w:val="24"/>
        </w:rPr>
        <w:t>》、《中华人民共和国建筑法》及有关法律规定，遵循平等、自愿、公平和诚实信用的原则，双方就</w:t>
      </w:r>
      <w:r>
        <w:rPr>
          <w:rFonts w:hint="eastAsia" w:cs="宋体"/>
          <w:b/>
          <w:bCs/>
          <w:color w:val="auto"/>
          <w:sz w:val="24"/>
          <w:szCs w:val="24"/>
          <w:u w:val="single"/>
        </w:rPr>
        <w:t xml:space="preserve">                           </w:t>
      </w:r>
      <w:r>
        <w:rPr>
          <w:color w:val="auto"/>
          <w:sz w:val="24"/>
          <w:szCs w:val="24"/>
        </w:rPr>
        <w:t>工程施工及有关事项协商一致</w:t>
      </w:r>
      <w:r>
        <w:rPr>
          <w:rFonts w:hint="eastAsia"/>
          <w:color w:val="auto"/>
          <w:sz w:val="24"/>
          <w:szCs w:val="24"/>
        </w:rPr>
        <w:t>，</w:t>
      </w:r>
      <w:r>
        <w:rPr>
          <w:color w:val="auto"/>
          <w:sz w:val="24"/>
          <w:szCs w:val="24"/>
        </w:rPr>
        <w:t>共同达成如下协议：</w:t>
      </w:r>
    </w:p>
    <w:p>
      <w:pPr>
        <w:spacing w:line="360" w:lineRule="auto"/>
        <w:rPr>
          <w:bCs/>
          <w:color w:val="auto"/>
          <w:sz w:val="24"/>
          <w:szCs w:val="24"/>
        </w:rPr>
      </w:pPr>
      <w:r>
        <w:rPr>
          <w:bCs/>
          <w:color w:val="auto"/>
          <w:sz w:val="24"/>
          <w:szCs w:val="24"/>
        </w:rPr>
        <w:t xml:space="preserve">   </w:t>
      </w:r>
      <w:r>
        <w:rPr>
          <w:b/>
          <w:color w:val="auto"/>
          <w:sz w:val="24"/>
          <w:szCs w:val="24"/>
        </w:rPr>
        <w:t xml:space="preserve"> </w:t>
      </w:r>
      <w:bookmarkStart w:id="163" w:name="_Toc351203481"/>
      <w:r>
        <w:rPr>
          <w:b/>
          <w:color w:val="auto"/>
          <w:sz w:val="24"/>
          <w:szCs w:val="24"/>
        </w:rPr>
        <w:t>一、工程概况</w:t>
      </w:r>
      <w:bookmarkEnd w:id="16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u w:val="single"/>
        </w:rPr>
      </w:pPr>
      <w:r>
        <w:rPr>
          <w:bCs/>
          <w:color w:val="auto"/>
          <w:sz w:val="24"/>
          <w:szCs w:val="24"/>
        </w:rPr>
        <w:t>1.工程名称</w:t>
      </w:r>
      <w:r>
        <w:rPr>
          <w:color w:val="auto"/>
          <w:sz w:val="24"/>
          <w:szCs w:val="24"/>
        </w:rPr>
        <w:t>：</w:t>
      </w:r>
      <w:r>
        <w:rPr>
          <w:rFonts w:hint="eastAsia"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u w:val="single"/>
        </w:rPr>
      </w:pPr>
      <w:r>
        <w:rPr>
          <w:bCs/>
          <w:color w:val="auto"/>
          <w:sz w:val="24"/>
          <w:szCs w:val="24"/>
        </w:rPr>
        <w:t>2.工程地点：</w:t>
      </w:r>
      <w:r>
        <w:rPr>
          <w:rFonts w:hint="eastAsia"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u w:val="single"/>
        </w:rPr>
      </w:pPr>
      <w:r>
        <w:rPr>
          <w:bCs/>
          <w:color w:val="auto"/>
          <w:sz w:val="24"/>
          <w:szCs w:val="24"/>
        </w:rPr>
        <w:t>3.工程立项批准文号：</w:t>
      </w:r>
      <w:r>
        <w:rPr>
          <w:rFonts w:hint="eastAsia"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4.资金来源：</w:t>
      </w:r>
      <w:r>
        <w:rPr>
          <w:rFonts w:hint="eastAsia"/>
          <w:bCs/>
          <w:color w:val="auto"/>
          <w:sz w:val="24"/>
          <w:szCs w:val="24"/>
          <w:u w:val="single"/>
        </w:rPr>
        <w:t xml:space="preserve">                         </w:t>
      </w:r>
      <w:r>
        <w:rPr>
          <w:rFonts w:hint="eastAsia"/>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5.工程内容：</w:t>
      </w:r>
      <w:r>
        <w:rPr>
          <w:rFonts w:hint="eastAsia"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Cs/>
          <w:color w:val="auto"/>
          <w:sz w:val="24"/>
          <w:szCs w:val="24"/>
        </w:rPr>
      </w:pPr>
      <w:r>
        <w:rPr>
          <w:rFonts w:hint="eastAsia"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color w:val="auto"/>
          <w:sz w:val="24"/>
          <w:szCs w:val="24"/>
        </w:rPr>
        <w:t>群体工程应附《</w:t>
      </w:r>
      <w:r>
        <w:rPr>
          <w:color w:val="auto"/>
          <w:sz w:val="24"/>
          <w:szCs w:val="24"/>
        </w:rPr>
        <w:t>承包人承揽工程项目一览表</w:t>
      </w:r>
      <w:r>
        <w:rPr>
          <w:rFonts w:hint="eastAsia"/>
          <w:color w:val="auto"/>
          <w:sz w:val="24"/>
          <w:szCs w:val="24"/>
        </w:rPr>
        <w:t>》（附件1）。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rFonts w:hint="eastAsia"/>
          <w:bCs/>
          <w:color w:val="auto"/>
          <w:sz w:val="24"/>
          <w:szCs w:val="24"/>
        </w:rPr>
        <w:t>6</w:t>
      </w:r>
      <w:r>
        <w:rPr>
          <w:bCs/>
          <w:color w:val="auto"/>
          <w:sz w:val="24"/>
          <w:szCs w:val="24"/>
        </w:rPr>
        <w:t>.工程承包范围：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宋体"/>
          <w:b/>
          <w:bCs/>
          <w:color w:val="auto"/>
          <w:sz w:val="24"/>
          <w:szCs w:val="24"/>
          <w:u w:val="single"/>
        </w:rPr>
      </w:pPr>
      <w:r>
        <w:rPr>
          <w:rFonts w:hint="eastAsia" w:cs="宋体"/>
          <w:b/>
          <w:bCs/>
          <w:color w:val="auto"/>
          <w:sz w:val="24"/>
          <w:szCs w:val="24"/>
          <w:u w:val="single"/>
        </w:rPr>
        <w:t xml:space="preserve">                                                             </w:t>
      </w:r>
    </w:p>
    <w:p>
      <w:pPr>
        <w:spacing w:line="360" w:lineRule="auto"/>
        <w:rPr>
          <w:b/>
          <w:color w:val="auto"/>
          <w:sz w:val="24"/>
          <w:szCs w:val="24"/>
        </w:rPr>
      </w:pPr>
      <w:r>
        <w:rPr>
          <w:b/>
          <w:color w:val="auto"/>
          <w:sz w:val="24"/>
          <w:szCs w:val="24"/>
        </w:rPr>
        <w:t xml:space="preserve">   </w:t>
      </w:r>
      <w:bookmarkStart w:id="164" w:name="_Toc351203482"/>
      <w:r>
        <w:rPr>
          <w:b/>
          <w:color w:val="auto"/>
          <w:sz w:val="24"/>
          <w:szCs w:val="24"/>
        </w:rPr>
        <w:t>二、合同工期</w:t>
      </w:r>
      <w:bookmarkEnd w:id="16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计划开工日期：</w:t>
      </w:r>
      <w:r>
        <w:rPr>
          <w:color w:val="auto"/>
          <w:sz w:val="24"/>
          <w:szCs w:val="24"/>
          <w:u w:val="single"/>
        </w:rPr>
        <w:t></w:t>
      </w:r>
      <w:r>
        <w:rPr>
          <w:color w:val="auto"/>
          <w:sz w:val="24"/>
          <w:szCs w:val="24"/>
        </w:rPr>
        <w:t>年</w:t>
      </w:r>
      <w:r>
        <w:rPr>
          <w:color w:val="auto"/>
          <w:sz w:val="24"/>
          <w:szCs w:val="24"/>
          <w:u w:val="single"/>
        </w:rPr>
        <w:t></w:t>
      </w:r>
      <w:r>
        <w:rPr>
          <w:color w:val="auto"/>
          <w:sz w:val="24"/>
          <w:szCs w:val="24"/>
        </w:rPr>
        <w:t>月</w:t>
      </w:r>
      <w:r>
        <w:rPr>
          <w:color w:val="auto"/>
          <w:sz w:val="24"/>
          <w:szCs w:val="24"/>
          <w:u w:val="single"/>
        </w:rPr>
        <w:t></w:t>
      </w:r>
      <w:r>
        <w:rPr>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计划竣工日期：</w:t>
      </w:r>
      <w:r>
        <w:rPr>
          <w:color w:val="auto"/>
          <w:sz w:val="24"/>
          <w:szCs w:val="24"/>
          <w:u w:val="single"/>
        </w:rPr>
        <w:t></w:t>
      </w:r>
      <w:r>
        <w:rPr>
          <w:color w:val="auto"/>
          <w:sz w:val="24"/>
          <w:szCs w:val="24"/>
        </w:rPr>
        <w:t>年</w:t>
      </w:r>
      <w:r>
        <w:rPr>
          <w:color w:val="auto"/>
          <w:sz w:val="24"/>
          <w:szCs w:val="24"/>
          <w:u w:val="single"/>
        </w:rPr>
        <w:t></w:t>
      </w:r>
      <w:r>
        <w:rPr>
          <w:color w:val="auto"/>
          <w:sz w:val="24"/>
          <w:szCs w:val="24"/>
        </w:rPr>
        <w:t>月</w:t>
      </w:r>
      <w:r>
        <w:rPr>
          <w:color w:val="auto"/>
          <w:sz w:val="24"/>
          <w:szCs w:val="24"/>
          <w:u w:val="single"/>
        </w:rPr>
        <w:t></w:t>
      </w:r>
      <w:r>
        <w:rPr>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工期总日历天数：</w:t>
      </w:r>
      <w:r>
        <w:rPr>
          <w:rFonts w:hint="eastAsia"/>
          <w:color w:val="auto"/>
          <w:sz w:val="24"/>
          <w:szCs w:val="24"/>
          <w:u w:val="single"/>
        </w:rPr>
        <w:t xml:space="preserve">   </w:t>
      </w:r>
      <w:r>
        <w:rPr>
          <w:color w:val="auto"/>
          <w:sz w:val="24"/>
          <w:szCs w:val="24"/>
        </w:rPr>
        <w:t>天。工期总日历天数与根据前述计划开竣工日期计算的工期天数不一致的，以工期总日历天数为准。</w:t>
      </w:r>
    </w:p>
    <w:p>
      <w:pPr>
        <w:spacing w:line="360" w:lineRule="auto"/>
        <w:rPr>
          <w:bCs/>
          <w:color w:val="auto"/>
          <w:sz w:val="24"/>
          <w:szCs w:val="24"/>
        </w:rPr>
      </w:pPr>
      <w:r>
        <w:rPr>
          <w:bCs/>
          <w:color w:val="auto"/>
          <w:sz w:val="24"/>
          <w:szCs w:val="24"/>
        </w:rPr>
        <w:t xml:space="preserve">    </w:t>
      </w:r>
      <w:bookmarkStart w:id="165" w:name="_Toc351203483"/>
      <w:r>
        <w:rPr>
          <w:b/>
          <w:color w:val="auto"/>
          <w:sz w:val="24"/>
          <w:szCs w:val="24"/>
        </w:rPr>
        <w:t>三、质量标准</w:t>
      </w:r>
      <w:bookmarkEnd w:id="16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工程质量符合</w:t>
      </w:r>
      <w:r>
        <w:rPr>
          <w:rFonts w:hint="eastAsia"/>
          <w:color w:val="auto"/>
          <w:sz w:val="24"/>
          <w:szCs w:val="24"/>
          <w:u w:val="single"/>
        </w:rPr>
        <w:t xml:space="preserve">     </w:t>
      </w:r>
      <w:r>
        <w:rPr>
          <w:color w:val="auto"/>
          <w:sz w:val="24"/>
          <w:szCs w:val="24"/>
        </w:rPr>
        <w:t>标准。</w:t>
      </w:r>
    </w:p>
    <w:p>
      <w:pPr>
        <w:spacing w:line="360" w:lineRule="auto"/>
        <w:rPr>
          <w:bCs/>
          <w:color w:val="auto"/>
          <w:sz w:val="24"/>
          <w:szCs w:val="24"/>
        </w:rPr>
      </w:pPr>
      <w:r>
        <w:rPr>
          <w:bCs/>
          <w:color w:val="auto"/>
          <w:sz w:val="24"/>
          <w:szCs w:val="24"/>
        </w:rPr>
        <w:t xml:space="preserve">   </w:t>
      </w:r>
      <w:r>
        <w:rPr>
          <w:b/>
          <w:color w:val="auto"/>
          <w:sz w:val="24"/>
          <w:szCs w:val="24"/>
        </w:rPr>
        <w:t xml:space="preserve"> </w:t>
      </w:r>
      <w:bookmarkStart w:id="166" w:name="_Toc351203484"/>
      <w:r>
        <w:rPr>
          <w:b/>
          <w:color w:val="auto"/>
          <w:sz w:val="24"/>
          <w:szCs w:val="24"/>
        </w:rPr>
        <w:t>四、签约合同价与合同价格形式</w:t>
      </w:r>
      <w:bookmarkEnd w:id="166"/>
      <w:r>
        <w:rPr>
          <w:b/>
          <w:color w:val="auto"/>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1.签约合同价为：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人民币（大写）</w:t>
      </w:r>
      <w:r>
        <w:rPr>
          <w:rFonts w:hint="eastAsia"/>
          <w:color w:val="auto"/>
          <w:sz w:val="24"/>
          <w:szCs w:val="24"/>
        </w:rPr>
        <w:t>：</w:t>
      </w:r>
      <w:r>
        <w:rPr>
          <w:rFonts w:hint="eastAsia"/>
          <w:color w:val="auto"/>
          <w:sz w:val="24"/>
          <w:szCs w:val="24"/>
          <w:u w:val="single"/>
        </w:rPr>
        <w:t xml:space="preserve">                                    </w:t>
      </w:r>
      <w:r>
        <w:rPr>
          <w:rFonts w:hint="eastAsia"/>
          <w:color w:val="auto"/>
          <w:sz w:val="24"/>
          <w:szCs w:val="24"/>
        </w:rPr>
        <w:t xml:space="preserve"> 分（小写）</w:t>
      </w:r>
      <w:r>
        <w:rPr>
          <w:rFonts w:hint="eastAsia"/>
          <w:color w:val="auto"/>
          <w:sz w:val="24"/>
          <w:szCs w:val="24"/>
          <w:u w:val="single"/>
        </w:rPr>
        <w:t xml:space="preserve">             </w:t>
      </w:r>
      <w:r>
        <w:rPr>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（1）安全文明施工费：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人民币</w:t>
      </w:r>
      <w:r>
        <w:rPr>
          <w:rFonts w:hint="eastAsia"/>
          <w:color w:val="auto"/>
          <w:sz w:val="24"/>
          <w:szCs w:val="24"/>
        </w:rPr>
        <w:t>:</w:t>
      </w:r>
      <w:r>
        <w:rPr>
          <w:color w:val="auto"/>
          <w:sz w:val="24"/>
          <w:szCs w:val="24"/>
          <w:u w:val="single"/>
        </w:rPr>
        <w:t xml:space="preserve"> </w:t>
      </w:r>
      <w:r>
        <w:rPr>
          <w:rFonts w:hint="eastAsia"/>
          <w:color w:val="auto"/>
          <w:sz w:val="24"/>
          <w:szCs w:val="24"/>
          <w:u w:val="single"/>
        </w:rPr>
        <w:t xml:space="preserve">          </w:t>
      </w:r>
      <w:r>
        <w:rPr>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（2）材料和工程设备暂估价金额：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人民币</w:t>
      </w:r>
      <w:r>
        <w:rPr>
          <w:rFonts w:hint="eastAsia"/>
          <w:color w:val="auto"/>
          <w:sz w:val="24"/>
          <w:szCs w:val="24"/>
        </w:rPr>
        <w:t>:</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（3）专业工程暂估价金额：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人民币</w:t>
      </w:r>
      <w:r>
        <w:rPr>
          <w:rFonts w:hint="eastAsia"/>
          <w:color w:val="auto"/>
          <w:sz w:val="24"/>
          <w:szCs w:val="24"/>
          <w:u w:val="single"/>
        </w:rPr>
        <w:t>:</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（4）暂列金额：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人民币</w:t>
      </w:r>
      <w:r>
        <w:rPr>
          <w:rFonts w:hint="eastAsia"/>
          <w:color w:val="auto"/>
          <w:sz w:val="24"/>
          <w:szCs w:val="24"/>
        </w:rPr>
        <w:t>:</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2.合同价格形式：</w:t>
      </w:r>
      <w:r>
        <w:rPr>
          <w:rFonts w:hint="eastAsia"/>
          <w:b/>
          <w:color w:val="auto"/>
          <w:sz w:val="24"/>
          <w:szCs w:val="24"/>
          <w:u w:val="single"/>
        </w:rPr>
        <w:t xml:space="preserve">            </w:t>
      </w:r>
    </w:p>
    <w:p>
      <w:pPr>
        <w:spacing w:line="360" w:lineRule="auto"/>
        <w:rPr>
          <w:b/>
          <w:color w:val="auto"/>
          <w:sz w:val="24"/>
          <w:szCs w:val="24"/>
        </w:rPr>
      </w:pPr>
      <w:r>
        <w:rPr>
          <w:bCs/>
          <w:color w:val="auto"/>
          <w:sz w:val="24"/>
          <w:szCs w:val="24"/>
        </w:rPr>
        <w:t xml:space="preserve">   </w:t>
      </w:r>
      <w:r>
        <w:rPr>
          <w:b/>
          <w:color w:val="auto"/>
          <w:sz w:val="24"/>
          <w:szCs w:val="24"/>
        </w:rPr>
        <w:t xml:space="preserve"> </w:t>
      </w:r>
      <w:bookmarkStart w:id="167" w:name="_Toc351203485"/>
      <w:r>
        <w:rPr>
          <w:b/>
          <w:color w:val="auto"/>
          <w:sz w:val="24"/>
          <w:szCs w:val="24"/>
        </w:rPr>
        <w:t>五、</w:t>
      </w:r>
      <w:bookmarkEnd w:id="167"/>
      <w:r>
        <w:rPr>
          <w:b/>
          <w:color w:val="auto"/>
          <w:sz w:val="24"/>
          <w:szCs w:val="24"/>
        </w:rPr>
        <w:t>项目经理</w:t>
      </w:r>
    </w:p>
    <w:p>
      <w:pPr>
        <w:spacing w:line="360" w:lineRule="auto"/>
        <w:ind w:firstLine="480" w:firstLineChars="200"/>
        <w:jc w:val="left"/>
        <w:rPr>
          <w:color w:val="auto"/>
          <w:sz w:val="24"/>
          <w:szCs w:val="24"/>
        </w:rPr>
      </w:pPr>
      <w:r>
        <w:rPr>
          <w:color w:val="auto"/>
          <w:sz w:val="24"/>
          <w:szCs w:val="24"/>
        </w:rPr>
        <w:t>承包人项目经理：</w:t>
      </w:r>
      <w:r>
        <w:rPr>
          <w:color w:val="auto"/>
          <w:sz w:val="24"/>
          <w:szCs w:val="24"/>
          <w:u w:val="single"/>
        </w:rPr>
        <w:t></w:t>
      </w:r>
      <w:r>
        <w:rPr>
          <w:rFonts w:hint="eastAsia"/>
          <w:color w:val="auto"/>
          <w:sz w:val="24"/>
          <w:szCs w:val="24"/>
          <w:u w:val="single"/>
        </w:rPr>
        <w:t xml:space="preserve"> </w:t>
      </w:r>
      <w:r>
        <w:rPr>
          <w:color w:val="auto"/>
          <w:sz w:val="24"/>
          <w:szCs w:val="24"/>
          <w:u w:val="single"/>
        </w:rPr>
        <w:t xml:space="preserve">   </w:t>
      </w:r>
    </w:p>
    <w:p>
      <w:pPr>
        <w:spacing w:line="360" w:lineRule="auto"/>
        <w:rPr>
          <w:bCs/>
          <w:color w:val="auto"/>
          <w:sz w:val="24"/>
          <w:szCs w:val="24"/>
        </w:rPr>
      </w:pPr>
      <w:r>
        <w:rPr>
          <w:bCs/>
          <w:color w:val="auto"/>
          <w:sz w:val="24"/>
          <w:szCs w:val="24"/>
        </w:rPr>
        <w:t xml:space="preserve">   </w:t>
      </w:r>
      <w:r>
        <w:rPr>
          <w:b/>
          <w:color w:val="auto"/>
          <w:sz w:val="24"/>
          <w:szCs w:val="24"/>
        </w:rPr>
        <w:t xml:space="preserve"> </w:t>
      </w:r>
      <w:bookmarkStart w:id="168" w:name="_Toc351203486"/>
      <w:r>
        <w:rPr>
          <w:b/>
          <w:color w:val="auto"/>
          <w:sz w:val="24"/>
          <w:szCs w:val="24"/>
        </w:rPr>
        <w:t>六、合同文件构成</w:t>
      </w:r>
      <w:bookmarkEnd w:id="1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本协议书与下列文件一起构成合同文件：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（1）中标通知书（如果有）；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 xml:space="preserve">（2）投标函及其附录（如果有）；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（3）专用合同条款及其附件；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（4）通用合同条款；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（5）技术标准和要求；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（6）图纸；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（7）已标价工程量清单或预算书；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（8）其他合同文件。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在合同订立及履行过程中形成的与合同有关的文件均构成合同文件组成部分。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color w:val="auto"/>
          <w:sz w:val="24"/>
          <w:szCs w:val="24"/>
        </w:rPr>
        <w:t>上述各项合同文件包括合同当事人就该项合同文件所作出的补充和修改，属于同一类内容的文件，应以最新签署的为准。</w:t>
      </w:r>
      <w:r>
        <w:rPr>
          <w:rFonts w:hint="eastAsia"/>
          <w:color w:val="auto"/>
          <w:sz w:val="24"/>
          <w:szCs w:val="24"/>
        </w:rPr>
        <w:t>专用合同条款及其附件须经合同当事人签字或盖章。</w:t>
      </w:r>
    </w:p>
    <w:p>
      <w:pPr>
        <w:spacing w:line="360" w:lineRule="auto"/>
        <w:rPr>
          <w:b/>
          <w:bCs/>
          <w:color w:val="auto"/>
          <w:sz w:val="24"/>
          <w:szCs w:val="24"/>
        </w:rPr>
      </w:pPr>
      <w:r>
        <w:rPr>
          <w:b/>
          <w:bCs/>
          <w:color w:val="auto"/>
          <w:sz w:val="24"/>
          <w:szCs w:val="24"/>
        </w:rPr>
        <w:t xml:space="preserve">   </w:t>
      </w:r>
      <w:r>
        <w:rPr>
          <w:b/>
          <w:color w:val="auto"/>
          <w:sz w:val="24"/>
          <w:szCs w:val="24"/>
        </w:rPr>
        <w:t xml:space="preserve"> </w:t>
      </w:r>
      <w:bookmarkStart w:id="169" w:name="_Toc351203487"/>
      <w:r>
        <w:rPr>
          <w:b/>
          <w:color w:val="auto"/>
          <w:sz w:val="24"/>
          <w:szCs w:val="24"/>
        </w:rPr>
        <w:t>七、承诺</w:t>
      </w:r>
      <w:bookmarkEnd w:id="16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1.发包人承诺按照法律规定履行项目审批手续、筹集工程建设资金并按照合同约定的期限和方式支付合同价款。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3.发包人和承包人通过招投标形式签订合同的，双方理解并</w:t>
      </w:r>
      <w:r>
        <w:rPr>
          <w:rFonts w:hint="eastAsia"/>
          <w:bCs/>
          <w:color w:val="auto"/>
          <w:sz w:val="24"/>
          <w:szCs w:val="24"/>
        </w:rPr>
        <w:t>承诺</w:t>
      </w:r>
      <w:r>
        <w:rPr>
          <w:bCs/>
          <w:color w:val="auto"/>
          <w:sz w:val="24"/>
          <w:szCs w:val="24"/>
        </w:rPr>
        <w:t>不再就同一工程另行签订与合同实质性内容相背离的协议。</w:t>
      </w:r>
    </w:p>
    <w:p>
      <w:pPr>
        <w:spacing w:line="360" w:lineRule="auto"/>
        <w:rPr>
          <w:bCs/>
          <w:color w:val="auto"/>
          <w:sz w:val="24"/>
          <w:szCs w:val="24"/>
        </w:rPr>
      </w:pPr>
      <w:bookmarkStart w:id="170" w:name="_Toc351203488"/>
      <w:r>
        <w:rPr>
          <w:rFonts w:hint="eastAsia"/>
          <w:b/>
          <w:color w:val="auto"/>
          <w:sz w:val="24"/>
          <w:szCs w:val="24"/>
        </w:rPr>
        <w:t xml:space="preserve">    </w:t>
      </w:r>
      <w:r>
        <w:rPr>
          <w:b/>
          <w:color w:val="auto"/>
          <w:sz w:val="24"/>
          <w:szCs w:val="24"/>
        </w:rPr>
        <w:t>八、词语含义</w:t>
      </w:r>
      <w:bookmarkEnd w:id="17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本协议书中词语含义与第二部分通用合同条款中赋予的含义相同。</w:t>
      </w:r>
    </w:p>
    <w:p>
      <w:pPr>
        <w:spacing w:line="360" w:lineRule="auto"/>
        <w:rPr>
          <w:bCs/>
          <w:color w:val="auto"/>
          <w:sz w:val="24"/>
          <w:szCs w:val="24"/>
        </w:rPr>
      </w:pPr>
      <w:r>
        <w:rPr>
          <w:bCs/>
          <w:color w:val="auto"/>
          <w:sz w:val="24"/>
          <w:szCs w:val="24"/>
        </w:rPr>
        <w:t xml:space="preserve">  </w:t>
      </w:r>
      <w:r>
        <w:rPr>
          <w:b/>
          <w:color w:val="auto"/>
          <w:sz w:val="24"/>
          <w:szCs w:val="24"/>
        </w:rPr>
        <w:t xml:space="preserve">  </w:t>
      </w:r>
      <w:bookmarkStart w:id="171" w:name="_Toc351203489"/>
      <w:r>
        <w:rPr>
          <w:b/>
          <w:color w:val="auto"/>
          <w:sz w:val="24"/>
          <w:szCs w:val="24"/>
        </w:rPr>
        <w:t>九、签订时间</w:t>
      </w:r>
      <w:bookmarkEnd w:id="171"/>
    </w:p>
    <w:p>
      <w:pPr>
        <w:spacing w:line="360" w:lineRule="auto"/>
        <w:ind w:firstLine="480" w:firstLineChars="200"/>
        <w:rPr>
          <w:bCs/>
          <w:color w:val="auto"/>
          <w:sz w:val="24"/>
          <w:szCs w:val="24"/>
        </w:rPr>
      </w:pPr>
      <w:r>
        <w:rPr>
          <w:bCs/>
          <w:color w:val="auto"/>
          <w:sz w:val="24"/>
          <w:szCs w:val="24"/>
        </w:rPr>
        <w:t>本合同于</w:t>
      </w:r>
      <w:r>
        <w:rPr>
          <w:bCs/>
          <w:color w:val="auto"/>
          <w:sz w:val="24"/>
          <w:szCs w:val="24"/>
          <w:u w:val="single"/>
        </w:rPr>
        <w:t xml:space="preserve">  </w:t>
      </w:r>
      <w:r>
        <w:rPr>
          <w:rFonts w:hint="eastAsia"/>
          <w:bCs/>
          <w:color w:val="auto"/>
          <w:sz w:val="24"/>
          <w:szCs w:val="24"/>
          <w:u w:val="single"/>
        </w:rPr>
        <w:t xml:space="preserve">   </w:t>
      </w:r>
      <w:r>
        <w:rPr>
          <w:bCs/>
          <w:color w:val="auto"/>
          <w:sz w:val="24"/>
          <w:szCs w:val="24"/>
          <w:u w:val="single"/>
        </w:rPr>
        <w:t xml:space="preserve"> </w:t>
      </w:r>
      <w:r>
        <w:rPr>
          <w:bCs/>
          <w:color w:val="auto"/>
          <w:sz w:val="24"/>
          <w:szCs w:val="24"/>
        </w:rPr>
        <w:t>年</w:t>
      </w:r>
      <w:r>
        <w:rPr>
          <w:bCs/>
          <w:color w:val="auto"/>
          <w:sz w:val="24"/>
          <w:szCs w:val="24"/>
          <w:u w:val="single"/>
        </w:rPr>
        <w:t xml:space="preserve">  </w:t>
      </w:r>
      <w:r>
        <w:rPr>
          <w:rFonts w:hint="eastAsia"/>
          <w:bCs/>
          <w:color w:val="auto"/>
          <w:sz w:val="24"/>
          <w:szCs w:val="24"/>
          <w:u w:val="single"/>
        </w:rPr>
        <w:t xml:space="preserve">  </w:t>
      </w:r>
      <w:r>
        <w:rPr>
          <w:bCs/>
          <w:color w:val="auto"/>
          <w:sz w:val="24"/>
          <w:szCs w:val="24"/>
        </w:rPr>
        <w:t>月</w:t>
      </w:r>
      <w:r>
        <w:rPr>
          <w:bCs/>
          <w:color w:val="auto"/>
          <w:sz w:val="24"/>
          <w:szCs w:val="24"/>
          <w:u w:val="single"/>
        </w:rPr>
        <w:t xml:space="preserve">    </w:t>
      </w:r>
      <w:r>
        <w:rPr>
          <w:bCs/>
          <w:color w:val="auto"/>
          <w:sz w:val="24"/>
          <w:szCs w:val="24"/>
        </w:rPr>
        <w:t>日签订。</w:t>
      </w:r>
    </w:p>
    <w:p>
      <w:pPr>
        <w:spacing w:line="360" w:lineRule="auto"/>
        <w:rPr>
          <w:bCs/>
          <w:color w:val="auto"/>
          <w:sz w:val="24"/>
          <w:szCs w:val="24"/>
        </w:rPr>
      </w:pPr>
      <w:r>
        <w:rPr>
          <w:bCs/>
          <w:color w:val="auto"/>
          <w:sz w:val="24"/>
          <w:szCs w:val="24"/>
        </w:rPr>
        <w:t xml:space="preserve">    </w:t>
      </w:r>
      <w:bookmarkStart w:id="172" w:name="_Toc351203490"/>
      <w:r>
        <w:rPr>
          <w:b/>
          <w:color w:val="auto"/>
          <w:sz w:val="24"/>
          <w:szCs w:val="24"/>
        </w:rPr>
        <w:t>十、签订地点</w:t>
      </w:r>
      <w:bookmarkEnd w:id="172"/>
    </w:p>
    <w:p>
      <w:pPr>
        <w:spacing w:line="360" w:lineRule="auto"/>
        <w:ind w:firstLine="720" w:firstLineChars="300"/>
        <w:rPr>
          <w:bCs/>
          <w:color w:val="auto"/>
          <w:sz w:val="24"/>
          <w:szCs w:val="24"/>
        </w:rPr>
      </w:pPr>
      <w:r>
        <w:rPr>
          <w:bCs/>
          <w:color w:val="auto"/>
          <w:sz w:val="24"/>
          <w:szCs w:val="24"/>
        </w:rPr>
        <w:t>本合同在</w:t>
      </w:r>
      <w:r>
        <w:rPr>
          <w:rFonts w:hint="eastAsia"/>
          <w:bCs/>
          <w:color w:val="auto"/>
          <w:sz w:val="24"/>
          <w:szCs w:val="24"/>
          <w:u w:val="single"/>
        </w:rPr>
        <w:t xml:space="preserve">        </w:t>
      </w:r>
      <w:r>
        <w:rPr>
          <w:rFonts w:hint="eastAsia"/>
          <w:bCs/>
          <w:color w:val="auto"/>
          <w:sz w:val="24"/>
          <w:szCs w:val="24"/>
        </w:rPr>
        <w:t>签</w:t>
      </w:r>
      <w:r>
        <w:rPr>
          <w:bCs/>
          <w:color w:val="auto"/>
          <w:sz w:val="24"/>
          <w:szCs w:val="24"/>
        </w:rPr>
        <w:t>订。</w:t>
      </w:r>
    </w:p>
    <w:p>
      <w:pPr>
        <w:spacing w:line="360" w:lineRule="auto"/>
        <w:rPr>
          <w:bCs/>
          <w:color w:val="auto"/>
          <w:sz w:val="24"/>
          <w:szCs w:val="24"/>
        </w:rPr>
      </w:pPr>
      <w:r>
        <w:rPr>
          <w:bCs/>
          <w:color w:val="auto"/>
          <w:sz w:val="24"/>
          <w:szCs w:val="24"/>
        </w:rPr>
        <w:t xml:space="preserve">    </w:t>
      </w:r>
      <w:bookmarkStart w:id="173" w:name="_Toc351203491"/>
      <w:r>
        <w:rPr>
          <w:b/>
          <w:color w:val="auto"/>
          <w:sz w:val="24"/>
          <w:szCs w:val="24"/>
        </w:rPr>
        <w:t>十一、补充协议</w:t>
      </w:r>
      <w:bookmarkEnd w:id="17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szCs w:val="24"/>
        </w:rPr>
      </w:pPr>
      <w:r>
        <w:rPr>
          <w:bCs/>
          <w:color w:val="auto"/>
          <w:sz w:val="24"/>
          <w:szCs w:val="24"/>
        </w:rPr>
        <w:t>合同未尽事宜，合同当事人另行签订补充协议</w:t>
      </w:r>
      <w:r>
        <w:rPr>
          <w:rFonts w:hint="eastAsia"/>
          <w:bCs/>
          <w:color w:val="auto"/>
          <w:sz w:val="24"/>
          <w:szCs w:val="24"/>
        </w:rPr>
        <w:t>，</w:t>
      </w:r>
      <w:r>
        <w:rPr>
          <w:bCs/>
          <w:color w:val="auto"/>
          <w:sz w:val="24"/>
          <w:szCs w:val="24"/>
        </w:rPr>
        <w:t>补充协议是合同的组成部分。</w:t>
      </w:r>
    </w:p>
    <w:p>
      <w:pPr>
        <w:spacing w:line="360" w:lineRule="auto"/>
        <w:rPr>
          <w:bCs/>
          <w:color w:val="auto"/>
          <w:sz w:val="24"/>
          <w:szCs w:val="24"/>
        </w:rPr>
      </w:pPr>
      <w:r>
        <w:rPr>
          <w:bCs/>
          <w:color w:val="auto"/>
          <w:sz w:val="24"/>
          <w:szCs w:val="24"/>
        </w:rPr>
        <w:t xml:space="preserve">    </w:t>
      </w:r>
      <w:bookmarkStart w:id="174" w:name="_Toc351203492"/>
      <w:r>
        <w:rPr>
          <w:b/>
          <w:color w:val="auto"/>
          <w:sz w:val="24"/>
          <w:szCs w:val="24"/>
        </w:rPr>
        <w:t>十二、合同生效</w:t>
      </w:r>
      <w:bookmarkEnd w:id="174"/>
    </w:p>
    <w:p>
      <w:pPr>
        <w:spacing w:line="360" w:lineRule="auto"/>
        <w:ind w:firstLine="480" w:firstLineChars="200"/>
        <w:rPr>
          <w:bCs/>
          <w:color w:val="auto"/>
          <w:sz w:val="24"/>
          <w:szCs w:val="24"/>
        </w:rPr>
      </w:pPr>
      <w:r>
        <w:rPr>
          <w:bCs/>
          <w:color w:val="auto"/>
          <w:sz w:val="24"/>
          <w:szCs w:val="24"/>
        </w:rPr>
        <w:t>本合同自</w:t>
      </w:r>
      <w:r>
        <w:rPr>
          <w:rFonts w:hint="eastAsia"/>
          <w:b/>
          <w:color w:val="auto"/>
          <w:sz w:val="24"/>
          <w:szCs w:val="24"/>
          <w:u w:val="single"/>
        </w:rPr>
        <w:t>双方签字、盖章后</w:t>
      </w:r>
      <w:r>
        <w:rPr>
          <w:bCs/>
          <w:color w:val="auto"/>
          <w:sz w:val="24"/>
          <w:szCs w:val="24"/>
        </w:rPr>
        <w:t>生效。</w:t>
      </w:r>
    </w:p>
    <w:p>
      <w:pPr>
        <w:spacing w:line="360" w:lineRule="auto"/>
        <w:rPr>
          <w:bCs/>
          <w:color w:val="auto"/>
          <w:sz w:val="24"/>
          <w:szCs w:val="24"/>
        </w:rPr>
      </w:pPr>
      <w:r>
        <w:rPr>
          <w:bCs/>
          <w:color w:val="auto"/>
          <w:sz w:val="24"/>
          <w:szCs w:val="24"/>
        </w:rPr>
        <w:t xml:space="preserve">    </w:t>
      </w:r>
      <w:bookmarkStart w:id="175" w:name="_Toc351203493"/>
      <w:r>
        <w:rPr>
          <w:b/>
          <w:color w:val="auto"/>
          <w:sz w:val="24"/>
          <w:szCs w:val="24"/>
        </w:rPr>
        <w:t>十三、合同份数</w:t>
      </w:r>
      <w:bookmarkEnd w:id="175"/>
    </w:p>
    <w:p>
      <w:pPr>
        <w:spacing w:line="360" w:lineRule="auto"/>
        <w:ind w:firstLine="480" w:firstLineChars="200"/>
        <w:rPr>
          <w:bCs/>
          <w:color w:val="auto"/>
          <w:sz w:val="24"/>
          <w:szCs w:val="24"/>
        </w:rPr>
      </w:pPr>
      <w:r>
        <w:rPr>
          <w:bCs/>
          <w:color w:val="auto"/>
          <w:sz w:val="24"/>
          <w:szCs w:val="24"/>
        </w:rPr>
        <w:t>本合同一式</w:t>
      </w:r>
      <w:r>
        <w:rPr>
          <w:rFonts w:hint="eastAsia"/>
          <w:b/>
          <w:bCs/>
          <w:color w:val="auto"/>
          <w:sz w:val="24"/>
          <w:szCs w:val="24"/>
          <w:u w:val="single"/>
        </w:rPr>
        <w:t xml:space="preserve">   </w:t>
      </w:r>
      <w:r>
        <w:rPr>
          <w:bCs/>
          <w:color w:val="auto"/>
          <w:sz w:val="24"/>
          <w:szCs w:val="24"/>
        </w:rPr>
        <w:t>份，均具有同等法律效力，发包人执</w:t>
      </w:r>
      <w:r>
        <w:rPr>
          <w:rFonts w:hint="eastAsia"/>
          <w:b/>
          <w:bCs/>
          <w:color w:val="auto"/>
          <w:sz w:val="24"/>
          <w:szCs w:val="24"/>
          <w:u w:val="single"/>
        </w:rPr>
        <w:t xml:space="preserve">    </w:t>
      </w:r>
      <w:r>
        <w:rPr>
          <w:bCs/>
          <w:color w:val="auto"/>
          <w:sz w:val="24"/>
          <w:szCs w:val="24"/>
        </w:rPr>
        <w:t>份，承包人执</w:t>
      </w:r>
      <w:r>
        <w:rPr>
          <w:rFonts w:hint="eastAsia"/>
          <w:b/>
          <w:bCs/>
          <w:color w:val="auto"/>
          <w:sz w:val="24"/>
          <w:szCs w:val="24"/>
          <w:u w:val="single"/>
        </w:rPr>
        <w:t xml:space="preserve">     </w:t>
      </w:r>
      <w:r>
        <w:rPr>
          <w:bCs/>
          <w:color w:val="auto"/>
          <w:sz w:val="24"/>
          <w:szCs w:val="24"/>
        </w:rPr>
        <w:t>份。</w:t>
      </w:r>
    </w:p>
    <w:p>
      <w:pPr>
        <w:spacing w:line="360" w:lineRule="auto"/>
        <w:rPr>
          <w:color w:val="auto"/>
          <w:sz w:val="24"/>
        </w:rPr>
      </w:pPr>
      <w:r>
        <w:rPr>
          <w:bCs/>
          <w:color w:val="auto"/>
          <w:szCs w:val="21"/>
        </w:rPr>
        <w:br w:type="page"/>
      </w:r>
      <w:r>
        <w:rPr>
          <w:rFonts w:hint="eastAsia"/>
          <w:color w:val="auto"/>
          <w:sz w:val="24"/>
        </w:rPr>
        <w:t>（签署页）</w:t>
      </w:r>
    </w:p>
    <w:p>
      <w:pPr>
        <w:spacing w:line="360" w:lineRule="auto"/>
        <w:rPr>
          <w:color w:val="auto"/>
          <w:sz w:val="24"/>
        </w:rPr>
      </w:pPr>
    </w:p>
    <w:p>
      <w:pPr>
        <w:spacing w:line="360" w:lineRule="auto"/>
        <w:rPr>
          <w:color w:val="auto"/>
          <w:sz w:val="24"/>
        </w:rPr>
      </w:pPr>
      <w:r>
        <w:rPr>
          <w:color w:val="auto"/>
          <w:sz w:val="24"/>
        </w:rPr>
        <w:t>发包人</w:t>
      </w:r>
      <w:r>
        <w:rPr>
          <w:rFonts w:hint="eastAsia"/>
          <w:color w:val="auto"/>
          <w:sz w:val="24"/>
        </w:rPr>
        <w:t xml:space="preserve">：  </w:t>
      </w:r>
      <w:r>
        <w:rPr>
          <w:color w:val="auto"/>
          <w:sz w:val="24"/>
        </w:rPr>
        <w:t>(公章)</w:t>
      </w:r>
      <w:r>
        <w:rPr>
          <w:rFonts w:hint="eastAsia"/>
          <w:color w:val="auto"/>
          <w:sz w:val="24"/>
        </w:rPr>
        <w:t xml:space="preserve">             </w:t>
      </w:r>
      <w:r>
        <w:rPr>
          <w:color w:val="auto"/>
          <w:sz w:val="24"/>
        </w:rPr>
        <w:t>承包人</w:t>
      </w:r>
      <w:r>
        <w:rPr>
          <w:rFonts w:hint="eastAsia"/>
          <w:color w:val="auto"/>
          <w:sz w:val="24"/>
        </w:rPr>
        <w:t xml:space="preserve">：  </w:t>
      </w:r>
      <w:r>
        <w:rPr>
          <w:color w:val="auto"/>
          <w:sz w:val="24"/>
        </w:rPr>
        <w:t>(公章)</w:t>
      </w:r>
    </w:p>
    <w:p>
      <w:pPr>
        <w:spacing w:line="360" w:lineRule="auto"/>
        <w:rPr>
          <w:color w:val="auto"/>
          <w:sz w:val="24"/>
          <w:u w:val="single"/>
        </w:rPr>
      </w:pPr>
      <w:r>
        <w:rPr>
          <w:rFonts w:hint="eastAsia"/>
          <w:color w:val="auto"/>
          <w:sz w:val="24"/>
        </w:rPr>
        <w:t xml:space="preserve">                                 </w:t>
      </w:r>
    </w:p>
    <w:p>
      <w:pPr>
        <w:spacing w:line="360" w:lineRule="auto"/>
        <w:rPr>
          <w:color w:val="auto"/>
          <w:sz w:val="24"/>
        </w:rPr>
      </w:pPr>
      <w:r>
        <w:rPr>
          <w:rFonts w:hint="eastAsia"/>
          <w:color w:val="auto"/>
          <w:sz w:val="24"/>
        </w:rPr>
        <w:t>法定代表人或其委托代理人：  法定代表人或其委托代理人：</w:t>
      </w:r>
    </w:p>
    <w:p>
      <w:pPr>
        <w:spacing w:line="360" w:lineRule="auto"/>
        <w:rPr>
          <w:color w:val="auto"/>
          <w:sz w:val="24"/>
        </w:rPr>
      </w:pPr>
      <w:r>
        <w:rPr>
          <w:rFonts w:hint="eastAsia"/>
          <w:color w:val="auto"/>
          <w:sz w:val="24"/>
        </w:rPr>
        <w:t>（签字）                    （签字）</w:t>
      </w:r>
    </w:p>
    <w:p>
      <w:pPr>
        <w:spacing w:line="360" w:lineRule="auto"/>
        <w:rPr>
          <w:color w:val="auto"/>
          <w:sz w:val="24"/>
          <w:u w:val="single"/>
        </w:rPr>
      </w:pPr>
    </w:p>
    <w:p>
      <w:pPr>
        <w:spacing w:line="360" w:lineRule="auto"/>
        <w:rPr>
          <w:color w:val="auto"/>
          <w:sz w:val="24"/>
        </w:rPr>
      </w:pPr>
      <w:r>
        <w:rPr>
          <w:rFonts w:hint="eastAsia"/>
          <w:color w:val="auto"/>
          <w:sz w:val="24"/>
        </w:rPr>
        <w:t>组织机构代码：</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 xml:space="preserve"> </w:t>
      </w:r>
      <w:r>
        <w:rPr>
          <w:rFonts w:hint="eastAsia"/>
          <w:color w:val="auto"/>
          <w:sz w:val="24"/>
        </w:rPr>
        <w:t xml:space="preserve"> 组织机构代码：</w:t>
      </w:r>
      <w:r>
        <w:rPr>
          <w:rFonts w:hint="eastAsia"/>
          <w:color w:val="auto"/>
          <w:sz w:val="24"/>
          <w:u w:val="single"/>
        </w:rPr>
        <w:t xml:space="preserve">                   </w:t>
      </w:r>
      <w:r>
        <w:rPr>
          <w:color w:val="auto"/>
          <w:sz w:val="24"/>
        </w:rPr>
        <w:t xml:space="preserve"> </w:t>
      </w:r>
    </w:p>
    <w:p>
      <w:pPr>
        <w:spacing w:line="360" w:lineRule="auto"/>
        <w:rPr>
          <w:color w:val="auto"/>
          <w:sz w:val="24"/>
        </w:rPr>
      </w:pPr>
      <w:r>
        <w:rPr>
          <w:color w:val="auto"/>
          <w:sz w:val="24"/>
        </w:rPr>
        <w:t>地  址：</w:t>
      </w:r>
      <w:r>
        <w:rPr>
          <w:color w:val="auto"/>
          <w:sz w:val="24"/>
          <w:u w:val="single"/>
        </w:rPr>
        <w:t xml:space="preserve">     </w:t>
      </w:r>
      <w:r>
        <w:rPr>
          <w:rFonts w:hint="eastAsia"/>
          <w:color w:val="auto"/>
          <w:sz w:val="24"/>
        </w:rPr>
        <w:t xml:space="preserve">  </w:t>
      </w:r>
      <w:r>
        <w:rPr>
          <w:color w:val="auto"/>
          <w:sz w:val="24"/>
        </w:rPr>
        <w:t>地  址：</w:t>
      </w:r>
      <w:r>
        <w:rPr>
          <w:color w:val="auto"/>
          <w:sz w:val="24"/>
          <w:u w:val="single"/>
        </w:rPr>
        <w:t></w:t>
      </w:r>
      <w:r>
        <w:rPr>
          <w:rFonts w:hint="eastAsia"/>
          <w:color w:val="auto"/>
          <w:sz w:val="24"/>
          <w:u w:val="single"/>
        </w:rPr>
        <w:t xml:space="preserve">                </w:t>
      </w:r>
      <w:r>
        <w:rPr>
          <w:color w:val="auto"/>
          <w:sz w:val="24"/>
          <w:u w:val="single"/>
        </w:rPr>
        <w:t xml:space="preserve"> </w:t>
      </w:r>
    </w:p>
    <w:p>
      <w:pPr>
        <w:spacing w:line="360" w:lineRule="auto"/>
        <w:rPr>
          <w:color w:val="auto"/>
          <w:sz w:val="24"/>
        </w:rPr>
      </w:pPr>
      <w:r>
        <w:rPr>
          <w:color w:val="auto"/>
          <w:sz w:val="24"/>
        </w:rPr>
        <w:t>邮政编码：</w:t>
      </w:r>
      <w:r>
        <w:rPr>
          <w:color w:val="auto"/>
          <w:sz w:val="24"/>
          <w:u w:val="single"/>
        </w:rPr>
        <w:t xml:space="preserve"> </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邮政编码：</w:t>
      </w:r>
      <w:r>
        <w:rPr>
          <w:color w:val="auto"/>
          <w:sz w:val="24"/>
          <w:u w:val="single"/>
        </w:rPr>
        <w:t></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r>
        <w:rPr>
          <w:color w:val="auto"/>
          <w:sz w:val="24"/>
          <w:u w:val="single"/>
        </w:rPr>
        <w:t xml:space="preserve"> </w:t>
      </w:r>
    </w:p>
    <w:p>
      <w:pPr>
        <w:spacing w:line="360" w:lineRule="auto"/>
        <w:rPr>
          <w:color w:val="auto"/>
          <w:sz w:val="24"/>
          <w:u w:val="single"/>
        </w:rPr>
      </w:pPr>
      <w:r>
        <w:rPr>
          <w:color w:val="auto"/>
          <w:sz w:val="24"/>
        </w:rPr>
        <w:t>法定代表人：</w:t>
      </w:r>
      <w:r>
        <w:rPr>
          <w:color w:val="auto"/>
          <w:sz w:val="24"/>
          <w:u w:val="single"/>
        </w:rPr>
        <w:t></w:t>
      </w:r>
      <w:r>
        <w:rPr>
          <w:rFonts w:hint="eastAsia"/>
          <w:color w:val="auto"/>
          <w:sz w:val="24"/>
          <w:u w:val="single"/>
        </w:rPr>
        <w:t xml:space="preserve">    </w:t>
      </w:r>
    </w:p>
    <w:p>
      <w:pPr>
        <w:spacing w:line="360" w:lineRule="auto"/>
        <w:rPr>
          <w:color w:val="auto"/>
          <w:sz w:val="24"/>
        </w:rPr>
      </w:pPr>
      <w:r>
        <w:rPr>
          <w:rFonts w:hint="eastAsia"/>
          <w:color w:val="auto"/>
          <w:sz w:val="24"/>
          <w:u w:val="single"/>
        </w:rPr>
        <w:t xml:space="preserve"> </w:t>
      </w:r>
      <w:r>
        <w:rPr>
          <w:color w:val="auto"/>
          <w:sz w:val="24"/>
          <w:u w:val="single"/>
        </w:rPr>
        <w:t></w:t>
      </w:r>
      <w:r>
        <w:rPr>
          <w:rFonts w:hint="eastAsia"/>
          <w:color w:val="auto"/>
          <w:sz w:val="24"/>
          <w:u w:val="single"/>
        </w:rPr>
        <w:t xml:space="preserve">     </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法定代表人：</w:t>
      </w:r>
      <w:r>
        <w:rPr>
          <w:color w:val="auto"/>
          <w:sz w:val="24"/>
          <w:u w:val="single"/>
        </w:rPr>
        <w:t></w:t>
      </w:r>
      <w:r>
        <w:rPr>
          <w:rFonts w:hint="eastAsia"/>
          <w:color w:val="auto"/>
          <w:sz w:val="24"/>
          <w:u w:val="single"/>
        </w:rPr>
        <w:t xml:space="preserve">              </w:t>
      </w:r>
      <w:r>
        <w:rPr>
          <w:color w:val="auto"/>
          <w:sz w:val="24"/>
          <w:u w:val="single"/>
        </w:rPr>
        <w:t xml:space="preserve"> </w:t>
      </w:r>
    </w:p>
    <w:p>
      <w:pPr>
        <w:spacing w:line="360" w:lineRule="auto"/>
        <w:rPr>
          <w:color w:val="auto"/>
          <w:sz w:val="24"/>
        </w:rPr>
      </w:pPr>
      <w:r>
        <w:rPr>
          <w:color w:val="auto"/>
          <w:sz w:val="24"/>
        </w:rPr>
        <w:t>委托代理人：</w:t>
      </w:r>
      <w:r>
        <w:rPr>
          <w:color w:val="auto"/>
          <w:sz w:val="24"/>
          <w:u w:val="single"/>
        </w:rPr>
        <w:t xml:space="preserve"> </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委托代理人：</w:t>
      </w:r>
      <w:r>
        <w:rPr>
          <w:color w:val="auto"/>
          <w:sz w:val="24"/>
          <w:u w:val="single"/>
        </w:rPr>
        <w:t xml:space="preserve">  </w:t>
      </w:r>
      <w:r>
        <w:rPr>
          <w:rFonts w:hint="eastAsia"/>
          <w:color w:val="auto"/>
          <w:sz w:val="24"/>
          <w:u w:val="single"/>
        </w:rPr>
        <w:t xml:space="preserve">       </w:t>
      </w:r>
      <w:r>
        <w:rPr>
          <w:color w:val="auto"/>
          <w:sz w:val="24"/>
          <w:u w:val="single"/>
        </w:rPr>
        <w:t xml:space="preserve">    </w:t>
      </w:r>
    </w:p>
    <w:p>
      <w:pPr>
        <w:spacing w:line="360" w:lineRule="auto"/>
        <w:rPr>
          <w:color w:val="auto"/>
          <w:sz w:val="24"/>
        </w:rPr>
      </w:pPr>
      <w:r>
        <w:rPr>
          <w:color w:val="auto"/>
          <w:sz w:val="24"/>
        </w:rPr>
        <w:t>电  话：</w:t>
      </w:r>
      <w:r>
        <w:rPr>
          <w:color w:val="auto"/>
          <w:sz w:val="24"/>
          <w:u w:val="single"/>
        </w:rPr>
        <w:t></w:t>
      </w:r>
      <w:r>
        <w:rPr>
          <w:rFonts w:hint="eastAsia"/>
          <w:color w:val="auto"/>
          <w:sz w:val="24"/>
          <w:u w:val="single"/>
        </w:rPr>
        <w:t xml:space="preserve"> </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电  话：</w:t>
      </w:r>
      <w:r>
        <w:rPr>
          <w:color w:val="auto"/>
          <w:sz w:val="24"/>
          <w:u w:val="single"/>
        </w:rPr>
        <w:t></w:t>
      </w:r>
      <w:r>
        <w:rPr>
          <w:rFonts w:hint="eastAsia"/>
          <w:color w:val="auto"/>
          <w:sz w:val="24"/>
          <w:u w:val="single"/>
        </w:rPr>
        <w:t xml:space="preserve">                </w:t>
      </w:r>
      <w:r>
        <w:rPr>
          <w:color w:val="auto"/>
          <w:sz w:val="24"/>
          <w:u w:val="single"/>
        </w:rPr>
        <w:t xml:space="preserve">   </w:t>
      </w:r>
    </w:p>
    <w:p>
      <w:pPr>
        <w:spacing w:line="360" w:lineRule="auto"/>
        <w:rPr>
          <w:color w:val="auto"/>
          <w:sz w:val="24"/>
        </w:rPr>
      </w:pPr>
      <w:r>
        <w:rPr>
          <w:color w:val="auto"/>
          <w:sz w:val="24"/>
        </w:rPr>
        <w:t>传  真：</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传  真：</w:t>
      </w:r>
      <w:r>
        <w:rPr>
          <w:color w:val="auto"/>
          <w:sz w:val="24"/>
          <w:u w:val="single"/>
        </w:rPr>
        <w:t></w:t>
      </w:r>
      <w:r>
        <w:rPr>
          <w:rFonts w:hint="eastAsia"/>
          <w:color w:val="auto"/>
          <w:sz w:val="24"/>
          <w:u w:val="single"/>
        </w:rPr>
        <w:t xml:space="preserve">                 </w:t>
      </w:r>
      <w:r>
        <w:rPr>
          <w:color w:val="auto"/>
          <w:sz w:val="24"/>
          <w:u w:val="single"/>
        </w:rPr>
        <w:t xml:space="preserve">  </w:t>
      </w:r>
    </w:p>
    <w:p>
      <w:pPr>
        <w:spacing w:line="360" w:lineRule="auto"/>
        <w:rPr>
          <w:color w:val="auto"/>
          <w:sz w:val="24"/>
        </w:rPr>
      </w:pPr>
      <w:r>
        <w:rPr>
          <w:color w:val="auto"/>
          <w:sz w:val="24"/>
        </w:rPr>
        <w:t>电子信箱：</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电子信箱</w:t>
      </w:r>
      <w:r>
        <w:rPr>
          <w:rFonts w:hint="eastAsia"/>
          <w:color w:val="auto"/>
          <w:sz w:val="24"/>
        </w:rPr>
        <w:t>：</w:t>
      </w:r>
      <w:r>
        <w:rPr>
          <w:color w:val="auto"/>
          <w:sz w:val="24"/>
          <w:u w:val="single"/>
        </w:rPr>
        <w:t xml:space="preserve"> </w:t>
      </w:r>
      <w:r>
        <w:rPr>
          <w:rFonts w:hint="eastAsia"/>
          <w:color w:val="auto"/>
          <w:sz w:val="24"/>
          <w:u w:val="single"/>
        </w:rPr>
        <w:t xml:space="preserve">                  </w:t>
      </w:r>
    </w:p>
    <w:p>
      <w:pPr>
        <w:spacing w:line="360" w:lineRule="auto"/>
        <w:rPr>
          <w:color w:val="auto"/>
          <w:sz w:val="24"/>
        </w:rPr>
      </w:pPr>
      <w:r>
        <w:rPr>
          <w:color w:val="auto"/>
          <w:sz w:val="24"/>
        </w:rPr>
        <w:t>开户银行：</w:t>
      </w:r>
      <w:r>
        <w:rPr>
          <w:color w:val="auto"/>
          <w:sz w:val="24"/>
          <w:u w:val="single"/>
        </w:rPr>
        <w:t xml:space="preserve">   </w:t>
      </w:r>
      <w:r>
        <w:rPr>
          <w:color w:val="auto"/>
          <w:sz w:val="24"/>
        </w:rPr>
        <w:t xml:space="preserve"> </w:t>
      </w:r>
      <w:r>
        <w:rPr>
          <w:rFonts w:hint="eastAsia"/>
          <w:color w:val="auto"/>
          <w:sz w:val="24"/>
        </w:rPr>
        <w:t xml:space="preserve"> </w:t>
      </w:r>
      <w:r>
        <w:rPr>
          <w:color w:val="auto"/>
          <w:sz w:val="24"/>
        </w:rPr>
        <w:t>开户银行：</w:t>
      </w:r>
      <w:r>
        <w:rPr>
          <w:color w:val="auto"/>
          <w:sz w:val="24"/>
          <w:u w:val="single"/>
        </w:rPr>
        <w:t></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r>
        <w:rPr>
          <w:color w:val="auto"/>
          <w:sz w:val="24"/>
          <w:u w:val="single"/>
        </w:rPr>
        <w:t xml:space="preserve"> </w:t>
      </w:r>
    </w:p>
    <w:p>
      <w:pPr>
        <w:spacing w:line="360" w:lineRule="auto"/>
        <w:rPr>
          <w:color w:val="auto"/>
          <w:sz w:val="24"/>
        </w:rPr>
      </w:pPr>
      <w:r>
        <w:rPr>
          <w:color w:val="auto"/>
          <w:sz w:val="24"/>
        </w:rPr>
        <w:t>账  号：</w:t>
      </w:r>
      <w:r>
        <w:rPr>
          <w:color w:val="auto"/>
          <w:sz w:val="24"/>
          <w:u w:val="single"/>
        </w:rPr>
        <w:t xml:space="preserve">       </w:t>
      </w:r>
      <w:r>
        <w:rPr>
          <w:rFonts w:hint="eastAsia"/>
          <w:color w:val="auto"/>
          <w:sz w:val="24"/>
        </w:rPr>
        <w:t xml:space="preserve">   </w:t>
      </w:r>
      <w:r>
        <w:rPr>
          <w:color w:val="auto"/>
          <w:sz w:val="24"/>
        </w:rPr>
        <w:t>账</w:t>
      </w:r>
      <w:r>
        <w:rPr>
          <w:rFonts w:hint="eastAsia"/>
          <w:color w:val="auto"/>
          <w:sz w:val="24"/>
        </w:rPr>
        <w:t xml:space="preserve"> </w:t>
      </w:r>
      <w:r>
        <w:rPr>
          <w:color w:val="auto"/>
          <w:sz w:val="24"/>
        </w:rPr>
        <w:t xml:space="preserve"> 号：</w:t>
      </w:r>
      <w:r>
        <w:rPr>
          <w:color w:val="auto"/>
          <w:sz w:val="24"/>
          <w:u w:val="single"/>
        </w:rPr>
        <w:t></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p>
    <w:p>
      <w:pPr>
        <w:spacing w:line="360" w:lineRule="auto"/>
        <w:rPr>
          <w:color w:val="auto"/>
          <w:sz w:val="24"/>
        </w:rPr>
      </w:pPr>
    </w:p>
    <w:p>
      <w:pPr>
        <w:spacing w:line="360" w:lineRule="auto"/>
        <w:rPr>
          <w:color w:val="auto"/>
          <w:sz w:val="24"/>
        </w:rPr>
      </w:pPr>
    </w:p>
    <w:p>
      <w:pPr>
        <w:spacing w:beforeLines="100" w:afterLines="100" w:line="440" w:lineRule="exact"/>
        <w:outlineLvl w:val="0"/>
        <w:rPr>
          <w:rFonts w:ascii="宋体" w:hAnsi="宋体" w:cs="宋体"/>
          <w:color w:val="auto"/>
          <w:sz w:val="24"/>
        </w:rPr>
      </w:pPr>
    </w:p>
    <w:p>
      <w:pPr>
        <w:jc w:val="center"/>
        <w:rPr>
          <w:rStyle w:val="63"/>
          <w:color w:val="auto"/>
        </w:rPr>
      </w:pPr>
      <w:r>
        <w:rPr>
          <w:color w:val="auto"/>
          <w:szCs w:val="21"/>
        </w:rPr>
        <w:br w:type="page"/>
      </w:r>
      <w:bookmarkStart w:id="176" w:name="_Toc24213_WPSOffice_Level1"/>
      <w:bookmarkStart w:id="177" w:name="_Toc533864027"/>
      <w:bookmarkStart w:id="178" w:name="_Toc351203494"/>
      <w:bookmarkStart w:id="179" w:name="_Toc18730_WPSOffice_Level1"/>
      <w:bookmarkStart w:id="180" w:name="_Toc516136843"/>
      <w:bookmarkStart w:id="181" w:name="_Toc11802"/>
      <w:r>
        <w:rPr>
          <w:rStyle w:val="63"/>
          <w:color w:val="auto"/>
        </w:rPr>
        <w:t>第二部分 通用合同条款</w:t>
      </w:r>
      <w:bookmarkEnd w:id="176"/>
      <w:bookmarkEnd w:id="177"/>
      <w:bookmarkEnd w:id="178"/>
      <w:bookmarkEnd w:id="179"/>
      <w:bookmarkEnd w:id="180"/>
      <w:bookmarkStart w:id="182" w:name="_Toc337558727"/>
    </w:p>
    <w:bookmarkEnd w:id="181"/>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183" w:name="_Toc351203495"/>
      <w:r>
        <w:rPr>
          <w:b/>
          <w:color w:val="auto"/>
          <w:sz w:val="24"/>
        </w:rPr>
        <w:t>1.</w:t>
      </w:r>
      <w:bookmarkStart w:id="184" w:name="_Toc303538976"/>
      <w:bookmarkEnd w:id="184"/>
      <w:bookmarkStart w:id="185" w:name="_Toc303538974"/>
      <w:bookmarkEnd w:id="185"/>
      <w:bookmarkStart w:id="186" w:name="_Toc303538973"/>
      <w:bookmarkEnd w:id="186"/>
      <w:bookmarkStart w:id="187" w:name="_Toc303538975"/>
      <w:bookmarkEnd w:id="187"/>
      <w:bookmarkStart w:id="188" w:name="_Toc303538972"/>
      <w:bookmarkEnd w:id="188"/>
      <w:bookmarkStart w:id="189" w:name="_Toc296503027"/>
      <w:bookmarkStart w:id="190" w:name="_Toc296346528"/>
      <w:r>
        <w:rPr>
          <w:b/>
          <w:color w:val="auto"/>
          <w:sz w:val="24"/>
        </w:rPr>
        <w:t xml:space="preserve"> 一般约定</w:t>
      </w:r>
      <w:bookmarkEnd w:id="182"/>
      <w:bookmarkEnd w:id="183"/>
      <w:bookmarkEnd w:id="189"/>
      <w:bookmarkEnd w:id="19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191" w:name="_Toc296503028"/>
      <w:bookmarkStart w:id="192" w:name="_Toc296346529"/>
      <w:bookmarkStart w:id="193" w:name="_Toc337558728"/>
      <w:bookmarkStart w:id="194" w:name="_Toc351203496"/>
      <w:r>
        <w:rPr>
          <w:b/>
          <w:color w:val="auto"/>
          <w:sz w:val="24"/>
        </w:rPr>
        <w:t>1.1词语定义</w:t>
      </w:r>
      <w:bookmarkEnd w:id="191"/>
      <w:bookmarkEnd w:id="192"/>
      <w:bookmarkEnd w:id="193"/>
      <w:r>
        <w:rPr>
          <w:b/>
          <w:color w:val="auto"/>
          <w:sz w:val="24"/>
        </w:rPr>
        <w:t>与解释</w:t>
      </w:r>
      <w:bookmarkEnd w:id="19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合同协议书、通用合同条款、专用合同条款中的下列词语具有本款所赋予的含义：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    1.1.1 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1.1.1.1 合同：是指根据法律规定和合同当事人约定具有约束力的文件，构成合同的文件包括合同协议书、中标通知书（如果有）、投标函及其附录（如果有）、专用合同条款</w:t>
      </w:r>
      <w:r>
        <w:rPr>
          <w:color w:val="auto"/>
          <w:sz w:val="24"/>
        </w:rPr>
        <w:t>及其附件</w:t>
      </w:r>
      <w:r>
        <w:rPr>
          <w:color w:val="auto"/>
          <w:kern w:val="0"/>
          <w:sz w:val="24"/>
        </w:rPr>
        <w:t>、通用合同条款、技术标准和要求、图纸、已标价工程量清单或预算书以及其他合同文件。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1.1.1.2 合同协议书：是指构成合同的由发包人和承包人共同签署的称为“合同协议书”的书面文件</w:t>
      </w:r>
      <w:r>
        <w:rPr>
          <w:rFonts w:hint="eastAsia"/>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1.1.1.3 中标通知书：是指构成合同的</w:t>
      </w:r>
      <w:r>
        <w:rPr>
          <w:rFonts w:hint="eastAsia"/>
          <w:color w:val="auto"/>
          <w:kern w:val="0"/>
          <w:sz w:val="24"/>
        </w:rPr>
        <w:t>由</w:t>
      </w:r>
      <w:r>
        <w:rPr>
          <w:color w:val="auto"/>
          <w:kern w:val="0"/>
          <w:sz w:val="24"/>
        </w:rPr>
        <w:t>发包人通知承包人中标的书面文件。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1.1.1.4 投标函：是指构成合同的由承包人填写并签署的用于投标的称为“投标函”的文件。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1.1.1.5 投标函附录：是指构成合同的附在投标函后的称为“投标函附录”的文件。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1.1.1.6 技术标准和要求：是指构成合同的施工应当遵守的或指导施工的国家、行业或地方的技术标准和要求，以及合同约定的技术标准和要求。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1.1.1.7 图纸：是指构成合同的图纸，包括由发包人按照合同约定提供或经发包人批准的设计文件、</w:t>
      </w:r>
      <w:r>
        <w:rPr>
          <w:rFonts w:hint="eastAsia"/>
          <w:color w:val="auto"/>
          <w:kern w:val="0"/>
          <w:sz w:val="24"/>
        </w:rPr>
        <w:t>施工图、</w:t>
      </w:r>
      <w:r>
        <w:rPr>
          <w:color w:val="auto"/>
          <w:kern w:val="0"/>
          <w:sz w:val="24"/>
        </w:rPr>
        <w:t>鸟瞰图及模型等，</w:t>
      </w:r>
      <w:r>
        <w:rPr>
          <w:rFonts w:hint="eastAsia"/>
          <w:color w:val="auto"/>
          <w:kern w:val="0"/>
          <w:sz w:val="24"/>
        </w:rPr>
        <w:t>以及在合同履行过程中形成的图纸文件。图纸</w:t>
      </w:r>
      <w:r>
        <w:rPr>
          <w:color w:val="auto"/>
          <w:kern w:val="0"/>
          <w:sz w:val="24"/>
        </w:rPr>
        <w:t>应当按照法律规定审查合格。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1.1.1.8 已标价工程量清单：是指构成合同的由承包人按照规定的格式和要求填写并标明价格的工程量清单，包括说明和表格。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1.1.1.9 预算书：是指构成合同的由承包人按照发包人规定的格式和要求编制的工程预算文件。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1.1.1.10 其他合同文件：是指经合同当事人约定的与工程施工有关的具有合同约束力的文件或书面协议。合同当事人可以在专用合同条款中进行约定。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    1.1.2 合同当事人及其他相关方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1.1.2.1 合同当事人：是指发包人和（或）承包人。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1.1.2.2 发包人：是指与承包人签订合同协议书的当事人及取得该当事人资格的合法继承人。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1.1.2.3 承包人：是指与发包人签订合同协议书的，具有相应工程施工承包资质的当事人及取得该当事人资格的合法继承人。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1.1.2.4 监理人：是指在专用合同条款中指明的，受发包人委托按照法律规定进行工程监督管理的法人或其他组织。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1.1.2.5 设计人：是指在专用合同条款中指明的，受发包人委托负责工程设计并具备相应工程设计资质的法人或其他组织。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1.1.2.6 分包人：</w:t>
      </w:r>
      <w:bookmarkStart w:id="195" w:name="#go5"/>
      <w:bookmarkEnd w:id="195"/>
      <w:r>
        <w:rPr>
          <w:color w:val="auto"/>
          <w:kern w:val="0"/>
          <w:sz w:val="24"/>
        </w:rPr>
        <w:t>是指</w:t>
      </w:r>
      <w:r>
        <w:rPr>
          <w:rFonts w:hint="eastAsia"/>
          <w:color w:val="auto"/>
          <w:kern w:val="0"/>
          <w:sz w:val="24"/>
        </w:rPr>
        <w:t>按照法律规定和</w:t>
      </w:r>
      <w:r>
        <w:rPr>
          <w:color w:val="auto"/>
          <w:kern w:val="0"/>
          <w:sz w:val="24"/>
        </w:rPr>
        <w:t>合同约定，分包</w:t>
      </w:r>
      <w:r>
        <w:rPr>
          <w:rFonts w:hint="eastAsia"/>
          <w:color w:val="auto"/>
          <w:kern w:val="0"/>
          <w:sz w:val="24"/>
        </w:rPr>
        <w:t>部分</w:t>
      </w:r>
      <w:r>
        <w:rPr>
          <w:color w:val="auto"/>
          <w:kern w:val="0"/>
          <w:sz w:val="24"/>
        </w:rPr>
        <w:t>工程</w:t>
      </w:r>
      <w:r>
        <w:rPr>
          <w:rFonts w:hint="eastAsia"/>
          <w:color w:val="auto"/>
          <w:kern w:val="0"/>
          <w:sz w:val="24"/>
        </w:rPr>
        <w:t>或工作</w:t>
      </w:r>
      <w:r>
        <w:rPr>
          <w:color w:val="auto"/>
          <w:kern w:val="0"/>
          <w:sz w:val="24"/>
        </w:rPr>
        <w:t>，并与</w:t>
      </w:r>
      <w:r>
        <w:rPr>
          <w:rFonts w:hint="eastAsia"/>
          <w:color w:val="auto"/>
          <w:kern w:val="0"/>
          <w:sz w:val="24"/>
        </w:rPr>
        <w:t>承包人</w:t>
      </w:r>
      <w:r>
        <w:rPr>
          <w:color w:val="auto"/>
          <w:kern w:val="0"/>
          <w:sz w:val="24"/>
        </w:rPr>
        <w:t>签订分包合同的具有相应资质的法人。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1.1.2.7 发包人代表：是指由发包人任命并派驻施工现场在发包人授权范围内行使发包人权利的人。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1.1.2.8 项目经理：是指由承包人任命并派驻施工现场，在承包人授权范围内负责合同履行，且按照法律规定具有相应资格的</w:t>
      </w:r>
      <w:r>
        <w:rPr>
          <w:rFonts w:hint="eastAsia"/>
          <w:color w:val="auto"/>
          <w:kern w:val="0"/>
          <w:sz w:val="24"/>
        </w:rPr>
        <w:t>项目负责</w:t>
      </w:r>
      <w:r>
        <w:rPr>
          <w:color w:val="auto"/>
          <w:kern w:val="0"/>
          <w:sz w:val="24"/>
        </w:rPr>
        <w:t>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1.1.2.9 总监理工程师：是指由监理人任命并派驻施工现场进行工程监理的总负责人。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 工程和设备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1.1.3.1 工程：是指与合同协议书中工程承包范围对应的永久工程和（或）临时工程。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1.1.3.2 永久工程：是指按合同约定建造并移交给发包人的工程，包括工程设备。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1.1.3.3 临时工程：是指为完成合同约定的永久工程所修建的各类临时性工程，不包括施工设备。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1.1.3.4 单位工程：是指在</w:t>
      </w:r>
      <w:r>
        <w:rPr>
          <w:rFonts w:hint="eastAsia"/>
          <w:color w:val="auto"/>
          <w:kern w:val="0"/>
          <w:sz w:val="24"/>
        </w:rPr>
        <w:t>合同协议书</w:t>
      </w:r>
      <w:r>
        <w:rPr>
          <w:color w:val="auto"/>
          <w:kern w:val="0"/>
          <w:sz w:val="24"/>
        </w:rPr>
        <w:t>中指明的，具备独立施工条件并能形成独立使用功能的永久工程。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1.1.3.5 工程设备：是指构成永久工程的机电设备、金属结构设备、仪器及其他类似的设备和装置。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1.1.3.6 施工设备：是指为完成合同约定的各项工作所需的设备、器具和其他物品，但不包括工程设备、临时工程和材料。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1.1.3.7 施工现场：是指用于工程施工的场所，以及在专用合同条款中</w:t>
      </w:r>
      <w:r>
        <w:rPr>
          <w:rFonts w:hint="eastAsia"/>
          <w:color w:val="auto"/>
          <w:kern w:val="0"/>
          <w:sz w:val="24"/>
        </w:rPr>
        <w:t>指</w:t>
      </w:r>
      <w:r>
        <w:rPr>
          <w:color w:val="auto"/>
          <w:kern w:val="0"/>
          <w:sz w:val="24"/>
        </w:rPr>
        <w:t>明作为施工场所组成部分的其他场所，包括永久占地和临时占地。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1.1.3.8临时设施：是指为完成合同约定的各项工作所服务的临时性生产和生活设施。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1.1.3.9 永久占地：是指专用合同条款中指明为实施工程需永久占用的土地。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1.1.3.10 临时占地：是指专用合同条款中指明为实施工程需要临时占用的土地。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 日期和期限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1.1.4.1 开工日期：包括计划开工日期和实际开工日期。计划开工日期是指合同协议书约定的开工日期；实际开工日期是指监理人按照第7.3.2项</w:t>
      </w:r>
      <w:r>
        <w:rPr>
          <w:rFonts w:hint="eastAsia"/>
          <w:color w:val="auto"/>
          <w:kern w:val="0"/>
          <w:sz w:val="24"/>
        </w:rPr>
        <w:t>〔</w:t>
      </w:r>
      <w:r>
        <w:rPr>
          <w:color w:val="auto"/>
          <w:kern w:val="0"/>
          <w:sz w:val="24"/>
        </w:rPr>
        <w:t>开工通知</w:t>
      </w:r>
      <w:r>
        <w:rPr>
          <w:rFonts w:hint="eastAsia"/>
          <w:color w:val="auto"/>
          <w:kern w:val="0"/>
          <w:sz w:val="24"/>
        </w:rPr>
        <w:t>〕</w:t>
      </w:r>
      <w:r>
        <w:rPr>
          <w:color w:val="auto"/>
          <w:kern w:val="0"/>
          <w:sz w:val="24"/>
        </w:rPr>
        <w:t>约定发出的符合法律规定的开工通知中载明的开工日期。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1.1.4.2 竣工日期：包括计划竣工日期和实际竣工日期。计划竣工日期是指合同协议书约定的竣工日期</w:t>
      </w:r>
      <w:r>
        <w:rPr>
          <w:rFonts w:hint="eastAsia"/>
          <w:color w:val="auto"/>
          <w:kern w:val="0"/>
          <w:sz w:val="24"/>
        </w:rPr>
        <w:t>；</w:t>
      </w:r>
      <w:r>
        <w:rPr>
          <w:color w:val="auto"/>
          <w:kern w:val="0"/>
          <w:sz w:val="24"/>
        </w:rPr>
        <w:t>实际竣工日期按照第13.2.3项</w:t>
      </w:r>
      <w:r>
        <w:rPr>
          <w:rFonts w:hint="eastAsia"/>
          <w:color w:val="auto"/>
          <w:kern w:val="0"/>
          <w:sz w:val="24"/>
        </w:rPr>
        <w:t>〔</w:t>
      </w:r>
      <w:r>
        <w:rPr>
          <w:color w:val="auto"/>
          <w:kern w:val="0"/>
          <w:sz w:val="24"/>
        </w:rPr>
        <w:t>竣工日期</w:t>
      </w:r>
      <w:r>
        <w:rPr>
          <w:rFonts w:hint="eastAsia"/>
          <w:color w:val="auto"/>
          <w:kern w:val="0"/>
          <w:sz w:val="24"/>
        </w:rPr>
        <w:t>〕</w:t>
      </w:r>
      <w:r>
        <w:rPr>
          <w:color w:val="auto"/>
          <w:kern w:val="0"/>
          <w:sz w:val="24"/>
        </w:rPr>
        <w:t xml:space="preserve">的约定确定。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1.1.4.3 工期：是指在合同协议书约定的承包人完成工程所需的期限，包括按照合同约定所作的</w:t>
      </w:r>
      <w:r>
        <w:rPr>
          <w:rFonts w:hint="eastAsia"/>
          <w:color w:val="auto"/>
          <w:kern w:val="0"/>
          <w:sz w:val="24"/>
        </w:rPr>
        <w:t>期限</w:t>
      </w:r>
      <w:r>
        <w:rPr>
          <w:color w:val="auto"/>
          <w:kern w:val="0"/>
          <w:sz w:val="24"/>
        </w:rPr>
        <w:t>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1.1.4.4 缺陷责任期：是指承包人按照合同约定承担缺陷修复义务，且发包人</w:t>
      </w:r>
      <w:r>
        <w:rPr>
          <w:rFonts w:hint="eastAsia"/>
          <w:color w:val="auto"/>
          <w:kern w:val="0"/>
          <w:sz w:val="24"/>
        </w:rPr>
        <w:t>预</w:t>
      </w:r>
      <w:r>
        <w:rPr>
          <w:color w:val="auto"/>
          <w:kern w:val="0"/>
          <w:sz w:val="24"/>
        </w:rPr>
        <w:t>留质量保证金的期限，</w:t>
      </w:r>
      <w:r>
        <w:rPr>
          <w:rFonts w:hint="eastAsia"/>
          <w:color w:val="auto"/>
          <w:kern w:val="0"/>
          <w:sz w:val="24"/>
        </w:rPr>
        <w:t>自</w:t>
      </w:r>
      <w:r>
        <w:rPr>
          <w:color w:val="auto"/>
          <w:kern w:val="0"/>
          <w:sz w:val="24"/>
        </w:rPr>
        <w:t>工程</w:t>
      </w:r>
      <w:r>
        <w:rPr>
          <w:rFonts w:hint="eastAsia"/>
          <w:color w:val="auto"/>
          <w:kern w:val="0"/>
          <w:sz w:val="24"/>
        </w:rPr>
        <w:t>实际竣工日期</w:t>
      </w:r>
      <w:r>
        <w:rPr>
          <w:color w:val="auto"/>
          <w:kern w:val="0"/>
          <w:sz w:val="24"/>
        </w:rPr>
        <w:t>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1.1.4.5 保修期：是指承包人按照合同约定对工程承担保修责任的期限，从工程竣工验收合格之日起计算。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1.1.4.6 基准日期：招标发包的工程以投标截止日前28天的日期为基准日</w:t>
      </w:r>
      <w:r>
        <w:rPr>
          <w:rFonts w:hint="eastAsia"/>
          <w:color w:val="auto"/>
          <w:kern w:val="0"/>
          <w:sz w:val="24"/>
        </w:rPr>
        <w:t>期</w:t>
      </w:r>
      <w:r>
        <w:rPr>
          <w:color w:val="auto"/>
          <w:kern w:val="0"/>
          <w:sz w:val="24"/>
        </w:rPr>
        <w:t>，直接发包的工程以合同签订日前28天的日期为基准日</w:t>
      </w:r>
      <w:r>
        <w:rPr>
          <w:rFonts w:hint="eastAsia"/>
          <w:color w:val="auto"/>
          <w:kern w:val="0"/>
          <w:sz w:val="24"/>
        </w:rPr>
        <w:t>期</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1.1.4.7 天：除特别指明外，均指日历天。合同中按天计算时间的，开始当天不计入，从次日开始计算，期限最后一天的截止时间为当天24:00时。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 合同价格和费用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1.1.5.1 签约合同价：是指</w:t>
      </w:r>
      <w:r>
        <w:rPr>
          <w:color w:val="auto"/>
          <w:sz w:val="24"/>
        </w:rPr>
        <w:t>发包人和承包人在合同协议书中确定的总金额，包括安全文明施工费、暂估价及暂列金额等。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1.1.5.2 合同价格：是指发包人用于支付承包人按照合同约定完成承包范围内全部工作的金额，包括合同履行过程中按合同约定</w:t>
      </w:r>
      <w:r>
        <w:rPr>
          <w:rFonts w:hint="eastAsia"/>
          <w:color w:val="auto"/>
          <w:kern w:val="0"/>
          <w:sz w:val="24"/>
        </w:rPr>
        <w:t>发生的价格变化。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1.1.5.3 费用：是指为履行合同所发生的或将要发生的所有必需的开支，包括管理费和应分摊的其他费用，但不包括利润。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1.1.5.4 暂估价：是指发包人在工程量清单或预算书中提供的用于支付必然发生但暂时不能确定价格的材料、工程设备的单价</w:t>
      </w:r>
      <w:r>
        <w:rPr>
          <w:rFonts w:hint="eastAsia"/>
          <w:color w:val="auto"/>
          <w:kern w:val="0"/>
          <w:sz w:val="24"/>
        </w:rPr>
        <w:t>、</w:t>
      </w:r>
      <w:r>
        <w:rPr>
          <w:color w:val="auto"/>
          <w:kern w:val="0"/>
          <w:sz w:val="24"/>
        </w:rPr>
        <w:t>专业工程以及</w:t>
      </w:r>
      <w:r>
        <w:rPr>
          <w:rFonts w:hint="eastAsia"/>
          <w:color w:val="auto"/>
          <w:kern w:val="0"/>
          <w:sz w:val="24"/>
        </w:rPr>
        <w:t>服务工作</w:t>
      </w:r>
      <w:r>
        <w:rPr>
          <w:color w:val="auto"/>
          <w:kern w:val="0"/>
          <w:sz w:val="24"/>
        </w:rPr>
        <w:t>的金额。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1.1.5.5 暂列金额：是指发包人在工程量清单或预算书中暂定并包括在合同价格中的一笔款项</w:t>
      </w:r>
      <w:r>
        <w:rPr>
          <w:rFonts w:hint="eastAsia"/>
          <w:color w:val="auto"/>
          <w:kern w:val="0"/>
          <w:sz w:val="24"/>
        </w:rPr>
        <w:t>，</w:t>
      </w:r>
      <w:r>
        <w:rPr>
          <w:color w:val="auto"/>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1.1.5.6 计日工：是指合同履行过程中，承包人完成发包人提出的零星工作或需要采用计日工计价的变更工作时，按合同中约定的单价计价的一种方式。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1.1.5.7 质量保证金</w:t>
      </w:r>
      <w:bookmarkStart w:id="196" w:name="#go2"/>
      <w:bookmarkEnd w:id="196"/>
      <w:r>
        <w:rPr>
          <w:color w:val="auto"/>
          <w:kern w:val="0"/>
          <w:sz w:val="24"/>
        </w:rPr>
        <w:t>：是指按照第15.3款</w:t>
      </w:r>
      <w:r>
        <w:rPr>
          <w:rFonts w:hint="eastAsia"/>
          <w:color w:val="auto"/>
          <w:kern w:val="0"/>
          <w:sz w:val="24"/>
        </w:rPr>
        <w:t>〔</w:t>
      </w:r>
      <w:r>
        <w:rPr>
          <w:color w:val="auto"/>
          <w:kern w:val="0"/>
          <w:sz w:val="24"/>
        </w:rPr>
        <w:t>质量保证金</w:t>
      </w:r>
      <w:r>
        <w:rPr>
          <w:rFonts w:hint="eastAsia"/>
          <w:color w:val="auto"/>
          <w:kern w:val="0"/>
          <w:sz w:val="24"/>
        </w:rPr>
        <w:t>〕</w:t>
      </w:r>
      <w:r>
        <w:rPr>
          <w:color w:val="auto"/>
          <w:kern w:val="0"/>
          <w:sz w:val="24"/>
        </w:rPr>
        <w:t>约定承包人用于保证其在缺陷责任期内履行缺陷修补义务的担保</w:t>
      </w:r>
      <w:r>
        <w:rPr>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1.1.5.8 总价项目：是指在现行国家、行业以及地方的计量规则中无工程量计算规则，在已标价工程量清单或预算书中以总价或以费率形式计算的项目。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1.1.6 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1.1.6.1 书面形式：是指合同文件、信函、电报、传真等可以有形地表现所载内容的形式。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197" w:name="_Toc337558729"/>
      <w:bookmarkStart w:id="198" w:name="_Toc351203497"/>
      <w:bookmarkStart w:id="199" w:name="_Toc296346530"/>
      <w:bookmarkStart w:id="200" w:name="_Toc296503029"/>
      <w:r>
        <w:rPr>
          <w:b/>
          <w:color w:val="auto"/>
          <w:sz w:val="24"/>
        </w:rPr>
        <w:t>1.2语言文字</w:t>
      </w:r>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合同以中国的汉语简体文字编写、解释和说明。合同当事人在专用合同条款中约定使用两种以上语言时，汉语为优先解释和说明合同的语言。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01" w:name="_Toc296503030"/>
      <w:bookmarkStart w:id="202" w:name="_Toc296346531"/>
      <w:bookmarkStart w:id="203" w:name="_Toc351203498"/>
      <w:bookmarkStart w:id="204" w:name="_Toc337558730"/>
      <w:r>
        <w:rPr>
          <w:b/>
          <w:color w:val="auto"/>
          <w:sz w:val="24"/>
        </w:rPr>
        <w:t>1.3法律</w:t>
      </w:r>
      <w:bookmarkEnd w:id="201"/>
      <w:bookmarkEnd w:id="202"/>
      <w:bookmarkEnd w:id="203"/>
      <w:bookmarkEnd w:id="20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合同所称法律是指中华人民共和国法律、行政法规、部门规章，以及工程所在地的地方性法规、自治条例、单行条例和地方政府规章等。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合同当事人可以在专用合同条款中约定合同适用的其他规范性文件。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05" w:name="_Toc351203499"/>
      <w:r>
        <w:rPr>
          <w:b/>
          <w:color w:val="auto"/>
          <w:sz w:val="24"/>
        </w:rPr>
        <w:t>1.4 标准和规范</w:t>
      </w:r>
      <w:bookmarkEnd w:id="20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1.4.1 适用于工程的国家标准、行业标准、工程所在地的地方性标准，以及相应的规范、规程等，合同当事人有特别要求的，应在专用合同条款中约定。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1.4.2 发包人要求使用国外标准、规范的，发包人负责提供原文版本和中文译本，并在专用合同条款中约定提供标准规范的名称、份数和时间。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1.4.3 发包人对工程的技术标准、功能要求高于或严于现行国家、行业或地方标准的，应当在专用合同条款中予以明确。除专用合同条款另有约定外，应视为</w:t>
      </w:r>
      <w:r>
        <w:rPr>
          <w:rFonts w:hint="eastAsia"/>
          <w:color w:val="auto"/>
          <w:kern w:val="0"/>
          <w:sz w:val="24"/>
        </w:rPr>
        <w:t>承包人</w:t>
      </w:r>
      <w:r>
        <w:rPr>
          <w:color w:val="auto"/>
          <w:kern w:val="0"/>
          <w:sz w:val="24"/>
        </w:rPr>
        <w:t>在签订合同前已充分预见前述技术标准和功能要求的复杂程度，签约合同价中已包含由此产生的费用。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06" w:name="_Toc351203500"/>
      <w:r>
        <w:rPr>
          <w:b/>
          <w:color w:val="auto"/>
          <w:sz w:val="24"/>
        </w:rPr>
        <w:t>1</w:t>
      </w:r>
      <w:bookmarkStart w:id="207" w:name="_Toc296503031"/>
      <w:bookmarkStart w:id="208" w:name="_Toc337558731"/>
      <w:bookmarkStart w:id="209" w:name="_Toc296346532"/>
      <w:r>
        <w:rPr>
          <w:b/>
          <w:color w:val="auto"/>
          <w:sz w:val="24"/>
        </w:rPr>
        <w:t>.5 合同文件的优先顺序</w:t>
      </w:r>
      <w:bookmarkEnd w:id="206"/>
    </w:p>
    <w:bookmarkEnd w:id="207"/>
    <w:bookmarkEnd w:id="208"/>
    <w:bookmarkEnd w:id="20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组成合同的各项文件应互相解释，互为说明。除专用合同条款另有约定外，解释合同文件的优先顺序如下：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（1）合同协议书；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（2）中标通知书（如果有）；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（3）投标函及其附录（如果有）；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（4）专用合同条款</w:t>
      </w:r>
      <w:r>
        <w:rPr>
          <w:color w:val="auto"/>
          <w:sz w:val="24"/>
        </w:rPr>
        <w:t>及其附件</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（5）通用合同条款；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（6）技术标准和要求；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（8）已标价工程量清单或预算书；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（9）其他合同文件。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上述各项合同文件包括合同当事人就该项合同文件所作出的补充和修改，属于同一类内容的文件，应以最新签署的为准。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在合同订立及履行过程中形成的与合同有关的文件均构成合同文件组成部分，并根据其性质确定优先解释顺序。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10" w:name="_Toc351203501"/>
      <w:r>
        <w:rPr>
          <w:b/>
          <w:color w:val="auto"/>
          <w:sz w:val="24"/>
        </w:rPr>
        <w:t>1</w:t>
      </w:r>
      <w:bookmarkStart w:id="211" w:name="_Toc337558732"/>
      <w:bookmarkStart w:id="212" w:name="_Toc296346533"/>
      <w:bookmarkStart w:id="213" w:name="_Toc296503032"/>
      <w:r>
        <w:rPr>
          <w:b/>
          <w:color w:val="auto"/>
          <w:sz w:val="24"/>
        </w:rPr>
        <w:t>.6图纸和承包人文件</w:t>
      </w:r>
      <w:bookmarkEnd w:id="210"/>
    </w:p>
    <w:bookmarkEnd w:id="211"/>
    <w:bookmarkEnd w:id="212"/>
    <w:bookmarkEnd w:id="21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1.6.1 图纸的提供和交底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发包人应按照专用合同条款约定的期限、数量和内容向承包人免费提供图纸，并组织承包人、监理人和设计人进行图纸会审和设计交底。发包人至迟不得晚于第7.3.2项</w:t>
      </w:r>
      <w:r>
        <w:rPr>
          <w:rFonts w:hint="eastAsia"/>
          <w:color w:val="auto"/>
          <w:kern w:val="0"/>
          <w:sz w:val="24"/>
        </w:rPr>
        <w:t>〔</w:t>
      </w:r>
      <w:r>
        <w:rPr>
          <w:color w:val="auto"/>
          <w:kern w:val="0"/>
          <w:sz w:val="24"/>
        </w:rPr>
        <w:t>开工通知</w:t>
      </w:r>
      <w:r>
        <w:rPr>
          <w:rFonts w:hint="eastAsia"/>
          <w:color w:val="auto"/>
          <w:kern w:val="0"/>
          <w:sz w:val="24"/>
        </w:rPr>
        <w:t>〕</w:t>
      </w:r>
      <w:r>
        <w:rPr>
          <w:color w:val="auto"/>
          <w:kern w:val="0"/>
          <w:sz w:val="24"/>
        </w:rPr>
        <w:t>载明的开工日期前14天向承包人提供图纸。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因发包人未按合同约定提供图纸导致承包人费用增加和（或）工期延误的，按照第7.5.1项</w:t>
      </w:r>
      <w:r>
        <w:rPr>
          <w:rFonts w:hint="eastAsia"/>
          <w:color w:val="auto"/>
          <w:kern w:val="0"/>
          <w:sz w:val="24"/>
        </w:rPr>
        <w:t>〔</w:t>
      </w:r>
      <w:r>
        <w:rPr>
          <w:color w:val="auto"/>
          <w:kern w:val="0"/>
          <w:sz w:val="24"/>
        </w:rPr>
        <w:t>因发包人原因导致工期延误</w:t>
      </w:r>
      <w:r>
        <w:rPr>
          <w:rFonts w:hint="eastAsia"/>
          <w:color w:val="auto"/>
          <w:kern w:val="0"/>
          <w:sz w:val="24"/>
        </w:rPr>
        <w:t>〕</w:t>
      </w:r>
      <w:r>
        <w:rPr>
          <w:color w:val="auto"/>
          <w:kern w:val="0"/>
          <w:sz w:val="24"/>
        </w:rPr>
        <w:t>约定办理。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1.6.2 图纸的错误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color w:val="auto"/>
          <w:kern w:val="0"/>
          <w:sz w:val="24"/>
        </w:rPr>
        <w:t>合理时间是指发包人在收到监理人的报送通知后，尽其努力且不懈怠地完成图纸修改补充所需的时间。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1.6.3 图纸的修改和补充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1.6.4 承包人文件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承包人应按照专用合同条款的约定提供应当由其编制的与工程施工有关的文件，并按照专用合同条款约定的期限、数量和形式提交监理人，并由监理人报送发包人。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1.6.5 图纸和承包人文件的保管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除专用合同条款另有约定外，承包人应在施工现场另外保存一套完整的图纸和承包人文件，供发包人、监理人及有关人员进行工程检查时使用。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14" w:name="_Toc351203502"/>
      <w:r>
        <w:rPr>
          <w:b/>
          <w:color w:val="auto"/>
          <w:sz w:val="24"/>
        </w:rPr>
        <w:t>1</w:t>
      </w:r>
      <w:bookmarkStart w:id="215" w:name="_Toc296346534"/>
      <w:bookmarkStart w:id="216" w:name="_Toc337558733"/>
      <w:bookmarkStart w:id="217" w:name="_Toc296503033"/>
      <w:r>
        <w:rPr>
          <w:b/>
          <w:color w:val="auto"/>
          <w:sz w:val="24"/>
        </w:rPr>
        <w:t>.7联络</w:t>
      </w:r>
      <w:bookmarkEnd w:id="214"/>
    </w:p>
    <w:bookmarkEnd w:id="215"/>
    <w:bookmarkEnd w:id="216"/>
    <w:bookmarkEnd w:id="21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1.7.1 与合同有关的通知、批准、证明、证书、指示、指令、要求、请求、同意、意见、确定和决定等，均应采用书面形式，并应在合同约定的期限内送达接收人和送达地点。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1.7.2 发包人和承包人应在专用合同条款中约定各自的送达接收人和送达地点。任何一方合同当事人指定的接收人或送达地点发生变动的，应提前3天以书面形式通知对方。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1.7.3 发包人和承包人应当及时签收另一方送达至送达地点和指定接收人的来往信函。拒不签收的，由此增加的费用和（或）延误的工期由拒绝接收一方承担。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18" w:name="_Toc351203503"/>
      <w:r>
        <w:rPr>
          <w:b/>
          <w:color w:val="auto"/>
          <w:sz w:val="24"/>
        </w:rPr>
        <w:t>1</w:t>
      </w:r>
      <w:bookmarkStart w:id="219" w:name="_Toc296503035"/>
      <w:bookmarkStart w:id="220" w:name="_Toc296346536"/>
      <w:bookmarkStart w:id="221" w:name="_Toc337558734"/>
      <w:r>
        <w:rPr>
          <w:b/>
          <w:color w:val="auto"/>
          <w:sz w:val="24"/>
        </w:rPr>
        <w:t>.8严禁贿赂</w:t>
      </w:r>
      <w:bookmarkEnd w:id="218"/>
    </w:p>
    <w:bookmarkEnd w:id="219"/>
    <w:bookmarkEnd w:id="220"/>
    <w:bookmarkEnd w:id="22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合同当事人不得以贿赂或变相贿赂的方式，谋取非法利益或损害对方权益。因一方合同当事人的贿赂造成对方损失的，应赔偿损失，并承担相应的法律责任。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22" w:name="_Toc351203504"/>
      <w:r>
        <w:rPr>
          <w:b/>
          <w:color w:val="auto"/>
          <w:sz w:val="24"/>
        </w:rPr>
        <w:t>1</w:t>
      </w:r>
      <w:bookmarkStart w:id="223" w:name="_Toc296503036"/>
      <w:bookmarkStart w:id="224" w:name="_Toc296346537"/>
      <w:bookmarkStart w:id="225" w:name="_Toc337558735"/>
      <w:r>
        <w:rPr>
          <w:b/>
          <w:color w:val="auto"/>
          <w:sz w:val="24"/>
        </w:rPr>
        <w:t>.9化石、文物</w:t>
      </w:r>
      <w:bookmarkEnd w:id="222"/>
    </w:p>
    <w:bookmarkEnd w:id="223"/>
    <w:bookmarkEnd w:id="224"/>
    <w:bookmarkEnd w:id="22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发包人、监理人和承包人应按有关政府行政管理部门要求采取妥善的保护措施，由此增加的费用和</w:t>
      </w:r>
      <w:r>
        <w:rPr>
          <w:rFonts w:hint="eastAsia"/>
          <w:color w:val="auto"/>
          <w:kern w:val="0"/>
          <w:sz w:val="24"/>
        </w:rPr>
        <w:t>（</w:t>
      </w:r>
      <w:r>
        <w:rPr>
          <w:color w:val="auto"/>
          <w:kern w:val="0"/>
          <w:sz w:val="24"/>
        </w:rPr>
        <w:t>或）延误的工期由发包人承担。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承包人发现文物后不及时报告或隐瞒不报，致使文物丢失或损坏的，应赔偿损失，并承担相应的法律责任。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26" w:name="_Toc351203505"/>
      <w:r>
        <w:rPr>
          <w:b/>
          <w:color w:val="auto"/>
          <w:sz w:val="24"/>
        </w:rPr>
        <w:t>1</w:t>
      </w:r>
      <w:bookmarkStart w:id="227" w:name="_Toc337558736"/>
      <w:r>
        <w:rPr>
          <w:b/>
          <w:color w:val="auto"/>
          <w:sz w:val="24"/>
        </w:rPr>
        <w:t>.10交通运输</w:t>
      </w:r>
      <w:bookmarkEnd w:id="226"/>
    </w:p>
    <w:bookmarkEnd w:id="22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1.10.1</w:t>
      </w:r>
      <w:r>
        <w:rPr>
          <w:rFonts w:hint="eastAsia"/>
          <w:color w:val="auto"/>
          <w:kern w:val="0"/>
          <w:sz w:val="24"/>
        </w:rPr>
        <w:t xml:space="preserve"> </w:t>
      </w:r>
      <w:r>
        <w:rPr>
          <w:color w:val="auto"/>
          <w:kern w:val="0"/>
          <w:sz w:val="24"/>
        </w:rPr>
        <w:t>出入现场的权利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除专用合同条款另有约定外，发包人应根据施工需要，负责取得出入施工现场所需的</w:t>
      </w:r>
      <w:r>
        <w:rPr>
          <w:rFonts w:hint="eastAsia"/>
          <w:color w:val="auto"/>
          <w:kern w:val="0"/>
          <w:sz w:val="24"/>
        </w:rPr>
        <w:t>批准手续和</w:t>
      </w:r>
      <w:r>
        <w:rPr>
          <w:color w:val="auto"/>
          <w:kern w:val="0"/>
          <w:sz w:val="24"/>
        </w:rPr>
        <w:t>全部权利，以及取得因施工所需修建道路、桥梁以及其他基础设施的权利，并承担相关手续费用和建设费用。承包人应协助发包人办理修建场内外道路、桥梁以及其他基础设施的手续。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1.10.2</w:t>
      </w:r>
      <w:r>
        <w:rPr>
          <w:rFonts w:hint="eastAsia"/>
          <w:color w:val="auto"/>
          <w:kern w:val="0"/>
          <w:sz w:val="24"/>
        </w:rPr>
        <w:t xml:space="preserve"> </w:t>
      </w:r>
      <w:r>
        <w:rPr>
          <w:color w:val="auto"/>
          <w:kern w:val="0"/>
          <w:sz w:val="24"/>
        </w:rPr>
        <w:t>场外交通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1.10.3场内交通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场外交通和场内交通的边界由合同当事人在专用合同条款中约定。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1.10.4</w:t>
      </w:r>
      <w:r>
        <w:rPr>
          <w:rFonts w:hint="eastAsia"/>
          <w:color w:val="auto"/>
          <w:kern w:val="0"/>
          <w:sz w:val="24"/>
        </w:rPr>
        <w:t xml:space="preserve"> </w:t>
      </w:r>
      <w:r>
        <w:rPr>
          <w:color w:val="auto"/>
          <w:kern w:val="0"/>
          <w:sz w:val="24"/>
        </w:rPr>
        <w:t>超大件和超重件的运输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1.10.5</w:t>
      </w:r>
      <w:r>
        <w:rPr>
          <w:rFonts w:hint="eastAsia"/>
          <w:color w:val="auto"/>
          <w:kern w:val="0"/>
          <w:sz w:val="24"/>
        </w:rPr>
        <w:t xml:space="preserve"> </w:t>
      </w:r>
      <w:r>
        <w:rPr>
          <w:color w:val="auto"/>
          <w:kern w:val="0"/>
          <w:sz w:val="24"/>
        </w:rPr>
        <w:t>道路和桥梁的损坏责任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因承包人运输造成施工场地内外公共道路和桥梁损坏的，由承包人承担修复损坏的全部费用和可能引起的赔偿。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1.10.6</w:t>
      </w:r>
      <w:r>
        <w:rPr>
          <w:rFonts w:hint="eastAsia"/>
          <w:color w:val="auto"/>
          <w:kern w:val="0"/>
          <w:sz w:val="24"/>
        </w:rPr>
        <w:t xml:space="preserve"> </w:t>
      </w:r>
      <w:r>
        <w:rPr>
          <w:color w:val="auto"/>
          <w:kern w:val="0"/>
          <w:sz w:val="24"/>
        </w:rPr>
        <w:t>水路和航空运输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本</w:t>
      </w:r>
      <w:r>
        <w:rPr>
          <w:rFonts w:hint="eastAsia"/>
          <w:color w:val="auto"/>
          <w:kern w:val="0"/>
          <w:sz w:val="24"/>
        </w:rPr>
        <w:t>款</w:t>
      </w:r>
      <w:r>
        <w:rPr>
          <w:color w:val="auto"/>
          <w:kern w:val="0"/>
          <w:sz w:val="24"/>
        </w:rPr>
        <w:t>前述各</w:t>
      </w:r>
      <w:r>
        <w:rPr>
          <w:rFonts w:hint="eastAsia"/>
          <w:color w:val="auto"/>
          <w:kern w:val="0"/>
          <w:sz w:val="24"/>
        </w:rPr>
        <w:t>项</w:t>
      </w:r>
      <w:r>
        <w:rPr>
          <w:color w:val="auto"/>
          <w:kern w:val="0"/>
          <w:sz w:val="24"/>
        </w:rPr>
        <w:t>的内容适用于水路运输和航空运输，其中“道路”一词的涵义包括河道、航线、船闸、机场、码头、堤防以及水路或航空运输中其他相似结构物；“车辆”一词的涵义包括船舶和飞机等。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28" w:name="_Toc351203506"/>
      <w:r>
        <w:rPr>
          <w:b/>
          <w:color w:val="auto"/>
          <w:sz w:val="24"/>
        </w:rPr>
        <w:t>1</w:t>
      </w:r>
      <w:bookmarkStart w:id="229" w:name="_Toc337558737"/>
      <w:bookmarkStart w:id="230" w:name="_Toc296503037"/>
      <w:bookmarkStart w:id="231" w:name="_Toc296346538"/>
      <w:r>
        <w:rPr>
          <w:b/>
          <w:color w:val="auto"/>
          <w:sz w:val="24"/>
        </w:rPr>
        <w:t>.11知识产权</w:t>
      </w:r>
      <w:bookmarkEnd w:id="228"/>
      <w:r>
        <w:rPr>
          <w:b/>
          <w:color w:val="auto"/>
          <w:sz w:val="24"/>
        </w:rPr>
        <w:t xml:space="preserve"> </w:t>
      </w:r>
      <w:bookmarkEnd w:id="229"/>
    </w:p>
    <w:bookmarkEnd w:id="230"/>
    <w:bookmarkEnd w:id="23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 xml:space="preserve">    </w:t>
      </w:r>
      <w:r>
        <w:rPr>
          <w:color w:val="auto"/>
          <w:sz w:val="24"/>
        </w:rPr>
        <w:t>1.11.4 除专用合同条款另有约定外，承包人在合同签订前和签订时已确定采用的专利、专有技术、技术秘密的使用费已包含在签约合同价中。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32" w:name="_Toc351203507"/>
      <w:r>
        <w:rPr>
          <w:b/>
          <w:color w:val="auto"/>
          <w:sz w:val="24"/>
        </w:rPr>
        <w:t>1</w:t>
      </w:r>
      <w:bookmarkStart w:id="233" w:name="_Toc337558738"/>
      <w:r>
        <w:rPr>
          <w:b/>
          <w:color w:val="auto"/>
          <w:sz w:val="24"/>
        </w:rPr>
        <w:t>.12保密</w:t>
      </w:r>
      <w:bookmarkEnd w:id="232"/>
    </w:p>
    <w:bookmarkEnd w:id="23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除法律规定或合同另有约定外，未经发包人同意，承包人不得将发包人提供的图纸、文件以及声明需要保密的资料信息等商业秘密泄露给第三方。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除法律规定或合同另有约定外，未经承包人同意，发包人不得将承包人提供的技术秘密及声明需要保密的资料信息等商业秘密泄露给第三方。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34" w:name="_Toc351203508"/>
      <w:r>
        <w:rPr>
          <w:b/>
          <w:color w:val="auto"/>
          <w:sz w:val="24"/>
        </w:rPr>
        <w:t>1.13工程量清单错误的修正</w:t>
      </w:r>
      <w:bookmarkEnd w:id="2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除专用合同条款另有约定外，</w:t>
      </w:r>
      <w:r>
        <w:rPr>
          <w:color w:val="auto"/>
          <w:kern w:val="0"/>
          <w:sz w:val="24"/>
        </w:rPr>
        <w:t>发包人提供的工程量清单，应被认为是准确的和完整的。出现下列情形之一时，发包人应予以修正，并相应调整合同价格：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（1）工程量清单存在缺项、漏项的；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（2）工程量清单偏差超出专用合同条款约定的工程量偏差范围的；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（3）未按照国家现行计量规范强制性规定计量的。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35" w:name="_Toc351203509"/>
      <w:r>
        <w:rPr>
          <w:b/>
          <w:color w:val="auto"/>
          <w:sz w:val="24"/>
        </w:rPr>
        <w:t>2</w:t>
      </w:r>
      <w:bookmarkStart w:id="236" w:name="_Toc296503038"/>
      <w:bookmarkStart w:id="237" w:name="_Toc296346539"/>
      <w:bookmarkStart w:id="238" w:name="_Toc337558739"/>
      <w:r>
        <w:rPr>
          <w:b/>
          <w:color w:val="auto"/>
          <w:sz w:val="24"/>
        </w:rPr>
        <w:t>. 发包人</w:t>
      </w:r>
      <w:bookmarkEnd w:id="235"/>
    </w:p>
    <w:bookmarkEnd w:id="236"/>
    <w:bookmarkEnd w:id="237"/>
    <w:bookmarkEnd w:id="238"/>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39" w:name="_Toc351203510"/>
      <w:r>
        <w:rPr>
          <w:b/>
          <w:color w:val="auto"/>
          <w:sz w:val="24"/>
        </w:rPr>
        <w:t>2</w:t>
      </w:r>
      <w:bookmarkStart w:id="240" w:name="_Toc296346540"/>
      <w:bookmarkStart w:id="241" w:name="_Toc337558740"/>
      <w:bookmarkStart w:id="242" w:name="_Toc296503039"/>
      <w:r>
        <w:rPr>
          <w:b/>
          <w:color w:val="auto"/>
          <w:sz w:val="24"/>
        </w:rPr>
        <w:t>.1 许可或批准</w:t>
      </w:r>
      <w:bookmarkEnd w:id="2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因发包人原因未能及时办理完毕前述许可、批准或备案，由发包人承担由此增加的费用和（或）延误的工期，并支付承包人合理的利润。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43" w:name="_Toc351203511"/>
      <w:r>
        <w:rPr>
          <w:b/>
          <w:color w:val="auto"/>
          <w:sz w:val="24"/>
        </w:rPr>
        <w:t>2.2 发包人代表</w:t>
      </w:r>
      <w:bookmarkEnd w:id="2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发包人代表不能按照合同约定履行其职责及义务，并导致合同无法继续正常履行的，承包人可以要求发包人撤换发包人代表。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kern w:val="0"/>
          <w:sz w:val="24"/>
        </w:rPr>
        <w:t>不属于法定必须监理的工程，监理人的职权可以由发包人代表或发包人指定的其他人员行使。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44" w:name="_Toc351203512"/>
      <w:r>
        <w:rPr>
          <w:b/>
          <w:color w:val="auto"/>
          <w:sz w:val="24"/>
        </w:rPr>
        <w:t>2.3 发包人人员</w:t>
      </w:r>
      <w:bookmarkEnd w:id="2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发包人应要求在施工现场的发包人人员遵守法律及有关安全、质量、环境保护、文明施工等规定，并保障承包人免于承受因发包人人员未遵守上述要求给承包人造成的损失和责任。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发包人人员包括发包人代表及其他由发包人派驻施工现场的人员。</w:t>
      </w:r>
      <w:bookmarkEnd w:id="240"/>
      <w:bookmarkEnd w:id="241"/>
      <w:bookmarkEnd w:id="242"/>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45" w:name="_Toc351203513"/>
      <w:r>
        <w:rPr>
          <w:b/>
          <w:color w:val="auto"/>
          <w:sz w:val="24"/>
        </w:rPr>
        <w:t>2</w:t>
      </w:r>
      <w:bookmarkStart w:id="246" w:name="_Toc337558741"/>
      <w:bookmarkStart w:id="247" w:name="_Toc296346541"/>
      <w:bookmarkStart w:id="248" w:name="_Toc296503040"/>
      <w:r>
        <w:rPr>
          <w:b/>
          <w:color w:val="auto"/>
          <w:sz w:val="24"/>
        </w:rPr>
        <w:t>.4 施工现场、施工条件和基础资料的提供</w:t>
      </w:r>
      <w:bookmarkEnd w:id="245"/>
      <w:r>
        <w:rPr>
          <w:b/>
          <w:color w:val="auto"/>
          <w:sz w:val="24"/>
        </w:rPr>
        <w:t xml:space="preserve"> </w:t>
      </w:r>
      <w:bookmarkEnd w:id="246"/>
      <w:bookmarkEnd w:id="247"/>
      <w:bookmarkEnd w:id="248"/>
      <w:r>
        <w:rPr>
          <w:b/>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2.4.1 提供施工现场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除专用合同条款另有约定外，发包人应</w:t>
      </w:r>
      <w:r>
        <w:rPr>
          <w:rFonts w:hint="eastAsia"/>
          <w:color w:val="auto"/>
          <w:kern w:val="0"/>
          <w:sz w:val="24"/>
        </w:rPr>
        <w:t>最迟于</w:t>
      </w:r>
      <w:r>
        <w:rPr>
          <w:color w:val="auto"/>
          <w:kern w:val="0"/>
          <w:sz w:val="24"/>
        </w:rPr>
        <w:t>开工日期7天前向承包人移交施工现场。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2.4.2 提供施工条件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除专用合同条款另有约定外，发包人应负责提供施工所需要的条件，包括：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（1）将施工用水、电力、通讯线路等施工所必需的条件接至施工现场内；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（2）保证向承包人提供正常施工所需要的进入施工现场的交通条件；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（3）协调处理施工现场周围地下管线和邻近建筑物、构筑物、古树名木的保护工作，并承担相关费用；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（4）按照专用合同条款约定</w:t>
      </w:r>
      <w:r>
        <w:rPr>
          <w:rFonts w:hint="eastAsia"/>
          <w:color w:val="auto"/>
          <w:kern w:val="0"/>
          <w:sz w:val="24"/>
        </w:rPr>
        <w:t>应</w:t>
      </w:r>
      <w:r>
        <w:rPr>
          <w:color w:val="auto"/>
          <w:kern w:val="0"/>
          <w:sz w:val="24"/>
        </w:rPr>
        <w:t>提供的其他设施和条件。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2.4.3 提供基础资料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按照法律规定确需在开工后方能提供的基础资料，发包人应尽其努力及时地在相应工程施工前的合理期限内提供，合理期限应以不影响承包人的正常施工为限。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2.4.4 逾期提供的责任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因发包人原因未能按合同约定及时向承包人提供施工现场、施工条件、基础资料的，由发包人承担由此增加的费用和（或）延误的工期。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49" w:name="_Toc351203514"/>
      <w:r>
        <w:rPr>
          <w:b/>
          <w:color w:val="auto"/>
          <w:sz w:val="24"/>
        </w:rPr>
        <w:t>2</w:t>
      </w:r>
      <w:bookmarkStart w:id="250" w:name="_Toc296346543"/>
      <w:bookmarkStart w:id="251" w:name="_Toc337558745"/>
      <w:bookmarkStart w:id="252" w:name="_Toc296503042"/>
      <w:r>
        <w:rPr>
          <w:b/>
          <w:color w:val="auto"/>
          <w:sz w:val="24"/>
        </w:rPr>
        <w:t>.5 资</w:t>
      </w:r>
      <w:bookmarkEnd w:id="250"/>
      <w:bookmarkEnd w:id="251"/>
      <w:bookmarkEnd w:id="252"/>
      <w:r>
        <w:rPr>
          <w:b/>
          <w:color w:val="auto"/>
          <w:sz w:val="24"/>
        </w:rPr>
        <w:t>金来源证明及支付担保</w:t>
      </w:r>
      <w:bookmarkEnd w:id="24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除专用合同条款另有约定外，发包人应在收到承包人要求提供资金来源证明的书面通知后28天内，向承包人提供能够按照合同约定支付合同价款的相应资金来源证明。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53" w:name="_Toc351203515"/>
      <w:r>
        <w:rPr>
          <w:b/>
          <w:color w:val="auto"/>
          <w:sz w:val="24"/>
        </w:rPr>
        <w:t>2.6 支付合同价款</w:t>
      </w:r>
      <w:bookmarkEnd w:id="25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发包人应按合同约定向承包人及时支付合同价款。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54" w:name="_Toc351203516"/>
      <w:r>
        <w:rPr>
          <w:b/>
          <w:color w:val="auto"/>
          <w:sz w:val="24"/>
        </w:rPr>
        <w:t>2.7 组织竣工验收</w:t>
      </w:r>
      <w:bookmarkEnd w:id="25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发包人应按合同约定及时组织竣工验收。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55" w:name="_Toc351203517"/>
      <w:r>
        <w:rPr>
          <w:b/>
          <w:color w:val="auto"/>
          <w:sz w:val="24"/>
        </w:rPr>
        <w:t>2.8 现场统一管理协议</w:t>
      </w:r>
      <w:bookmarkEnd w:id="2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发包人应与承包人、由发包人直接发包的专业工程的承包人签订施工现场统一管理协议，明确各方的权利义务。施工现场统一管理协议作为专用合同条款的附件。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56" w:name="_Toc351203518"/>
      <w:r>
        <w:rPr>
          <w:b/>
          <w:color w:val="auto"/>
          <w:sz w:val="24"/>
        </w:rPr>
        <w:t>3</w:t>
      </w:r>
      <w:bookmarkStart w:id="257" w:name="_Toc337558746"/>
      <w:bookmarkStart w:id="258" w:name="_Toc296503045"/>
      <w:bookmarkStart w:id="259" w:name="_Toc296346546"/>
      <w:r>
        <w:rPr>
          <w:b/>
          <w:color w:val="auto"/>
          <w:sz w:val="24"/>
        </w:rPr>
        <w:t>. 承包人</w:t>
      </w:r>
      <w:bookmarkEnd w:id="256"/>
    </w:p>
    <w:bookmarkEnd w:id="257"/>
    <w:bookmarkEnd w:id="258"/>
    <w:bookmarkEnd w:id="259"/>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60" w:name="_Toc351203519"/>
      <w:r>
        <w:rPr>
          <w:b/>
          <w:color w:val="auto"/>
          <w:sz w:val="24"/>
        </w:rPr>
        <w:t>3</w:t>
      </w:r>
      <w:bookmarkStart w:id="261" w:name="_Toc337558747"/>
      <w:bookmarkStart w:id="262" w:name="_Toc296346547"/>
      <w:bookmarkStart w:id="263" w:name="_Toc296503046"/>
      <w:r>
        <w:rPr>
          <w:b/>
          <w:color w:val="auto"/>
          <w:sz w:val="24"/>
        </w:rPr>
        <w:t>.1 承包人的一般义务</w:t>
      </w:r>
      <w:bookmarkEnd w:id="260"/>
    </w:p>
    <w:bookmarkEnd w:id="261"/>
    <w:bookmarkEnd w:id="262"/>
    <w:bookmarkEnd w:id="26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承包人在履行合同过程中应遵守法律和工程建设标准规范，并履行以下义务：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办理法律规定</w:t>
      </w:r>
      <w:r>
        <w:rPr>
          <w:rFonts w:hint="eastAsia"/>
          <w:color w:val="auto"/>
          <w:kern w:val="0"/>
          <w:sz w:val="24"/>
        </w:rPr>
        <w:t>应</w:t>
      </w:r>
      <w:r>
        <w:rPr>
          <w:color w:val="auto"/>
          <w:kern w:val="0"/>
          <w:sz w:val="24"/>
        </w:rPr>
        <w:t>由承包人办理的许可和批准，并将</w:t>
      </w:r>
      <w:r>
        <w:rPr>
          <w:rFonts w:hint="eastAsia"/>
          <w:color w:val="auto"/>
          <w:kern w:val="0"/>
          <w:sz w:val="24"/>
        </w:rPr>
        <w:t>办理</w:t>
      </w:r>
      <w:r>
        <w:rPr>
          <w:color w:val="auto"/>
          <w:kern w:val="0"/>
          <w:sz w:val="24"/>
        </w:rPr>
        <w:t>结果书面报送发包人留存；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（2）按法律规定和合同约定完成工程，并在保修期内承担保修义务；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（3）按法律规定和合同约定采取施工安全和环境保护措施，办理工伤保险，确保工程及人员、材料、设备和设施的安全；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（4）按合同约定的工作内容和施工进度要求，编制施工组织设计和施工措施计划，并对所有施工作业和施工方法的完备性和安全可靠性负责；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（6）按照第6.3款</w:t>
      </w:r>
      <w:r>
        <w:rPr>
          <w:rFonts w:hint="eastAsia"/>
          <w:color w:val="auto"/>
          <w:kern w:val="0"/>
          <w:sz w:val="24"/>
        </w:rPr>
        <w:t>〔</w:t>
      </w:r>
      <w:r>
        <w:rPr>
          <w:color w:val="auto"/>
          <w:kern w:val="0"/>
          <w:sz w:val="24"/>
        </w:rPr>
        <w:t>环境保护</w:t>
      </w:r>
      <w:r>
        <w:rPr>
          <w:rFonts w:hint="eastAsia"/>
          <w:color w:val="auto"/>
          <w:kern w:val="0"/>
          <w:sz w:val="24"/>
        </w:rPr>
        <w:t>〕</w:t>
      </w:r>
      <w:r>
        <w:rPr>
          <w:color w:val="auto"/>
          <w:kern w:val="0"/>
          <w:sz w:val="24"/>
        </w:rPr>
        <w:t>约定负责施工场地及其周边环境与生态的保护工作；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（7）按第6.1款</w:t>
      </w:r>
      <w:r>
        <w:rPr>
          <w:rFonts w:hint="eastAsia"/>
          <w:color w:val="auto"/>
          <w:kern w:val="0"/>
          <w:sz w:val="24"/>
        </w:rPr>
        <w:t>〔</w:t>
      </w:r>
      <w:r>
        <w:rPr>
          <w:color w:val="auto"/>
          <w:kern w:val="0"/>
          <w:sz w:val="24"/>
        </w:rPr>
        <w:t>安全文明施工</w:t>
      </w:r>
      <w:r>
        <w:rPr>
          <w:rFonts w:hint="eastAsia"/>
          <w:color w:val="auto"/>
          <w:kern w:val="0"/>
          <w:sz w:val="24"/>
        </w:rPr>
        <w:t>〕</w:t>
      </w:r>
      <w:r>
        <w:rPr>
          <w:color w:val="auto"/>
          <w:kern w:val="0"/>
          <w:sz w:val="24"/>
        </w:rPr>
        <w:t>约定采取施工安全措施，确保工程及其人员、材料、设备和设施的安全，防止因工程施工造成的人身伤害和财产损失；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w:t>
      </w:r>
      <w:r>
        <w:rPr>
          <w:rFonts w:hint="eastAsia"/>
          <w:color w:val="auto"/>
          <w:kern w:val="0"/>
          <w:sz w:val="24"/>
        </w:rPr>
        <w:t>将</w:t>
      </w:r>
      <w:r>
        <w:rPr>
          <w:color w:val="auto"/>
          <w:kern w:val="0"/>
          <w:sz w:val="24"/>
        </w:rPr>
        <w:t>发包人按合同约定支付的各项价款专用于合同工程，且应及时支付其雇用人员工资，并及时向分包人支付合同价款；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（9）按照法律规定和合同约定编制竣工资料，完成竣工资料立卷及归档，并按专用合同条款约定的竣工资料的套数、内容、时间等要求移交发包人；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（10）应履行的其他义务。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64" w:name="_Toc351203520"/>
      <w:r>
        <w:rPr>
          <w:b/>
          <w:color w:val="auto"/>
          <w:sz w:val="24"/>
        </w:rPr>
        <w:t>3</w:t>
      </w:r>
      <w:bookmarkStart w:id="265" w:name="_Toc337558748"/>
      <w:bookmarkStart w:id="266" w:name="_Toc296346548"/>
      <w:bookmarkStart w:id="267" w:name="_Toc296503047"/>
      <w:r>
        <w:rPr>
          <w:b/>
          <w:color w:val="auto"/>
          <w:sz w:val="24"/>
        </w:rPr>
        <w:t xml:space="preserve">.2 </w:t>
      </w:r>
      <w:bookmarkEnd w:id="264"/>
      <w:r>
        <w:rPr>
          <w:b/>
          <w:color w:val="auto"/>
          <w:sz w:val="24"/>
        </w:rPr>
        <w:t>项目经理</w:t>
      </w:r>
    </w:p>
    <w:bookmarkEnd w:id="265"/>
    <w:bookmarkEnd w:id="266"/>
    <w:bookmarkEnd w:id="26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承包人违反上述约定的，应按照专用合同条款的约定，承担违约责任。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3.2.2 项目经理按合同约定组织工程实施。在紧急情况下</w:t>
      </w:r>
      <w:r>
        <w:rPr>
          <w:rFonts w:hint="eastAsia"/>
          <w:color w:val="auto"/>
          <w:kern w:val="0"/>
          <w:sz w:val="24"/>
        </w:rPr>
        <w:t>为确保施工安全和人员安全</w:t>
      </w:r>
      <w:r>
        <w:rPr>
          <w:color w:val="auto"/>
          <w:kern w:val="0"/>
          <w:sz w:val="24"/>
        </w:rPr>
        <w:t>，</w:t>
      </w:r>
      <w:r>
        <w:rPr>
          <w:rFonts w:hint="eastAsia"/>
          <w:color w:val="auto"/>
          <w:kern w:val="0"/>
          <w:sz w:val="24"/>
        </w:rPr>
        <w:t>在</w:t>
      </w:r>
      <w:r>
        <w:rPr>
          <w:color w:val="auto"/>
          <w:kern w:val="0"/>
          <w:sz w:val="24"/>
        </w:rPr>
        <w:t>无法与发包人代表和总监理工程师</w:t>
      </w:r>
      <w:r>
        <w:rPr>
          <w:rFonts w:hint="eastAsia"/>
          <w:color w:val="auto"/>
          <w:kern w:val="0"/>
          <w:sz w:val="24"/>
        </w:rPr>
        <w:t>及时</w:t>
      </w:r>
      <w:r>
        <w:rPr>
          <w:color w:val="auto"/>
          <w:kern w:val="0"/>
          <w:sz w:val="24"/>
        </w:rPr>
        <w:t>取得联系时，项目经理有权采取必要的措施保证与工程有关的人身、财产和工程的安全，但应在48小时内向发包人代表和总监理工程师提交书面报告。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color w:val="auto"/>
          <w:kern w:val="0"/>
          <w:sz w:val="24"/>
        </w:rPr>
        <w:t>继</w:t>
      </w:r>
      <w:r>
        <w:rPr>
          <w:color w:val="auto"/>
          <w:kern w:val="0"/>
          <w:sz w:val="24"/>
        </w:rPr>
        <w:t>任项目经理继续履行第3.2.1项约定的职责。承包人无正当理由拒绝更换项目经理的，应按照专用合同条款的约定承担违约责任。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68" w:name="_Toc351203521"/>
      <w:r>
        <w:rPr>
          <w:b/>
          <w:color w:val="auto"/>
          <w:sz w:val="24"/>
        </w:rPr>
        <w:t>3</w:t>
      </w:r>
      <w:bookmarkStart w:id="269" w:name="_Toc296503048"/>
      <w:bookmarkStart w:id="270" w:name="_Toc296346549"/>
      <w:bookmarkStart w:id="271" w:name="_Toc337558749"/>
      <w:r>
        <w:rPr>
          <w:b/>
          <w:color w:val="auto"/>
          <w:sz w:val="24"/>
        </w:rPr>
        <w:t xml:space="preserve">.3 </w:t>
      </w:r>
      <w:bookmarkEnd w:id="269"/>
      <w:bookmarkEnd w:id="270"/>
      <w:r>
        <w:rPr>
          <w:b/>
          <w:color w:val="auto"/>
          <w:sz w:val="24"/>
        </w:rPr>
        <w:t>承包人人员</w:t>
      </w:r>
      <w:bookmarkEnd w:id="268"/>
    </w:p>
    <w:bookmarkEnd w:id="27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color w:val="auto"/>
          <w:kern w:val="0"/>
          <w:sz w:val="24"/>
        </w:rPr>
        <w:t>和</w:t>
      </w:r>
      <w:r>
        <w:rPr>
          <w:color w:val="auto"/>
          <w:kern w:val="0"/>
          <w:sz w:val="24"/>
        </w:rPr>
        <w:t>缴纳社会保险的有效证明。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3.3.2 承包人派驻到施工现场的主要施工管理人员应相对稳定。施工过程中</w:t>
      </w:r>
      <w:r>
        <w:rPr>
          <w:rFonts w:hint="eastAsia"/>
          <w:color w:val="auto"/>
          <w:kern w:val="0"/>
          <w:sz w:val="24"/>
        </w:rPr>
        <w:t>如有变动</w:t>
      </w:r>
      <w:r>
        <w:rPr>
          <w:color w:val="auto"/>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特殊工种作业人员均应持有相应的资格证明，监理人可以随时检查。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3.3.3 发包人对于承包人主要施工管理人员</w:t>
      </w:r>
      <w:r>
        <w:rPr>
          <w:rFonts w:hint="eastAsia"/>
          <w:color w:val="auto"/>
          <w:kern w:val="0"/>
          <w:sz w:val="24"/>
        </w:rPr>
        <w:t>的资格或能力</w:t>
      </w:r>
      <w:r>
        <w:rPr>
          <w:color w:val="auto"/>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3.3.5 承包人擅自更换主要施工管理人员，或前述人员未经监理人或发包人同意擅自离开施工现场的，应按照专用合同条款约定承担违约责任。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72" w:name="_Toc351203522"/>
      <w:r>
        <w:rPr>
          <w:b/>
          <w:color w:val="auto"/>
          <w:sz w:val="24"/>
        </w:rPr>
        <w:t>3</w:t>
      </w:r>
      <w:bookmarkStart w:id="273" w:name="_Toc337558750"/>
      <w:bookmarkStart w:id="274" w:name="_Toc296503050"/>
      <w:bookmarkStart w:id="275" w:name="_Toc296346551"/>
      <w:r>
        <w:rPr>
          <w:b/>
          <w:color w:val="auto"/>
          <w:sz w:val="24"/>
        </w:rPr>
        <w:t>.4 承包人现场查勘</w:t>
      </w:r>
      <w:bookmarkEnd w:id="272"/>
    </w:p>
    <w:bookmarkEnd w:id="273"/>
    <w:bookmarkEnd w:id="274"/>
    <w:bookmarkEnd w:id="27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承包人应对基于发包人按照第2.4.3项</w:t>
      </w:r>
      <w:r>
        <w:rPr>
          <w:rFonts w:hint="eastAsia"/>
          <w:color w:val="auto"/>
          <w:kern w:val="0"/>
          <w:sz w:val="24"/>
        </w:rPr>
        <w:t>〔</w:t>
      </w:r>
      <w:r>
        <w:rPr>
          <w:color w:val="auto"/>
          <w:kern w:val="0"/>
          <w:sz w:val="24"/>
        </w:rPr>
        <w:t>提供基础资料</w:t>
      </w:r>
      <w:r>
        <w:rPr>
          <w:rFonts w:hint="eastAsia"/>
          <w:color w:val="auto"/>
          <w:kern w:val="0"/>
          <w:sz w:val="24"/>
        </w:rPr>
        <w:t>〕</w:t>
      </w:r>
      <w:r>
        <w:rPr>
          <w:color w:val="auto"/>
          <w:kern w:val="0"/>
          <w:sz w:val="24"/>
        </w:rPr>
        <w:t>提交的基础资料所做出的解释和推断负责，但因基础资料存在错误、遗漏导致承包人解释或推断失实的，由发包人承担责任。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76" w:name="_Toc351203523"/>
      <w:r>
        <w:rPr>
          <w:b/>
          <w:color w:val="auto"/>
          <w:sz w:val="24"/>
        </w:rPr>
        <w:t>3</w:t>
      </w:r>
      <w:bookmarkStart w:id="277" w:name="_Toc337558751"/>
      <w:bookmarkStart w:id="278" w:name="_Toc296346552"/>
      <w:bookmarkStart w:id="279" w:name="_Toc296503051"/>
      <w:r>
        <w:rPr>
          <w:b/>
          <w:color w:val="auto"/>
          <w:sz w:val="24"/>
        </w:rPr>
        <w:t>.5 分包</w:t>
      </w:r>
      <w:bookmarkEnd w:id="276"/>
    </w:p>
    <w:bookmarkEnd w:id="277"/>
    <w:bookmarkEnd w:id="278"/>
    <w:bookmarkEnd w:id="27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3.5.1 分包的一般约定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承包人不得以劳务分包的名义转包或违法分包工程。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3.5.2 分包的确定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承包人应按专用合同条款的约定进行分包，确定分包人。已标价工程量清单或预算书中给定暂估价的专业工程，按照第10.7款</w:t>
      </w:r>
      <w:r>
        <w:rPr>
          <w:rFonts w:hint="eastAsia"/>
          <w:color w:val="auto"/>
          <w:kern w:val="0"/>
          <w:sz w:val="24"/>
        </w:rPr>
        <w:t>〔</w:t>
      </w:r>
      <w:r>
        <w:rPr>
          <w:color w:val="auto"/>
          <w:kern w:val="0"/>
          <w:sz w:val="24"/>
        </w:rPr>
        <w:t>暂估价</w:t>
      </w:r>
      <w:r>
        <w:rPr>
          <w:rFonts w:hint="eastAsia"/>
          <w:color w:val="auto"/>
          <w:kern w:val="0"/>
          <w:sz w:val="24"/>
        </w:rPr>
        <w:t>〕</w:t>
      </w:r>
      <w:r>
        <w:rPr>
          <w:color w:val="auto"/>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3.5.3 分包管理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承包人应向监理人提交分包人的主要施工管理人员表，并对分包人的施工人员进行实名制管理，包括但不限于进出场管理、登记造册以及各种证照的办理。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3.5.4 分包合同价款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（1）除本项第（2）目约定的情况或专用合同条款另有约定外，分包合同价款由承包人与分包人结算，未经承包人同意，发包人不得向分包人支付分包工程价款；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（2）生效法律文书要求发包人向分包人支付分包合同价款的，发包人有权从应付承包人工程款中扣除该部分款项。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3.5.5 分包合同权益的转让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80" w:name="_Toc35120352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3.6 工程照管与成品、半成品保护</w:t>
      </w:r>
      <w:bookmarkEnd w:id="28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（1）除专用合同条款另有约定外，自发包人向承包人移交施工现场之日起，承包人应负责照管工程及工程相关的材料、工程设备，直到颁发工程接收证书之日止。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w:t>
      </w:r>
      <w:r>
        <w:rPr>
          <w:rFonts w:hint="eastAsia"/>
          <w:color w:val="auto"/>
          <w:kern w:val="0"/>
          <w:sz w:val="24"/>
        </w:rPr>
        <w:t>2</w:t>
      </w:r>
      <w:r>
        <w:rPr>
          <w:color w:val="auto"/>
          <w:kern w:val="0"/>
          <w:sz w:val="24"/>
        </w:rPr>
        <w:t>）在承包人负责照管期间，因承包人原因造成工程、材料、工程设备损坏的，由承包人负责修复或更换，并承担由此增加的费用和（或）延误的工期。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w:t>
      </w:r>
      <w:r>
        <w:rPr>
          <w:rFonts w:hint="eastAsia"/>
          <w:color w:val="auto"/>
          <w:kern w:val="0"/>
          <w:sz w:val="24"/>
        </w:rPr>
        <w:t>3</w:t>
      </w:r>
      <w:r>
        <w:rPr>
          <w:color w:val="auto"/>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81" w:name="_Toc351203525"/>
      <w:r>
        <w:rPr>
          <w:b/>
          <w:color w:val="auto"/>
          <w:sz w:val="24"/>
        </w:rPr>
        <w:t>3</w:t>
      </w:r>
      <w:bookmarkStart w:id="282" w:name="_Toc337558752"/>
      <w:bookmarkStart w:id="283" w:name="_Toc296346553"/>
      <w:bookmarkStart w:id="284" w:name="_Toc296503052"/>
      <w:r>
        <w:rPr>
          <w:b/>
          <w:color w:val="auto"/>
          <w:sz w:val="24"/>
        </w:rPr>
        <w:t>.7 履约担保</w:t>
      </w:r>
      <w:bookmarkEnd w:id="281"/>
    </w:p>
    <w:bookmarkEnd w:id="282"/>
    <w:bookmarkEnd w:id="283"/>
    <w:bookmarkEnd w:id="28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发包人需要承包人提供履约担保的，由合同当事人在专用合同条款中约定履约担保的方式、金额及期限等。</w:t>
      </w:r>
      <w:r>
        <w:rPr>
          <w:color w:val="auto"/>
          <w:kern w:val="0"/>
          <w:sz w:val="24"/>
        </w:rPr>
        <w:t>履约担保可以采用银行保函或担保公司担保等形式，具体由合同当事人在专用合同条款中约定。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因承包人原因导致工期延长的，继续提供履约担保所增加的费用由承包人承担；非因承包人原因导致工期延长的，继续提供履约担保所增加的费用由发包人承担。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85" w:name="_Toc351203526"/>
      <w:r>
        <w:rPr>
          <w:b/>
          <w:color w:val="auto"/>
          <w:sz w:val="24"/>
        </w:rPr>
        <w:t>3.8 联合体</w:t>
      </w:r>
      <w:bookmarkEnd w:id="28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3.8.1 联合体各方应共同与发包人签订合同协议书。联合体各方应为履行合同</w:t>
      </w:r>
      <w:r>
        <w:rPr>
          <w:rFonts w:hint="eastAsia"/>
          <w:color w:val="auto"/>
          <w:kern w:val="0"/>
          <w:sz w:val="24"/>
        </w:rPr>
        <w:t>向发包人</w:t>
      </w:r>
      <w:r>
        <w:rPr>
          <w:color w:val="auto"/>
          <w:kern w:val="0"/>
          <w:sz w:val="24"/>
        </w:rPr>
        <w:t>承担连带责任。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3.8.2 联合体协议经发包人确认后作为合同附件。在履行合同过程中，未经发包人同意，不得修改联合体协议。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3.8.3 联合体牵头人负责与发包人和监理人联系，并接受指示，负责组织联合体各成员全面履行合同。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86" w:name="_Toc351203527"/>
      <w:r>
        <w:rPr>
          <w:b/>
          <w:color w:val="auto"/>
          <w:sz w:val="24"/>
        </w:rPr>
        <w:t>4</w:t>
      </w:r>
      <w:bookmarkStart w:id="287" w:name="_Toc296346554"/>
      <w:bookmarkStart w:id="288" w:name="_Toc296503053"/>
      <w:bookmarkStart w:id="289" w:name="_Toc337558753"/>
      <w:r>
        <w:rPr>
          <w:b/>
          <w:color w:val="auto"/>
          <w:sz w:val="24"/>
        </w:rPr>
        <w:t>. 监</w:t>
      </w:r>
      <w:bookmarkEnd w:id="287"/>
      <w:bookmarkEnd w:id="288"/>
      <w:r>
        <w:rPr>
          <w:b/>
          <w:color w:val="auto"/>
          <w:sz w:val="24"/>
        </w:rPr>
        <w:t>理人</w:t>
      </w:r>
      <w:bookmarkEnd w:id="286"/>
    </w:p>
    <w:bookmarkEnd w:id="289"/>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90" w:name="_Toc351203528"/>
      <w:r>
        <w:rPr>
          <w:b/>
          <w:color w:val="auto"/>
          <w:sz w:val="24"/>
        </w:rPr>
        <w:t>4</w:t>
      </w:r>
      <w:bookmarkStart w:id="291" w:name="_Toc337558754"/>
      <w:bookmarkStart w:id="292" w:name="_Toc296503054"/>
      <w:bookmarkStart w:id="293" w:name="_Toc296346555"/>
      <w:r>
        <w:rPr>
          <w:b/>
          <w:color w:val="auto"/>
          <w:sz w:val="24"/>
        </w:rPr>
        <w:t>.1监理人的一般规定</w:t>
      </w:r>
      <w:bookmarkEnd w:id="290"/>
    </w:p>
    <w:bookmarkEnd w:id="291"/>
    <w:bookmarkEnd w:id="292"/>
    <w:bookmarkEnd w:id="29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除专用合同条款另有约定外，监理人在施工现场的办公场所、生活场所由承包人提供，所发生的费用由发包人承担。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94" w:name="_Toc351203529"/>
      <w:r>
        <w:rPr>
          <w:b/>
          <w:color w:val="auto"/>
          <w:sz w:val="24"/>
        </w:rPr>
        <w:t>4</w:t>
      </w:r>
      <w:bookmarkStart w:id="295" w:name="_Toc337558755"/>
      <w:r>
        <w:rPr>
          <w:b/>
          <w:color w:val="auto"/>
          <w:sz w:val="24"/>
        </w:rPr>
        <w:t>.2监理人员</w:t>
      </w:r>
      <w:bookmarkEnd w:id="294"/>
    </w:p>
    <w:bookmarkEnd w:id="29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296" w:name="_Toc351203530"/>
      <w:r>
        <w:rPr>
          <w:b/>
          <w:color w:val="auto"/>
          <w:sz w:val="24"/>
        </w:rPr>
        <w:t>4</w:t>
      </w:r>
      <w:bookmarkStart w:id="297" w:name="_Toc296346556"/>
      <w:bookmarkStart w:id="298" w:name="_Toc296503055"/>
      <w:bookmarkStart w:id="299" w:name="_Toc337558756"/>
      <w:r>
        <w:rPr>
          <w:b/>
          <w:color w:val="auto"/>
          <w:sz w:val="24"/>
        </w:rPr>
        <w:t>.3</w:t>
      </w:r>
      <w:bookmarkEnd w:id="297"/>
      <w:bookmarkEnd w:id="298"/>
      <w:r>
        <w:rPr>
          <w:b/>
          <w:color w:val="auto"/>
          <w:sz w:val="24"/>
        </w:rPr>
        <w:t>监理人的指</w:t>
      </w:r>
      <w:bookmarkEnd w:id="299"/>
      <w:r>
        <w:rPr>
          <w:b/>
          <w:color w:val="auto"/>
          <w:sz w:val="24"/>
        </w:rPr>
        <w:t>示</w:t>
      </w:r>
      <w:bookmarkEnd w:id="29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color w:val="auto"/>
          <w:kern w:val="0"/>
          <w:sz w:val="24"/>
        </w:rPr>
        <w:t>相应</w:t>
      </w:r>
      <w:r>
        <w:rPr>
          <w:color w:val="auto"/>
          <w:kern w:val="0"/>
          <w:sz w:val="24"/>
        </w:rPr>
        <w:t>责任。除专用合同条款另有约定外，总监理工程师不应将第4.4款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约定应由总监理工程师作出确定的权力授权或委托给其他监理人员。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承包人对监理人发出的指示有疑问的，应向监理人提出书面异议，监理人应在48小时内对该指示予以确认、更改或撤销，监理人逾期未回复的，承包人有权拒绝执行上述指示。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00" w:name="_Toc351203531"/>
      <w:r>
        <w:rPr>
          <w:b/>
          <w:color w:val="auto"/>
          <w:sz w:val="24"/>
        </w:rPr>
        <w:t>4</w:t>
      </w:r>
      <w:bookmarkStart w:id="301" w:name="_Toc337558757"/>
      <w:bookmarkStart w:id="302" w:name="_Toc296346558"/>
      <w:bookmarkStart w:id="303" w:name="_Toc296503057"/>
      <w:r>
        <w:rPr>
          <w:b/>
          <w:color w:val="auto"/>
          <w:sz w:val="24"/>
        </w:rPr>
        <w:t>.4 商定或确定</w:t>
      </w:r>
      <w:bookmarkEnd w:id="300"/>
    </w:p>
    <w:bookmarkEnd w:id="301"/>
    <w:bookmarkEnd w:id="302"/>
    <w:bookmarkEnd w:id="30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w:t>
      </w:r>
      <w:r>
        <w:rPr>
          <w:rFonts w:hint="eastAsia"/>
          <w:color w:val="auto"/>
          <w:kern w:val="0"/>
          <w:sz w:val="24"/>
        </w:rPr>
        <w:t>当事人</w:t>
      </w:r>
      <w:r>
        <w:rPr>
          <w:color w:val="auto"/>
          <w:kern w:val="0"/>
          <w:sz w:val="24"/>
        </w:rPr>
        <w:t>进行</w:t>
      </w:r>
      <w:r>
        <w:rPr>
          <w:rFonts w:hint="eastAsia"/>
          <w:color w:val="auto"/>
          <w:kern w:val="0"/>
          <w:sz w:val="24"/>
        </w:rPr>
        <w:t>商定</w:t>
      </w:r>
      <w:r>
        <w:rPr>
          <w:color w:val="auto"/>
          <w:kern w:val="0"/>
          <w:sz w:val="24"/>
        </w:rPr>
        <w:t>或确定时，总监理工程师应当会同合同当事人尽量通过协商达成一致，不能达成一致的，由总监理工程师按照合同约定审慎做出公正的确定。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04" w:name="_Toc351203532"/>
      <w:r>
        <w:rPr>
          <w:b/>
          <w:color w:val="auto"/>
          <w:sz w:val="24"/>
        </w:rPr>
        <w:t>5</w:t>
      </w:r>
      <w:bookmarkStart w:id="305" w:name="_Toc337558758"/>
      <w:r>
        <w:rPr>
          <w:b/>
          <w:color w:val="auto"/>
          <w:sz w:val="24"/>
        </w:rPr>
        <w:t>. 工程质量</w:t>
      </w:r>
      <w:bookmarkEnd w:id="304"/>
    </w:p>
    <w:bookmarkEnd w:id="30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06" w:name="_Toc351203533"/>
      <w:r>
        <w:rPr>
          <w:b/>
          <w:color w:val="auto"/>
          <w:sz w:val="24"/>
        </w:rPr>
        <w:t>5</w:t>
      </w:r>
      <w:bookmarkStart w:id="307" w:name="_Toc337558759"/>
      <w:r>
        <w:rPr>
          <w:b/>
          <w:color w:val="auto"/>
          <w:sz w:val="24"/>
        </w:rPr>
        <w:t>.1质量要求</w:t>
      </w:r>
      <w:bookmarkEnd w:id="306"/>
    </w:p>
    <w:bookmarkEnd w:id="30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5.1.1 工程质量标准必须符合现行国家有关工程施工质量验收规范和标准的要求。有关工程质量的特殊标准或要求由合同当事人在专用合同条款中约定。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5.1.2 因发包人原因造成工程质量未达到合同约定标准的，由发包人承担由此增加的费用和（或）延误的工期，并支付承包人合理的利润。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5.1.3 因承包人原因造成工程质量未达到合同约定标准的，发包人有权要求承包人返工直至工程质量达到合同约定的标准为止，并由承包人承担由此增加的费用和（或）延误的工期。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08" w:name="_Toc351203534"/>
      <w:r>
        <w:rPr>
          <w:b/>
          <w:color w:val="auto"/>
          <w:sz w:val="24"/>
        </w:rPr>
        <w:t>5</w:t>
      </w:r>
      <w:bookmarkStart w:id="309" w:name="_Toc337558760"/>
      <w:r>
        <w:rPr>
          <w:b/>
          <w:color w:val="auto"/>
          <w:sz w:val="24"/>
        </w:rPr>
        <w:t>.2质量保证措施</w:t>
      </w:r>
      <w:bookmarkEnd w:id="308"/>
    </w:p>
    <w:bookmarkEnd w:id="30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5.2.1 发包人的质量管理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发包人应按照法律规定及合同约定完成与工程质量有关的各项工作。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5.2.2 承包人的质量管理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承包人按照第7.1款</w:t>
      </w:r>
      <w:r>
        <w:rPr>
          <w:rFonts w:hint="eastAsia"/>
          <w:color w:val="auto"/>
          <w:kern w:val="0"/>
          <w:sz w:val="24"/>
        </w:rPr>
        <w:t>〔</w:t>
      </w:r>
      <w:r>
        <w:rPr>
          <w:color w:val="auto"/>
          <w:kern w:val="0"/>
          <w:sz w:val="24"/>
        </w:rPr>
        <w:t>施工组织设计</w:t>
      </w:r>
      <w:r>
        <w:rPr>
          <w:rFonts w:hint="eastAsia"/>
          <w:color w:val="auto"/>
          <w:kern w:val="0"/>
          <w:sz w:val="24"/>
        </w:rPr>
        <w:t>〕</w:t>
      </w:r>
      <w:r>
        <w:rPr>
          <w:color w:val="auto"/>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承包人应对施工人员进行质量教育和技术培训，定期考核施工人员的劳动技能，严格执行施工规范和操作规程。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5.2.3 监理人的质量检查和检验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10" w:name="_Toc351203535"/>
      <w:r>
        <w:rPr>
          <w:b/>
          <w:color w:val="auto"/>
          <w:sz w:val="24"/>
        </w:rPr>
        <w:t>5</w:t>
      </w:r>
      <w:bookmarkStart w:id="311" w:name="_Toc337558761"/>
      <w:r>
        <w:rPr>
          <w:b/>
          <w:color w:val="auto"/>
          <w:sz w:val="24"/>
        </w:rPr>
        <w:t>.3 隐蔽工程检查</w:t>
      </w:r>
      <w:bookmarkEnd w:id="310"/>
    </w:p>
    <w:bookmarkEnd w:id="31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5.3.1承包人自检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承包人应当对工程隐蔽部位进行自检，并经自检确认是否具备覆盖条件。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5.3.2检查程序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除专用合同条款另有约定外，工程隐蔽部位经承包人自检确认具备覆盖条件的，承包人应在</w:t>
      </w:r>
      <w:r>
        <w:rPr>
          <w:rFonts w:hint="eastAsia"/>
          <w:color w:val="auto"/>
          <w:kern w:val="0"/>
          <w:sz w:val="24"/>
        </w:rPr>
        <w:t>共同</w:t>
      </w:r>
      <w:r>
        <w:rPr>
          <w:color w:val="auto"/>
          <w:kern w:val="0"/>
          <w:sz w:val="24"/>
        </w:rPr>
        <w:t>检查前48小时书面通知监理人检查，通知中应载明隐蔽检查的内容、时间和地点，并应附有自检记录和必要的检查资料。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color w:val="auto"/>
          <w:kern w:val="0"/>
          <w:sz w:val="24"/>
        </w:rPr>
        <w:t>〔</w:t>
      </w:r>
      <w:r>
        <w:rPr>
          <w:color w:val="auto"/>
          <w:kern w:val="0"/>
          <w:sz w:val="24"/>
        </w:rPr>
        <w:t>重新检查</w:t>
      </w:r>
      <w:r>
        <w:rPr>
          <w:rFonts w:hint="eastAsia"/>
          <w:color w:val="auto"/>
          <w:kern w:val="0"/>
          <w:sz w:val="24"/>
        </w:rPr>
        <w:t>〕</w:t>
      </w:r>
      <w:r>
        <w:rPr>
          <w:color w:val="auto"/>
          <w:kern w:val="0"/>
          <w:sz w:val="24"/>
        </w:rPr>
        <w:t>的约定重新检查。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5.3.3 重新检查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5.3.4 承包人私自覆盖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12" w:name="_Toc351203536"/>
      <w:r>
        <w:rPr>
          <w:b/>
          <w:color w:val="auto"/>
          <w:sz w:val="24"/>
        </w:rPr>
        <w:t>5</w:t>
      </w:r>
      <w:bookmarkStart w:id="313" w:name="_Toc337558762"/>
      <w:r>
        <w:rPr>
          <w:b/>
          <w:color w:val="auto"/>
          <w:sz w:val="24"/>
        </w:rPr>
        <w:t>.4不合格工程的处理</w:t>
      </w:r>
      <w:bookmarkEnd w:id="312"/>
    </w:p>
    <w:bookmarkEnd w:id="31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color w:val="auto"/>
          <w:kern w:val="0"/>
          <w:sz w:val="24"/>
        </w:rPr>
        <w:t>〔</w:t>
      </w:r>
      <w:r>
        <w:rPr>
          <w:color w:val="auto"/>
          <w:kern w:val="0"/>
          <w:sz w:val="24"/>
        </w:rPr>
        <w:t>拒绝接收全部或部分工程</w:t>
      </w:r>
      <w:r>
        <w:rPr>
          <w:rFonts w:hint="eastAsia"/>
          <w:color w:val="auto"/>
          <w:kern w:val="0"/>
          <w:sz w:val="24"/>
        </w:rPr>
        <w:t>〕</w:t>
      </w:r>
      <w:r>
        <w:rPr>
          <w:color w:val="auto"/>
          <w:kern w:val="0"/>
          <w:sz w:val="24"/>
        </w:rPr>
        <w:t xml:space="preserve">约定执行。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5.4.2 因发包人原因造成工程不合格的，由此增加的费用和（或）延误的工期由发包人承担，并支付承包人合理的利润。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14" w:name="_Toc351203537"/>
      <w:r>
        <w:rPr>
          <w:b/>
          <w:color w:val="auto"/>
          <w:sz w:val="24"/>
        </w:rPr>
        <w:t>5.5 质量争议检测</w:t>
      </w:r>
      <w:bookmarkEnd w:id="3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合同当事人对工程质量有争议的，由双方协商确定的工程质量检测机构鉴定，由此产生的费用及因此造成的损失，由责任方承担。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合同当事人均有责任的，由双方根据其责任分别承担。合同当事人无法达成一致的，按照第4.4款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15" w:name="_Toc351203538"/>
      <w:r>
        <w:rPr>
          <w:b/>
          <w:color w:val="auto"/>
          <w:sz w:val="24"/>
        </w:rPr>
        <w:t>6</w:t>
      </w:r>
      <w:bookmarkStart w:id="316" w:name="_Toc337558763"/>
      <w:r>
        <w:rPr>
          <w:b/>
          <w:color w:val="auto"/>
          <w:sz w:val="24"/>
        </w:rPr>
        <w:t>. 安全文明施工与环境保护</w:t>
      </w:r>
      <w:bookmarkEnd w:id="315"/>
    </w:p>
    <w:bookmarkEnd w:id="31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17" w:name="_Toc351203539"/>
      <w:r>
        <w:rPr>
          <w:b/>
          <w:color w:val="auto"/>
          <w:sz w:val="24"/>
        </w:rPr>
        <w:t>6</w:t>
      </w:r>
      <w:bookmarkStart w:id="318" w:name="_Toc337558764"/>
      <w:r>
        <w:rPr>
          <w:b/>
          <w:color w:val="auto"/>
          <w:sz w:val="24"/>
        </w:rPr>
        <w:t>.1安全文明施工</w:t>
      </w:r>
      <w:bookmarkEnd w:id="317"/>
    </w:p>
    <w:bookmarkEnd w:id="31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6.1.1安全生产要求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在施工过程中，如遇到突发的地质变动、事先未知的地下施工障碍等影响施工安全的紧急情况，</w:t>
      </w:r>
      <w:r>
        <w:rPr>
          <w:rFonts w:hint="eastAsia"/>
          <w:color w:val="auto"/>
          <w:sz w:val="24"/>
        </w:rPr>
        <w:t>承包人应及时报告监理人和发包人，</w:t>
      </w:r>
      <w:r>
        <w:rPr>
          <w:color w:val="auto"/>
          <w:sz w:val="24"/>
        </w:rPr>
        <w:t>发包人应当及时下令停工并报</w:t>
      </w:r>
      <w:r>
        <w:rPr>
          <w:color w:val="auto"/>
          <w:kern w:val="0"/>
          <w:sz w:val="24"/>
        </w:rPr>
        <w:t>政府有关行政管理部门</w:t>
      </w:r>
      <w:r>
        <w:rPr>
          <w:color w:val="auto"/>
          <w:sz w:val="24"/>
        </w:rPr>
        <w:t>采取应急措施。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因安全生产需要暂停施工的，按照第7.8款</w:t>
      </w:r>
      <w:r>
        <w:rPr>
          <w:rFonts w:hint="eastAsia"/>
          <w:color w:val="auto"/>
          <w:sz w:val="24"/>
        </w:rPr>
        <w:t>〔</w:t>
      </w:r>
      <w:r>
        <w:rPr>
          <w:color w:val="auto"/>
          <w:sz w:val="24"/>
        </w:rPr>
        <w:t>暂停施工</w:t>
      </w:r>
      <w:r>
        <w:rPr>
          <w:rFonts w:hint="eastAsia"/>
          <w:color w:val="auto"/>
          <w:sz w:val="24"/>
        </w:rPr>
        <w:t>〕</w:t>
      </w:r>
      <w:r>
        <w:rPr>
          <w:color w:val="auto"/>
          <w:sz w:val="24"/>
        </w:rPr>
        <w:t>的约定执行。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6.1.2 安全生产保证措施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承包人应当按照有关</w:t>
      </w:r>
      <w:r>
        <w:rPr>
          <w:color w:val="auto"/>
          <w:kern w:val="0"/>
          <w:sz w:val="24"/>
        </w:rPr>
        <w:t>规定编制安全技术措施或者专项施工方案，</w:t>
      </w:r>
      <w:r>
        <w:rPr>
          <w:color w:val="auto"/>
          <w:sz w:val="24"/>
        </w:rPr>
        <w:t>建立安全生产责任制度、治安保卫制度及安全生产教育培训制度，并</w:t>
      </w:r>
      <w:r>
        <w:rPr>
          <w:color w:val="auto"/>
          <w:kern w:val="0"/>
          <w:sz w:val="24"/>
        </w:rPr>
        <w:t>按安全生产法律规定及合同约定履行安全职责，</w:t>
      </w:r>
      <w:r>
        <w:rPr>
          <w:rFonts w:hint="eastAsia"/>
          <w:color w:val="auto"/>
          <w:kern w:val="0"/>
          <w:sz w:val="24"/>
        </w:rPr>
        <w:t>如实</w:t>
      </w:r>
      <w:r>
        <w:rPr>
          <w:color w:val="auto"/>
          <w:sz w:val="24"/>
        </w:rPr>
        <w:t>编制工程安全生产的有关记录，</w:t>
      </w:r>
      <w:r>
        <w:rPr>
          <w:color w:val="auto"/>
          <w:kern w:val="0"/>
          <w:sz w:val="24"/>
        </w:rPr>
        <w:t>接受发包人、监理人及政府安全监督部门的检查与监督。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6.1.3特别安全生产事项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 xml:space="preserve">承包人在动力设备、输电线路、地下管道、密封防震车间、易燃易爆地段以及临街交通要道附近施工时，施工开始前应向发包人和监理人提出安全防护措施，经发包人认可后实施。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实施爆破作业，在放射、毒害性环境中施工（含储存、运输、使用）及使用毒害性、腐蚀性物品施工时，承包人应在施工前7天以书面通知发包人和监理人，并报送相应的安全防护措施，经发包人认可后实施。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需单独编制危险性较大分部分项专项工程施工方案的，及要求进行专家论证的超过一定规模的危险性较大的分部分项工程，承包人应及时编制和组织论证。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6.1.4 治安保卫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除专用合同条款另有约定外，发包人应与当地公安部门协商，在现场建立治安管理机构或联防组织，统一管理施工场地的治安保卫事项，履行合同工程的治安保卫职责。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发包人和承包人除应协助现场治安管理机构或联防组织维护施工场地的社会治安外，还应做好包括生活区在内的各自管辖区的治安保卫工作。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color w:val="auto"/>
          <w:sz w:val="24"/>
        </w:rPr>
        <w:t>和</w:t>
      </w:r>
      <w:r>
        <w:rPr>
          <w:color w:val="auto"/>
          <w:sz w:val="24"/>
        </w:rPr>
        <w:t>财产损失。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6.1.5 文明施工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承包人在工程施工期间，应当采取措施保持施工现场平整，物料堆放整齐。工程所在地有关政府行政管理部门有特殊要求的，按照其要求执行。</w:t>
      </w:r>
      <w:r>
        <w:rPr>
          <w:rFonts w:hint="eastAsia"/>
          <w:color w:val="auto"/>
          <w:kern w:val="0"/>
          <w:sz w:val="24"/>
        </w:rPr>
        <w:t>合同当事人对文明施工有其他要求的，可以在专用合同条款中明确。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6.1.6 安全文明施工费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安全文明施工费由发包人承担，发包人不得以任何形式扣减该部分费用。因基准日期后合同所适用的法律或政府有关规定发生变化，增加的安全文明施工费由发包人承担。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color w:val="auto"/>
          <w:kern w:val="0"/>
          <w:sz w:val="24"/>
        </w:rPr>
        <w:t>〔</w:t>
      </w:r>
      <w:r>
        <w:rPr>
          <w:color w:val="auto"/>
          <w:kern w:val="0"/>
          <w:sz w:val="24"/>
        </w:rPr>
        <w:t>发包人违约的情形</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6.1.7 紧急情况</w:t>
      </w:r>
      <w:r>
        <w:rPr>
          <w:rFonts w:hint="eastAsia"/>
          <w:color w:val="auto"/>
          <w:kern w:val="0"/>
          <w:sz w:val="24"/>
        </w:rPr>
        <w:t>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6.1.8 事故处理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6.1.9 安全生产责任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6.1.9.1 发包人的安全责任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发包人应负责赔偿以下各种情况造成</w:t>
      </w:r>
      <w:r>
        <w:rPr>
          <w:rFonts w:hint="eastAsia"/>
          <w:color w:val="auto"/>
          <w:sz w:val="24"/>
        </w:rPr>
        <w:t>的</w:t>
      </w:r>
      <w:r>
        <w:rPr>
          <w:color w:val="auto"/>
          <w:sz w:val="24"/>
        </w:rPr>
        <w:t>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（1）工程或工程的任何部分对土地的占用所造成的第三者财产损失；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（2）由于发包人原因在施工场地及其毗邻地带造成的第三者人身伤亡和财产损失</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（3）由于发包人原因对承包人、监理人造成的人员人身伤亡和财产损失；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（4）由于发包人原因造成的发包人自身人员的人身伤害以及财产损失。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6.1.9.2 承包人的安全责任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由于承包人原因在施工场地内及其毗邻地带造成的</w:t>
      </w:r>
      <w:r>
        <w:rPr>
          <w:rFonts w:hint="eastAsia"/>
          <w:color w:val="auto"/>
          <w:sz w:val="24"/>
        </w:rPr>
        <w:t>发包人、监理人以及</w:t>
      </w:r>
      <w:r>
        <w:rPr>
          <w:color w:val="auto"/>
          <w:sz w:val="24"/>
        </w:rPr>
        <w:t>第三者人员伤亡和财产损失，由承包人负责赔偿。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19" w:name="_Toc351203540"/>
      <w:r>
        <w:rPr>
          <w:b/>
          <w:color w:val="auto"/>
          <w:sz w:val="24"/>
        </w:rPr>
        <w:t>6</w:t>
      </w:r>
      <w:bookmarkStart w:id="320" w:name="_Toc337558765"/>
      <w:r>
        <w:rPr>
          <w:b/>
          <w:color w:val="auto"/>
          <w:sz w:val="24"/>
        </w:rPr>
        <w:t>.2 职业健康</w:t>
      </w:r>
      <w:bookmarkEnd w:id="319"/>
    </w:p>
    <w:bookmarkEnd w:id="32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6.2.1 劳动保护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w:t>
      </w:r>
      <w:r>
        <w:rPr>
          <w:rFonts w:hint="eastAsia"/>
          <w:color w:val="auto"/>
          <w:kern w:val="0"/>
          <w:sz w:val="24"/>
        </w:rPr>
        <w:t>法律</w:t>
      </w:r>
      <w:r>
        <w:rPr>
          <w:color w:val="auto"/>
          <w:kern w:val="0"/>
          <w:sz w:val="24"/>
        </w:rPr>
        <w:t>规定安排工作时间，保证其雇佣人员享有休息和休假的权利。因工程施工的特殊需要占用休假日或延长工作时间的，应不超过法律规定的限度，并按法律规定给予补休或付酬。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6.2.2 生活条件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21" w:name="_Toc351203541"/>
      <w:r>
        <w:rPr>
          <w:b/>
          <w:color w:val="auto"/>
          <w:sz w:val="24"/>
        </w:rPr>
        <w:t>6</w:t>
      </w:r>
      <w:bookmarkStart w:id="322" w:name="_Toc337558766"/>
      <w:r>
        <w:rPr>
          <w:b/>
          <w:color w:val="auto"/>
          <w:sz w:val="24"/>
        </w:rPr>
        <w:t>.3 环境保护</w:t>
      </w:r>
      <w:bookmarkEnd w:id="321"/>
    </w:p>
    <w:bookmarkEnd w:id="32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承包人应当承担因其原因引起的环境污染侵权损害赔偿责任，因上述环境污染引起纠纷而导致暂停施工的，由此增加的费用和（或）延误的工期由承包人承担。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23" w:name="_Toc351203542"/>
      <w:r>
        <w:rPr>
          <w:b/>
          <w:color w:val="auto"/>
          <w:sz w:val="24"/>
        </w:rPr>
        <w:t>7</w:t>
      </w:r>
      <w:bookmarkStart w:id="324" w:name="_Toc337558767"/>
      <w:r>
        <w:rPr>
          <w:b/>
          <w:color w:val="auto"/>
          <w:sz w:val="24"/>
        </w:rPr>
        <w:t>. 工期和进度</w:t>
      </w:r>
      <w:bookmarkEnd w:id="323"/>
    </w:p>
    <w:bookmarkEnd w:id="324"/>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25" w:name="_Toc351203543"/>
      <w:r>
        <w:rPr>
          <w:b/>
          <w:color w:val="auto"/>
          <w:sz w:val="24"/>
        </w:rPr>
        <w:t>7</w:t>
      </w:r>
      <w:bookmarkStart w:id="326" w:name="_Toc337558768"/>
      <w:bookmarkStart w:id="327" w:name="_Toc296346567"/>
      <w:bookmarkStart w:id="328" w:name="_Toc296503066"/>
      <w:r>
        <w:rPr>
          <w:b/>
          <w:color w:val="auto"/>
          <w:sz w:val="24"/>
        </w:rPr>
        <w:t>.1施工组织设计</w:t>
      </w:r>
      <w:bookmarkEnd w:id="325"/>
    </w:p>
    <w:bookmarkEnd w:id="326"/>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 xml:space="preserve">7.1.1 </w:t>
      </w:r>
      <w:r>
        <w:rPr>
          <w:color w:val="auto"/>
          <w:kern w:val="0"/>
          <w:sz w:val="24"/>
        </w:rPr>
        <w:t>施工组织设计的内容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施工组织设计应包含以下内容：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（1）施工方案；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（2）施工现场平面布置图；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（3）施工进度计划和保证措施；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（4）劳动力及材料供应计划；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（5）施工机械设备的选用；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（6）质量保证体系及措施；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（7）安全生产、文明施工措施；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（8）环境保护、成本控制措施</w:t>
      </w:r>
      <w:r>
        <w:rPr>
          <w:rFonts w:hint="eastAsia"/>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（9）合同当事人约定的其他内容</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 xml:space="preserve">7.1.2 </w:t>
      </w:r>
      <w:r>
        <w:rPr>
          <w:color w:val="auto"/>
          <w:kern w:val="0"/>
          <w:sz w:val="24"/>
        </w:rPr>
        <w:t>施工组织设计的提交和修改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除专用合同条款另有约定外，承包人应在合同签订后14天内，但至迟不得晚于第7.3.2项</w:t>
      </w:r>
      <w:r>
        <w:rPr>
          <w:rFonts w:hint="eastAsia"/>
          <w:color w:val="auto"/>
          <w:kern w:val="0"/>
          <w:sz w:val="24"/>
        </w:rPr>
        <w:t>〔</w:t>
      </w:r>
      <w:r>
        <w:rPr>
          <w:color w:val="auto"/>
          <w:kern w:val="0"/>
          <w:sz w:val="24"/>
        </w:rPr>
        <w:t>开工通知</w:t>
      </w:r>
      <w:r>
        <w:rPr>
          <w:rFonts w:hint="eastAsia"/>
          <w:color w:val="auto"/>
          <w:kern w:val="0"/>
          <w:sz w:val="24"/>
        </w:rPr>
        <w:t>〕</w:t>
      </w:r>
      <w:r>
        <w:rPr>
          <w:color w:val="auto"/>
          <w:kern w:val="0"/>
          <w:sz w:val="24"/>
        </w:rPr>
        <w:t>载明的开工日期前7天，向监理人提交详细的施工组织设计，并由监理人报送发包人。</w:t>
      </w:r>
      <w:r>
        <w:rPr>
          <w:rFonts w:hint="eastAsia"/>
          <w:color w:val="auto"/>
          <w:kern w:val="0"/>
          <w:sz w:val="24"/>
        </w:rPr>
        <w:t>除专用合同条款另有约定外，发包人和监理人应在监理人收到施工组织设计后7天内确认或提出修改意见</w:t>
      </w:r>
      <w:r>
        <w:rPr>
          <w:color w:val="auto"/>
          <w:kern w:val="0"/>
          <w:sz w:val="24"/>
        </w:rPr>
        <w:t>。对发包人和监理人提出的合理意见和要求，承包人应自费修改完善。根据工程实际情况需要修改施工组织设计的，承包人应向发包人和监理人提交修改后的施工组织设计。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施工进度计划的编制和修改按照第7.2款</w:t>
      </w:r>
      <w:r>
        <w:rPr>
          <w:rFonts w:hint="eastAsia"/>
          <w:color w:val="auto"/>
          <w:kern w:val="0"/>
          <w:sz w:val="24"/>
        </w:rPr>
        <w:t>〔</w:t>
      </w:r>
      <w:r>
        <w:rPr>
          <w:color w:val="auto"/>
          <w:kern w:val="0"/>
          <w:sz w:val="24"/>
        </w:rPr>
        <w:t>施工进度计划</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29" w:name="_Toc351203544"/>
      <w:r>
        <w:rPr>
          <w:b/>
          <w:color w:val="auto"/>
          <w:sz w:val="24"/>
        </w:rPr>
        <w:t>7</w:t>
      </w:r>
      <w:bookmarkStart w:id="330" w:name="_Toc337558769"/>
      <w:r>
        <w:rPr>
          <w:b/>
          <w:color w:val="auto"/>
          <w:sz w:val="24"/>
        </w:rPr>
        <w:t>.2 施工进度计划</w:t>
      </w:r>
      <w:bookmarkEnd w:id="329"/>
    </w:p>
    <w:bookmarkEnd w:id="33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7.2.1 施工进度计划的编制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承包人应按照第7.1款</w:t>
      </w:r>
      <w:r>
        <w:rPr>
          <w:rFonts w:hint="eastAsia"/>
          <w:color w:val="auto"/>
          <w:kern w:val="0"/>
          <w:sz w:val="24"/>
        </w:rPr>
        <w:t>〔</w:t>
      </w:r>
      <w:r>
        <w:rPr>
          <w:color w:val="auto"/>
          <w:kern w:val="0"/>
          <w:sz w:val="24"/>
        </w:rPr>
        <w:t>施工组织设计</w:t>
      </w:r>
      <w:r>
        <w:rPr>
          <w:rFonts w:hint="eastAsia"/>
          <w:color w:val="auto"/>
          <w:kern w:val="0"/>
          <w:sz w:val="24"/>
        </w:rPr>
        <w:t>〕</w:t>
      </w:r>
      <w:r>
        <w:rPr>
          <w:color w:val="auto"/>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7.2.2 施工进度计划的修订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31" w:name="_Toc351203545"/>
      <w:r>
        <w:rPr>
          <w:b/>
          <w:color w:val="auto"/>
          <w:sz w:val="24"/>
        </w:rPr>
        <w:t>7</w:t>
      </w:r>
      <w:bookmarkStart w:id="332" w:name="_Toc337558770"/>
      <w:r>
        <w:rPr>
          <w:b/>
          <w:color w:val="auto"/>
          <w:sz w:val="24"/>
        </w:rPr>
        <w:t>.3 开工</w:t>
      </w:r>
      <w:bookmarkEnd w:id="3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7.3.1 开工准备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除专用合同条款另有约定外，承包人应按照第7.1款</w:t>
      </w:r>
      <w:r>
        <w:rPr>
          <w:rFonts w:hint="eastAsia"/>
          <w:color w:val="auto"/>
          <w:kern w:val="0"/>
          <w:sz w:val="24"/>
        </w:rPr>
        <w:t>〔</w:t>
      </w:r>
      <w:r>
        <w:rPr>
          <w:color w:val="auto"/>
          <w:kern w:val="0"/>
          <w:sz w:val="24"/>
        </w:rPr>
        <w:t>施工组织设计</w:t>
      </w:r>
      <w:r>
        <w:rPr>
          <w:rFonts w:hint="eastAsia"/>
          <w:color w:val="auto"/>
          <w:kern w:val="0"/>
          <w:sz w:val="24"/>
        </w:rPr>
        <w:t>〕</w:t>
      </w:r>
      <w:r>
        <w:rPr>
          <w:color w:val="auto"/>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除专用合同条款另有约定外，合同当事人应按约定完成开工准备工作。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7.3.2 开工通知</w:t>
      </w:r>
    </w:p>
    <w:bookmarkEnd w:id="33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33" w:name="_Toc351203546"/>
      <w:r>
        <w:rPr>
          <w:b/>
          <w:color w:val="auto"/>
          <w:sz w:val="24"/>
        </w:rPr>
        <w:t>7.4测量放线</w:t>
      </w:r>
      <w:bookmarkEnd w:id="3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7.4.1 除专用合同条款另有约定外，发包人应在至迟不得晚于第7.3.2项</w:t>
      </w:r>
      <w:r>
        <w:rPr>
          <w:rFonts w:hint="eastAsia"/>
          <w:color w:val="auto"/>
          <w:kern w:val="0"/>
          <w:sz w:val="24"/>
        </w:rPr>
        <w:t>〔</w:t>
      </w:r>
      <w:r>
        <w:rPr>
          <w:color w:val="auto"/>
          <w:kern w:val="0"/>
          <w:sz w:val="24"/>
        </w:rPr>
        <w:t>开工通知</w:t>
      </w:r>
      <w:r>
        <w:rPr>
          <w:rFonts w:hint="eastAsia"/>
          <w:color w:val="auto"/>
          <w:kern w:val="0"/>
          <w:sz w:val="24"/>
        </w:rPr>
        <w:t>〕</w:t>
      </w:r>
      <w:r>
        <w:rPr>
          <w:color w:val="auto"/>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施工过程中对施工现场内水准点等测量标志物的保护工作由承包人负责。</w:t>
      </w:r>
      <w:bookmarkStart w:id="334" w:name="_Toc35120354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7</w:t>
      </w:r>
      <w:bookmarkEnd w:id="327"/>
      <w:bookmarkEnd w:id="328"/>
      <w:bookmarkStart w:id="335" w:name="_Toc296346574"/>
      <w:bookmarkStart w:id="336" w:name="_Toc296503073"/>
      <w:bookmarkStart w:id="337" w:name="_Toc337558772"/>
      <w:r>
        <w:rPr>
          <w:b/>
          <w:color w:val="auto"/>
          <w:sz w:val="24"/>
        </w:rPr>
        <w:t>.5</w:t>
      </w:r>
      <w:r>
        <w:rPr>
          <w:rFonts w:hint="eastAsia"/>
          <w:b/>
          <w:color w:val="auto"/>
          <w:sz w:val="24"/>
        </w:rPr>
        <w:t xml:space="preserve"> </w:t>
      </w:r>
      <w:r>
        <w:rPr>
          <w:b/>
          <w:color w:val="auto"/>
          <w:sz w:val="24"/>
        </w:rPr>
        <w:t>工期延误</w:t>
      </w:r>
      <w:bookmarkEnd w:id="334"/>
    </w:p>
    <w:bookmarkEnd w:id="335"/>
    <w:bookmarkEnd w:id="336"/>
    <w:bookmarkEnd w:id="33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7.5.1 因发包人原因导致工期延误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在合同履行过程中，因下列情况导致工期延误和（或）费用增加的，由发包人承担由此延误的工期和（或）增加的费用，且发包人应支付承包人合理的利润：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（1）发包人未能按合同约定提供图纸或所提供图纸不符合合同约定的；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（2）发包人未能按合同约定提供施工现场、施工条件、基础资料、许可、批准等开工条件的；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（3）发包人提供的测量基准点、基准线和水准点及其书面资料存在错误或疏漏的；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（4）发包人未能在计划开工日期之日起7天内同意下达开工通知的；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（5）发包人未能按合同约定日期支付工程预付款、进度款或竣工结算款的；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（6）监理人未按合同约定发出指示、批准等文件的；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（7）专用合同条款中约定的其他情形。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color w:val="auto"/>
          <w:kern w:val="0"/>
          <w:sz w:val="24"/>
        </w:rPr>
        <w:t>〔</w:t>
      </w:r>
      <w:r>
        <w:rPr>
          <w:color w:val="auto"/>
          <w:kern w:val="0"/>
          <w:sz w:val="24"/>
        </w:rPr>
        <w:t>施工进度计划的修订</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7.5.2 因承包人原因导致工期延误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bookmarkStart w:id="338" w:name="_Toc296346577"/>
      <w:bookmarkStart w:id="339" w:name="_Toc296503076"/>
      <w:r>
        <w:rPr>
          <w:color w:val="auto"/>
          <w:kern w:val="0"/>
          <w:sz w:val="24"/>
        </w:rPr>
        <w:t>因</w:t>
      </w:r>
      <w:bookmarkEnd w:id="338"/>
      <w:bookmarkEnd w:id="339"/>
      <w:r>
        <w:rPr>
          <w:color w:val="auto"/>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40" w:name="_Toc351203548"/>
      <w:r>
        <w:rPr>
          <w:b/>
          <w:color w:val="auto"/>
          <w:sz w:val="24"/>
        </w:rPr>
        <w:t>7</w:t>
      </w:r>
      <w:bookmarkStart w:id="341" w:name="_Toc337558773"/>
      <w:bookmarkStart w:id="342" w:name="_Toc296346575"/>
      <w:bookmarkStart w:id="343" w:name="_Toc296503074"/>
      <w:bookmarkStart w:id="344" w:name="_Toc296503077"/>
      <w:bookmarkStart w:id="345" w:name="_Toc296346578"/>
      <w:r>
        <w:rPr>
          <w:b/>
          <w:color w:val="auto"/>
          <w:sz w:val="24"/>
        </w:rPr>
        <w:t>.6 不利物质条件</w:t>
      </w:r>
      <w:bookmarkEnd w:id="340"/>
    </w:p>
    <w:bookmarkEnd w:id="341"/>
    <w:bookmarkEnd w:id="342"/>
    <w:bookmarkEnd w:id="34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color w:val="auto"/>
          <w:kern w:val="0"/>
          <w:sz w:val="24"/>
        </w:rPr>
        <w:t>〔</w:t>
      </w:r>
      <w:r>
        <w:rPr>
          <w:color w:val="auto"/>
          <w:kern w:val="0"/>
          <w:sz w:val="24"/>
        </w:rPr>
        <w:t>变更</w:t>
      </w:r>
      <w:r>
        <w:rPr>
          <w:rFonts w:hint="eastAsia"/>
          <w:color w:val="auto"/>
          <w:kern w:val="0"/>
          <w:sz w:val="24"/>
        </w:rPr>
        <w:t>〕</w:t>
      </w:r>
      <w:r>
        <w:rPr>
          <w:color w:val="auto"/>
          <w:kern w:val="0"/>
          <w:sz w:val="24"/>
        </w:rPr>
        <w:t>约定执行。承包人因采取合理措施而增加的费用和（或）延误的工期由发包人承担。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46" w:name="_Toc351203549"/>
      <w:r>
        <w:rPr>
          <w:b/>
          <w:color w:val="auto"/>
          <w:sz w:val="24"/>
        </w:rPr>
        <w:t>7</w:t>
      </w:r>
      <w:bookmarkStart w:id="347" w:name="_Toc337558774"/>
      <w:bookmarkStart w:id="348" w:name="_Toc296346576"/>
      <w:bookmarkStart w:id="349" w:name="_Toc296503075"/>
      <w:r>
        <w:rPr>
          <w:b/>
          <w:color w:val="auto"/>
          <w:sz w:val="24"/>
        </w:rPr>
        <w:t>.7</w:t>
      </w:r>
      <w:r>
        <w:rPr>
          <w:rFonts w:hint="eastAsia"/>
          <w:b/>
          <w:color w:val="auto"/>
          <w:sz w:val="24"/>
        </w:rPr>
        <w:t xml:space="preserve"> </w:t>
      </w:r>
      <w:r>
        <w:rPr>
          <w:b/>
          <w:color w:val="auto"/>
          <w:sz w:val="24"/>
        </w:rPr>
        <w:t>异常恶劣的气候条件</w:t>
      </w:r>
      <w:bookmarkEnd w:id="346"/>
    </w:p>
    <w:bookmarkEnd w:id="347"/>
    <w:bookmarkEnd w:id="348"/>
    <w:bookmarkEnd w:id="34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承包人应采取克服异常恶劣的气候条件的合理措施继续施工，并及时通知发包人和监理人。监理人经发包人同意后应当及时发出指示，指示构成变更的，按第10条</w:t>
      </w:r>
      <w:r>
        <w:rPr>
          <w:rFonts w:hint="eastAsia"/>
          <w:color w:val="auto"/>
          <w:kern w:val="0"/>
          <w:sz w:val="24"/>
        </w:rPr>
        <w:t>〔</w:t>
      </w:r>
      <w:r>
        <w:rPr>
          <w:color w:val="auto"/>
          <w:kern w:val="0"/>
          <w:sz w:val="24"/>
        </w:rPr>
        <w:t>变更</w:t>
      </w:r>
      <w:r>
        <w:rPr>
          <w:rFonts w:hint="eastAsia"/>
          <w:color w:val="auto"/>
          <w:kern w:val="0"/>
          <w:sz w:val="24"/>
        </w:rPr>
        <w:t>〕</w:t>
      </w:r>
      <w:r>
        <w:rPr>
          <w:color w:val="auto"/>
          <w:kern w:val="0"/>
          <w:sz w:val="24"/>
        </w:rPr>
        <w:t>约定办理。承包人因采取合理措施而增加的费用和（或）延误的工期由发包人承担。</w:t>
      </w:r>
      <w:bookmarkStart w:id="350" w:name="_Toc35120355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rPr>
      </w:pPr>
      <w:r>
        <w:rPr>
          <w:bCs/>
          <w:color w:val="auto"/>
          <w:sz w:val="24"/>
        </w:rPr>
        <w:t>7</w:t>
      </w:r>
      <w:bookmarkStart w:id="351" w:name="_Toc337558775"/>
      <w:r>
        <w:rPr>
          <w:bCs/>
          <w:color w:val="auto"/>
          <w:sz w:val="24"/>
        </w:rPr>
        <w:t>.8</w:t>
      </w:r>
      <w:r>
        <w:rPr>
          <w:rFonts w:hint="eastAsia"/>
          <w:bCs/>
          <w:color w:val="auto"/>
          <w:sz w:val="24"/>
        </w:rPr>
        <w:t xml:space="preserve"> </w:t>
      </w:r>
      <w:r>
        <w:rPr>
          <w:bCs/>
          <w:color w:val="auto"/>
          <w:sz w:val="24"/>
        </w:rPr>
        <w:t>暂停施工</w:t>
      </w:r>
      <w:bookmarkEnd w:id="350"/>
    </w:p>
    <w:bookmarkEnd w:id="344"/>
    <w:bookmarkEnd w:id="345"/>
    <w:bookmarkEnd w:id="35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7.8.1发包人原因引起的暂停施工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因发包人原因引起暂停施工的，监理人经发包人同意后，应及时下达暂停施工指示。情况紧急且监理人未及时下达暂停施工指示的，按照第7.8.4项</w:t>
      </w:r>
      <w:r>
        <w:rPr>
          <w:rFonts w:hint="eastAsia"/>
          <w:color w:val="auto"/>
          <w:kern w:val="0"/>
          <w:sz w:val="24"/>
        </w:rPr>
        <w:t>〔</w:t>
      </w:r>
      <w:r>
        <w:rPr>
          <w:color w:val="auto"/>
          <w:kern w:val="0"/>
          <w:sz w:val="24"/>
        </w:rPr>
        <w:t>紧急情况下的暂停施工</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因发包人原因引起的暂停施工，发包人应承担由此增加的费用和（或）延误的工期，并支付承包人合理的利润。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7.8.2 承包人原因引起的暂停施工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因承包人原因引起的暂停施工，承包人应承担由此增加的费用和（或）延误的工期，且承包人在收到监理人复工指示后</w:t>
      </w:r>
      <w:r>
        <w:rPr>
          <w:rFonts w:hint="eastAsia"/>
          <w:color w:val="auto"/>
          <w:kern w:val="0"/>
          <w:sz w:val="24"/>
        </w:rPr>
        <w:t>84</w:t>
      </w:r>
      <w:r>
        <w:rPr>
          <w:color w:val="auto"/>
          <w:kern w:val="0"/>
          <w:sz w:val="24"/>
        </w:rPr>
        <w:t>天内仍未复工的，视为第16.2.1项</w:t>
      </w:r>
      <w:r>
        <w:rPr>
          <w:rFonts w:hint="eastAsia"/>
          <w:color w:val="auto"/>
          <w:kern w:val="0"/>
          <w:sz w:val="24"/>
        </w:rPr>
        <w:t>〔</w:t>
      </w:r>
      <w:r>
        <w:rPr>
          <w:color w:val="auto"/>
          <w:kern w:val="0"/>
          <w:sz w:val="24"/>
        </w:rPr>
        <w:t>承包人违约的情形</w:t>
      </w:r>
      <w:r>
        <w:rPr>
          <w:rFonts w:hint="eastAsia"/>
          <w:color w:val="auto"/>
          <w:kern w:val="0"/>
          <w:sz w:val="24"/>
        </w:rPr>
        <w:t>〕</w:t>
      </w:r>
      <w:r>
        <w:rPr>
          <w:color w:val="auto"/>
          <w:kern w:val="0"/>
          <w:sz w:val="24"/>
        </w:rPr>
        <w:t>第（7）目约定的承包人无法继续履行合同的情形。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7.8.3 指示暂停施工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监理人认为有必要时，并经发包人批准后，可向承包人作出暂停施工的指示，承包人应按监理人指示暂停施工。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7.8.4 紧急情况下的暂停施工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7.8.5 暂停施工后的复工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承包人无故拖延和拒绝复工的，承包人承担由此增加的费用和（或）延误的工期；因发包人原因无法按时复工的，按照第7.5.1项</w:t>
      </w:r>
      <w:r>
        <w:rPr>
          <w:rFonts w:hint="eastAsia"/>
          <w:color w:val="auto"/>
          <w:kern w:val="0"/>
          <w:sz w:val="24"/>
        </w:rPr>
        <w:t>〔</w:t>
      </w:r>
      <w:r>
        <w:rPr>
          <w:color w:val="auto"/>
          <w:kern w:val="0"/>
          <w:sz w:val="24"/>
        </w:rPr>
        <w:t>因发包人原因导致工期延误</w:t>
      </w:r>
      <w:r>
        <w:rPr>
          <w:rFonts w:hint="eastAsia"/>
          <w:color w:val="auto"/>
          <w:kern w:val="0"/>
          <w:sz w:val="24"/>
        </w:rPr>
        <w:t>〕</w:t>
      </w:r>
      <w:r>
        <w:rPr>
          <w:color w:val="auto"/>
          <w:kern w:val="0"/>
          <w:sz w:val="24"/>
        </w:rPr>
        <w:t>约定办理。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7.8.6 暂停施工持续56天以上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监理人发出暂停施工指示后56天内未向承包人发出复工通知，除该项停工属于第7.8.2项</w:t>
      </w:r>
      <w:r>
        <w:rPr>
          <w:rFonts w:hint="eastAsia"/>
          <w:color w:val="auto"/>
          <w:kern w:val="0"/>
          <w:sz w:val="24"/>
        </w:rPr>
        <w:t>〔</w:t>
      </w:r>
      <w:r>
        <w:rPr>
          <w:color w:val="auto"/>
          <w:kern w:val="0"/>
          <w:sz w:val="24"/>
        </w:rPr>
        <w:t>承包人原因引起的暂停施工</w:t>
      </w:r>
      <w:r>
        <w:rPr>
          <w:rFonts w:hint="eastAsia"/>
          <w:color w:val="auto"/>
          <w:kern w:val="0"/>
          <w:sz w:val="24"/>
        </w:rPr>
        <w:t>〕</w:t>
      </w:r>
      <w:r>
        <w:rPr>
          <w:color w:val="auto"/>
          <w:kern w:val="0"/>
          <w:sz w:val="24"/>
        </w:rPr>
        <w:t>及第17条</w:t>
      </w:r>
      <w:r>
        <w:rPr>
          <w:rFonts w:hint="eastAsia"/>
          <w:color w:val="auto"/>
          <w:kern w:val="0"/>
          <w:sz w:val="24"/>
        </w:rPr>
        <w:t>〔</w:t>
      </w:r>
      <w:r>
        <w:rPr>
          <w:color w:val="auto"/>
          <w:kern w:val="0"/>
          <w:sz w:val="24"/>
        </w:rPr>
        <w:t>不可抗力</w:t>
      </w:r>
      <w:r>
        <w:rPr>
          <w:rFonts w:hint="eastAsia"/>
          <w:color w:val="auto"/>
          <w:kern w:val="0"/>
          <w:sz w:val="24"/>
        </w:rPr>
        <w:t>〕</w:t>
      </w:r>
      <w:r>
        <w:rPr>
          <w:color w:val="auto"/>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color w:val="auto"/>
          <w:kern w:val="0"/>
          <w:sz w:val="24"/>
        </w:rPr>
        <w:t>〔</w:t>
      </w:r>
      <w:r>
        <w:rPr>
          <w:color w:val="auto"/>
          <w:kern w:val="0"/>
          <w:sz w:val="24"/>
        </w:rPr>
        <w:t>变更的范围</w:t>
      </w:r>
      <w:r>
        <w:rPr>
          <w:rFonts w:hint="eastAsia"/>
          <w:color w:val="auto"/>
          <w:kern w:val="0"/>
          <w:sz w:val="24"/>
        </w:rPr>
        <w:t>〕</w:t>
      </w:r>
      <w:r>
        <w:rPr>
          <w:color w:val="auto"/>
          <w:kern w:val="0"/>
          <w:sz w:val="24"/>
        </w:rPr>
        <w:t>第（2）项的可取消工作。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暂停施工持续</w:t>
      </w:r>
      <w:r>
        <w:rPr>
          <w:rFonts w:hint="eastAsia"/>
          <w:color w:val="auto"/>
          <w:kern w:val="0"/>
          <w:sz w:val="24"/>
        </w:rPr>
        <w:t>84</w:t>
      </w:r>
      <w:r>
        <w:rPr>
          <w:color w:val="auto"/>
          <w:kern w:val="0"/>
          <w:sz w:val="24"/>
        </w:rPr>
        <w:t>天以上不复工的，且不属于第7.8.2项</w:t>
      </w:r>
      <w:r>
        <w:rPr>
          <w:rFonts w:hint="eastAsia"/>
          <w:color w:val="auto"/>
          <w:kern w:val="0"/>
          <w:sz w:val="24"/>
        </w:rPr>
        <w:t>〔</w:t>
      </w:r>
      <w:r>
        <w:rPr>
          <w:color w:val="auto"/>
          <w:kern w:val="0"/>
          <w:sz w:val="24"/>
        </w:rPr>
        <w:t>承包人原因引起的暂停施工</w:t>
      </w:r>
      <w:r>
        <w:rPr>
          <w:rFonts w:hint="eastAsia"/>
          <w:color w:val="auto"/>
          <w:kern w:val="0"/>
          <w:sz w:val="24"/>
        </w:rPr>
        <w:t>〕</w:t>
      </w:r>
      <w:r>
        <w:rPr>
          <w:color w:val="auto"/>
          <w:kern w:val="0"/>
          <w:sz w:val="24"/>
        </w:rPr>
        <w:t>及第17条</w:t>
      </w:r>
      <w:r>
        <w:rPr>
          <w:rFonts w:hint="eastAsia"/>
          <w:color w:val="auto"/>
          <w:kern w:val="0"/>
          <w:sz w:val="24"/>
        </w:rPr>
        <w:t>〔</w:t>
      </w:r>
      <w:r>
        <w:rPr>
          <w:color w:val="auto"/>
          <w:kern w:val="0"/>
          <w:sz w:val="24"/>
        </w:rPr>
        <w:t>不可抗力</w:t>
      </w:r>
      <w:r>
        <w:rPr>
          <w:rFonts w:hint="eastAsia"/>
          <w:color w:val="auto"/>
          <w:kern w:val="0"/>
          <w:sz w:val="24"/>
        </w:rPr>
        <w:t>〕</w:t>
      </w:r>
      <w:r>
        <w:rPr>
          <w:color w:val="auto"/>
          <w:kern w:val="0"/>
          <w:sz w:val="24"/>
        </w:rPr>
        <w:t>约定的情形，并影响到整个工程以及合同目的实现的，承包人有权提出价格调整要求，或者解除合同。解除合同的，按照第16.1.3项</w:t>
      </w:r>
      <w:r>
        <w:rPr>
          <w:rFonts w:hint="eastAsia"/>
          <w:color w:val="auto"/>
          <w:kern w:val="0"/>
          <w:sz w:val="24"/>
        </w:rPr>
        <w:t>〔</w:t>
      </w:r>
      <w:r>
        <w:rPr>
          <w:color w:val="auto"/>
          <w:kern w:val="0"/>
          <w:sz w:val="24"/>
        </w:rPr>
        <w:t>因发包人违约解除合同</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7.8.7 暂停施工期间的工程照管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暂停施工期间，承包人应负责妥善照管工程并提供安全保障，由此增加的费用由责任方承担。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7.8.8 暂停施工的措施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暂停施工期间，发包人和承包人均应采取必要的措施确保工程质量及安全，防止因暂停施工扩大损失。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52" w:name="_Toc351203551"/>
      <w:r>
        <w:rPr>
          <w:b/>
          <w:color w:val="auto"/>
          <w:sz w:val="24"/>
        </w:rPr>
        <w:t>7.9提前竣工</w:t>
      </w:r>
      <w:bookmarkEnd w:id="3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color w:val="auto"/>
          <w:kern w:val="0"/>
          <w:sz w:val="24"/>
        </w:rPr>
        <w:t>承包人认为提前竣工指示无法执行的，应向监理人和发包人提出书面异议，发包人和监理人应在收到异议后7天内予以答复。任何情况下，发包人不得压缩合理工期。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7.9.2 发包人要求承包人提前竣工，或承包人提出提前竣工的建议能够给发包人带来效益的，合同当事人可以在专用合同条款中约定提前竣工的奖励。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53" w:name="_Toc351203552"/>
      <w:r>
        <w:rPr>
          <w:b/>
          <w:color w:val="auto"/>
          <w:sz w:val="24"/>
        </w:rPr>
        <w:t>8</w:t>
      </w:r>
      <w:bookmarkStart w:id="354" w:name="_Toc296503058"/>
      <w:bookmarkStart w:id="355" w:name="_Toc337558776"/>
      <w:bookmarkStart w:id="356" w:name="_Toc296346559"/>
      <w:r>
        <w:rPr>
          <w:b/>
          <w:color w:val="auto"/>
          <w:sz w:val="24"/>
        </w:rPr>
        <w:t>. 材料与设备</w:t>
      </w:r>
      <w:bookmarkEnd w:id="353"/>
    </w:p>
    <w:bookmarkEnd w:id="354"/>
    <w:bookmarkEnd w:id="355"/>
    <w:bookmarkEnd w:id="35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57" w:name="_Toc351203553"/>
      <w:r>
        <w:rPr>
          <w:b/>
          <w:color w:val="auto"/>
          <w:sz w:val="24"/>
        </w:rPr>
        <w:t>8</w:t>
      </w:r>
      <w:bookmarkStart w:id="358" w:name="_Toc337558777"/>
      <w:bookmarkStart w:id="359" w:name="_Toc296503059"/>
      <w:bookmarkStart w:id="360" w:name="_Toc296346560"/>
      <w:bookmarkStart w:id="361" w:name="_Toc468936960"/>
      <w:r>
        <w:rPr>
          <w:b/>
          <w:color w:val="auto"/>
          <w:sz w:val="24"/>
        </w:rPr>
        <w:t>.1发包人供应材料与工程设备</w:t>
      </w:r>
      <w:bookmarkEnd w:id="357"/>
    </w:p>
    <w:bookmarkEnd w:id="358"/>
    <w:bookmarkEnd w:id="359"/>
    <w:bookmarkEnd w:id="36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发包人自行供应材料、工程设备的，应在签订合同时在专用合同条款的附件《发包人供应材料设备一览表》中明确材料、工程设备的品种、规格、型号、数量、单价、质量等级和送达地点。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承包人应提前30天通过监理人以书面形式通知发包人供应材料与工程设备进场。承包人按照第7.2.2项</w:t>
      </w:r>
      <w:r>
        <w:rPr>
          <w:rFonts w:hint="eastAsia"/>
          <w:color w:val="auto"/>
          <w:kern w:val="0"/>
          <w:sz w:val="24"/>
        </w:rPr>
        <w:t>〔</w:t>
      </w:r>
      <w:r>
        <w:rPr>
          <w:color w:val="auto"/>
          <w:kern w:val="0"/>
          <w:sz w:val="24"/>
        </w:rPr>
        <w:t>施工进度计划的修订</w:t>
      </w:r>
      <w:r>
        <w:rPr>
          <w:rFonts w:hint="eastAsia"/>
          <w:color w:val="auto"/>
          <w:kern w:val="0"/>
          <w:sz w:val="24"/>
        </w:rPr>
        <w:t>〕</w:t>
      </w:r>
      <w:r>
        <w:rPr>
          <w:color w:val="auto"/>
          <w:kern w:val="0"/>
          <w:sz w:val="24"/>
        </w:rPr>
        <w:t>约定修订施工进度计划时，需同时提交经修订后的发包人供应材料与工程设备的进场计划。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rPr>
      </w:pPr>
      <w:bookmarkStart w:id="362" w:name="_Toc351203554"/>
      <w:r>
        <w:rPr>
          <w:b/>
          <w:color w:val="auto"/>
          <w:sz w:val="24"/>
        </w:rPr>
        <w:t>8</w:t>
      </w:r>
      <w:bookmarkStart w:id="363" w:name="_Toc296346561"/>
      <w:bookmarkStart w:id="364" w:name="_Toc296503060"/>
      <w:bookmarkStart w:id="365" w:name="_Toc337558778"/>
      <w:r>
        <w:rPr>
          <w:b/>
          <w:color w:val="auto"/>
          <w:sz w:val="24"/>
        </w:rPr>
        <w:t>.2承包人采购材料与工程设备</w:t>
      </w:r>
      <w:bookmarkEnd w:id="362"/>
    </w:p>
    <w:bookmarkEnd w:id="363"/>
    <w:bookmarkEnd w:id="364"/>
    <w:bookmarkEnd w:id="36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color w:val="auto"/>
          <w:kern w:val="0"/>
          <w:sz w:val="24"/>
        </w:rPr>
        <w:t>相应责任</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66" w:name="_Toc351203555"/>
      <w:r>
        <w:rPr>
          <w:b/>
          <w:color w:val="auto"/>
          <w:sz w:val="24"/>
        </w:rPr>
        <w:t>8</w:t>
      </w:r>
      <w:bookmarkStart w:id="367" w:name="_Toc337558779"/>
      <w:bookmarkStart w:id="368" w:name="_Toc296503061"/>
      <w:bookmarkStart w:id="369" w:name="_Toc296346562"/>
      <w:r>
        <w:rPr>
          <w:b/>
          <w:color w:val="auto"/>
          <w:sz w:val="24"/>
        </w:rPr>
        <w:t>.3材料与工程设备的接收与拒收</w:t>
      </w:r>
      <w:bookmarkEnd w:id="366"/>
    </w:p>
    <w:bookmarkEnd w:id="367"/>
    <w:bookmarkEnd w:id="368"/>
    <w:bookmarkEnd w:id="36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发包人提供的材料和工程设备的规格、数量或质量不符合合同约定的，或因发包人原因导致交货日期延误或交货地点变更等情况的，按照第16.1款</w:t>
      </w:r>
      <w:r>
        <w:rPr>
          <w:rFonts w:hint="eastAsia"/>
          <w:color w:val="auto"/>
          <w:kern w:val="0"/>
          <w:sz w:val="24"/>
        </w:rPr>
        <w:t>〔</w:t>
      </w:r>
      <w:r>
        <w:rPr>
          <w:color w:val="auto"/>
          <w:kern w:val="0"/>
          <w:sz w:val="24"/>
        </w:rPr>
        <w:t>发包人违约</w:t>
      </w:r>
      <w:r>
        <w:rPr>
          <w:rFonts w:hint="eastAsia"/>
          <w:color w:val="auto"/>
          <w:kern w:val="0"/>
          <w:sz w:val="24"/>
        </w:rPr>
        <w:t>〕</w:t>
      </w:r>
      <w:r>
        <w:rPr>
          <w:color w:val="auto"/>
          <w:kern w:val="0"/>
          <w:sz w:val="24"/>
        </w:rPr>
        <w:t>约定办理。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8.3.2 承包人采购的材料和工程设备，应保证产品质量合格，承包人应在材料和工程设备到货前24小时通知监理人检验。承</w:t>
      </w:r>
      <w:bookmarkStart w:id="370" w:name="_Toc250655469"/>
      <w:r>
        <w:rPr>
          <w:color w:val="auto"/>
          <w:kern w:val="0"/>
          <w:sz w:val="24"/>
        </w:rPr>
        <w:t>包人进行永久设备、材料的制造和生产的，应符合相关质量标准，并向监理人提交材料的样本以及有关资料，并应在使用该材料或工程设备之前获得监理人同意。</w:t>
      </w:r>
    </w:p>
    <w:bookmarkEnd w:id="37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71" w:name="_Toc351203556"/>
      <w:r>
        <w:rPr>
          <w:b/>
          <w:color w:val="auto"/>
          <w:sz w:val="24"/>
        </w:rPr>
        <w:t>8</w:t>
      </w:r>
      <w:bookmarkStart w:id="372" w:name="_Toc337558780"/>
      <w:bookmarkStart w:id="373" w:name="_Toc296503062"/>
      <w:bookmarkStart w:id="374" w:name="_Toc296346563"/>
      <w:r>
        <w:rPr>
          <w:b/>
          <w:color w:val="auto"/>
          <w:sz w:val="24"/>
        </w:rPr>
        <w:t>.4材料与工程设备的保管与使用</w:t>
      </w:r>
      <w:bookmarkEnd w:id="371"/>
    </w:p>
    <w:bookmarkEnd w:id="372"/>
    <w:bookmarkEnd w:id="373"/>
    <w:bookmarkEnd w:id="37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8.4.1 发包人供应</w:t>
      </w:r>
      <w:r>
        <w:rPr>
          <w:color w:val="auto"/>
          <w:sz w:val="24"/>
        </w:rPr>
        <w:t>材料与</w:t>
      </w:r>
      <w:r>
        <w:rPr>
          <w:color w:val="auto"/>
          <w:kern w:val="0"/>
          <w:sz w:val="24"/>
        </w:rPr>
        <w:t>工程</w:t>
      </w:r>
      <w:r>
        <w:rPr>
          <w:color w:val="auto"/>
          <w:sz w:val="24"/>
        </w:rPr>
        <w:t>设备的保管与使用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发包人供应的材料和工程设备使用前，由承包人负责检验，检验费用由发包人承担，不合格的不得使用。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8.4.2 承包人采购</w:t>
      </w:r>
      <w:r>
        <w:rPr>
          <w:color w:val="auto"/>
          <w:sz w:val="24"/>
        </w:rPr>
        <w:t>材料与</w:t>
      </w:r>
      <w:r>
        <w:rPr>
          <w:color w:val="auto"/>
          <w:kern w:val="0"/>
          <w:sz w:val="24"/>
        </w:rPr>
        <w:t>工程</w:t>
      </w:r>
      <w:r>
        <w:rPr>
          <w:color w:val="auto"/>
          <w:sz w:val="24"/>
        </w:rPr>
        <w:t>设备的保管与使用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发包人或监理人发现承包人使用不符合设计或有关标准要求的材料和工程设备时，有权要求承包人进行修复、拆除或重新采购，由此增加的费用和（或）延误的工期，由承包人承担。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75" w:name="_Toc351203557"/>
      <w:r>
        <w:rPr>
          <w:b/>
          <w:color w:val="auto"/>
          <w:sz w:val="24"/>
        </w:rPr>
        <w:t>8.5禁止使用不合格的材料和工程设备</w:t>
      </w:r>
      <w:bookmarkEnd w:id="37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8.5.1 监理人有权拒绝承包人提供的不合格材料或工程设备，并要求承包人立即进行更换。监理人应在更换后再次进行检查和检验，由此增加的费用和（或）延误的工期由承包人承担。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8.5.2 监理人发现承包人使用了不合格的材料和工程设备，承包人应按照监理人的指示立即改正，并禁止在工程中继续使用不合格的材料和工程设备。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8.5.3 发包人提供的材料或工程设备不符合合同要求的，承包人有权拒绝，并可要求发包人更换，由此增加的费用和（或）延误的工期由发包人承担</w:t>
      </w:r>
      <w:r>
        <w:rPr>
          <w:rFonts w:hint="eastAsia"/>
          <w:color w:val="auto"/>
          <w:kern w:val="0"/>
          <w:sz w:val="24"/>
        </w:rPr>
        <w:t>，并支付承包人合理的利润</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76" w:name="_Toc351203558"/>
      <w:r>
        <w:rPr>
          <w:b/>
          <w:color w:val="auto"/>
          <w:sz w:val="24"/>
        </w:rPr>
        <w:t>8.6 样品</w:t>
      </w:r>
      <w:bookmarkEnd w:id="37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8.6.1</w:t>
      </w:r>
      <w:r>
        <w:rPr>
          <w:color w:val="auto"/>
          <w:kern w:val="0"/>
          <w:sz w:val="24"/>
        </w:rPr>
        <w:tab/>
      </w:r>
      <w:r>
        <w:rPr>
          <w:color w:val="auto"/>
          <w:kern w:val="0"/>
          <w:sz w:val="24"/>
        </w:rPr>
        <w:t>样品的报送</w:t>
      </w:r>
      <w:r>
        <w:rPr>
          <w:rFonts w:hint="eastAsia"/>
          <w:color w:val="auto"/>
          <w:kern w:val="0"/>
          <w:sz w:val="24"/>
        </w:rPr>
        <w:t>与封存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需要承包人报送样品的材料或工程设备，样品的种类、名称、规格、数量等要求均应在专用合同条款中约定。样品的报送程序如下：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（3）经发包人和监理人审批确认的样品</w:t>
      </w:r>
      <w:r>
        <w:rPr>
          <w:rFonts w:hint="eastAsia"/>
          <w:color w:val="auto"/>
          <w:kern w:val="0"/>
          <w:sz w:val="24"/>
        </w:rPr>
        <w:t>应按约定的方法封样，封存的样品</w:t>
      </w:r>
      <w:r>
        <w:rPr>
          <w:color w:val="auto"/>
          <w:kern w:val="0"/>
          <w:sz w:val="24"/>
        </w:rPr>
        <w:t>作为检验工程相关部分的标准之一。承包人在施工过程中不得使用与样品不符的材料或工程设备。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（4）发包人和监理人对样品的审批确认仅为确认相关材料或工程设备的特征或用途，不得被理解为对合同的修改或改变，也并不减轻或免除承包人任何的责任和义务。</w:t>
      </w:r>
      <w:r>
        <w:rPr>
          <w:rFonts w:hint="eastAsia"/>
          <w:color w:val="auto"/>
          <w:kern w:val="0"/>
          <w:sz w:val="24"/>
        </w:rPr>
        <w:t>如果封存的样品修改或改变了合同约定，合同当事人应当以书面协议予以确认。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8.6.2 样品的保管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经批准的样品应由监理人负责封存于现场，承包人应在现场为保存样品提供适当和固定的场所并保持适当和良好的存储环境条件。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77" w:name="_Toc351203559"/>
      <w:r>
        <w:rPr>
          <w:b/>
          <w:color w:val="auto"/>
          <w:sz w:val="24"/>
        </w:rPr>
        <w:t>8.7材料与工程设备的替代</w:t>
      </w:r>
      <w:bookmarkEnd w:id="37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8.7.1 出现下列情况需要使用替代材料和工程设备的，承包人应按照第8.7.2项约定的程序执行：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（1）基准日</w:t>
      </w:r>
      <w:r>
        <w:rPr>
          <w:rFonts w:hint="eastAsia"/>
          <w:color w:val="auto"/>
          <w:kern w:val="0"/>
          <w:sz w:val="24"/>
        </w:rPr>
        <w:t>期</w:t>
      </w:r>
      <w:r>
        <w:rPr>
          <w:color w:val="auto"/>
          <w:kern w:val="0"/>
          <w:sz w:val="24"/>
        </w:rPr>
        <w:t>后生效的法律规定禁止使用的；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（2）发包人要求使用替代品的；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（3）因其他原因必须使用替代品的。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8.7.2 承包人应在使用替代材料和工程设备28天前书面通知监理人，并附下列文件：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（1）被替代的材料和工程设备的名称、数量、规格、型号、品牌、性能、价格及其他相关资料；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（2）替代品的名称、数量、规格、型号、品牌、性能、价格及其他相关资料；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（3）替代品与被替代产品之间的差异以及使用替代品可能对工程产生的影响；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（4）替代品与被替代产品的价格差异；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（5）使用替代品的理由和原因说明；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（6）监理人要求的其他文件。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监理人应在收到通知后14天内向承包人发出经发包人签认的书面指示；监理人逾期发出书面指示的，视为发包人和监理人同意使用替代品。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8.7.3 发包人认可使用替代材料和工程设备的，替代材料和工程设备的价格，按照已标价工程量清单或预算书相同项目的价格认定；无相同项目的，参考相似项目价格认定；</w:t>
      </w:r>
      <w:r>
        <w:rPr>
          <w:rFonts w:hint="eastAsia"/>
          <w:color w:val="auto"/>
          <w:kern w:val="0"/>
          <w:sz w:val="24"/>
        </w:rPr>
        <w:t>既无</w:t>
      </w:r>
      <w:r>
        <w:rPr>
          <w:color w:val="auto"/>
          <w:kern w:val="0"/>
          <w:sz w:val="24"/>
        </w:rPr>
        <w:t>相同项目</w:t>
      </w:r>
      <w:r>
        <w:rPr>
          <w:rFonts w:hint="eastAsia"/>
          <w:color w:val="auto"/>
          <w:kern w:val="0"/>
          <w:sz w:val="24"/>
        </w:rPr>
        <w:t>也</w:t>
      </w:r>
      <w:r>
        <w:rPr>
          <w:color w:val="auto"/>
          <w:kern w:val="0"/>
          <w:sz w:val="24"/>
        </w:rPr>
        <w:t>无相似项目的，</w:t>
      </w:r>
      <w:r>
        <w:rPr>
          <w:rFonts w:hint="eastAsia"/>
          <w:color w:val="auto"/>
          <w:kern w:val="0"/>
          <w:sz w:val="24"/>
        </w:rPr>
        <w:t>按照合理的成本与利润构成的原则，</w:t>
      </w:r>
      <w:r>
        <w:rPr>
          <w:color w:val="auto"/>
          <w:kern w:val="0"/>
          <w:sz w:val="24"/>
        </w:rPr>
        <w:t>由合同当事人按照第4.4款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确定价格。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78" w:name="_Toc351203560"/>
      <w:r>
        <w:rPr>
          <w:b/>
          <w:color w:val="auto"/>
          <w:sz w:val="24"/>
        </w:rPr>
        <w:t>8.8施工设备和临时设施</w:t>
      </w:r>
      <w:bookmarkEnd w:id="3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8.8.1 承包人提供的施工设备和临时设施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除专用合同条款另有约定外，承包人应自行承担修建临时设施的费用，需要临时占地的，应由发包人办理申请手续并承担相应费用。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8.8.2发包人提供的施工设备和临时设施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发包人提供的施工设备或临时设施在专用合同条款中约定。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8.8.3要求承包人增加或更换施工设备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79" w:name="_Toc351203561"/>
      <w:r>
        <w:rPr>
          <w:b/>
          <w:color w:val="auto"/>
          <w:sz w:val="24"/>
        </w:rPr>
        <w:t>8</w:t>
      </w:r>
      <w:bookmarkStart w:id="380" w:name="_Toc337558781"/>
      <w:bookmarkStart w:id="381" w:name="_Toc296346564"/>
      <w:bookmarkStart w:id="382" w:name="_Toc296503063"/>
      <w:r>
        <w:rPr>
          <w:b/>
          <w:color w:val="auto"/>
          <w:sz w:val="24"/>
        </w:rPr>
        <w:t>.9材料与设备专用</w:t>
      </w:r>
      <w:bookmarkEnd w:id="379"/>
      <w:r>
        <w:rPr>
          <w:rFonts w:hint="eastAsia"/>
          <w:b/>
          <w:color w:val="auto"/>
          <w:sz w:val="24"/>
        </w:rPr>
        <w:t>要求</w:t>
      </w:r>
    </w:p>
    <w:bookmarkEnd w:id="380"/>
    <w:bookmarkEnd w:id="381"/>
    <w:bookmarkEnd w:id="38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361"/>
      <w:r>
        <w:rPr>
          <w:color w:val="auto"/>
          <w:kern w:val="0"/>
          <w:sz w:val="24"/>
        </w:rPr>
        <w:t>经发包人批准，承包人可以根据施工进度计划撤走闲置的施工设备和其他物品。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83" w:name="_Toc351203562"/>
      <w:r>
        <w:rPr>
          <w:b/>
          <w:color w:val="auto"/>
          <w:sz w:val="24"/>
        </w:rPr>
        <w:t>9</w:t>
      </w:r>
      <w:bookmarkStart w:id="384" w:name="_Toc337558782"/>
      <w:bookmarkStart w:id="385" w:name="_Toc296503083"/>
      <w:bookmarkStart w:id="386" w:name="_Toc296346584"/>
      <w:r>
        <w:rPr>
          <w:b/>
          <w:color w:val="auto"/>
          <w:sz w:val="24"/>
        </w:rPr>
        <w:t>. 试验与检验</w:t>
      </w:r>
      <w:bookmarkEnd w:id="383"/>
    </w:p>
    <w:bookmarkEnd w:id="384"/>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87" w:name="_Toc351203563"/>
      <w:r>
        <w:rPr>
          <w:b/>
          <w:color w:val="auto"/>
          <w:sz w:val="24"/>
        </w:rPr>
        <w:t>9</w:t>
      </w:r>
      <w:bookmarkStart w:id="388" w:name="_Toc337558783"/>
      <w:r>
        <w:rPr>
          <w:b/>
          <w:color w:val="auto"/>
          <w:sz w:val="24"/>
        </w:rPr>
        <w:t>.1试验设备与试验人员</w:t>
      </w:r>
      <w:bookmarkEnd w:id="387"/>
    </w:p>
    <w:bookmarkEnd w:id="38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9.1.2 承包人应按专用合同条款的约定提供试验设备、取样装置、试验场所和试验条件，并向监理人提交相应进场计划表。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承包人配置的试验设备要符合相应试验规程的要求并经过具有资质的检测单位检测，且在正式使用该试验设备前，需要经过监理人与承包人共同校定。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9.1.3 承包人应向监理人提交试验人员的名单及其岗位、资格等证明资料，试验人员必须能够熟练进行相应的检测试验，承包人对试验人员的试验程序和试验结果的正确性负责。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89" w:name="_Toc351203564"/>
      <w:r>
        <w:rPr>
          <w:b/>
          <w:color w:val="auto"/>
          <w:sz w:val="24"/>
        </w:rPr>
        <w:t>9</w:t>
      </w:r>
      <w:bookmarkStart w:id="390" w:name="_Toc337558784"/>
      <w:r>
        <w:rPr>
          <w:b/>
          <w:color w:val="auto"/>
          <w:sz w:val="24"/>
        </w:rPr>
        <w:t>.2取样</w:t>
      </w:r>
      <w:bookmarkEnd w:id="389"/>
    </w:p>
    <w:bookmarkEnd w:id="39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试验属于自检性质的，承包人可以单独取样。试验属于监理人抽检性质的，可由监理人取样，也可由承包人的试验人员在监理人的监督下取样。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91" w:name="_Toc351203565"/>
      <w:r>
        <w:rPr>
          <w:b/>
          <w:color w:val="auto"/>
          <w:sz w:val="24"/>
        </w:rPr>
        <w:t>9</w:t>
      </w:r>
      <w:bookmarkStart w:id="392" w:name="_Toc337558785"/>
      <w:r>
        <w:rPr>
          <w:b/>
          <w:color w:val="auto"/>
          <w:sz w:val="24"/>
        </w:rPr>
        <w:t>.3材料、工程设备和工程的试验和检验</w:t>
      </w:r>
      <w:bookmarkEnd w:id="391"/>
    </w:p>
    <w:bookmarkEnd w:id="39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93" w:name="_Toc351203566"/>
      <w:r>
        <w:rPr>
          <w:b/>
          <w:color w:val="auto"/>
          <w:sz w:val="24"/>
        </w:rPr>
        <w:t>9</w:t>
      </w:r>
      <w:bookmarkStart w:id="394" w:name="_Toc337558786"/>
      <w:r>
        <w:rPr>
          <w:b/>
          <w:color w:val="auto"/>
          <w:sz w:val="24"/>
        </w:rPr>
        <w:t>.4现场工艺试验</w:t>
      </w:r>
      <w:bookmarkEnd w:id="393"/>
    </w:p>
    <w:bookmarkEnd w:id="39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承包人应按合同约定或监理人指示进行现场工艺试验。对大型的现场工艺试验，监理人认为必要时，承包人应根据监理人提出的工艺试验要求，编制工艺试验措施计划，报送监理人审查。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95" w:name="_Toc351203567"/>
      <w:r>
        <w:rPr>
          <w:b/>
          <w:color w:val="auto"/>
          <w:sz w:val="24"/>
        </w:rPr>
        <w:t>1</w:t>
      </w:r>
      <w:bookmarkStart w:id="396" w:name="_Toc337558787"/>
      <w:r>
        <w:rPr>
          <w:b/>
          <w:color w:val="auto"/>
          <w:sz w:val="24"/>
        </w:rPr>
        <w:t>0. 变更</w:t>
      </w:r>
      <w:bookmarkEnd w:id="385"/>
      <w:bookmarkEnd w:id="386"/>
      <w:bookmarkEnd w:id="395"/>
    </w:p>
    <w:bookmarkEnd w:id="39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397" w:name="_Toc351203568"/>
      <w:r>
        <w:rPr>
          <w:b/>
          <w:color w:val="auto"/>
          <w:sz w:val="24"/>
        </w:rPr>
        <w:t>1</w:t>
      </w:r>
      <w:bookmarkStart w:id="398" w:name="_Toc296346585"/>
      <w:bookmarkStart w:id="399" w:name="_Toc296503084"/>
      <w:bookmarkStart w:id="400" w:name="_Toc337558788"/>
      <w:r>
        <w:rPr>
          <w:b/>
          <w:color w:val="auto"/>
          <w:sz w:val="24"/>
        </w:rPr>
        <w:t>0.1变更的范围</w:t>
      </w:r>
      <w:bookmarkEnd w:id="397"/>
    </w:p>
    <w:bookmarkEnd w:id="398"/>
    <w:bookmarkEnd w:id="399"/>
    <w:bookmarkEnd w:id="40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除专用合同条款另有约定外，合同履行过程中发生以下情形的，应按照本条约定进行变更：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（1）增加或减少合同中任何工作，或追加额外的工作；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（2）取消合同中任何工作，但转由他人实施的工作除外；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（3）改变合同中任何工作的质量标准或其他特性；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（4）改变工程的基线、标高、位置和尺寸；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（5）改变工程的时间安排或实施顺序。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01" w:name="_Toc351203569"/>
      <w:r>
        <w:rPr>
          <w:b/>
          <w:color w:val="auto"/>
          <w:sz w:val="24"/>
        </w:rPr>
        <w:t>1</w:t>
      </w:r>
      <w:bookmarkStart w:id="402" w:name="_Toc296346586"/>
      <w:bookmarkStart w:id="403" w:name="_Toc296503085"/>
      <w:bookmarkStart w:id="404" w:name="_Toc337558789"/>
      <w:r>
        <w:rPr>
          <w:b/>
          <w:color w:val="auto"/>
          <w:sz w:val="24"/>
        </w:rPr>
        <w:t>0.2变更权</w:t>
      </w:r>
      <w:bookmarkEnd w:id="401"/>
    </w:p>
    <w:bookmarkEnd w:id="402"/>
    <w:bookmarkEnd w:id="403"/>
    <w:bookmarkEnd w:id="40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涉及设计变更的，应由设计人提供变更后的图纸和说明。如变更超过原设计标准或批准的建设规模时，发包人应及时办理规划、设计变更</w:t>
      </w:r>
      <w:r>
        <w:rPr>
          <w:rFonts w:hint="eastAsia"/>
          <w:color w:val="auto"/>
          <w:kern w:val="0"/>
          <w:sz w:val="24"/>
        </w:rPr>
        <w:t>等</w:t>
      </w:r>
      <w:r>
        <w:rPr>
          <w:color w:val="auto"/>
          <w:kern w:val="0"/>
          <w:sz w:val="24"/>
        </w:rPr>
        <w:t>审批手续。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05" w:name="_Toc351203570"/>
      <w:r>
        <w:rPr>
          <w:b/>
          <w:color w:val="auto"/>
          <w:sz w:val="24"/>
        </w:rPr>
        <w:t>1</w:t>
      </w:r>
      <w:bookmarkStart w:id="406" w:name="_Toc296503086"/>
      <w:bookmarkStart w:id="407" w:name="_Toc296346587"/>
      <w:bookmarkStart w:id="408" w:name="_Toc337558790"/>
      <w:r>
        <w:rPr>
          <w:b/>
          <w:color w:val="auto"/>
          <w:sz w:val="24"/>
        </w:rPr>
        <w:t>0.3变更程序</w:t>
      </w:r>
      <w:bookmarkEnd w:id="405"/>
    </w:p>
    <w:bookmarkEnd w:id="406"/>
    <w:bookmarkEnd w:id="407"/>
    <w:bookmarkEnd w:id="40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10</w:t>
      </w:r>
      <w:r>
        <w:rPr>
          <w:color w:val="auto"/>
          <w:kern w:val="0"/>
          <w:sz w:val="24"/>
        </w:rPr>
        <w:t>.3.1 发包人提出变更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发包人提出变更的，应通过监理人向承包人发出变更指示，变更指示应说明计划变更的工程范围和变更的内容。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10</w:t>
      </w:r>
      <w:r>
        <w:rPr>
          <w:color w:val="auto"/>
          <w:kern w:val="0"/>
          <w:sz w:val="24"/>
        </w:rPr>
        <w:t>.3.2 监理人提出变更建议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10.3.3 变更执行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承包人收到监理人下达的变更指示后，</w:t>
      </w:r>
      <w:r>
        <w:rPr>
          <w:rFonts w:hint="eastAsia"/>
          <w:color w:val="auto"/>
          <w:kern w:val="0"/>
          <w:sz w:val="24"/>
        </w:rPr>
        <w:t>认为不能执行，应立即</w:t>
      </w:r>
      <w:r>
        <w:rPr>
          <w:color w:val="auto"/>
          <w:kern w:val="0"/>
          <w:sz w:val="24"/>
        </w:rPr>
        <w:t>提出不能执行该变更指示的理由。承包人</w:t>
      </w:r>
      <w:r>
        <w:rPr>
          <w:rFonts w:hint="eastAsia"/>
          <w:color w:val="auto"/>
          <w:kern w:val="0"/>
          <w:sz w:val="24"/>
        </w:rPr>
        <w:t>认为可以</w:t>
      </w:r>
      <w:r>
        <w:rPr>
          <w:color w:val="auto"/>
          <w:kern w:val="0"/>
          <w:sz w:val="24"/>
        </w:rPr>
        <w:t>执行变更的，</w:t>
      </w:r>
      <w:r>
        <w:rPr>
          <w:rFonts w:hint="eastAsia"/>
          <w:color w:val="auto"/>
          <w:kern w:val="0"/>
          <w:sz w:val="24"/>
        </w:rPr>
        <w:t>应当书面说明实施该变更指示对合同价格和工期的影响，且合同当事人应当按照第10.4款〔变更估价〕约定确定变更估价</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09" w:name="_Toc351203571"/>
      <w:r>
        <w:rPr>
          <w:b/>
          <w:color w:val="auto"/>
          <w:sz w:val="24"/>
        </w:rPr>
        <w:t>1</w:t>
      </w:r>
      <w:bookmarkStart w:id="410" w:name="_Toc296503087"/>
      <w:bookmarkStart w:id="411" w:name="_Toc337558791"/>
      <w:bookmarkStart w:id="412" w:name="_Toc296346588"/>
      <w:r>
        <w:rPr>
          <w:b/>
          <w:color w:val="auto"/>
          <w:sz w:val="24"/>
        </w:rPr>
        <w:t>0.4变更估价</w:t>
      </w:r>
      <w:bookmarkEnd w:id="409"/>
    </w:p>
    <w:bookmarkEnd w:id="410"/>
    <w:bookmarkEnd w:id="411"/>
    <w:bookmarkEnd w:id="41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10.4.1 变更估价原则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除专用合同条款另有约定外，变更估价按照本款约定处理：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（1）已标价工程量清单或预算书有相同项目的，按照相同项目单价认定；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（2）已标价工程量清单或预算书中无相同项目，但有类似项目的，参照类似项目的单价认定；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确定变更工作的单价。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10.4.2 变更估价程序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承包人应在收到变更指示后14天内，向监理人提交变更估价申请。监理人应在收到承包人提交的变更估价申请后7天内审查完毕并报送发包人，监理人对变更估价申请有异议</w:t>
      </w:r>
      <w:r>
        <w:rPr>
          <w:color w:val="auto"/>
          <w:kern w:val="0"/>
          <w:sz w:val="24"/>
        </w:rPr>
        <w:t>，通知承包人</w:t>
      </w:r>
      <w:r>
        <w:rPr>
          <w:rFonts w:hint="eastAsia"/>
          <w:color w:val="auto"/>
          <w:kern w:val="0"/>
          <w:sz w:val="24"/>
        </w:rPr>
        <w:t>修</w:t>
      </w:r>
      <w:r>
        <w:rPr>
          <w:color w:val="auto"/>
          <w:kern w:val="0"/>
          <w:sz w:val="24"/>
        </w:rPr>
        <w:t>改</w:t>
      </w:r>
      <w:r>
        <w:rPr>
          <w:rFonts w:hint="eastAsia"/>
          <w:color w:val="auto"/>
          <w:kern w:val="0"/>
          <w:sz w:val="24"/>
        </w:rPr>
        <w:t>后重新提交</w:t>
      </w:r>
      <w:r>
        <w:rPr>
          <w:color w:val="auto"/>
          <w:kern w:val="0"/>
          <w:sz w:val="24"/>
        </w:rPr>
        <w:t>。发包人应在</w:t>
      </w:r>
      <w:r>
        <w:rPr>
          <w:rFonts w:hint="eastAsia"/>
          <w:color w:val="auto"/>
          <w:kern w:val="0"/>
          <w:sz w:val="24"/>
        </w:rPr>
        <w:t>承包人提交变更估价申请</w:t>
      </w:r>
      <w:r>
        <w:rPr>
          <w:color w:val="auto"/>
          <w:kern w:val="0"/>
          <w:sz w:val="24"/>
        </w:rPr>
        <w:t>后</w:t>
      </w:r>
      <w:r>
        <w:rPr>
          <w:rFonts w:hint="eastAsia"/>
          <w:color w:val="auto"/>
          <w:kern w:val="0"/>
          <w:sz w:val="24"/>
        </w:rPr>
        <w:t>14</w:t>
      </w:r>
      <w:r>
        <w:rPr>
          <w:color w:val="auto"/>
          <w:kern w:val="0"/>
          <w:sz w:val="24"/>
        </w:rPr>
        <w:t>天内审批完毕。</w:t>
      </w:r>
      <w:r>
        <w:rPr>
          <w:rFonts w:hint="eastAsia"/>
          <w:color w:val="auto"/>
          <w:kern w:val="0"/>
          <w:sz w:val="24"/>
        </w:rPr>
        <w:t>发包人逾期未完成审批或未提出异议的，视为认可承包人提交的变更估价申请。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因变更引起的价格调整应计入最近一期的进度款中支付。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13" w:name="_Toc351203572"/>
      <w:r>
        <w:rPr>
          <w:b/>
          <w:color w:val="auto"/>
          <w:sz w:val="24"/>
        </w:rPr>
        <w:t>1</w:t>
      </w:r>
      <w:bookmarkStart w:id="414" w:name="_Toc337558792"/>
      <w:bookmarkStart w:id="415" w:name="_Toc296346595"/>
      <w:bookmarkStart w:id="416" w:name="_Toc296503094"/>
      <w:r>
        <w:rPr>
          <w:b/>
          <w:color w:val="auto"/>
          <w:sz w:val="24"/>
        </w:rPr>
        <w:t>0.5承包人的合理化建议</w:t>
      </w:r>
      <w:bookmarkEnd w:id="413"/>
    </w:p>
    <w:bookmarkEnd w:id="414"/>
    <w:bookmarkEnd w:id="415"/>
    <w:bookmarkEnd w:id="416"/>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承包人提出合理化建议的，应向监理人提交合理化建议说明，说明建议的内容和理由，以及实施该建议对合同价格和工期的影响。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color w:val="auto"/>
          <w:kern w:val="0"/>
          <w:sz w:val="24"/>
        </w:rPr>
        <w:t>〔</w:t>
      </w:r>
      <w:r>
        <w:rPr>
          <w:color w:val="auto"/>
          <w:kern w:val="0"/>
          <w:sz w:val="24"/>
        </w:rPr>
        <w:t>变更估价</w:t>
      </w:r>
      <w:r>
        <w:rPr>
          <w:rFonts w:hint="eastAsia"/>
          <w:color w:val="auto"/>
          <w:kern w:val="0"/>
          <w:sz w:val="24"/>
        </w:rPr>
        <w:t>〕</w:t>
      </w:r>
      <w:r>
        <w:rPr>
          <w:color w:val="auto"/>
          <w:kern w:val="0"/>
          <w:sz w:val="24"/>
        </w:rPr>
        <w:t>约定执行。发包人不同意变更的，监理人应书面通知承包人。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合理化建议降低了合同价格或者提高了工程经济效益的，发包人可对承包人给予奖励，奖励的方法和金额在专用合同条款中约定。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rPr>
      </w:pPr>
      <w:bookmarkStart w:id="417" w:name="_Toc351203573"/>
      <w:r>
        <w:rPr>
          <w:b/>
          <w:color w:val="auto"/>
          <w:sz w:val="24"/>
        </w:rPr>
        <w:t>1</w:t>
      </w:r>
      <w:bookmarkStart w:id="418" w:name="_Toc337558793"/>
      <w:r>
        <w:rPr>
          <w:b/>
          <w:color w:val="auto"/>
          <w:sz w:val="24"/>
        </w:rPr>
        <w:t>0.6变更引起的工期调整</w:t>
      </w:r>
      <w:bookmarkEnd w:id="417"/>
      <w:r>
        <w:rPr>
          <w:b/>
          <w:color w:val="auto"/>
          <w:sz w:val="24"/>
        </w:rPr>
        <w:t xml:space="preserve"> </w:t>
      </w:r>
      <w:bookmarkEnd w:id="418"/>
      <w:r>
        <w:rPr>
          <w:b/>
          <w:color w:val="auto"/>
          <w:sz w:val="24"/>
        </w:rPr>
        <w:t xml:space="preserve"> </w:t>
      </w:r>
      <w:r>
        <w:rPr>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因变更引起工期变化的，合同当事人均可要求调整合同工期，由合同当事人按照第4.4款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并参考工程所在地的工期定额标准确定增减工期天数。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19" w:name="_Toc351203574"/>
      <w:r>
        <w:rPr>
          <w:b/>
          <w:color w:val="auto"/>
          <w:sz w:val="24"/>
        </w:rPr>
        <w:t>10.7暂估价</w:t>
      </w:r>
      <w:bookmarkEnd w:id="4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暂估价专业分包工程、</w:t>
      </w:r>
      <w:r>
        <w:rPr>
          <w:rFonts w:hint="eastAsia"/>
          <w:color w:val="auto"/>
          <w:kern w:val="0"/>
          <w:sz w:val="24"/>
        </w:rPr>
        <w:t>服务、</w:t>
      </w:r>
      <w:r>
        <w:rPr>
          <w:color w:val="auto"/>
          <w:kern w:val="0"/>
          <w:sz w:val="24"/>
        </w:rPr>
        <w:t>材料和工程设备的明细由合同当事人在专用合同条款中约定。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10.7.1</w:t>
      </w:r>
      <w:r>
        <w:rPr>
          <w:color w:val="auto"/>
          <w:kern w:val="0"/>
          <w:sz w:val="24"/>
        </w:rPr>
        <w:t xml:space="preserve"> 依法必须招标的暂估价项目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对于依法必须招标的暂估价项目，采取以下第1种方式确定</w:t>
      </w:r>
      <w:r>
        <w:rPr>
          <w:rFonts w:hint="eastAsia"/>
          <w:color w:val="auto"/>
          <w:kern w:val="0"/>
          <w:sz w:val="24"/>
        </w:rPr>
        <w:t>。合同当事人也可以在</w:t>
      </w:r>
      <w:r>
        <w:rPr>
          <w:color w:val="auto"/>
          <w:kern w:val="0"/>
          <w:sz w:val="24"/>
        </w:rPr>
        <w:t>专用合同条款</w:t>
      </w:r>
      <w:r>
        <w:rPr>
          <w:rFonts w:hint="eastAsia"/>
          <w:color w:val="auto"/>
          <w:kern w:val="0"/>
          <w:sz w:val="24"/>
        </w:rPr>
        <w:t>中选择其他招标方式。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第1种方式：对于依法必须招标的暂估价项目，由承包人招标，对该暂估价项目的确认和批准按照以下约定执行：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（2）承包人应当根据施工进度计划，提前14天将</w:t>
      </w:r>
      <w:r>
        <w:rPr>
          <w:rFonts w:hint="eastAsia"/>
          <w:color w:val="auto"/>
          <w:kern w:val="0"/>
          <w:sz w:val="24"/>
          <w:lang w:eastAsia="zh-CN"/>
        </w:rPr>
        <w:t>采购文件</w:t>
      </w:r>
      <w:r>
        <w:rPr>
          <w:color w:val="auto"/>
          <w:kern w:val="0"/>
          <w:sz w:val="24"/>
        </w:rPr>
        <w:t>通过监理人报送发包人审批，发包人应当在收到承包人报送的相关文件后7天内完成审批或提出修改意见；发包人有权确定招标控制价</w:t>
      </w:r>
      <w:r>
        <w:rPr>
          <w:rFonts w:hint="eastAsia"/>
          <w:color w:val="auto"/>
          <w:kern w:val="0"/>
          <w:sz w:val="24"/>
        </w:rPr>
        <w:t>并按照法律规定参加评标</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10.7.2</w:t>
      </w:r>
      <w:r>
        <w:rPr>
          <w:color w:val="auto"/>
          <w:kern w:val="0"/>
          <w:sz w:val="24"/>
        </w:rPr>
        <w:t>不属于依法必须招标的暂估价项目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除专用合同条款另有约定外，对于不属于依法必须招标的暂估价项目，采取以下第1种方式确定：</w:t>
      </w:r>
      <w:r>
        <w:rPr>
          <w:rFonts w:hint="eastAsia"/>
          <w:color w:val="auto"/>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第1种方式：对于不属于依法必须招标的暂估价项目，按本项约定确认和批准：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（2）发包人认为承包人确定的供应商、分包人无法满足工程质量或合同要求的，发包人可以要求承包人重新确定暂估价项目的供应商、分包人;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（3）承包人应当在签订暂估价合同后7天内，将暂估价合同副本报送发包人留存。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第2种方式：承包人按照第10.7.1项</w:t>
      </w:r>
      <w:r>
        <w:rPr>
          <w:rFonts w:hint="eastAsia"/>
          <w:color w:val="auto"/>
          <w:kern w:val="0"/>
          <w:sz w:val="24"/>
        </w:rPr>
        <w:t>〔</w:t>
      </w:r>
      <w:r>
        <w:rPr>
          <w:color w:val="auto"/>
          <w:kern w:val="0"/>
          <w:sz w:val="24"/>
        </w:rPr>
        <w:t>依法必须招标的暂估价项目</w:t>
      </w:r>
      <w:r>
        <w:rPr>
          <w:rFonts w:hint="eastAsia"/>
          <w:color w:val="auto"/>
          <w:kern w:val="0"/>
          <w:sz w:val="24"/>
        </w:rPr>
        <w:t>〕</w:t>
      </w:r>
      <w:r>
        <w:rPr>
          <w:color w:val="auto"/>
          <w:kern w:val="0"/>
          <w:sz w:val="24"/>
        </w:rPr>
        <w:t>约定的第1种方式确定暂估价项目。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第3种方式：</w:t>
      </w:r>
      <w:r>
        <w:rPr>
          <w:color w:val="auto"/>
          <w:kern w:val="0"/>
          <w:sz w:val="24"/>
        </w:rPr>
        <w:t>承包人直接实施的暂估价项目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承包人具备实施暂估价项目的资格和条件的，经发包人和承包人协商一致后，可由承包人自行实施暂估价项目，合同当事人可以在专用合同条款约定具体事项。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20" w:name="_Toc351203575"/>
      <w:r>
        <w:rPr>
          <w:b/>
          <w:color w:val="auto"/>
          <w:sz w:val="24"/>
        </w:rPr>
        <w:t>1</w:t>
      </w:r>
      <w:bookmarkStart w:id="421" w:name="_Toc337558794"/>
      <w:bookmarkStart w:id="422" w:name="_Toc296503090"/>
      <w:bookmarkStart w:id="423" w:name="_Toc322522561"/>
      <w:bookmarkStart w:id="424" w:name="_Toc296346591"/>
      <w:r>
        <w:rPr>
          <w:b/>
          <w:color w:val="auto"/>
          <w:sz w:val="24"/>
        </w:rPr>
        <w:t>0.8暂列金额</w:t>
      </w:r>
      <w:bookmarkEnd w:id="420"/>
    </w:p>
    <w:bookmarkEnd w:id="42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暂列金额应按照发包人的要求使用，发包人的要求应通过监理人发出。</w:t>
      </w:r>
      <w:r>
        <w:rPr>
          <w:rFonts w:hint="eastAsia"/>
          <w:color w:val="auto"/>
          <w:kern w:val="0"/>
          <w:sz w:val="24"/>
        </w:rPr>
        <w:t>合同当事人可以在专用合同条款中协商确定有关事项。</w:t>
      </w:r>
    </w:p>
    <w:bookmarkEnd w:id="422"/>
    <w:bookmarkEnd w:id="423"/>
    <w:bookmarkEnd w:id="424"/>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25" w:name="_Toc351203576"/>
      <w:r>
        <w:rPr>
          <w:b/>
          <w:color w:val="auto"/>
          <w:sz w:val="24"/>
        </w:rPr>
        <w:t>1</w:t>
      </w:r>
      <w:bookmarkStart w:id="426" w:name="_Toc296346592"/>
      <w:bookmarkStart w:id="427" w:name="_Toc296503091"/>
      <w:bookmarkStart w:id="428" w:name="_Toc337558796"/>
      <w:r>
        <w:rPr>
          <w:b/>
          <w:color w:val="auto"/>
          <w:sz w:val="24"/>
        </w:rPr>
        <w:t>0.9计日工</w:t>
      </w:r>
      <w:bookmarkEnd w:id="425"/>
      <w:r>
        <w:rPr>
          <w:b/>
          <w:color w:val="auto"/>
          <w:sz w:val="24"/>
        </w:rPr>
        <w:t xml:space="preserve"> </w:t>
      </w:r>
      <w:bookmarkEnd w:id="426"/>
      <w:bookmarkEnd w:id="427"/>
      <w:bookmarkEnd w:id="4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需要采用计日工方式的，经发包人同意后</w:t>
      </w:r>
      <w:r>
        <w:rPr>
          <w:color w:val="auto"/>
          <w:kern w:val="0"/>
          <w:sz w:val="24"/>
        </w:rPr>
        <w:t>，由监理人通知承包人以计日工计价方式实施</w:t>
      </w:r>
      <w:r>
        <w:rPr>
          <w:rFonts w:hint="eastAsia"/>
          <w:color w:val="auto"/>
          <w:kern w:val="0"/>
          <w:sz w:val="24"/>
        </w:rPr>
        <w:t>相应</w:t>
      </w:r>
      <w:r>
        <w:rPr>
          <w:color w:val="auto"/>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确定</w:t>
      </w:r>
      <w:r>
        <w:rPr>
          <w:rFonts w:hint="eastAsia"/>
          <w:color w:val="auto"/>
          <w:kern w:val="0"/>
          <w:sz w:val="24"/>
        </w:rPr>
        <w:t>计日工</w:t>
      </w:r>
      <w:r>
        <w:rPr>
          <w:color w:val="auto"/>
          <w:kern w:val="0"/>
          <w:sz w:val="24"/>
        </w:rPr>
        <w:t>的单价。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采用计日工计价的任何一项工作，承包人应在该项工作实施过程中，每天提交以下报表和有关凭证报送监理人审查：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（1）工作名称、内容和数量；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（2）投入该工作的所有人员的姓名、专业、工种、级别和耗用工时；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（3）投入该工作的材料类别和数量；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（4）投入该工作的施工设备型号、台数和耗用台时；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（5）其他有关资料和凭证。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 计日工由承包人汇总后，列入最近一期进度付款申请单，由监理人审查并经发包人批准后列入进度付款。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29" w:name="_Toc351203577"/>
      <w:r>
        <w:rPr>
          <w:b/>
          <w:color w:val="auto"/>
          <w:sz w:val="24"/>
        </w:rPr>
        <w:t>11. 价格调整</w:t>
      </w:r>
      <w:bookmarkEnd w:id="42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30" w:name="_Toc351203578"/>
      <w:bookmarkStart w:id="431" w:name="_Toc296346593"/>
      <w:bookmarkStart w:id="432" w:name="_Toc296503092"/>
      <w:bookmarkStart w:id="433" w:name="_Toc337558797"/>
      <w:r>
        <w:rPr>
          <w:b/>
          <w:color w:val="auto"/>
          <w:sz w:val="24"/>
        </w:rPr>
        <w:t>11.1市场价格波动引起的调整</w:t>
      </w:r>
      <w:bookmarkEnd w:id="430"/>
    </w:p>
    <w:bookmarkEnd w:id="431"/>
    <w:bookmarkEnd w:id="432"/>
    <w:bookmarkEnd w:id="43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除专用合同条款另有约定外，市场价格波动超过合同当事人约定的范围，合同价格应当调整。合同当事人可以在专用合同条款中约定选择以下一种方式对合同价格进行调整：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第1种方式：采用价格指数</w:t>
      </w:r>
      <w:r>
        <w:rPr>
          <w:rFonts w:hint="eastAsia"/>
          <w:color w:val="auto"/>
          <w:sz w:val="24"/>
        </w:rPr>
        <w:t>进行价格</w:t>
      </w:r>
      <w:r>
        <w:rPr>
          <w:color w:val="auto"/>
          <w:sz w:val="24"/>
        </w:rPr>
        <w:t>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（1）价格调整公式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因人工、材料和设备等价格波动影响合同价格时，根据专用合同条款中约定的数据，按以下公式计算差额并调整合同价格：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position w:val="-30"/>
          <w:sz w:val="24"/>
        </w:rPr>
        <w:object>
          <v:shape id="_x0000_i1025" o:spt="75" type="#_x0000_t75" style="height:43.55pt;width:360pt;" o:ole="t" filled="f" o:preferrelative="t" stroked="f" coordsize="21600,21600">
            <v:path/>
            <v:fill on="f" focussize="0,0"/>
            <v:stroke on="f" joinstyle="miter"/>
            <v:imagedata r:id="rId20" o:title=""/>
            <o:lock v:ext="edit" aspectratio="t"/>
            <w10:wrap type="none"/>
            <w10:anchorlock/>
          </v:shape>
          <o:OLEObject Type="Embed" ProgID="Equations" ShapeID="_x0000_i1025" DrawAspect="Content" ObjectID="_1468075725" r:id="rId19">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公式中：ΔP——需调整的价格差额；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position w:val="-6"/>
          <w:sz w:val="24"/>
        </w:rPr>
        <w:object>
          <v:shape id="_x0000_i1026" o:spt="75" type="#_x0000_t75" style="height:17.6pt;width:17.6pt;" o:ole="t" filled="f" o:preferrelative="t" stroked="f" coordsize="21600,21600">
            <v:path/>
            <v:fill on="f" focussize="0,0"/>
            <v:stroke on="f" joinstyle="miter"/>
            <v:imagedata r:id="rId22" o:title=""/>
            <o:lock v:ext="edit" aspectratio="t"/>
            <w10:wrap type="none"/>
            <w10:anchorlock/>
          </v:shape>
          <o:OLEObject Type="Embed" ProgID="Equations" ShapeID="_x0000_i1026" DrawAspect="Content" ObjectID="_1468075726" r:id="rId21">
            <o:LockedField>false</o:LockedField>
          </o:OLEObject>
        </w:object>
      </w:r>
      <w:r>
        <w:rPr>
          <w:color w:val="auto"/>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A——定值权重（即不调部分的权重）；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position w:val="-10"/>
          <w:sz w:val="24"/>
        </w:rPr>
        <w:object>
          <v:shape id="_x0000_i1027" o:spt="75" type="#_x0000_t75" style="height:20.95pt;width:101.3pt;" o:ole="t" filled="f" o:preferrelative="t" stroked="f" coordsize="21600,21600">
            <v:path/>
            <v:fill on="f" focussize="0,0"/>
            <v:stroke on="f" joinstyle="miter"/>
            <v:imagedata r:id="rId24" o:title=""/>
            <o:lock v:ext="edit" aspectratio="t"/>
            <w10:wrap type="none"/>
            <w10:anchorlock/>
          </v:shape>
          <o:OLEObject Type="Embed" ProgID="Equations" ShapeID="_x0000_i1027" DrawAspect="Content" ObjectID="_1468075727" r:id="rId23">
            <o:LockedField>false</o:LockedField>
          </o:OLEObject>
        </w:object>
      </w:r>
      <w:r>
        <w:rPr>
          <w:color w:val="auto"/>
          <w:sz w:val="24"/>
        </w:rPr>
        <w:t>——各可调因子的变值权重（即可调部分的权重），为各可调因子在签约合同价中所占的比例；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position w:val="-10"/>
          <w:sz w:val="24"/>
        </w:rPr>
        <w:object>
          <v:shape id="_x0000_i1028" o:spt="75" type="#_x0000_t75" style="height:20.95pt;width:102.15pt;" o:ole="t" filled="f" o:preferrelative="t" stroked="f" coordsize="21600,21600">
            <v:path/>
            <v:fill on="f" focussize="0,0"/>
            <v:stroke on="f" joinstyle="miter"/>
            <v:imagedata r:id="rId26" o:title=""/>
            <o:lock v:ext="edit" aspectratio="t"/>
            <w10:wrap type="none"/>
            <w10:anchorlock/>
          </v:shape>
          <o:OLEObject Type="Embed" ProgID="Equations" ShapeID="_x0000_i1028" DrawAspect="Content" ObjectID="_1468075728" r:id="rId25">
            <o:LockedField>false</o:LockedField>
          </o:OLEObject>
        </w:object>
      </w:r>
      <w:r>
        <w:rPr>
          <w:color w:val="auto"/>
          <w:sz w:val="24"/>
        </w:rPr>
        <w:t>——各可调因子的现行价格指数，指约定的付款证书相关周期最后一天的前42天的各可调因子的价格指数；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position w:val="-10"/>
          <w:sz w:val="24"/>
        </w:rPr>
        <w:object>
          <v:shape id="_x0000_i1029" o:spt="75" type="#_x0000_t75" style="height:20.1pt;width:108pt;" o:ole="t" filled="f" o:preferrelative="t" stroked="f" coordsize="21600,21600">
            <v:path/>
            <v:fill on="f" focussize="0,0"/>
            <v:stroke on="f" joinstyle="miter"/>
            <v:imagedata r:id="rId28" o:title=""/>
            <o:lock v:ext="edit" aspectratio="t"/>
            <w10:wrap type="none"/>
            <w10:anchorlock/>
          </v:shape>
          <o:OLEObject Type="Embed" ProgID="Equations" ShapeID="_x0000_i1029" DrawAspect="Content" ObjectID="_1468075729" r:id="rId27">
            <o:LockedField>false</o:LockedField>
          </o:OLEObject>
        </w:object>
      </w:r>
      <w:r>
        <w:rPr>
          <w:color w:val="auto"/>
          <w:sz w:val="24"/>
        </w:rPr>
        <w:t>——各可调因子的基本价格指数，指基准日期的各可调因子的价格指数。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（2）暂时确定调整差额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在计算调整差额时无现行价格指数的，合同当事人同意暂用前次价格指数计算。实际价格指数有调整的，合同当事人进行相应调整。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（3）权重的调整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因变更导致合同约定的权重不合理时，按照第4.4款</w:t>
      </w:r>
      <w:r>
        <w:rPr>
          <w:rFonts w:hint="eastAsia"/>
          <w:color w:val="auto"/>
          <w:sz w:val="24"/>
        </w:rPr>
        <w:t>〔</w:t>
      </w:r>
      <w:r>
        <w:rPr>
          <w:color w:val="auto"/>
          <w:sz w:val="24"/>
        </w:rPr>
        <w:t>商定或确定</w:t>
      </w:r>
      <w:r>
        <w:rPr>
          <w:rFonts w:hint="eastAsia"/>
          <w:color w:val="auto"/>
          <w:sz w:val="24"/>
        </w:rPr>
        <w:t>〕</w:t>
      </w:r>
      <w:r>
        <w:rPr>
          <w:color w:val="auto"/>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（4）因承包人原因工期延误后的价格调整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因承包人原因未按期竣工的，对合同约定的竣工日期后继续施工的工程，在使用价格调整公式时，应采用计划竣工日期与实际竣工日期的两个价格指数中较低的一个作为现行价格指数。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第2种方式：采用造价信息</w:t>
      </w:r>
      <w:r>
        <w:rPr>
          <w:rFonts w:hint="eastAsia"/>
          <w:color w:val="auto"/>
          <w:sz w:val="24"/>
        </w:rPr>
        <w:t>进行价格</w:t>
      </w:r>
      <w:r>
        <w:rPr>
          <w:color w:val="auto"/>
          <w:sz w:val="24"/>
        </w:rPr>
        <w:t>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color w:val="auto"/>
          <w:sz w:val="24"/>
        </w:rPr>
        <w:t>量</w:t>
      </w:r>
      <w:r>
        <w:rPr>
          <w:color w:val="auto"/>
          <w:sz w:val="24"/>
        </w:rPr>
        <w:t>应由发包人审批，发包人确认需调整的材料单价及数量，作为调整合同价格的依据。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（2）材料、工程设备价格变化的价款调整按照发包人提供的基准价格，按以下风险范围规定执行: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s="宋体"/>
          <w:color w:val="auto"/>
          <w:sz w:val="24"/>
        </w:rPr>
        <w:t>①</w:t>
      </w:r>
      <w:r>
        <w:rPr>
          <w:color w:val="auto"/>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s="宋体"/>
          <w:color w:val="auto"/>
          <w:sz w:val="24"/>
        </w:rPr>
        <w:t>②</w:t>
      </w:r>
      <w:r>
        <w:rPr>
          <w:color w:val="auto"/>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s="宋体"/>
          <w:color w:val="auto"/>
          <w:sz w:val="24"/>
        </w:rPr>
        <w:t>③</w:t>
      </w:r>
      <w:r>
        <w:rPr>
          <w:color w:val="auto"/>
          <w:sz w:val="24"/>
        </w:rPr>
        <w:t>承包人在已标价工程量清单或预算书中载明材料单价等于基准价格的：除专用合同条款另有约定外，合同履行期间材料单价涨跌幅以基准价格为基础超过±5%时，其超过部分据实调整。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s="宋体"/>
          <w:color w:val="auto"/>
          <w:sz w:val="24"/>
        </w:rPr>
        <w:t>④</w:t>
      </w:r>
      <w:r>
        <w:rPr>
          <w:color w:val="auto"/>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前述基准价格是指由发包人在</w:t>
      </w:r>
      <w:r>
        <w:rPr>
          <w:rFonts w:hint="eastAsia"/>
          <w:color w:val="auto"/>
          <w:sz w:val="24"/>
          <w:lang w:eastAsia="zh-CN"/>
        </w:rPr>
        <w:t>采购文件</w:t>
      </w:r>
      <w:r>
        <w:rPr>
          <w:color w:val="auto"/>
          <w:sz w:val="24"/>
        </w:rPr>
        <w:t>或专用合同条款中给定的材料、工程设备的价格，该价格原则上应当按照省级或行业建设主管部门或其授权的工程造价管理机构发布的信息价编制。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（3）施工机械台班单价或施工机械使用费发生变化超过省级或行业建设主管部门或其授权的工程造价管理机构规定的范围时，按规定调整合同价格。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第3种方式：专用合同条款约定的其他方式。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34" w:name="_Toc351203579"/>
      <w:bookmarkStart w:id="435" w:name="_Toc296503093"/>
      <w:bookmarkStart w:id="436" w:name="_Toc296346594"/>
      <w:bookmarkStart w:id="437" w:name="_Toc337558798"/>
      <w:r>
        <w:rPr>
          <w:b/>
          <w:color w:val="auto"/>
          <w:sz w:val="24"/>
        </w:rPr>
        <w:t>11.2法律变化引起的调整</w:t>
      </w:r>
      <w:bookmarkEnd w:id="434"/>
    </w:p>
    <w:bookmarkEnd w:id="435"/>
    <w:bookmarkEnd w:id="436"/>
    <w:bookmarkEnd w:id="43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基准日</w:t>
      </w:r>
      <w:r>
        <w:rPr>
          <w:rFonts w:hint="eastAsia"/>
          <w:color w:val="auto"/>
          <w:sz w:val="24"/>
        </w:rPr>
        <w:t>期</w:t>
      </w:r>
      <w:r>
        <w:rPr>
          <w:color w:val="auto"/>
          <w:sz w:val="24"/>
        </w:rPr>
        <w:t>后，法律变化</w:t>
      </w:r>
      <w:r>
        <w:rPr>
          <w:rFonts w:hint="eastAsia"/>
          <w:color w:val="auto"/>
          <w:sz w:val="24"/>
        </w:rPr>
        <w:t>导致承包人在合同履行过程中所需要的费用发生除第11.1款〔市场价格波动引起的调整〕约定以外的增加时，由发包人承担由此增加的费用；减少时，应从合同价格中予以扣减。</w:t>
      </w:r>
      <w:r>
        <w:rPr>
          <w:color w:val="auto"/>
          <w:sz w:val="24"/>
        </w:rPr>
        <w:t>基准日</w:t>
      </w:r>
      <w:r>
        <w:rPr>
          <w:rFonts w:hint="eastAsia"/>
          <w:color w:val="auto"/>
          <w:sz w:val="24"/>
        </w:rPr>
        <w:t>期</w:t>
      </w:r>
      <w:r>
        <w:rPr>
          <w:color w:val="auto"/>
          <w:sz w:val="24"/>
        </w:rPr>
        <w:t>后，</w:t>
      </w:r>
      <w:r>
        <w:rPr>
          <w:rFonts w:hint="eastAsia"/>
          <w:color w:val="auto"/>
          <w:sz w:val="24"/>
        </w:rPr>
        <w:t>因</w:t>
      </w:r>
      <w:r>
        <w:rPr>
          <w:color w:val="auto"/>
          <w:sz w:val="24"/>
        </w:rPr>
        <w:t>法律变化</w:t>
      </w:r>
      <w:r>
        <w:rPr>
          <w:rFonts w:hint="eastAsia"/>
          <w:color w:val="auto"/>
          <w:sz w:val="24"/>
        </w:rPr>
        <w:t>造成工期延误时，工期应予以顺延。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rFonts w:hint="eastAsia"/>
          <w:color w:val="auto"/>
          <w:sz w:val="24"/>
        </w:rPr>
        <w:t>因法律变化引起的合同价格和工期调整，合同当事人无法达成一致的，由总监理工程师按第4.4款〔商定或确定〕的约定处理。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因承包人原因造成工期延误，在工期延误期间出现法律变化的，由此增加的费用和（或）延误的工期由承包人承担。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38" w:name="_Toc351203580"/>
      <w:bookmarkStart w:id="439" w:name="_Toc337558799"/>
      <w:bookmarkStart w:id="440" w:name="_Toc296346597"/>
      <w:bookmarkStart w:id="441" w:name="_Toc296503096"/>
      <w:r>
        <w:rPr>
          <w:b/>
          <w:color w:val="auto"/>
          <w:sz w:val="24"/>
        </w:rPr>
        <w:t>12. 合同价格、计量与支付</w:t>
      </w:r>
      <w:bookmarkEnd w:id="438"/>
    </w:p>
    <w:bookmarkEnd w:id="439"/>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42" w:name="_Toc351203581"/>
      <w:bookmarkStart w:id="443" w:name="_Toc337558800"/>
      <w:r>
        <w:rPr>
          <w:b/>
          <w:color w:val="auto"/>
          <w:sz w:val="24"/>
        </w:rPr>
        <w:t>12.1 合同价</w:t>
      </w:r>
      <w:bookmarkEnd w:id="440"/>
      <w:bookmarkEnd w:id="441"/>
      <w:r>
        <w:rPr>
          <w:b/>
          <w:color w:val="auto"/>
          <w:sz w:val="24"/>
        </w:rPr>
        <w:t>格形式</w:t>
      </w:r>
      <w:bookmarkEnd w:id="442"/>
    </w:p>
    <w:bookmarkEnd w:id="44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发包人和承包人应在合同协议书中</w:t>
      </w:r>
      <w:r>
        <w:rPr>
          <w:rFonts w:hint="eastAsia"/>
          <w:color w:val="auto"/>
          <w:kern w:val="0"/>
          <w:sz w:val="24"/>
        </w:rPr>
        <w:t>选择</w:t>
      </w:r>
      <w:r>
        <w:rPr>
          <w:color w:val="auto"/>
          <w:kern w:val="0"/>
          <w:sz w:val="24"/>
        </w:rPr>
        <w:t xml:space="preserve">下列一种合同价格形式：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1、单价合同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单价合同是指合同当事人约定以工程量清单及其综合单价进行合同价格计算、调整和确认的建设工程施工合同，</w:t>
      </w:r>
      <w:r>
        <w:rPr>
          <w:color w:val="auto"/>
          <w:sz w:val="24"/>
        </w:rPr>
        <w:t>在约定的范围内合同单价不作调整</w:t>
      </w:r>
      <w:r>
        <w:rPr>
          <w:color w:val="auto"/>
          <w:kern w:val="0"/>
          <w:sz w:val="24"/>
        </w:rPr>
        <w:t>。合同当事人应在专用合同条款中约定综合单价包含的风险范围和风险费用的计算方法</w:t>
      </w:r>
      <w:r>
        <w:rPr>
          <w:color w:val="auto"/>
          <w:sz w:val="24"/>
        </w:rPr>
        <w:t>，</w:t>
      </w:r>
      <w:r>
        <w:rPr>
          <w:color w:val="auto"/>
          <w:kern w:val="0"/>
          <w:sz w:val="24"/>
        </w:rPr>
        <w:t>并约定风险范围以外的合同价格的调整方法，其中因市场价格波动引起的调整按第11.1款</w:t>
      </w:r>
      <w:r>
        <w:rPr>
          <w:rFonts w:hint="eastAsia"/>
          <w:color w:val="auto"/>
          <w:kern w:val="0"/>
          <w:sz w:val="24"/>
        </w:rPr>
        <w:t>〔</w:t>
      </w:r>
      <w:r>
        <w:rPr>
          <w:color w:val="auto"/>
          <w:kern w:val="0"/>
          <w:sz w:val="24"/>
        </w:rPr>
        <w:t>市场价格波动引起的调整</w:t>
      </w:r>
      <w:r>
        <w:rPr>
          <w:rFonts w:hint="eastAsia"/>
          <w:color w:val="auto"/>
          <w:kern w:val="0"/>
          <w:sz w:val="24"/>
        </w:rPr>
        <w:t>〕</w:t>
      </w:r>
      <w:r>
        <w:rPr>
          <w:color w:val="auto"/>
          <w:kern w:val="0"/>
          <w:sz w:val="24"/>
        </w:rPr>
        <w:t>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2、总价合同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总价合同是指合同当事人约定以施工图、已标价工程量清单或预算书及有关条件进行合同价格计算、调整和确认的建设工程施工合同，</w:t>
      </w:r>
      <w:r>
        <w:rPr>
          <w:color w:val="auto"/>
          <w:sz w:val="24"/>
        </w:rPr>
        <w:t>在约定的范围内合同总价不作调整</w:t>
      </w:r>
      <w:r>
        <w:rPr>
          <w:color w:val="auto"/>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color w:val="auto"/>
          <w:kern w:val="0"/>
          <w:sz w:val="24"/>
        </w:rPr>
        <w:t>〔</w:t>
      </w:r>
      <w:r>
        <w:rPr>
          <w:color w:val="auto"/>
          <w:kern w:val="0"/>
          <w:sz w:val="24"/>
        </w:rPr>
        <w:t>市场价格波动引起的调整</w:t>
      </w:r>
      <w:r>
        <w:rPr>
          <w:rFonts w:hint="eastAsia"/>
          <w:color w:val="auto"/>
          <w:kern w:val="0"/>
          <w:sz w:val="24"/>
        </w:rPr>
        <w:t>〕</w:t>
      </w:r>
      <w:r>
        <w:rPr>
          <w:color w:val="auto"/>
          <w:kern w:val="0"/>
          <w:sz w:val="24"/>
        </w:rPr>
        <w:t>、因法律变化引起的调整按第11.2款</w:t>
      </w:r>
      <w:r>
        <w:rPr>
          <w:rFonts w:hint="eastAsia"/>
          <w:color w:val="auto"/>
          <w:kern w:val="0"/>
          <w:sz w:val="24"/>
        </w:rPr>
        <w:t>〔</w:t>
      </w:r>
      <w:r>
        <w:rPr>
          <w:color w:val="auto"/>
          <w:kern w:val="0"/>
          <w:sz w:val="24"/>
        </w:rPr>
        <w:t>法律变化引起的调整</w:t>
      </w:r>
      <w:r>
        <w:rPr>
          <w:rFonts w:hint="eastAsia"/>
          <w:color w:val="auto"/>
          <w:kern w:val="0"/>
          <w:sz w:val="24"/>
        </w:rPr>
        <w:t>〕</w:t>
      </w:r>
      <w:r>
        <w:rPr>
          <w:color w:val="auto"/>
          <w:kern w:val="0"/>
          <w:sz w:val="24"/>
        </w:rPr>
        <w:t>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w:t>
      </w:r>
      <w:r>
        <w:rPr>
          <w:rFonts w:hint="eastAsia"/>
          <w:color w:val="auto"/>
          <w:kern w:val="0"/>
          <w:sz w:val="24"/>
          <w:lang w:eastAsia="zh-CN"/>
        </w:rPr>
        <w:t>其他</w:t>
      </w:r>
      <w:r>
        <w:rPr>
          <w:color w:val="auto"/>
          <w:kern w:val="0"/>
          <w:sz w:val="24"/>
        </w:rPr>
        <w:t>价格形式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合同当事人可在专用合同条款中约定其他合同价格形式。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44" w:name="_Toc296346598"/>
      <w:bookmarkStart w:id="445" w:name="_Toc296503097"/>
      <w:bookmarkStart w:id="446" w:name="_Toc351203582"/>
      <w:bookmarkStart w:id="447" w:name="_Toc337558801"/>
      <w:r>
        <w:rPr>
          <w:b/>
          <w:color w:val="auto"/>
          <w:sz w:val="24"/>
        </w:rPr>
        <w:t>12.2预</w:t>
      </w:r>
      <w:bookmarkEnd w:id="444"/>
      <w:bookmarkEnd w:id="445"/>
      <w:bookmarkStart w:id="448" w:name="_Toc296346601"/>
      <w:bookmarkStart w:id="449" w:name="_Toc296503100"/>
      <w:r>
        <w:rPr>
          <w:b/>
          <w:color w:val="auto"/>
          <w:sz w:val="24"/>
        </w:rPr>
        <w:t>付款</w:t>
      </w:r>
      <w:bookmarkEnd w:id="446"/>
    </w:p>
    <w:bookmarkEnd w:id="447"/>
    <w:bookmarkEnd w:id="448"/>
    <w:bookmarkEnd w:id="44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12.2.</w:t>
      </w:r>
      <w:r>
        <w:rPr>
          <w:color w:val="auto"/>
          <w:kern w:val="0"/>
          <w:sz w:val="24"/>
        </w:rPr>
        <w:t>1预付款的支付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预付款的支付按照专用合同条款约定执行，但至迟应在开工通知载明的开工日期7天前支付。预付款应当用于材料、工程设备、施工设备的采购及修建临时工程、组织施工队伍进场等。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除专用合同条款另有约定外，预付款在进度付款中同比例扣回。在颁发工程接收证书前，提前解除合同的，尚未扣完的预付款应与合同价款一并结算。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发包人逾期支付预付款超过7天的，承包人有权向发包人发出要求预付的催告通知，发包人收到通知后7天内仍未支付的，承包人有权暂停施工，并按第16.1.1项</w:t>
      </w:r>
      <w:r>
        <w:rPr>
          <w:rFonts w:hint="eastAsia"/>
          <w:color w:val="auto"/>
          <w:kern w:val="0"/>
          <w:sz w:val="24"/>
        </w:rPr>
        <w:t>〔</w:t>
      </w:r>
      <w:r>
        <w:rPr>
          <w:color w:val="auto"/>
          <w:kern w:val="0"/>
          <w:sz w:val="24"/>
        </w:rPr>
        <w:t>发包人违约的情形</w:t>
      </w:r>
      <w:r>
        <w:rPr>
          <w:rFonts w:hint="eastAsia"/>
          <w:color w:val="auto"/>
          <w:kern w:val="0"/>
          <w:sz w:val="24"/>
        </w:rPr>
        <w:t>〕</w:t>
      </w:r>
      <w:r>
        <w:rPr>
          <w:color w:val="auto"/>
          <w:kern w:val="0"/>
          <w:sz w:val="24"/>
        </w:rPr>
        <w:t>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12.2.2 预付款担保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发包人要求承包人提供预付款担保的</w:t>
      </w:r>
      <w:r>
        <w:rPr>
          <w:color w:val="auto"/>
          <w:kern w:val="0"/>
          <w:sz w:val="24"/>
        </w:rPr>
        <w:t>，承包人应在发包人支付预付款7天前提供预付款担保</w:t>
      </w:r>
      <w:r>
        <w:rPr>
          <w:rFonts w:hint="eastAsia"/>
          <w:color w:val="auto"/>
          <w:kern w:val="0"/>
          <w:sz w:val="24"/>
        </w:rPr>
        <w:t>，</w:t>
      </w:r>
      <w:r>
        <w:rPr>
          <w:color w:val="auto"/>
          <w:kern w:val="0"/>
          <w:sz w:val="24"/>
        </w:rPr>
        <w:t>专用合同条款另有约定</w:t>
      </w:r>
      <w:r>
        <w:rPr>
          <w:rFonts w:hint="eastAsia"/>
          <w:color w:val="auto"/>
          <w:kern w:val="0"/>
          <w:sz w:val="24"/>
        </w:rPr>
        <w:t>除</w:t>
      </w:r>
      <w:r>
        <w:rPr>
          <w:color w:val="auto"/>
          <w:kern w:val="0"/>
          <w:sz w:val="24"/>
        </w:rPr>
        <w:t>外。预付款担保可采用银行保函、担保公司担保等形式，具体由合同当事人在专用合同条款中约定。在预付款完全扣回之前，承包人应保证预付款担保持续有效。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发包人在工程款中逐期扣回预付款后，预付款担保额度应相应减少，但剩余的预付款担保金额不得低于未被扣回的预付款金额。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50" w:name="_Toc351203583"/>
      <w:bookmarkStart w:id="451" w:name="_Toc337558802"/>
      <w:r>
        <w:rPr>
          <w:b/>
          <w:color w:val="auto"/>
          <w:sz w:val="24"/>
        </w:rPr>
        <w:t>12.3计量</w:t>
      </w:r>
      <w:bookmarkEnd w:id="450"/>
    </w:p>
    <w:bookmarkEnd w:id="45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12.3.1 计量原则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工程量计量按照合同约定的工程量计算规则、图纸及变更指示</w:t>
      </w:r>
      <w:r>
        <w:rPr>
          <w:rFonts w:hint="eastAsia"/>
          <w:color w:val="auto"/>
          <w:kern w:val="0"/>
          <w:sz w:val="24"/>
        </w:rPr>
        <w:t>等</w:t>
      </w:r>
      <w:r>
        <w:rPr>
          <w:color w:val="auto"/>
          <w:kern w:val="0"/>
          <w:sz w:val="24"/>
        </w:rPr>
        <w:t>进行计量。工程量计算规则应以相关的国家标准、行业标准</w:t>
      </w:r>
      <w:r>
        <w:rPr>
          <w:rFonts w:hint="eastAsia"/>
          <w:color w:val="auto"/>
          <w:kern w:val="0"/>
          <w:sz w:val="24"/>
        </w:rPr>
        <w:t>等</w:t>
      </w:r>
      <w:r>
        <w:rPr>
          <w:color w:val="auto"/>
          <w:kern w:val="0"/>
          <w:sz w:val="24"/>
        </w:rPr>
        <w:t>为依据，由合同当事人在专用合同条款中约定。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12.3.2 计量周期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除专用合同条款另有约定外，工程量的计量按月进行。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12.3.3 单价合同的计量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除专用合同条款另有约定外，单价合同的计量按照本项约定执行：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（1）承包人应于每月25日向监理人报送上月20日至当月19日已完成的工程量报告，并附具进度付款申请单、已完成工程量报表和有关资料。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（3）监理人未在收到承包人提交的工程量报表后的7天内完成审核的，承包人报送的工程量报告中的工程量视为承包人实际完成的工程量，据此计算工程价款。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12.3.4 总价合同的计量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除专用合同条款另有约定外，按</w:t>
      </w:r>
      <w:r>
        <w:rPr>
          <w:rFonts w:hint="eastAsia"/>
          <w:color w:val="auto"/>
          <w:kern w:val="0"/>
          <w:sz w:val="24"/>
        </w:rPr>
        <w:t>月计量支付</w:t>
      </w:r>
      <w:r>
        <w:rPr>
          <w:color w:val="auto"/>
          <w:kern w:val="0"/>
          <w:sz w:val="24"/>
        </w:rPr>
        <w:t>的总价合同，按照本项约定执行：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（1）承包人应于每月25日向监理人报送上月20日至当月19日已完成的工程量报告，并附具进度付款申请单、已完成工程量报表和有关资料。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（3）监理人未在收到承包人提交的工程量报表后的7天内完成复核的，承包人提交的工程量报告中的工程量视为承包人实际完成的工程量。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12.3.5 总价合同采用支付分解表计量支付的，可以按照第12.3.4项</w:t>
      </w:r>
      <w:r>
        <w:rPr>
          <w:rFonts w:hint="eastAsia"/>
          <w:color w:val="auto"/>
          <w:kern w:val="0"/>
          <w:sz w:val="24"/>
        </w:rPr>
        <w:t>〔</w:t>
      </w:r>
      <w:r>
        <w:rPr>
          <w:color w:val="auto"/>
          <w:kern w:val="0"/>
          <w:sz w:val="24"/>
        </w:rPr>
        <w:t>总价合同的计量</w:t>
      </w:r>
      <w:r>
        <w:rPr>
          <w:rFonts w:hint="eastAsia"/>
          <w:color w:val="auto"/>
          <w:kern w:val="0"/>
          <w:sz w:val="24"/>
        </w:rPr>
        <w:t>〕</w:t>
      </w:r>
      <w:r>
        <w:rPr>
          <w:color w:val="auto"/>
          <w:kern w:val="0"/>
          <w:sz w:val="24"/>
        </w:rPr>
        <w:t>约定进行计量，但合同价款按照支付分解表进行支付。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12.3.6 其他价格形式合同的计量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合同当事人可在专用合同条款中约定其他价格形式合同的计量方式和程序。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52" w:name="_Toc296346602"/>
      <w:bookmarkStart w:id="453" w:name="_Toc296503101"/>
      <w:bookmarkStart w:id="454" w:name="_Toc351203584"/>
      <w:bookmarkStart w:id="455" w:name="_Toc337558803"/>
      <w:r>
        <w:rPr>
          <w:b/>
          <w:color w:val="auto"/>
          <w:sz w:val="24"/>
        </w:rPr>
        <w:t>12.4工程进度款支</w:t>
      </w:r>
      <w:bookmarkEnd w:id="452"/>
      <w:bookmarkEnd w:id="453"/>
      <w:r>
        <w:rPr>
          <w:b/>
          <w:color w:val="auto"/>
          <w:sz w:val="24"/>
        </w:rPr>
        <w:t>付</w:t>
      </w:r>
      <w:bookmarkEnd w:id="454"/>
    </w:p>
    <w:bookmarkEnd w:id="45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12.4</w:t>
      </w:r>
      <w:r>
        <w:rPr>
          <w:color w:val="auto"/>
          <w:kern w:val="0"/>
          <w:sz w:val="24"/>
        </w:rPr>
        <w:t>.1 付款周期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除专用合同条款另有约定外，付款周期应按照第12.3.2</w:t>
      </w:r>
      <w:r>
        <w:rPr>
          <w:rFonts w:hint="eastAsia"/>
          <w:color w:val="auto"/>
          <w:kern w:val="0"/>
          <w:sz w:val="24"/>
        </w:rPr>
        <w:t>项〔</w:t>
      </w:r>
      <w:r>
        <w:rPr>
          <w:color w:val="auto"/>
          <w:kern w:val="0"/>
          <w:sz w:val="24"/>
        </w:rPr>
        <w:t>计量周期</w:t>
      </w:r>
      <w:r>
        <w:rPr>
          <w:rFonts w:hint="eastAsia"/>
          <w:color w:val="auto"/>
          <w:kern w:val="0"/>
          <w:sz w:val="24"/>
        </w:rPr>
        <w:t>〕</w:t>
      </w:r>
      <w:r>
        <w:rPr>
          <w:color w:val="auto"/>
          <w:kern w:val="0"/>
          <w:sz w:val="24"/>
        </w:rPr>
        <w:t>的约定与计量周期保持一致。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12.4</w:t>
      </w:r>
      <w:r>
        <w:rPr>
          <w:color w:val="auto"/>
          <w:kern w:val="0"/>
          <w:sz w:val="24"/>
        </w:rPr>
        <w:t>.2 进度付款申请单的编制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除专用合同条款另有约定外，进度付款申请单应包括下列内容：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（1）截至本次付款周期已完成工作对应的金额；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（2）根据第10条</w:t>
      </w:r>
      <w:r>
        <w:rPr>
          <w:rFonts w:hint="eastAsia"/>
          <w:color w:val="auto"/>
          <w:kern w:val="0"/>
          <w:sz w:val="24"/>
        </w:rPr>
        <w:t>〔</w:t>
      </w:r>
      <w:r>
        <w:rPr>
          <w:color w:val="auto"/>
          <w:kern w:val="0"/>
          <w:sz w:val="24"/>
        </w:rPr>
        <w:t>变更</w:t>
      </w:r>
      <w:r>
        <w:rPr>
          <w:rFonts w:hint="eastAsia"/>
          <w:color w:val="auto"/>
          <w:kern w:val="0"/>
          <w:sz w:val="24"/>
        </w:rPr>
        <w:t>〕</w:t>
      </w:r>
      <w:r>
        <w:rPr>
          <w:color w:val="auto"/>
          <w:kern w:val="0"/>
          <w:sz w:val="24"/>
        </w:rPr>
        <w:t>应增加和扣减的变更金额；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（3）根据第12.2款</w:t>
      </w:r>
      <w:r>
        <w:rPr>
          <w:rFonts w:hint="eastAsia"/>
          <w:color w:val="auto"/>
          <w:kern w:val="0"/>
          <w:sz w:val="24"/>
        </w:rPr>
        <w:t>〔</w:t>
      </w:r>
      <w:r>
        <w:rPr>
          <w:color w:val="auto"/>
          <w:kern w:val="0"/>
          <w:sz w:val="24"/>
        </w:rPr>
        <w:t>预付款</w:t>
      </w:r>
      <w:r>
        <w:rPr>
          <w:rFonts w:hint="eastAsia"/>
          <w:color w:val="auto"/>
          <w:kern w:val="0"/>
          <w:sz w:val="24"/>
        </w:rPr>
        <w:t>〕</w:t>
      </w:r>
      <w:r>
        <w:rPr>
          <w:color w:val="auto"/>
          <w:kern w:val="0"/>
          <w:sz w:val="24"/>
        </w:rPr>
        <w:t>约定应支付的预付款和扣减的返还预付款；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（4）根据第15.3款</w:t>
      </w:r>
      <w:r>
        <w:rPr>
          <w:rFonts w:hint="eastAsia"/>
          <w:color w:val="auto"/>
          <w:kern w:val="0"/>
          <w:sz w:val="24"/>
        </w:rPr>
        <w:t>〔</w:t>
      </w:r>
      <w:r>
        <w:rPr>
          <w:color w:val="auto"/>
          <w:kern w:val="0"/>
          <w:sz w:val="24"/>
        </w:rPr>
        <w:t>质量保证金</w:t>
      </w:r>
      <w:r>
        <w:rPr>
          <w:rFonts w:hint="eastAsia"/>
          <w:color w:val="auto"/>
          <w:kern w:val="0"/>
          <w:sz w:val="24"/>
        </w:rPr>
        <w:t>〕</w:t>
      </w:r>
      <w:r>
        <w:rPr>
          <w:color w:val="auto"/>
          <w:kern w:val="0"/>
          <w:sz w:val="24"/>
        </w:rPr>
        <w:t>约定应扣减的质量保证金；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（5）根据第19条</w:t>
      </w:r>
      <w:r>
        <w:rPr>
          <w:rFonts w:hint="eastAsia"/>
          <w:color w:val="auto"/>
          <w:kern w:val="0"/>
          <w:sz w:val="24"/>
        </w:rPr>
        <w:t>〔</w:t>
      </w:r>
      <w:r>
        <w:rPr>
          <w:color w:val="auto"/>
          <w:kern w:val="0"/>
          <w:sz w:val="24"/>
        </w:rPr>
        <w:t>索赔</w:t>
      </w:r>
      <w:r>
        <w:rPr>
          <w:rFonts w:hint="eastAsia"/>
          <w:color w:val="auto"/>
          <w:kern w:val="0"/>
          <w:sz w:val="24"/>
        </w:rPr>
        <w:t>〕</w:t>
      </w:r>
      <w:r>
        <w:rPr>
          <w:color w:val="auto"/>
          <w:kern w:val="0"/>
          <w:sz w:val="24"/>
        </w:rPr>
        <w:t>应增加和扣减的索赔金额；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（6）对已签发的进度款支付证书中出现错误的修正，应在本次进度付款中支付或扣除的金额；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（7）根据合同约定应增加和扣减的其他金额。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12.4.3 进度付款申请单的提交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（1）单价合同进度付款申请单的提交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单价合同的进度付款申请单，按照第12.3.3项</w:t>
      </w:r>
      <w:r>
        <w:rPr>
          <w:rFonts w:hint="eastAsia"/>
          <w:color w:val="auto"/>
          <w:kern w:val="0"/>
          <w:sz w:val="24"/>
        </w:rPr>
        <w:t>〔</w:t>
      </w:r>
      <w:r>
        <w:rPr>
          <w:color w:val="auto"/>
          <w:kern w:val="0"/>
          <w:sz w:val="24"/>
        </w:rPr>
        <w:t>单价合同的计量</w:t>
      </w:r>
      <w:r>
        <w:rPr>
          <w:rFonts w:hint="eastAsia"/>
          <w:color w:val="auto"/>
          <w:kern w:val="0"/>
          <w:sz w:val="24"/>
        </w:rPr>
        <w:t>〕</w:t>
      </w:r>
      <w:r>
        <w:rPr>
          <w:color w:val="auto"/>
          <w:kern w:val="0"/>
          <w:sz w:val="24"/>
        </w:rPr>
        <w:t>约定的时间按月向监理人提交，并附上已完成工程量报表和有关资料。单价合同中的总价项目按月进行支付分解，并汇总列入当期进度付款申请单。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（2）总价合同进度付款申请单的提交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总价合同按</w:t>
      </w:r>
      <w:r>
        <w:rPr>
          <w:rFonts w:hint="eastAsia"/>
          <w:color w:val="auto"/>
          <w:kern w:val="0"/>
          <w:sz w:val="24"/>
        </w:rPr>
        <w:t>月计量支付的</w:t>
      </w:r>
      <w:r>
        <w:rPr>
          <w:color w:val="auto"/>
          <w:kern w:val="0"/>
          <w:sz w:val="24"/>
        </w:rPr>
        <w:t>，承包人按照第12.3.4项</w:t>
      </w:r>
      <w:r>
        <w:rPr>
          <w:rFonts w:hint="eastAsia"/>
          <w:color w:val="auto"/>
          <w:kern w:val="0"/>
          <w:sz w:val="24"/>
        </w:rPr>
        <w:t>〔</w:t>
      </w:r>
      <w:r>
        <w:rPr>
          <w:color w:val="auto"/>
          <w:kern w:val="0"/>
          <w:sz w:val="24"/>
        </w:rPr>
        <w:t>总价合同的计量</w:t>
      </w:r>
      <w:r>
        <w:rPr>
          <w:rFonts w:hint="eastAsia"/>
          <w:color w:val="auto"/>
          <w:kern w:val="0"/>
          <w:sz w:val="24"/>
        </w:rPr>
        <w:t>〕</w:t>
      </w:r>
      <w:r>
        <w:rPr>
          <w:color w:val="auto"/>
          <w:kern w:val="0"/>
          <w:sz w:val="24"/>
        </w:rPr>
        <w:t>约定的时间按月向监理人提交进度付款申请单，并附上已完成工程量报表和有关资料。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总价合同按支付分解表支付的，承包人应按照第12.4.6项</w:t>
      </w:r>
      <w:r>
        <w:rPr>
          <w:rFonts w:hint="eastAsia"/>
          <w:color w:val="auto"/>
          <w:kern w:val="0"/>
          <w:sz w:val="24"/>
        </w:rPr>
        <w:t>〔</w:t>
      </w:r>
      <w:r>
        <w:rPr>
          <w:color w:val="auto"/>
          <w:kern w:val="0"/>
          <w:sz w:val="24"/>
        </w:rPr>
        <w:t>支付分解表</w:t>
      </w:r>
      <w:r>
        <w:rPr>
          <w:rFonts w:hint="eastAsia"/>
          <w:color w:val="auto"/>
          <w:kern w:val="0"/>
          <w:sz w:val="24"/>
        </w:rPr>
        <w:t>〕</w:t>
      </w:r>
      <w:r>
        <w:rPr>
          <w:color w:val="auto"/>
          <w:kern w:val="0"/>
          <w:sz w:val="24"/>
        </w:rPr>
        <w:t>及第12.4.2项</w:t>
      </w:r>
      <w:r>
        <w:rPr>
          <w:rFonts w:hint="eastAsia"/>
          <w:color w:val="auto"/>
          <w:kern w:val="0"/>
          <w:sz w:val="24"/>
        </w:rPr>
        <w:t>〔</w:t>
      </w:r>
      <w:r>
        <w:rPr>
          <w:color w:val="auto"/>
          <w:kern w:val="0"/>
          <w:sz w:val="24"/>
        </w:rPr>
        <w:t>进度付款申请单的编制</w:t>
      </w:r>
      <w:r>
        <w:rPr>
          <w:rFonts w:hint="eastAsia"/>
          <w:color w:val="auto"/>
          <w:kern w:val="0"/>
          <w:sz w:val="24"/>
        </w:rPr>
        <w:t>〕</w:t>
      </w:r>
      <w:r>
        <w:rPr>
          <w:color w:val="auto"/>
          <w:kern w:val="0"/>
          <w:sz w:val="24"/>
        </w:rPr>
        <w:t>的约定向监理人提交进度付款申请单。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（3）其他价格形式合同的进度付款申请单的提交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合同当事人可在专用合同条款中约定其他价格形式合同的进度付款申请单的编制和提交程序。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12.4</w:t>
      </w:r>
      <w:r>
        <w:rPr>
          <w:color w:val="auto"/>
          <w:kern w:val="0"/>
          <w:sz w:val="24"/>
        </w:rPr>
        <w:t>.4 进度款审核和支付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color w:val="auto"/>
          <w:kern w:val="0"/>
          <w:sz w:val="24"/>
        </w:rPr>
        <w:t>审批</w:t>
      </w:r>
      <w:r>
        <w:rPr>
          <w:color w:val="auto"/>
          <w:kern w:val="0"/>
          <w:sz w:val="24"/>
        </w:rPr>
        <w:t>且未提出异议的，视为已签发进度款支付证书。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的约定处理。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（3）发包人签发进度款支付证书或临时进度款支付证书，不表明发包人已同意、批准或接受了承包人完成的相应部分的工作。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12.4.5 进度付款的修正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在对已签发的进度款支付证书进行阶段汇总和复核中发现错误、遗漏或重复的，发包人和承包人均有权提出修正申请。经发包人和承包人同意的修正，应在下期进度付款中支付或扣除。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12.4.6 支付分解表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1、支付分解表的编制要求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（1）支付分解表中所列的每期付款金额，应为第12.4.2项</w:t>
      </w:r>
      <w:r>
        <w:rPr>
          <w:rFonts w:hint="eastAsia"/>
          <w:color w:val="auto"/>
          <w:kern w:val="0"/>
          <w:sz w:val="24"/>
        </w:rPr>
        <w:t>〔</w:t>
      </w:r>
      <w:r>
        <w:rPr>
          <w:color w:val="auto"/>
          <w:kern w:val="0"/>
          <w:sz w:val="24"/>
        </w:rPr>
        <w:t>进度付款申请单的编制</w:t>
      </w:r>
      <w:r>
        <w:rPr>
          <w:rFonts w:hint="eastAsia"/>
          <w:color w:val="auto"/>
          <w:kern w:val="0"/>
          <w:sz w:val="24"/>
        </w:rPr>
        <w:t>〕</w:t>
      </w:r>
      <w:r>
        <w:rPr>
          <w:color w:val="auto"/>
          <w:kern w:val="0"/>
          <w:sz w:val="24"/>
        </w:rPr>
        <w:t>第（1）</w:t>
      </w:r>
      <w:r>
        <w:rPr>
          <w:rFonts w:hint="eastAsia"/>
          <w:color w:val="auto"/>
          <w:kern w:val="0"/>
          <w:sz w:val="24"/>
        </w:rPr>
        <w:t>目</w:t>
      </w:r>
      <w:r>
        <w:rPr>
          <w:color w:val="auto"/>
          <w:kern w:val="0"/>
          <w:sz w:val="24"/>
        </w:rPr>
        <w:t>的估算金额；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（2）实际进度与施工进度计划不一致的，合同当事人可按照第4.4款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修改支付分解表；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（3）不采用支付分解表的，承包人应向发包人和监理人提交按季度编制的支付估算分解表，用于支付参考。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2、总价合同支付分解表的编制与审批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（1）除专用合同条款另有约定外，承包人应根据第7.2款</w:t>
      </w:r>
      <w:r>
        <w:rPr>
          <w:rFonts w:hint="eastAsia"/>
          <w:color w:val="auto"/>
          <w:kern w:val="0"/>
          <w:sz w:val="24"/>
        </w:rPr>
        <w:t>〔</w:t>
      </w:r>
      <w:r>
        <w:rPr>
          <w:color w:val="auto"/>
          <w:kern w:val="0"/>
          <w:sz w:val="24"/>
        </w:rPr>
        <w:t>施工进度计划</w:t>
      </w:r>
      <w:r>
        <w:rPr>
          <w:rFonts w:hint="eastAsia"/>
          <w:color w:val="auto"/>
          <w:kern w:val="0"/>
          <w:sz w:val="24"/>
        </w:rPr>
        <w:t>〕</w:t>
      </w:r>
      <w:r>
        <w:rPr>
          <w:color w:val="auto"/>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（2）监理人应在收到支付分解表后7天内完成审核并报送发包人。发包人应在收到经监理人审核的支付分解表后7天内完成审批，经发包人批准的支付分解表为有约束力的支付分解表。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    （3）发包人逾期未完成支付分解表</w:t>
      </w:r>
      <w:r>
        <w:rPr>
          <w:rFonts w:hint="eastAsia"/>
          <w:color w:val="auto"/>
          <w:kern w:val="0"/>
          <w:sz w:val="24"/>
        </w:rPr>
        <w:t>审批</w:t>
      </w:r>
      <w:r>
        <w:rPr>
          <w:color w:val="auto"/>
          <w:kern w:val="0"/>
          <w:sz w:val="24"/>
        </w:rPr>
        <w:t>的，也未及时要求承包人进行修正和提供补充资料的，则承包人提交的支付分解表视为已经获得发包人批准。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3、单价合同的总价项目支付分解表的编制与审批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56" w:name="_Toc351203585"/>
      <w:r>
        <w:rPr>
          <w:b/>
          <w:color w:val="auto"/>
          <w:sz w:val="24"/>
        </w:rPr>
        <w:t>12.5支付账户</w:t>
      </w:r>
      <w:bookmarkEnd w:id="45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发包人应将合同价款支付至合同协议书中约定的承包人账户。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57" w:name="_Toc351203586"/>
      <w:bookmarkStart w:id="458" w:name="_Toc322522574"/>
      <w:bookmarkStart w:id="459" w:name="_Toc296346607"/>
      <w:bookmarkStart w:id="460" w:name="_Toc337558804"/>
      <w:bookmarkStart w:id="461" w:name="_Toc296503106"/>
      <w:r>
        <w:rPr>
          <w:b/>
          <w:color w:val="auto"/>
          <w:sz w:val="24"/>
        </w:rPr>
        <w:t>13. 验收和工程试车</w:t>
      </w:r>
      <w:bookmarkEnd w:id="457"/>
    </w:p>
    <w:bookmarkEnd w:id="458"/>
    <w:bookmarkEnd w:id="459"/>
    <w:bookmarkEnd w:id="460"/>
    <w:bookmarkEnd w:id="461"/>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62" w:name="_Toc351203587"/>
      <w:bookmarkStart w:id="463" w:name="_Toc337558805"/>
      <w:bookmarkStart w:id="464" w:name="_Toc296503110"/>
      <w:bookmarkStart w:id="465" w:name="_Toc296346611"/>
      <w:r>
        <w:rPr>
          <w:b/>
          <w:color w:val="auto"/>
          <w:sz w:val="24"/>
        </w:rPr>
        <w:t>13.1分部分项工程验收</w:t>
      </w:r>
      <w:bookmarkEnd w:id="462"/>
    </w:p>
    <w:bookmarkEnd w:id="46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13.1.1 分部分项工程质量应符合国家有关工程施工验收规范、标准及合同约定，承包人应按照施工组织设计的要求完成分部分项工程施工。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13.1.2 除专用合同条款另有约定外，分部分项工程经承包人自检合格并具备验收条件的，承包人应提前48小时通知监理人进行验收。</w:t>
      </w:r>
      <w:r>
        <w:rPr>
          <w:color w:val="auto"/>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color w:val="auto"/>
          <w:sz w:val="24"/>
        </w:rPr>
        <w:t>分部分项工程未经验收的，不得进入下一道工序施工。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分部分项工程的验收资料应当作为竣工资料的组成部分。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66" w:name="_Toc351203588"/>
      <w:bookmarkStart w:id="467" w:name="_Toc337558806"/>
      <w:r>
        <w:rPr>
          <w:b/>
          <w:color w:val="auto"/>
          <w:sz w:val="24"/>
        </w:rPr>
        <w:t>13.2竣工验收</w:t>
      </w:r>
      <w:bookmarkEnd w:id="466"/>
    </w:p>
    <w:bookmarkEnd w:id="464"/>
    <w:bookmarkEnd w:id="465"/>
    <w:bookmarkEnd w:id="46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13.2.1竣工验收条件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工程具备以下条件的，承包人可以申请竣工验收：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（1）除发包人同意的甩项</w:t>
      </w:r>
      <w:r>
        <w:rPr>
          <w:rFonts w:hint="eastAsia"/>
          <w:color w:val="auto"/>
          <w:kern w:val="0"/>
          <w:sz w:val="24"/>
        </w:rPr>
        <w:t>工作</w:t>
      </w:r>
      <w:r>
        <w:rPr>
          <w:color w:val="auto"/>
          <w:kern w:val="0"/>
          <w:sz w:val="24"/>
        </w:rPr>
        <w:t>和缺陷修补工作外，合同范围内的全部工程以及有关工作，包括合同要求的试验、试运行以及检验均已完成，并符合合同要求；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（2）已按合同约定编制了甩项</w:t>
      </w:r>
      <w:r>
        <w:rPr>
          <w:rFonts w:hint="eastAsia"/>
          <w:color w:val="auto"/>
          <w:kern w:val="0"/>
          <w:sz w:val="24"/>
        </w:rPr>
        <w:t>工作</w:t>
      </w:r>
      <w:r>
        <w:rPr>
          <w:color w:val="auto"/>
          <w:kern w:val="0"/>
          <w:sz w:val="24"/>
        </w:rPr>
        <w:t>和缺陷修补工作清单以及相应的施工计划；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（3）已按合同约定的内容和份数备齐竣工资料。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13.2.2竣工验收程序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除专用合同条款另有约定外，承包人申请竣工验收的，应当按照以下程序进行：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（2）监理人审查后认为已具备竣工验收条件的，应将竣工验收申请报告提交发包人，发包人应在收到</w:t>
      </w:r>
      <w:r>
        <w:rPr>
          <w:rFonts w:hint="eastAsia"/>
          <w:color w:val="auto"/>
          <w:kern w:val="0"/>
          <w:sz w:val="24"/>
        </w:rPr>
        <w:t>经</w:t>
      </w:r>
      <w:r>
        <w:rPr>
          <w:color w:val="auto"/>
          <w:kern w:val="0"/>
          <w:sz w:val="24"/>
        </w:rPr>
        <w:t>监理人审核的竣工验收申请报告后28天内</w:t>
      </w:r>
      <w:r>
        <w:rPr>
          <w:rFonts w:hint="eastAsia"/>
          <w:color w:val="auto"/>
          <w:kern w:val="0"/>
          <w:sz w:val="24"/>
        </w:rPr>
        <w:t>审批</w:t>
      </w:r>
      <w:r>
        <w:rPr>
          <w:color w:val="auto"/>
          <w:kern w:val="0"/>
          <w:sz w:val="24"/>
        </w:rPr>
        <w:t>完毕并组织监理人、承包人、设计人等相关单位完成竣工验收。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（3）竣工验收合格的，发包人应在验收合格后14天内向承包人签发工程接收证书。发包人无正当理由逾期不颁发工程接收证书的，自验收合格后第15天起视为已颁发工程接收证书。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13.2.3竣工日期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color w:val="auto"/>
          <w:kern w:val="0"/>
          <w:sz w:val="24"/>
        </w:rPr>
        <w:t>竣工</w:t>
      </w:r>
      <w:r>
        <w:rPr>
          <w:color w:val="auto"/>
          <w:kern w:val="0"/>
          <w:sz w:val="24"/>
        </w:rPr>
        <w:t>验收</w:t>
      </w:r>
      <w:r>
        <w:rPr>
          <w:rFonts w:hint="eastAsia"/>
          <w:color w:val="auto"/>
          <w:kern w:val="0"/>
          <w:sz w:val="24"/>
        </w:rPr>
        <w:t>，或完成竣工验收不予签发工程接收证书</w:t>
      </w:r>
      <w:r>
        <w:rPr>
          <w:color w:val="auto"/>
          <w:kern w:val="0"/>
          <w:sz w:val="24"/>
        </w:rPr>
        <w:t>的，以提交竣工验</w:t>
      </w:r>
      <w:bookmarkStart w:id="468" w:name="#go14"/>
      <w:bookmarkEnd w:id="468"/>
      <w:r>
        <w:rPr>
          <w:color w:val="auto"/>
          <w:kern w:val="0"/>
          <w:sz w:val="24"/>
        </w:rPr>
        <w:t>收申请报告的日期为实际竣工日期；工程未经竣工验收，发包人擅自使用的，以转移占有工程之日为实际竣工日期。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13.2.4 拒绝接收全部或部分工程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对于竣工验收不合格的工程，承包人完成整改后，</w:t>
      </w:r>
      <w:r>
        <w:rPr>
          <w:rFonts w:hint="eastAsia"/>
          <w:color w:val="auto"/>
          <w:kern w:val="0"/>
          <w:sz w:val="24"/>
        </w:rPr>
        <w:t>应当</w:t>
      </w:r>
      <w:r>
        <w:rPr>
          <w:color w:val="auto"/>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13.2.5 移交、接收全部与部分工程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除专用合同条款另有约定外，</w:t>
      </w:r>
      <w:r>
        <w:rPr>
          <w:color w:val="auto"/>
          <w:kern w:val="0"/>
          <w:sz w:val="24"/>
        </w:rPr>
        <w:t>合同当事人应当在颁发工程接收证书</w:t>
      </w:r>
      <w:r>
        <w:rPr>
          <w:rFonts w:hint="eastAsia"/>
          <w:color w:val="auto"/>
          <w:kern w:val="0"/>
          <w:sz w:val="24"/>
        </w:rPr>
        <w:t>后7天内</w:t>
      </w:r>
      <w:r>
        <w:rPr>
          <w:color w:val="auto"/>
          <w:kern w:val="0"/>
          <w:sz w:val="24"/>
        </w:rPr>
        <w:t>完成工程的移交。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发包人无正当理由不接收工程的，发包人自</w:t>
      </w:r>
      <w:r>
        <w:rPr>
          <w:rFonts w:hint="eastAsia"/>
          <w:color w:val="auto"/>
          <w:kern w:val="0"/>
          <w:sz w:val="24"/>
        </w:rPr>
        <w:t>应当接收工程</w:t>
      </w:r>
      <w:r>
        <w:rPr>
          <w:color w:val="auto"/>
          <w:kern w:val="0"/>
          <w:sz w:val="24"/>
        </w:rPr>
        <w:t>之日起，承担工程照管、成品保护、保管等与工程有关的各项费用</w:t>
      </w:r>
      <w:r>
        <w:rPr>
          <w:rFonts w:hint="eastAsia"/>
          <w:color w:val="auto"/>
          <w:kern w:val="0"/>
          <w:sz w:val="24"/>
        </w:rPr>
        <w:t>，合同当事人可以在专用合同条款中另行约定发包人逾期接收工程的违约责任</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承包人无正当理由不移交工程的，</w:t>
      </w:r>
      <w:r>
        <w:rPr>
          <w:rFonts w:hint="eastAsia"/>
          <w:color w:val="auto"/>
          <w:kern w:val="0"/>
          <w:sz w:val="24"/>
        </w:rPr>
        <w:t>承包人应承担</w:t>
      </w:r>
      <w:r>
        <w:rPr>
          <w:color w:val="auto"/>
          <w:kern w:val="0"/>
          <w:sz w:val="24"/>
        </w:rPr>
        <w:t>工程照管、成品保护、保管等与工程有关的各项费用</w:t>
      </w:r>
      <w:r>
        <w:rPr>
          <w:rFonts w:hint="eastAsia"/>
          <w:color w:val="auto"/>
          <w:kern w:val="0"/>
          <w:sz w:val="24"/>
        </w:rPr>
        <w:t>，合同当事人可以在专用合同条款中另行约定承包人无正当理由不移交工程的违约责任</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69" w:name="_Toc351203589"/>
      <w:bookmarkStart w:id="470" w:name="_Toc296346612"/>
      <w:bookmarkStart w:id="471" w:name="_Toc337558807"/>
      <w:bookmarkStart w:id="472" w:name="_Toc296503111"/>
      <w:r>
        <w:rPr>
          <w:b/>
          <w:color w:val="auto"/>
          <w:sz w:val="24"/>
        </w:rPr>
        <w:t>13.3工程试车</w:t>
      </w:r>
      <w:bookmarkEnd w:id="469"/>
    </w:p>
    <w:bookmarkEnd w:id="470"/>
    <w:bookmarkEnd w:id="471"/>
    <w:bookmarkEnd w:id="47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13.3.1试车程序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工程需要试车的，除专用合同条款另有约定外，试车内容应与承包人承包范围相一致，试车费用由承包人承担。工程试车应按如下程序进行：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13.3.2 试车中的责任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13.3.3 投料试车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如需进行投料试车的，</w:t>
      </w:r>
      <w:r>
        <w:rPr>
          <w:color w:val="auto"/>
          <w:kern w:val="0"/>
          <w:sz w:val="24"/>
        </w:rPr>
        <w:t>发包人</w:t>
      </w:r>
      <w:r>
        <w:rPr>
          <w:rFonts w:hint="eastAsia"/>
          <w:color w:val="auto"/>
          <w:kern w:val="0"/>
          <w:sz w:val="24"/>
        </w:rPr>
        <w:t>应在</w:t>
      </w:r>
      <w:r>
        <w:rPr>
          <w:color w:val="auto"/>
          <w:kern w:val="0"/>
          <w:sz w:val="24"/>
        </w:rPr>
        <w:t>工程竣工验收后</w:t>
      </w:r>
      <w:r>
        <w:rPr>
          <w:rFonts w:hint="eastAsia"/>
          <w:color w:val="auto"/>
          <w:kern w:val="0"/>
          <w:sz w:val="24"/>
        </w:rPr>
        <w:t>组织</w:t>
      </w:r>
      <w:r>
        <w:rPr>
          <w:color w:val="auto"/>
          <w:kern w:val="0"/>
          <w:sz w:val="24"/>
        </w:rPr>
        <w:t>投料试车</w:t>
      </w:r>
      <w:r>
        <w:rPr>
          <w:rFonts w:hint="eastAsia"/>
          <w:color w:val="auto"/>
          <w:kern w:val="0"/>
          <w:sz w:val="24"/>
        </w:rPr>
        <w:t>。</w:t>
      </w:r>
      <w:r>
        <w:rPr>
          <w:color w:val="auto"/>
          <w:kern w:val="0"/>
          <w:sz w:val="24"/>
        </w:rPr>
        <w:t>发包人要求在工程竣工验收前进行或需要承包人配合时，应征得承包人同意</w:t>
      </w:r>
      <w:r>
        <w:rPr>
          <w:rFonts w:hint="eastAsia"/>
          <w:color w:val="auto"/>
          <w:kern w:val="0"/>
          <w:sz w:val="24"/>
        </w:rPr>
        <w:t>，并在专用合同条款中约定有关事项</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color w:val="auto"/>
          <w:kern w:val="0"/>
          <w:sz w:val="24"/>
        </w:rPr>
        <w:t>如</w:t>
      </w:r>
      <w:r>
        <w:rPr>
          <w:color w:val="auto"/>
          <w:kern w:val="0"/>
          <w:sz w:val="24"/>
        </w:rPr>
        <w:t>发包人要求承包人进行整改</w:t>
      </w:r>
      <w:r>
        <w:rPr>
          <w:rFonts w:hint="eastAsia"/>
          <w:color w:val="auto"/>
          <w:kern w:val="0"/>
          <w:sz w:val="24"/>
        </w:rPr>
        <w:t>的</w:t>
      </w:r>
      <w:r>
        <w:rPr>
          <w:color w:val="auto"/>
          <w:kern w:val="0"/>
          <w:sz w:val="24"/>
        </w:rPr>
        <w:t>，由此产生的费用由发包人承担。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73" w:name="_Toc351203590"/>
      <w:bookmarkStart w:id="474" w:name="_Toc337558808"/>
      <w:r>
        <w:rPr>
          <w:b/>
          <w:color w:val="auto"/>
          <w:sz w:val="24"/>
        </w:rPr>
        <w:t>13.4提前交付单位工程的验收</w:t>
      </w:r>
      <w:bookmarkEnd w:id="473"/>
    </w:p>
    <w:bookmarkEnd w:id="47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13.4.1 发包人需要在工程竣工前使用单位工程的，或承包人提出提前交付已经竣工的单位工程且经发包人同意的，可进行单位工程验收，验收的程序按照第13.2款</w:t>
      </w:r>
      <w:r>
        <w:rPr>
          <w:rFonts w:hint="eastAsia"/>
          <w:color w:val="auto"/>
          <w:kern w:val="0"/>
          <w:sz w:val="24"/>
        </w:rPr>
        <w:t>〔</w:t>
      </w:r>
      <w:r>
        <w:rPr>
          <w:color w:val="auto"/>
          <w:kern w:val="0"/>
          <w:sz w:val="24"/>
        </w:rPr>
        <w:t>竣工验收</w:t>
      </w:r>
      <w:r>
        <w:rPr>
          <w:rFonts w:hint="eastAsia"/>
          <w:color w:val="auto"/>
          <w:kern w:val="0"/>
          <w:sz w:val="24"/>
        </w:rPr>
        <w:t>〕</w:t>
      </w:r>
      <w:r>
        <w:rPr>
          <w:color w:val="auto"/>
          <w:kern w:val="0"/>
          <w:sz w:val="24"/>
        </w:rPr>
        <w:t>的约定进行。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13.4.2 发包人要求在工程竣工前交付单位工程，由此导致承包人费用增加和（或）工期延误的，由发包人承担由此增加的费用和（或）延误的工期，并支付承包人合理的利润。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75" w:name="_Toc351203591"/>
      <w:r>
        <w:rPr>
          <w:b/>
          <w:color w:val="auto"/>
          <w:sz w:val="24"/>
        </w:rPr>
        <w:t>13.5 施工期运行</w:t>
      </w:r>
      <w:bookmarkEnd w:id="47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13.5.1 施工期运行是指合同工程尚未全部竣工，其中某项或某几项单位工程或工程设备安装已竣工，根据专用合同条款约定，需要投入施工期运行的，经发包人按第13.4款</w:t>
      </w:r>
      <w:r>
        <w:rPr>
          <w:rFonts w:hint="eastAsia"/>
          <w:color w:val="auto"/>
          <w:kern w:val="0"/>
          <w:sz w:val="24"/>
        </w:rPr>
        <w:t>〔</w:t>
      </w:r>
      <w:r>
        <w:rPr>
          <w:color w:val="auto"/>
          <w:kern w:val="0"/>
          <w:sz w:val="24"/>
        </w:rPr>
        <w:t>提前交付单位工程的验收</w:t>
      </w:r>
      <w:r>
        <w:rPr>
          <w:rFonts w:hint="eastAsia"/>
          <w:color w:val="auto"/>
          <w:kern w:val="0"/>
          <w:sz w:val="24"/>
        </w:rPr>
        <w:t>〕</w:t>
      </w:r>
      <w:r>
        <w:rPr>
          <w:color w:val="auto"/>
          <w:kern w:val="0"/>
          <w:sz w:val="24"/>
        </w:rPr>
        <w:t>的约定验收合格，证明能确保安全后，才能在施工期投入运行。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13.5.2 在施工期运行中发现工程或工程设备损坏或存在缺陷的，由承包人按第15.2款</w:t>
      </w:r>
      <w:r>
        <w:rPr>
          <w:rFonts w:hint="eastAsia"/>
          <w:color w:val="auto"/>
          <w:kern w:val="0"/>
          <w:sz w:val="24"/>
        </w:rPr>
        <w:t>〔</w:t>
      </w:r>
      <w:r>
        <w:rPr>
          <w:color w:val="auto"/>
          <w:kern w:val="0"/>
          <w:sz w:val="24"/>
        </w:rPr>
        <w:t>缺陷责任期</w:t>
      </w:r>
      <w:r>
        <w:rPr>
          <w:rFonts w:hint="eastAsia"/>
          <w:color w:val="auto"/>
          <w:kern w:val="0"/>
          <w:sz w:val="24"/>
        </w:rPr>
        <w:t>〕</w:t>
      </w:r>
      <w:r>
        <w:rPr>
          <w:color w:val="auto"/>
          <w:kern w:val="0"/>
          <w:sz w:val="24"/>
        </w:rPr>
        <w:t>约定进行修复。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76" w:name="_Toc296346613"/>
      <w:bookmarkStart w:id="477" w:name="_Toc296503112"/>
      <w:bookmarkStart w:id="478" w:name="_Toc351203592"/>
      <w:bookmarkStart w:id="479" w:name="_Toc337558809"/>
      <w:r>
        <w:rPr>
          <w:b/>
          <w:color w:val="auto"/>
          <w:sz w:val="24"/>
        </w:rPr>
        <w:t>13.6 竣工退</w:t>
      </w:r>
      <w:bookmarkEnd w:id="476"/>
      <w:bookmarkEnd w:id="477"/>
      <w:r>
        <w:rPr>
          <w:b/>
          <w:color w:val="auto"/>
          <w:sz w:val="24"/>
        </w:rPr>
        <w:t>场</w:t>
      </w:r>
      <w:bookmarkEnd w:id="478"/>
    </w:p>
    <w:bookmarkEnd w:id="47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13.6.1 竣工退场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颁发工程接收证书后，承包人应按以下要求对施工现场进行清理：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（1）施工现场内残留的垃圾已全部清除出场；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（2）临时工程已拆除，场地已进行清理、平整或复原；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（3）按合同约定应撤离的人员、承包人施工设备和剩余的材料，包括废弃的施工设备和材料，已按计划撤离施工现场；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（4）施工现场周边及其附近道路、河道的施工堆积物，已全部清理；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（5）施工现场其他场地清理工作已全部完成。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13.6.2 地表还原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80" w:name="_Toc351203593"/>
      <w:bookmarkStart w:id="481" w:name="_Toc337558810"/>
      <w:bookmarkStart w:id="482" w:name="_Toc296503113"/>
      <w:bookmarkStart w:id="483" w:name="_Toc296346614"/>
      <w:r>
        <w:rPr>
          <w:b/>
          <w:color w:val="auto"/>
          <w:sz w:val="24"/>
        </w:rPr>
        <w:t>14. 竣工结算</w:t>
      </w:r>
      <w:bookmarkEnd w:id="480"/>
    </w:p>
    <w:bookmarkEnd w:id="481"/>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84" w:name="_Toc351203594"/>
      <w:bookmarkStart w:id="485" w:name="_Toc337558811"/>
      <w:r>
        <w:rPr>
          <w:b/>
          <w:color w:val="auto"/>
          <w:sz w:val="24"/>
        </w:rPr>
        <w:t>14.1 竣工结算申请</w:t>
      </w:r>
      <w:bookmarkEnd w:id="484"/>
    </w:p>
    <w:bookmarkEnd w:id="48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除专用合同条款另有约定外，</w:t>
      </w:r>
      <w:r>
        <w:rPr>
          <w:color w:val="auto"/>
          <w:sz w:val="24"/>
        </w:rPr>
        <w:t>承包人应在工程竣工验收合格后28天内向发包人和监理人提交竣工结算申请单，并提交完整的结算资料，</w:t>
      </w:r>
      <w:r>
        <w:rPr>
          <w:rFonts w:hint="eastAsia"/>
          <w:color w:val="auto"/>
          <w:sz w:val="24"/>
        </w:rPr>
        <w:t>有关</w:t>
      </w:r>
      <w:r>
        <w:rPr>
          <w:color w:val="auto"/>
          <w:sz w:val="24"/>
        </w:rPr>
        <w:t>竣工结算申请单</w:t>
      </w:r>
      <w:r>
        <w:rPr>
          <w:rFonts w:hint="eastAsia"/>
          <w:color w:val="auto"/>
          <w:sz w:val="24"/>
        </w:rPr>
        <w:t>的资料清单和</w:t>
      </w:r>
      <w:r>
        <w:rPr>
          <w:color w:val="auto"/>
          <w:sz w:val="24"/>
        </w:rPr>
        <w:t>份数</w:t>
      </w:r>
      <w:r>
        <w:rPr>
          <w:rFonts w:hint="eastAsia"/>
          <w:color w:val="auto"/>
          <w:sz w:val="24"/>
        </w:rPr>
        <w:t>等要求</w:t>
      </w:r>
      <w:r>
        <w:rPr>
          <w:color w:val="auto"/>
          <w:sz w:val="24"/>
        </w:rPr>
        <w:t>由合同当事人在专用合同条款中约定。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除专用合同条款另有约定外，竣工结算申请单应包括以下内容：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（1）竣工结算合同价格；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（2）发包人已支付承包人的款项；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 xml:space="preserve">（3）应扣留的质量保证金；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（4）发包人应支付承包人的合同价款。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86" w:name="_Toc351203595"/>
      <w:bookmarkStart w:id="487" w:name="_Toc337558812"/>
      <w:r>
        <w:rPr>
          <w:b/>
          <w:color w:val="auto"/>
          <w:sz w:val="24"/>
        </w:rPr>
        <w:t>14.2 竣工结算审核</w:t>
      </w:r>
      <w:bookmarkEnd w:id="486"/>
    </w:p>
    <w:bookmarkEnd w:id="48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（1）除专用合同条款另有约定外，监理人应在收到竣工结算申请单后14天内完成核查并报送发包人。发包人应在收到监理人提交的经审核的竣工结算申请单后14天内完成</w:t>
      </w:r>
      <w:r>
        <w:rPr>
          <w:rFonts w:hint="eastAsia"/>
          <w:color w:val="auto"/>
          <w:kern w:val="0"/>
          <w:sz w:val="24"/>
        </w:rPr>
        <w:t>审批</w:t>
      </w:r>
      <w:r>
        <w:rPr>
          <w:color w:val="auto"/>
          <w:kern w:val="0"/>
          <w:sz w:val="24"/>
        </w:rPr>
        <w:t>，并由监理人向承包人签发经发包人签认的竣工付款证书。监理人或</w:t>
      </w:r>
      <w:r>
        <w:rPr>
          <w:color w:val="auto"/>
          <w:sz w:val="24"/>
        </w:rPr>
        <w:t>发包人对竣工</w:t>
      </w:r>
      <w:r>
        <w:rPr>
          <w:color w:val="auto"/>
          <w:kern w:val="0"/>
          <w:sz w:val="24"/>
        </w:rPr>
        <w:t>结算</w:t>
      </w:r>
      <w:r>
        <w:rPr>
          <w:color w:val="auto"/>
          <w:sz w:val="24"/>
        </w:rPr>
        <w:t>申请单有异议的，有权要求承包人进行修正和提供补充资料，承包人应提交修正后的竣工</w:t>
      </w:r>
      <w:r>
        <w:rPr>
          <w:color w:val="auto"/>
          <w:kern w:val="0"/>
          <w:sz w:val="24"/>
        </w:rPr>
        <w:t>结算</w:t>
      </w:r>
      <w:r>
        <w:rPr>
          <w:color w:val="auto"/>
          <w:sz w:val="24"/>
        </w:rPr>
        <w:t>申请单。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发包人在收到承包人提交竣工结算申请书后28天</w:t>
      </w:r>
      <w:r>
        <w:rPr>
          <w:rFonts w:hint="eastAsia"/>
          <w:color w:val="auto"/>
          <w:kern w:val="0"/>
          <w:sz w:val="24"/>
        </w:rPr>
        <w:t>内</w:t>
      </w:r>
      <w:r>
        <w:rPr>
          <w:color w:val="auto"/>
          <w:kern w:val="0"/>
          <w:sz w:val="24"/>
        </w:rPr>
        <w:t>未完成</w:t>
      </w:r>
      <w:r>
        <w:rPr>
          <w:rFonts w:hint="eastAsia"/>
          <w:color w:val="auto"/>
          <w:kern w:val="0"/>
          <w:sz w:val="24"/>
        </w:rPr>
        <w:t>审批</w:t>
      </w:r>
      <w:r>
        <w:rPr>
          <w:color w:val="auto"/>
          <w:kern w:val="0"/>
          <w:sz w:val="24"/>
        </w:rPr>
        <w:t>且未提出异议的，视为发包人认可承包人提交的竣工结算申请单，并自发包人收到承包人提交的竣工结算申请单后第29天起视为已签发竣工付款证书。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（3）承包人对发包人签认的竣工付款证书有异议的，对于有异议部分应在收到发包人签认的竣工付款证书后7天内提出异议，并由合同当事人按照专用合同条款约定</w:t>
      </w:r>
      <w:r>
        <w:rPr>
          <w:rFonts w:hint="eastAsia"/>
          <w:color w:val="auto"/>
          <w:kern w:val="0"/>
          <w:sz w:val="24"/>
        </w:rPr>
        <w:t>的方式和程序</w:t>
      </w:r>
      <w:r>
        <w:rPr>
          <w:color w:val="auto"/>
          <w:kern w:val="0"/>
          <w:sz w:val="24"/>
        </w:rPr>
        <w:t>进行复核，或按照第20条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约定处理。对于无异议部分，发包人应签发临时竣工付款证书，并按本款第（2）项完成付款</w:t>
      </w:r>
      <w:r>
        <w:rPr>
          <w:rFonts w:hint="eastAsia"/>
          <w:color w:val="auto"/>
          <w:kern w:val="0"/>
          <w:sz w:val="24"/>
        </w:rPr>
        <w:t>。</w:t>
      </w:r>
      <w:r>
        <w:rPr>
          <w:color w:val="auto"/>
          <w:kern w:val="0"/>
          <w:sz w:val="24"/>
        </w:rPr>
        <w:t>承包人逾期未提出异议的，视为认可发包人的</w:t>
      </w:r>
      <w:r>
        <w:rPr>
          <w:rFonts w:hint="eastAsia"/>
          <w:color w:val="auto"/>
          <w:kern w:val="0"/>
          <w:sz w:val="24"/>
        </w:rPr>
        <w:t>审批</w:t>
      </w:r>
      <w:r>
        <w:rPr>
          <w:color w:val="auto"/>
          <w:kern w:val="0"/>
          <w:sz w:val="24"/>
        </w:rPr>
        <w:t>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88" w:name="_Toc351203596"/>
      <w:bookmarkStart w:id="489" w:name="_Toc337558813"/>
      <w:r>
        <w:rPr>
          <w:b/>
          <w:color w:val="auto"/>
          <w:sz w:val="24"/>
        </w:rPr>
        <w:t>14.3 甩项竣工协议</w:t>
      </w:r>
      <w:bookmarkEnd w:id="488"/>
    </w:p>
    <w:bookmarkEnd w:id="48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sz w:val="24"/>
        </w:rPr>
        <w:t>发包人要求甩项竣工的，合同当事人应签订甩项竣工协议。在甩项竣工协议中应明确，合同当事人按照第14.1款</w:t>
      </w:r>
      <w:r>
        <w:rPr>
          <w:rFonts w:hint="eastAsia"/>
          <w:color w:val="auto"/>
          <w:sz w:val="24"/>
        </w:rPr>
        <w:t>〔</w:t>
      </w:r>
      <w:r>
        <w:rPr>
          <w:color w:val="auto"/>
          <w:sz w:val="24"/>
        </w:rPr>
        <w:t>竣工</w:t>
      </w:r>
      <w:r>
        <w:rPr>
          <w:rFonts w:hint="eastAsia"/>
          <w:color w:val="auto"/>
          <w:sz w:val="24"/>
        </w:rPr>
        <w:t>结算</w:t>
      </w:r>
      <w:r>
        <w:rPr>
          <w:color w:val="auto"/>
          <w:sz w:val="24"/>
        </w:rPr>
        <w:t>申请</w:t>
      </w:r>
      <w:r>
        <w:rPr>
          <w:rFonts w:hint="eastAsia"/>
          <w:color w:val="auto"/>
          <w:sz w:val="24"/>
        </w:rPr>
        <w:t>〕</w:t>
      </w:r>
      <w:r>
        <w:rPr>
          <w:color w:val="auto"/>
          <w:sz w:val="24"/>
        </w:rPr>
        <w:t>及14.2款</w:t>
      </w:r>
      <w:r>
        <w:rPr>
          <w:rFonts w:hint="eastAsia"/>
          <w:color w:val="auto"/>
          <w:sz w:val="24"/>
        </w:rPr>
        <w:t>〔</w:t>
      </w:r>
      <w:r>
        <w:rPr>
          <w:color w:val="auto"/>
          <w:sz w:val="24"/>
        </w:rPr>
        <w:t>竣工结算审核</w:t>
      </w:r>
      <w:r>
        <w:rPr>
          <w:rFonts w:hint="eastAsia"/>
          <w:color w:val="auto"/>
          <w:sz w:val="24"/>
        </w:rPr>
        <w:t>〕</w:t>
      </w:r>
      <w:r>
        <w:rPr>
          <w:color w:val="auto"/>
          <w:sz w:val="24"/>
        </w:rPr>
        <w:t>的约定，</w:t>
      </w:r>
      <w:r>
        <w:rPr>
          <w:rFonts w:hint="eastAsia"/>
          <w:color w:val="auto"/>
          <w:sz w:val="24"/>
        </w:rPr>
        <w:t>对已</w:t>
      </w:r>
      <w:r>
        <w:rPr>
          <w:color w:val="auto"/>
          <w:sz w:val="24"/>
        </w:rPr>
        <w:t>完合格工程</w:t>
      </w:r>
      <w:r>
        <w:rPr>
          <w:rFonts w:hint="eastAsia"/>
          <w:color w:val="auto"/>
          <w:sz w:val="24"/>
        </w:rPr>
        <w:t>进行</w:t>
      </w:r>
      <w:r>
        <w:rPr>
          <w:color w:val="auto"/>
          <w:sz w:val="24"/>
        </w:rPr>
        <w:t>结算，并支付相应</w:t>
      </w:r>
      <w:r>
        <w:rPr>
          <w:rFonts w:hint="eastAsia"/>
          <w:color w:val="auto"/>
          <w:sz w:val="24"/>
        </w:rPr>
        <w:t>合同</w:t>
      </w:r>
      <w:r>
        <w:rPr>
          <w:color w:val="auto"/>
          <w:sz w:val="24"/>
        </w:rPr>
        <w:t>价款。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90" w:name="_Toc351203597"/>
      <w:bookmarkStart w:id="491" w:name="_Toc337558814"/>
      <w:r>
        <w:rPr>
          <w:b/>
          <w:color w:val="auto"/>
          <w:sz w:val="24"/>
        </w:rPr>
        <w:t>14.4 最终结清</w:t>
      </w:r>
      <w:bookmarkEnd w:id="490"/>
    </w:p>
    <w:bookmarkEnd w:id="49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14.4.1 最终结清申请单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（1）除专用合同条款另有约定外，承包人应在缺陷责任期终止证书颁发后7天内，按专用合同条款约定的份数向发包人提交最终结清申请单，并提供相关证明材料。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除专用合同条款另有约定外，</w:t>
      </w:r>
      <w:r>
        <w:rPr>
          <w:color w:val="auto"/>
          <w:kern w:val="0"/>
          <w:sz w:val="24"/>
        </w:rPr>
        <w:t>最终结清申请单</w:t>
      </w:r>
      <w:r>
        <w:rPr>
          <w:color w:val="auto"/>
          <w:sz w:val="24"/>
        </w:rPr>
        <w:t>应列明质量保证金、应扣除的质量保证金、缺陷责任期内发生的增减费用。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（2）发包人对最终结清申请单内容有异议的，有权要求承包人进行修正和提供补充资料，承包人应向发包人提交修正后的最终结清申请单。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14.4.2 最终结清证书和支付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（1）除专用合同条款另有约定外，发包人应在收到承包人提交的最终结清申请单后14天内完成审批并向承包人颁发最终结清证书。发包人逾期未完成</w:t>
      </w:r>
      <w:r>
        <w:rPr>
          <w:rFonts w:hint="eastAsia"/>
          <w:color w:val="auto"/>
          <w:kern w:val="0"/>
          <w:sz w:val="24"/>
        </w:rPr>
        <w:t>审批</w:t>
      </w:r>
      <w:r>
        <w:rPr>
          <w:color w:val="auto"/>
          <w:kern w:val="0"/>
          <w:sz w:val="24"/>
        </w:rPr>
        <w:t>，又未提出修改意见的，视为发包人同意承包人提交的最终结清申请单，且自发包人收到承包人提交的最终结清申请单后15天起视为已颁发最终结清证书。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（3）承包人对发包人颁发的最终结清证书有异议的，按第20条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的约定办理。</w:t>
      </w:r>
      <w:bookmarkStart w:id="492" w:name="_Toc351203598"/>
      <w:bookmarkStart w:id="493" w:name="_Toc337558815"/>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15. 缺陷责任与保修</w:t>
      </w:r>
      <w:bookmarkEnd w:id="492"/>
    </w:p>
    <w:bookmarkEnd w:id="482"/>
    <w:bookmarkEnd w:id="483"/>
    <w:bookmarkEnd w:id="493"/>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94" w:name="_Toc351203599"/>
      <w:bookmarkStart w:id="495" w:name="_Toc337558816"/>
      <w:bookmarkStart w:id="496" w:name="_Toc296346615"/>
      <w:bookmarkStart w:id="497" w:name="_Toc296503114"/>
      <w:r>
        <w:rPr>
          <w:b/>
          <w:color w:val="auto"/>
          <w:sz w:val="24"/>
        </w:rPr>
        <w:t>15.1 工程保修的原则</w:t>
      </w:r>
      <w:bookmarkEnd w:id="494"/>
    </w:p>
    <w:bookmarkEnd w:id="49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在工程移交发包人后，因承包人原因产生的质量缺陷，承包人应承担质量缺陷责任和保修义务。缺陷责任期届满，承包人仍应按合同约定的工程各部位保修年限承担保修义务。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498" w:name="_Toc351203600"/>
      <w:bookmarkStart w:id="499" w:name="_Toc337558817"/>
      <w:r>
        <w:rPr>
          <w:b/>
          <w:color w:val="auto"/>
          <w:sz w:val="24"/>
        </w:rPr>
        <w:t>15.2 缺陷责任期</w:t>
      </w:r>
      <w:bookmarkEnd w:id="496"/>
      <w:bookmarkEnd w:id="497"/>
      <w:bookmarkEnd w:id="498"/>
    </w:p>
    <w:bookmarkEnd w:id="49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15.2.1 缺陷责任期自</w:t>
      </w:r>
      <w:r>
        <w:rPr>
          <w:rFonts w:hint="eastAsia"/>
          <w:color w:val="auto"/>
          <w:kern w:val="0"/>
          <w:sz w:val="24"/>
        </w:rPr>
        <w:t>实际竣工日期</w:t>
      </w:r>
      <w:r>
        <w:rPr>
          <w:color w:val="auto"/>
          <w:kern w:val="0"/>
          <w:sz w:val="24"/>
        </w:rPr>
        <w:t>起计算，合同当事人应在专用合同条款约定缺陷责任期的具体期限，但该期限最长不超过2</w:t>
      </w:r>
      <w:r>
        <w:rPr>
          <w:rFonts w:hint="eastAsia"/>
          <w:color w:val="auto"/>
          <w:kern w:val="0"/>
          <w:sz w:val="24"/>
          <w:lang w:eastAsia="zh-CN"/>
        </w:rPr>
        <w:t>50天</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15.2.2 工程竣工验收合格后，因承包人原因导致的缺陷或损坏致使工程、单位工程或某项主要设备不能按原定目的使用的，则发包人有权要求承</w:t>
      </w:r>
      <w:r>
        <w:rPr>
          <w:bCs/>
          <w:color w:val="auto"/>
          <w:sz w:val="24"/>
        </w:rPr>
        <w:t>包人延长缺陷责任期，</w:t>
      </w:r>
      <w:r>
        <w:rPr>
          <w:color w:val="auto"/>
          <w:kern w:val="0"/>
          <w:sz w:val="24"/>
        </w:rPr>
        <w:t>并应在原缺陷责任期届满前发出延长通知，</w:t>
      </w:r>
      <w:r>
        <w:rPr>
          <w:bCs/>
          <w:color w:val="auto"/>
          <w:sz w:val="24"/>
        </w:rPr>
        <w:t>但缺陷责任期最长</w:t>
      </w:r>
      <w:r>
        <w:rPr>
          <w:color w:val="auto"/>
          <w:kern w:val="0"/>
          <w:sz w:val="24"/>
        </w:rPr>
        <w:t>不能超过2</w:t>
      </w:r>
      <w:r>
        <w:rPr>
          <w:rFonts w:hint="eastAsia"/>
          <w:color w:val="auto"/>
          <w:kern w:val="0"/>
          <w:sz w:val="24"/>
          <w:lang w:eastAsia="zh-CN"/>
        </w:rPr>
        <w:t>50天</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15.2.3 任何一项缺陷或损坏修复后，经检查证明其影响了工程或工程设备的使用性能，承包人应重新进行合同约定的试验和试运行，试验和试运行的全部费用应由责任方承担。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15.2.4</w:t>
      </w:r>
      <w:r>
        <w:rPr>
          <w:rFonts w:hint="eastAsia"/>
          <w:color w:val="auto"/>
          <w:kern w:val="0"/>
          <w:sz w:val="24"/>
        </w:rPr>
        <w:t xml:space="preserve"> </w:t>
      </w:r>
      <w:r>
        <w:rPr>
          <w:color w:val="auto"/>
          <w:kern w:val="0"/>
          <w:sz w:val="24"/>
        </w:rPr>
        <w:t>除专用合同条款另有约定外，承包人应于缺陷责任期届满后7天内向发包人发出缺陷责任期</w:t>
      </w:r>
      <w:r>
        <w:rPr>
          <w:rFonts w:hint="eastAsia"/>
          <w:color w:val="auto"/>
          <w:kern w:val="0"/>
          <w:sz w:val="24"/>
        </w:rPr>
        <w:t>届</w:t>
      </w:r>
      <w:r>
        <w:rPr>
          <w:color w:val="auto"/>
          <w:kern w:val="0"/>
          <w:sz w:val="24"/>
        </w:rPr>
        <w:t>满通知，发包人应在</w:t>
      </w:r>
      <w:r>
        <w:rPr>
          <w:rFonts w:hint="eastAsia"/>
          <w:color w:val="auto"/>
          <w:kern w:val="0"/>
          <w:sz w:val="24"/>
        </w:rPr>
        <w:t>收</w:t>
      </w:r>
      <w:r>
        <w:rPr>
          <w:color w:val="auto"/>
          <w:kern w:val="0"/>
          <w:sz w:val="24"/>
        </w:rPr>
        <w:t>到缺陷责任期满通知后14天内核实承包人是否履行缺陷</w:t>
      </w:r>
      <w:r>
        <w:rPr>
          <w:rFonts w:hint="eastAsia"/>
          <w:color w:val="auto"/>
          <w:kern w:val="0"/>
          <w:sz w:val="24"/>
        </w:rPr>
        <w:t>修复</w:t>
      </w:r>
      <w:r>
        <w:rPr>
          <w:color w:val="auto"/>
          <w:kern w:val="0"/>
          <w:sz w:val="24"/>
        </w:rPr>
        <w:t>义务，承包人未能履行缺陷</w:t>
      </w:r>
      <w:r>
        <w:rPr>
          <w:rFonts w:hint="eastAsia"/>
          <w:color w:val="auto"/>
          <w:kern w:val="0"/>
          <w:sz w:val="24"/>
        </w:rPr>
        <w:t>修复</w:t>
      </w:r>
      <w:r>
        <w:rPr>
          <w:color w:val="auto"/>
          <w:kern w:val="0"/>
          <w:sz w:val="24"/>
        </w:rPr>
        <w:t>义务的，发包人有权扣除相应金额的维修费用。发包人应在</w:t>
      </w:r>
      <w:r>
        <w:rPr>
          <w:rFonts w:hint="eastAsia"/>
          <w:color w:val="auto"/>
          <w:kern w:val="0"/>
          <w:sz w:val="24"/>
        </w:rPr>
        <w:t>收到</w:t>
      </w:r>
      <w:r>
        <w:rPr>
          <w:color w:val="auto"/>
          <w:kern w:val="0"/>
          <w:sz w:val="24"/>
        </w:rPr>
        <w:t>缺陷责任期</w:t>
      </w:r>
      <w:r>
        <w:rPr>
          <w:rFonts w:hint="eastAsia"/>
          <w:color w:val="auto"/>
          <w:kern w:val="0"/>
          <w:sz w:val="24"/>
        </w:rPr>
        <w:t>届</w:t>
      </w:r>
      <w:r>
        <w:rPr>
          <w:color w:val="auto"/>
          <w:kern w:val="0"/>
          <w:sz w:val="24"/>
        </w:rPr>
        <w:t>满</w:t>
      </w:r>
      <w:r>
        <w:rPr>
          <w:rFonts w:hint="eastAsia"/>
          <w:color w:val="auto"/>
          <w:kern w:val="0"/>
          <w:sz w:val="24"/>
        </w:rPr>
        <w:t>通知后</w:t>
      </w:r>
      <w:r>
        <w:rPr>
          <w:color w:val="auto"/>
          <w:kern w:val="0"/>
          <w:sz w:val="24"/>
        </w:rPr>
        <w:t>14天内，向承包人颁发缺陷责任期终止证</w:t>
      </w:r>
      <w:r>
        <w:rPr>
          <w:rFonts w:hint="eastAsia"/>
          <w:color w:val="auto"/>
          <w:kern w:val="0"/>
          <w:sz w:val="24"/>
        </w:rPr>
        <w:t>书</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00" w:name="_Toc351203601"/>
      <w:bookmarkStart w:id="501" w:name="_Toc337558818"/>
      <w:bookmarkStart w:id="502" w:name="_Toc296503115"/>
      <w:bookmarkStart w:id="503" w:name="_Toc296346616"/>
      <w:r>
        <w:rPr>
          <w:b/>
          <w:color w:val="auto"/>
          <w:sz w:val="24"/>
        </w:rPr>
        <w:t>15.3 质量保证金</w:t>
      </w:r>
      <w:bookmarkEnd w:id="500"/>
    </w:p>
    <w:bookmarkEnd w:id="50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经合同当事人协商一致扣留质量保证金的，应在专用合同条款中予以明确。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15.3.1 </w:t>
      </w:r>
      <w:r>
        <w:rPr>
          <w:rFonts w:hint="eastAsia"/>
          <w:color w:val="auto"/>
          <w:kern w:val="0"/>
          <w:sz w:val="24"/>
        </w:rPr>
        <w:t>承包人提供</w:t>
      </w:r>
      <w:r>
        <w:rPr>
          <w:color w:val="auto"/>
          <w:kern w:val="0"/>
          <w:sz w:val="24"/>
        </w:rPr>
        <w:t>质量保证金的</w:t>
      </w:r>
      <w:r>
        <w:rPr>
          <w:rFonts w:hint="eastAsia"/>
          <w:color w:val="auto"/>
          <w:kern w:val="0"/>
          <w:sz w:val="24"/>
        </w:rPr>
        <w:t>方</w:t>
      </w:r>
      <w:r>
        <w:rPr>
          <w:color w:val="auto"/>
          <w:kern w:val="0"/>
          <w:sz w:val="24"/>
        </w:rPr>
        <w:t>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承包人提供</w:t>
      </w:r>
      <w:r>
        <w:rPr>
          <w:color w:val="auto"/>
          <w:kern w:val="0"/>
          <w:sz w:val="24"/>
        </w:rPr>
        <w:t>质量保证金</w:t>
      </w:r>
      <w:r>
        <w:rPr>
          <w:rFonts w:hint="eastAsia"/>
          <w:color w:val="auto"/>
          <w:kern w:val="0"/>
          <w:sz w:val="24"/>
        </w:rPr>
        <w:t>有</w:t>
      </w:r>
      <w:r>
        <w:rPr>
          <w:color w:val="auto"/>
          <w:kern w:val="0"/>
          <w:sz w:val="24"/>
        </w:rPr>
        <w:t>以下</w:t>
      </w:r>
      <w:r>
        <w:rPr>
          <w:rFonts w:hint="eastAsia"/>
          <w:color w:val="auto"/>
          <w:kern w:val="0"/>
          <w:sz w:val="24"/>
        </w:rPr>
        <w:t>三种方</w:t>
      </w:r>
      <w:r>
        <w:rPr>
          <w:color w:val="auto"/>
          <w:kern w:val="0"/>
          <w:sz w:val="24"/>
        </w:rPr>
        <w:t>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（1）质量保证金保函；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w:t>
      </w:r>
      <w:r>
        <w:rPr>
          <w:color w:val="auto"/>
          <w:kern w:val="0"/>
          <w:sz w:val="24"/>
        </w:rPr>
        <w:t>2）相应比例的工程款；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（3）双方约定的其他</w:t>
      </w:r>
      <w:r>
        <w:rPr>
          <w:rFonts w:hint="eastAsia"/>
          <w:color w:val="auto"/>
          <w:kern w:val="0"/>
          <w:sz w:val="24"/>
        </w:rPr>
        <w:t>方</w:t>
      </w:r>
      <w:r>
        <w:rPr>
          <w:color w:val="auto"/>
          <w:kern w:val="0"/>
          <w:sz w:val="24"/>
        </w:rPr>
        <w:t>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除专用合同条款另有约定外，质量保证金</w:t>
      </w:r>
      <w:r>
        <w:rPr>
          <w:rFonts w:hint="eastAsia"/>
          <w:color w:val="auto"/>
          <w:kern w:val="0"/>
          <w:sz w:val="24"/>
        </w:rPr>
        <w:t>原则上</w:t>
      </w:r>
      <w:r>
        <w:rPr>
          <w:color w:val="auto"/>
          <w:kern w:val="0"/>
          <w:sz w:val="24"/>
        </w:rPr>
        <w:t>采</w:t>
      </w:r>
      <w:r>
        <w:rPr>
          <w:rFonts w:hint="eastAsia"/>
          <w:color w:val="auto"/>
          <w:kern w:val="0"/>
          <w:sz w:val="24"/>
        </w:rPr>
        <w:t>用上述</w:t>
      </w:r>
      <w:r>
        <w:rPr>
          <w:color w:val="auto"/>
          <w:kern w:val="0"/>
          <w:sz w:val="24"/>
        </w:rPr>
        <w:t>第（1）种</w:t>
      </w:r>
      <w:r>
        <w:rPr>
          <w:rFonts w:hint="eastAsia"/>
          <w:color w:val="auto"/>
          <w:kern w:val="0"/>
          <w:sz w:val="24"/>
        </w:rPr>
        <w:t>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15.3.2 质量保证金的扣留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质量保证金</w:t>
      </w:r>
      <w:r>
        <w:rPr>
          <w:rFonts w:hint="eastAsia"/>
          <w:color w:val="auto"/>
          <w:kern w:val="0"/>
          <w:sz w:val="24"/>
        </w:rPr>
        <w:t>的</w:t>
      </w:r>
      <w:r>
        <w:rPr>
          <w:color w:val="auto"/>
          <w:kern w:val="0"/>
          <w:sz w:val="24"/>
        </w:rPr>
        <w:t>扣留</w:t>
      </w:r>
      <w:r>
        <w:rPr>
          <w:rFonts w:hint="eastAsia"/>
          <w:color w:val="auto"/>
          <w:kern w:val="0"/>
          <w:sz w:val="24"/>
        </w:rPr>
        <w:t>有</w:t>
      </w:r>
      <w:r>
        <w:rPr>
          <w:color w:val="auto"/>
          <w:kern w:val="0"/>
          <w:sz w:val="24"/>
        </w:rPr>
        <w:t>以下</w:t>
      </w:r>
      <w:r>
        <w:rPr>
          <w:rFonts w:hint="eastAsia"/>
          <w:color w:val="auto"/>
          <w:kern w:val="0"/>
          <w:sz w:val="24"/>
        </w:rPr>
        <w:t>三</w:t>
      </w:r>
      <w:r>
        <w:rPr>
          <w:color w:val="auto"/>
          <w:kern w:val="0"/>
          <w:sz w:val="24"/>
        </w:rPr>
        <w:t>种</w:t>
      </w:r>
      <w:r>
        <w:rPr>
          <w:rFonts w:hint="eastAsia"/>
          <w:color w:val="auto"/>
          <w:kern w:val="0"/>
          <w:sz w:val="24"/>
        </w:rPr>
        <w:t>方式</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（1）在支付工程进度款时逐次扣留，在此情形下，质量保证金的计算基数不包括预付款的支付、扣回以及价格调整的金额；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（2）工</w:t>
      </w:r>
      <w:bookmarkStart w:id="504" w:name="#go6"/>
      <w:bookmarkEnd w:id="504"/>
      <w:r>
        <w:rPr>
          <w:color w:val="auto"/>
          <w:kern w:val="0"/>
          <w:sz w:val="24"/>
        </w:rPr>
        <w:t>程竣工结算时一次性扣留质量保证金；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（3）双方约定的其他扣留方式。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除专用合同条款另有约定外，质量保证金</w:t>
      </w:r>
      <w:r>
        <w:rPr>
          <w:rFonts w:hint="eastAsia"/>
          <w:color w:val="auto"/>
          <w:kern w:val="0"/>
          <w:sz w:val="24"/>
        </w:rPr>
        <w:t>的</w:t>
      </w:r>
      <w:r>
        <w:rPr>
          <w:color w:val="auto"/>
          <w:kern w:val="0"/>
          <w:sz w:val="24"/>
        </w:rPr>
        <w:t>扣留</w:t>
      </w:r>
      <w:r>
        <w:rPr>
          <w:rFonts w:hint="eastAsia"/>
          <w:color w:val="auto"/>
          <w:kern w:val="0"/>
          <w:sz w:val="24"/>
        </w:rPr>
        <w:t>原则上</w:t>
      </w:r>
      <w:r>
        <w:rPr>
          <w:color w:val="auto"/>
          <w:kern w:val="0"/>
          <w:sz w:val="24"/>
        </w:rPr>
        <w:t>采</w:t>
      </w:r>
      <w:r>
        <w:rPr>
          <w:rFonts w:hint="eastAsia"/>
          <w:color w:val="auto"/>
          <w:kern w:val="0"/>
          <w:sz w:val="24"/>
        </w:rPr>
        <w:t>用上述</w:t>
      </w:r>
      <w:r>
        <w:rPr>
          <w:color w:val="auto"/>
          <w:kern w:val="0"/>
          <w:sz w:val="24"/>
        </w:rPr>
        <w:t>第（1）种方式</w:t>
      </w:r>
      <w:r>
        <w:rPr>
          <w:rFonts w:hint="eastAsia"/>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w:t>
      </w:r>
      <w:bookmarkStart w:id="505" w:name="#go4"/>
      <w:bookmarkEnd w:id="505"/>
      <w:r>
        <w:rPr>
          <w:color w:val="auto"/>
          <w:kern w:val="0"/>
          <w:sz w:val="24"/>
        </w:rPr>
        <w:t>包人累计扣留的质量保证金不得超过结算合同价格的5%，</w:t>
      </w:r>
      <w:r>
        <w:rPr>
          <w:rFonts w:hint="eastAsia"/>
          <w:color w:val="auto"/>
          <w:kern w:val="0"/>
          <w:sz w:val="24"/>
        </w:rPr>
        <w:t>如</w:t>
      </w:r>
      <w:r>
        <w:rPr>
          <w:color w:val="auto"/>
          <w:kern w:val="0"/>
          <w:sz w:val="24"/>
        </w:rPr>
        <w:t>承包人在发包人签发竣工付款证书后28天内提交质量保证金保函，发包人应同时退还扣留的作为质量保证金的工程价款。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15.3.3 </w:t>
      </w:r>
      <w:r>
        <w:rPr>
          <w:color w:val="auto"/>
          <w:sz w:val="24"/>
        </w:rPr>
        <w:t>质量保证金</w:t>
      </w:r>
      <w:r>
        <w:rPr>
          <w:color w:val="auto"/>
          <w:kern w:val="0"/>
          <w:sz w:val="24"/>
        </w:rPr>
        <w:t>的退还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发包人应</w:t>
      </w:r>
      <w:r>
        <w:rPr>
          <w:color w:val="auto"/>
          <w:kern w:val="0"/>
          <w:sz w:val="24"/>
        </w:rPr>
        <w:t>按14.4款</w:t>
      </w:r>
      <w:r>
        <w:rPr>
          <w:rFonts w:hint="eastAsia"/>
          <w:color w:val="auto"/>
          <w:kern w:val="0"/>
          <w:sz w:val="24"/>
        </w:rPr>
        <w:t>〔</w:t>
      </w:r>
      <w:r>
        <w:rPr>
          <w:color w:val="auto"/>
          <w:kern w:val="0"/>
          <w:sz w:val="24"/>
        </w:rPr>
        <w:t>最终结清</w:t>
      </w:r>
      <w:r>
        <w:rPr>
          <w:rFonts w:hint="eastAsia"/>
          <w:color w:val="auto"/>
          <w:kern w:val="0"/>
          <w:sz w:val="24"/>
        </w:rPr>
        <w:t>〕的</w:t>
      </w:r>
      <w:r>
        <w:rPr>
          <w:color w:val="auto"/>
          <w:kern w:val="0"/>
          <w:sz w:val="24"/>
        </w:rPr>
        <w:t>约定</w:t>
      </w:r>
      <w:r>
        <w:rPr>
          <w:rFonts w:hint="eastAsia"/>
          <w:color w:val="auto"/>
          <w:kern w:val="0"/>
          <w:sz w:val="24"/>
        </w:rPr>
        <w:t>退还</w:t>
      </w:r>
      <w:r>
        <w:rPr>
          <w:color w:val="auto"/>
          <w:kern w:val="0"/>
          <w:sz w:val="24"/>
        </w:rPr>
        <w:t>质量保证金。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06" w:name="_Toc351203602"/>
      <w:bookmarkStart w:id="507" w:name="_Toc337558819"/>
      <w:r>
        <w:rPr>
          <w:b/>
          <w:color w:val="auto"/>
          <w:sz w:val="24"/>
        </w:rPr>
        <w:t>15.4 保修</w:t>
      </w:r>
      <w:bookmarkEnd w:id="506"/>
    </w:p>
    <w:bookmarkEnd w:id="502"/>
    <w:bookmarkEnd w:id="503"/>
    <w:bookmarkEnd w:id="50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15.4.1保修责任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发包人未经竣工验收擅自使用工程的，保修期自</w:t>
      </w:r>
      <w:r>
        <w:rPr>
          <w:color w:val="auto"/>
          <w:kern w:val="0"/>
          <w:sz w:val="24"/>
        </w:rPr>
        <w:t>转移占有之日起算</w:t>
      </w:r>
      <w:r>
        <w:rPr>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15.4.2 修复费用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保修期内，修复的费用按照以下约定处理：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（1）保修期内，因承包人原因造成工程的缺陷、损坏，承包人应负责修复，并承担修复的费用以及因工程的缺陷、损坏造成的人身伤害和财产损失；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（2）保修期内，因发包人使用不当造成工程的缺陷、损坏，可以委托承包人修复，但发包人应承担修复的费用，并支付承包人合理利润；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（3）因其他原因造成工程的缺陷、损坏，可以委托承包人修复，发包人应承担修复的费用，并支付承包人合理的利润，因工程的缺陷、损坏造成的人身伤害和财产损失由责任方承担。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15.4.3 修复通知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15.4.4 未能修复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color w:val="auto"/>
          <w:kern w:val="0"/>
          <w:sz w:val="24"/>
        </w:rPr>
        <w:t>但修复范围超出缺陷或损坏范围的，超出范围部分的修复费用由发包人承担。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15.4.5 承包人出入权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08" w:name="_Toc351203603"/>
      <w:bookmarkStart w:id="509" w:name="_Toc337558820"/>
      <w:r>
        <w:rPr>
          <w:b/>
          <w:color w:val="auto"/>
          <w:sz w:val="24"/>
        </w:rPr>
        <w:t>16. 违约</w:t>
      </w:r>
      <w:bookmarkEnd w:id="508"/>
    </w:p>
    <w:bookmarkEnd w:id="509"/>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10" w:name="_Toc296346630"/>
      <w:bookmarkStart w:id="511" w:name="_Toc296503129"/>
      <w:bookmarkStart w:id="512" w:name="_Toc351203604"/>
      <w:bookmarkStart w:id="513" w:name="_Toc337558821"/>
      <w:r>
        <w:rPr>
          <w:b/>
          <w:color w:val="auto"/>
          <w:sz w:val="24"/>
        </w:rPr>
        <w:t>16.1 发</w:t>
      </w:r>
      <w:bookmarkEnd w:id="510"/>
      <w:bookmarkEnd w:id="511"/>
      <w:r>
        <w:rPr>
          <w:b/>
          <w:color w:val="auto"/>
          <w:sz w:val="24"/>
        </w:rPr>
        <w:t>包人违约</w:t>
      </w:r>
      <w:bookmarkEnd w:id="512"/>
    </w:p>
    <w:bookmarkEnd w:id="51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16.1.1 发包人违约的情形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在合同履行过程中发生的下列情形，属于发包人违约：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（1）因发包人原因未能在计划开工日期前7天内下达开工通知的；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（2）因发包人原因未能按合同约定支付合同价款的；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（3）发包人违反第10.1款</w:t>
      </w:r>
      <w:r>
        <w:rPr>
          <w:rFonts w:hint="eastAsia"/>
          <w:color w:val="auto"/>
          <w:kern w:val="0"/>
          <w:sz w:val="24"/>
        </w:rPr>
        <w:t>〔</w:t>
      </w:r>
      <w:r>
        <w:rPr>
          <w:color w:val="auto"/>
          <w:kern w:val="0"/>
          <w:sz w:val="24"/>
        </w:rPr>
        <w:t>变更的范围</w:t>
      </w:r>
      <w:r>
        <w:rPr>
          <w:rFonts w:hint="eastAsia"/>
          <w:color w:val="auto"/>
          <w:kern w:val="0"/>
          <w:sz w:val="24"/>
        </w:rPr>
        <w:t>〕</w:t>
      </w:r>
      <w:r>
        <w:rPr>
          <w:color w:val="auto"/>
          <w:kern w:val="0"/>
          <w:sz w:val="24"/>
        </w:rPr>
        <w:t>第（2）项约定，自行实施被取消的工作或转由他人实施的；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（4）发包人提供的材料、工程设备的规格、数量或质量不符合合同约定，或因发包人原因导致交货日期延误或交货地点变更等情况的；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（5）因发包人违反合同约定造成暂停施工的；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（6）发包人无正当理由没有在约定期限内发出复工指示，导致承包人无法复工的；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（7）发包人明确表示或者以其行为表明不履行合同主要义务的；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（8）发包人未能按照合同约定履行其他义务的。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16.1.2 发包人违约的责任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发包人应承担因其违约给承包人增加的费用和（或）延误的工期，并支付承包人合理的利润。此外，合同当事人可在专用合同条款中另行约定发包人违约责任的承担方式和计算方法。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16.1.3 因发包人违约解除合同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除专用合同条款另有约定外，承包人按第16.1.1项</w:t>
      </w:r>
      <w:r>
        <w:rPr>
          <w:rFonts w:hint="eastAsia"/>
          <w:color w:val="auto"/>
          <w:kern w:val="0"/>
          <w:sz w:val="24"/>
        </w:rPr>
        <w:t>〔</w:t>
      </w:r>
      <w:r>
        <w:rPr>
          <w:color w:val="auto"/>
          <w:kern w:val="0"/>
          <w:sz w:val="24"/>
        </w:rPr>
        <w:t>发包人违约的情形</w:t>
      </w:r>
      <w:r>
        <w:rPr>
          <w:rFonts w:hint="eastAsia"/>
          <w:color w:val="auto"/>
          <w:kern w:val="0"/>
          <w:sz w:val="24"/>
        </w:rPr>
        <w:t>〕</w:t>
      </w:r>
      <w:r>
        <w:rPr>
          <w:color w:val="auto"/>
          <w:kern w:val="0"/>
          <w:sz w:val="24"/>
        </w:rPr>
        <w:t>约定暂停施工满28天后</w:t>
      </w:r>
      <w:r>
        <w:rPr>
          <w:rFonts w:hint="eastAsia"/>
          <w:color w:val="auto"/>
          <w:kern w:val="0"/>
          <w:sz w:val="24"/>
        </w:rPr>
        <w:t>，</w:t>
      </w:r>
      <w:r>
        <w:rPr>
          <w:color w:val="auto"/>
          <w:kern w:val="0"/>
          <w:sz w:val="24"/>
        </w:rPr>
        <w:t>发包人仍不纠正其违约行为并致使合同目的不能实现的，</w:t>
      </w:r>
      <w:r>
        <w:rPr>
          <w:rFonts w:hint="eastAsia"/>
          <w:color w:val="auto"/>
          <w:kern w:val="0"/>
          <w:sz w:val="24"/>
        </w:rPr>
        <w:t>或</w:t>
      </w:r>
      <w:r>
        <w:rPr>
          <w:color w:val="auto"/>
          <w:kern w:val="0"/>
          <w:sz w:val="24"/>
        </w:rPr>
        <w:t>出现第16.1.1项</w:t>
      </w:r>
      <w:r>
        <w:rPr>
          <w:rFonts w:hint="eastAsia"/>
          <w:color w:val="auto"/>
          <w:kern w:val="0"/>
          <w:sz w:val="24"/>
        </w:rPr>
        <w:t>〔</w:t>
      </w:r>
      <w:r>
        <w:rPr>
          <w:color w:val="auto"/>
          <w:kern w:val="0"/>
          <w:sz w:val="24"/>
        </w:rPr>
        <w:t>发包人违约的情形</w:t>
      </w:r>
      <w:r>
        <w:rPr>
          <w:rFonts w:hint="eastAsia"/>
          <w:color w:val="auto"/>
          <w:kern w:val="0"/>
          <w:sz w:val="24"/>
        </w:rPr>
        <w:t>〕</w:t>
      </w:r>
      <w:r>
        <w:rPr>
          <w:color w:val="auto"/>
          <w:kern w:val="0"/>
          <w:sz w:val="24"/>
        </w:rPr>
        <w:t>第（7）目约定的违约情况，承包人有权解除合同，发包人应承担由此增加的费用，并支付承包人合理的利润。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kern w:val="0"/>
          <w:sz w:val="24"/>
        </w:rPr>
        <w:t>16.1.4 因发包人违约解除合同后的付款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承包人按照本款约定解除合同的，发包人应在解除合同后28天内支付下列款项，并解除履约担保：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（1）合同解除前所完成工作的价款；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（2）承包人为工程施工订购并已付款的材料、工程设备和其他物品的价款；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（3）承包人撤离施工现场以及遣散承包人人员的款项；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（4）按照合同约定在合同解除前应支付的违约金；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（5）按照合同约定应当支付给承包人的其他款项；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（6）按照合同约定应退还的质量保证金；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（7）因解除合同给承包人造成的损失。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合同当事人未能就解除合同后的结清达成一致的，按照第20条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的约定处理。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承包人应妥善做好已完工程和与工程有关的已购材料、工程设备的保护和移交工作，并将施工设备和人员撤出施工现场，发包人应为承包人撤出提供必要条件。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14" w:name="_Toc351203605"/>
      <w:bookmarkStart w:id="515" w:name="_Toc296346632"/>
      <w:bookmarkStart w:id="516" w:name="_Toc296503131"/>
      <w:bookmarkStart w:id="517" w:name="_Toc337558822"/>
      <w:r>
        <w:rPr>
          <w:b/>
          <w:color w:val="auto"/>
          <w:sz w:val="24"/>
        </w:rPr>
        <w:t>16.2 承包人违约</w:t>
      </w:r>
      <w:bookmarkEnd w:id="514"/>
    </w:p>
    <w:bookmarkEnd w:id="515"/>
    <w:bookmarkEnd w:id="516"/>
    <w:bookmarkEnd w:id="51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16.2.1 承包人违约的情形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在合同履行过程中发生的下列情形，属于承包人违约：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（1）承包人违反合同约定进行转包或违法分包的；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（2）承包人违反合同约定采购和使用不合格的材料和工程设备的；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（3）因承包人原因导致工程质量不符合合同要求的；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（4）承包人违反第8.9款</w:t>
      </w:r>
      <w:r>
        <w:rPr>
          <w:rFonts w:hint="eastAsia"/>
          <w:color w:val="auto"/>
          <w:kern w:val="0"/>
          <w:sz w:val="24"/>
        </w:rPr>
        <w:t>〔</w:t>
      </w:r>
      <w:r>
        <w:rPr>
          <w:color w:val="auto"/>
          <w:kern w:val="0"/>
          <w:sz w:val="24"/>
        </w:rPr>
        <w:t>材料与设备专用</w:t>
      </w:r>
      <w:r>
        <w:rPr>
          <w:rFonts w:hint="eastAsia"/>
          <w:color w:val="auto"/>
          <w:kern w:val="0"/>
          <w:sz w:val="24"/>
        </w:rPr>
        <w:t>要求〕</w:t>
      </w:r>
      <w:r>
        <w:rPr>
          <w:color w:val="auto"/>
          <w:kern w:val="0"/>
          <w:sz w:val="24"/>
        </w:rPr>
        <w:t>的约定，未经批准，私自将已按照合同约定进入施工现场的材料或设备撤离施工现场的；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（5）承包人未能按施工进度计划及时完成合同约定的工作，造成工期延误的；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（6）承包人在缺陷责任期及保修期内，未能在合理期限对工程缺陷进行修复，或拒绝按发包人要求进行修复的；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（7）承包人明确表示或者以其行为表明不履行合同主要义务的；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（8）承包人未能按照合同约定履行其他义务的。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承包人发生除本项第（7）目约定以外的其他违约情况时，监理人可向承包人发出整改通知，要求其在指定的期限内改正。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16.2.2 承包人违约的责任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承包人应承担因其违约行为而增加的费用</w:t>
      </w:r>
      <w:r>
        <w:rPr>
          <w:rFonts w:hint="eastAsia"/>
          <w:color w:val="auto"/>
          <w:kern w:val="0"/>
          <w:sz w:val="24"/>
        </w:rPr>
        <w:t>和（或）延误的</w:t>
      </w:r>
      <w:r>
        <w:rPr>
          <w:color w:val="auto"/>
          <w:kern w:val="0"/>
          <w:sz w:val="24"/>
        </w:rPr>
        <w:t>工期。此外，合同当事人可在专用合同条款中另行约定承包人违约责任的承担方式和计算方法。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16.2.3 因承包人违约解除合同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除专用合同条款另有约定外，出现第16.2.1项</w:t>
      </w:r>
      <w:r>
        <w:rPr>
          <w:rFonts w:hint="eastAsia"/>
          <w:color w:val="auto"/>
          <w:kern w:val="0"/>
          <w:sz w:val="24"/>
        </w:rPr>
        <w:t>〔</w:t>
      </w:r>
      <w:r>
        <w:rPr>
          <w:color w:val="auto"/>
          <w:kern w:val="0"/>
          <w:sz w:val="24"/>
        </w:rPr>
        <w:t>承包人违约的情形</w:t>
      </w:r>
      <w:r>
        <w:rPr>
          <w:rFonts w:hint="eastAsia"/>
          <w:color w:val="auto"/>
          <w:kern w:val="0"/>
          <w:sz w:val="24"/>
        </w:rPr>
        <w:t>〕</w:t>
      </w:r>
      <w:r>
        <w:rPr>
          <w:color w:val="auto"/>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color w:val="auto"/>
          <w:kern w:val="0"/>
          <w:sz w:val="24"/>
        </w:rPr>
        <w:t>合同当事人应在专用合同条款约定相应费用的承担方式。</w:t>
      </w:r>
      <w:r>
        <w:rPr>
          <w:color w:val="auto"/>
          <w:kern w:val="0"/>
          <w:sz w:val="24"/>
        </w:rPr>
        <w:t>发包人</w:t>
      </w:r>
      <w:r>
        <w:rPr>
          <w:rFonts w:hint="eastAsia"/>
          <w:color w:val="auto"/>
          <w:kern w:val="0"/>
          <w:sz w:val="24"/>
        </w:rPr>
        <w:t>继续使用的</w:t>
      </w:r>
      <w:r>
        <w:rPr>
          <w:color w:val="auto"/>
          <w:kern w:val="0"/>
          <w:sz w:val="24"/>
        </w:rPr>
        <w:t>行为不免除或减轻承包人应承担的违约责任。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16.2.4因承包人违约解除合同后的处理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因承包人原因导致合同解除的，则合同当事人应在合同解除后28天内完成估价、付款和清算，并按以下约定执行：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（1）合同解除后，按第4.4款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商定或确定承包人实际完成工作对应的合同价款，以及承包人已提供的材料、工程设备、施工设备和临时工程等的价值；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（2）合同解除后，承包人应支付的违约金；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（3）合同解除后，因解除合同给发包人造成的损失；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（4）合同解除后，承包人应按照发包人要求和监理人的指示完成现场的清理和撤离；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（5）发包人和承包人应在合同解除后进行清算，出具最终结清付款证书，结清全部款项。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因承包人违约解除合同的，</w:t>
      </w:r>
      <w:r>
        <w:rPr>
          <w:color w:val="auto"/>
          <w:kern w:val="0"/>
          <w:sz w:val="24"/>
        </w:rPr>
        <w:t>发包人有权暂停对承包人的付款，查清各项付款和已扣款项。发包人和承包人未能就合同解除后的清算和款项支付达成一致的，按照第20条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的约定处理。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16.2.5采购合同权益转让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18" w:name="_Toc351203606"/>
      <w:r>
        <w:rPr>
          <w:b/>
          <w:color w:val="auto"/>
          <w:sz w:val="24"/>
        </w:rPr>
        <w:t>16.3 第三人造成的违约</w:t>
      </w:r>
      <w:bookmarkEnd w:id="5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在履行合同过程中，一方当事人因第三人的原因造成违约的，应当向对方当事人承担违约责任。一方当事人和第三人之间的纠纷，依照法律规定或者按照约定解决。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19" w:name="_Toc351203607"/>
      <w:bookmarkStart w:id="520" w:name="_Toc296503116"/>
      <w:bookmarkStart w:id="521" w:name="_Toc296346617"/>
      <w:bookmarkStart w:id="522" w:name="_Toc337558823"/>
      <w:r>
        <w:rPr>
          <w:b/>
          <w:color w:val="auto"/>
          <w:sz w:val="24"/>
        </w:rPr>
        <w:t>17. 不可抗力</w:t>
      </w:r>
      <w:bookmarkEnd w:id="519"/>
      <w:r>
        <w:rPr>
          <w:b/>
          <w:color w:val="auto"/>
          <w:sz w:val="24"/>
        </w:rPr>
        <w:t xml:space="preserve"> </w:t>
      </w:r>
      <w:bookmarkEnd w:id="520"/>
      <w:bookmarkEnd w:id="521"/>
      <w:bookmarkEnd w:id="522"/>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23" w:name="_Toc351203608"/>
      <w:bookmarkStart w:id="524" w:name="_Toc337558824"/>
      <w:bookmarkStart w:id="525" w:name="_Toc296346618"/>
      <w:bookmarkStart w:id="526" w:name="_Toc296503117"/>
      <w:r>
        <w:rPr>
          <w:b/>
          <w:color w:val="auto"/>
          <w:sz w:val="24"/>
        </w:rPr>
        <w:t>17.1 不可抗力的确认</w:t>
      </w:r>
      <w:bookmarkEnd w:id="523"/>
    </w:p>
    <w:bookmarkEnd w:id="524"/>
    <w:bookmarkEnd w:id="525"/>
    <w:bookmarkEnd w:id="526"/>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的约定处理。发生争议时，按第20条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的约定处理。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27" w:name="_Toc351203609"/>
      <w:bookmarkStart w:id="528" w:name="_Toc337558825"/>
      <w:bookmarkStart w:id="529" w:name="_Toc296503118"/>
      <w:bookmarkStart w:id="530" w:name="_Toc296346619"/>
      <w:r>
        <w:rPr>
          <w:b/>
          <w:color w:val="auto"/>
          <w:sz w:val="24"/>
        </w:rPr>
        <w:t>17.2 不可抗力的通知</w:t>
      </w:r>
      <w:bookmarkEnd w:id="527"/>
    </w:p>
    <w:bookmarkEnd w:id="528"/>
    <w:bookmarkEnd w:id="529"/>
    <w:bookmarkEnd w:id="53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rFonts w:hint="eastAsia"/>
          <w:color w:val="auto"/>
          <w:kern w:val="0"/>
          <w:sz w:val="24"/>
        </w:rPr>
        <w:t>合同</w:t>
      </w:r>
      <w:r>
        <w:rPr>
          <w:color w:val="auto"/>
          <w:kern w:val="0"/>
          <w:sz w:val="24"/>
        </w:rPr>
        <w:t>一方当事人遇到不可抗力事件，使其履行合同义务受到阻碍时，应立即通知合同另一方当事人和监理人，书面说明不可抗力和受阻碍的详细情况，并提供必要的证明。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31" w:name="_Toc351203610"/>
      <w:bookmarkStart w:id="532" w:name="_Toc296346620"/>
      <w:bookmarkStart w:id="533" w:name="_Toc296503119"/>
      <w:bookmarkStart w:id="534" w:name="_Toc337558826"/>
      <w:r>
        <w:rPr>
          <w:b/>
          <w:color w:val="auto"/>
          <w:sz w:val="24"/>
        </w:rPr>
        <w:t>17.3 不可抗力后果的承担</w:t>
      </w:r>
      <w:bookmarkEnd w:id="531"/>
    </w:p>
    <w:bookmarkEnd w:id="532"/>
    <w:bookmarkEnd w:id="533"/>
    <w:bookmarkEnd w:id="53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17.3.1 </w:t>
      </w:r>
      <w:r>
        <w:rPr>
          <w:rFonts w:hint="eastAsia"/>
          <w:color w:val="auto"/>
          <w:kern w:val="0"/>
          <w:sz w:val="24"/>
        </w:rPr>
        <w:t>不可抗力引起的后果及造成的损失由合同当事人按照法律规定及合同约定各自承担。</w:t>
      </w:r>
      <w:r>
        <w:rPr>
          <w:color w:val="auto"/>
          <w:kern w:val="0"/>
          <w:sz w:val="24"/>
        </w:rPr>
        <w:t>不可抗力发生前已完</w:t>
      </w:r>
      <w:r>
        <w:rPr>
          <w:rFonts w:hint="eastAsia"/>
          <w:color w:val="auto"/>
          <w:kern w:val="0"/>
          <w:sz w:val="24"/>
        </w:rPr>
        <w:t>成的</w:t>
      </w:r>
      <w:r>
        <w:rPr>
          <w:color w:val="auto"/>
          <w:kern w:val="0"/>
          <w:sz w:val="24"/>
        </w:rPr>
        <w:t>工程应当按照合同约定进行计量</w:t>
      </w:r>
      <w:r>
        <w:rPr>
          <w:rFonts w:hint="eastAsia"/>
          <w:color w:val="auto"/>
          <w:kern w:val="0"/>
          <w:sz w:val="24"/>
        </w:rPr>
        <w:t>支付</w:t>
      </w:r>
      <w:r>
        <w:rPr>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17.3.2 不可抗力导致的人员伤亡、财产损失、费用增加和（或）工期延误等后果，由合同当事人按以下原则承担：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（1）永久工程、已运至施工现场的材料和工程设备的损坏，以及因工程损坏造成的第三人人员伤亡和财产损失由发包人承担；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（2）承包人施工设备的损坏由承包人承担；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（3）发包人和承包人承担各自人员伤亡和财产的损失；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（5）因不可抗力引起或将引起工期延误，发包人要求赶工的，由此增加的赶工费用由发包人承担；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（6）承包人在停工期间按照发包人要求照管、清理和修复工程的费用由发包人承担。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不可抗力发生后，合同当事人均应采取措施尽量避免和减少损失的扩大，任何一方当事人没有采取有效措施导致损失扩大的，应对扩大的损失承担责任。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因合同一方迟延履行合同义务，在迟延履行期间遭遇不可抗力的，不免除其违约责任。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35" w:name="_Toc351203611"/>
      <w:bookmarkStart w:id="536" w:name="_Toc337558827"/>
      <w:r>
        <w:rPr>
          <w:b/>
          <w:color w:val="auto"/>
          <w:sz w:val="24"/>
        </w:rPr>
        <w:t>17.4 因不可抗力解除合同</w:t>
      </w:r>
      <w:bookmarkEnd w:id="535"/>
    </w:p>
    <w:bookmarkEnd w:id="536"/>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因不可抗力导致合同无法履行连续超过84天或累计超过140天的，发包人和承包人均有权解除合同。合同解除后，由双方当事人按照第4.4款</w:t>
      </w:r>
      <w:r>
        <w:rPr>
          <w:rFonts w:hint="eastAsia"/>
          <w:color w:val="auto"/>
          <w:kern w:val="0"/>
          <w:sz w:val="24"/>
        </w:rPr>
        <w:t>〔</w:t>
      </w:r>
      <w:r>
        <w:rPr>
          <w:color w:val="auto"/>
          <w:kern w:val="0"/>
          <w:sz w:val="24"/>
        </w:rPr>
        <w:t>商定或确定</w:t>
      </w:r>
      <w:r>
        <w:rPr>
          <w:rFonts w:hint="eastAsia"/>
          <w:color w:val="auto"/>
          <w:kern w:val="0"/>
          <w:sz w:val="24"/>
        </w:rPr>
        <w:t>〕</w:t>
      </w:r>
      <w:r>
        <w:rPr>
          <w:color w:val="auto"/>
          <w:kern w:val="0"/>
          <w:sz w:val="24"/>
        </w:rPr>
        <w:t>商定或确定发包人应支付的款项，该款项包括：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（1）合同解除前承包人已完成工作的价款；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（2）承包人为工程订购的并已交付给承包人，或承包人有责任接受交付的材料、工程设备和其他物品的价款；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（3）发包人要求承包人退货或解除订货合同而产生的费用，或因不能退货或解除合同而产生的损失；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（4）承包人撤离施工现场以及遣散承包人人员的费用；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（5）按照合同约定在合同解除前应支付给承包人的其他款项；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（6）扣减承包人按照合同约定应向发包人支付的款项；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（7）双方商定或确定的其他款项。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除专用合同条款另有约定外，合同解除后，发包人应在商定或确定上述款项后28天内完成上述款项的支付。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37" w:name="_Toc351203612"/>
      <w:bookmarkStart w:id="538" w:name="_Toc296346621"/>
      <w:bookmarkStart w:id="539" w:name="_Toc337558828"/>
      <w:bookmarkStart w:id="540" w:name="_Toc296503120"/>
      <w:r>
        <w:rPr>
          <w:b/>
          <w:color w:val="auto"/>
          <w:sz w:val="24"/>
        </w:rPr>
        <w:t>18. 保险</w:t>
      </w:r>
      <w:bookmarkEnd w:id="537"/>
    </w:p>
    <w:bookmarkEnd w:id="538"/>
    <w:bookmarkEnd w:id="539"/>
    <w:bookmarkEnd w:id="540"/>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41" w:name="_Toc351203613"/>
      <w:bookmarkStart w:id="542" w:name="_Toc296346622"/>
      <w:bookmarkStart w:id="543" w:name="_Toc296503121"/>
      <w:bookmarkStart w:id="544" w:name="_Toc337558829"/>
      <w:r>
        <w:rPr>
          <w:b/>
          <w:color w:val="auto"/>
          <w:sz w:val="24"/>
        </w:rPr>
        <w:t>18.1 工程保险</w:t>
      </w:r>
      <w:bookmarkEnd w:id="541"/>
    </w:p>
    <w:bookmarkEnd w:id="542"/>
    <w:bookmarkEnd w:id="543"/>
    <w:bookmarkEnd w:id="54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除专用合同条款另有约定外，发包人应投保建筑工程一切险或安装工程一切险；发包人委托承包人投保的，因投保产生的保险费和其他相关费用由发包人承担。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45" w:name="_Toc351203614"/>
      <w:bookmarkStart w:id="546" w:name="_Toc337558830"/>
      <w:bookmarkStart w:id="547" w:name="_Toc296503122"/>
      <w:bookmarkStart w:id="548" w:name="_Toc296346623"/>
      <w:r>
        <w:rPr>
          <w:b/>
          <w:color w:val="auto"/>
          <w:sz w:val="24"/>
        </w:rPr>
        <w:t>18.2 工伤保险</w:t>
      </w:r>
      <w:bookmarkEnd w:id="545"/>
    </w:p>
    <w:bookmarkEnd w:id="546"/>
    <w:bookmarkEnd w:id="547"/>
    <w:bookmarkEnd w:id="54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18.2.1 发包人应依照法律规定参加工伤保险，并为在施工现场的全部员工办理工伤保险，缴纳工伤保险费，并要求监理人及由发包人为履行合同聘请的第三方依法参加工伤保险。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18.2.2 承包人应依照法律规定参加工伤保险，并为其履行合同的全部员工办理工伤保险，缴纳工伤保险费，并要求分包人及由承包人为履行合同聘请的第三方依法参加工伤保险。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49" w:name="_Toc351203615"/>
      <w:bookmarkStart w:id="550" w:name="_Toc337558831"/>
      <w:bookmarkStart w:id="551" w:name="_Toc296346626"/>
      <w:bookmarkStart w:id="552" w:name="_Toc296503125"/>
      <w:r>
        <w:rPr>
          <w:b/>
          <w:color w:val="auto"/>
          <w:sz w:val="24"/>
        </w:rPr>
        <w:t>18.3其他保险</w:t>
      </w:r>
      <w:bookmarkEnd w:id="549"/>
    </w:p>
    <w:bookmarkEnd w:id="550"/>
    <w:bookmarkEnd w:id="551"/>
    <w:bookmarkEnd w:id="55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发包人和承包人可以为其施工现场的全部人员办理意外伤害保险并支付保险费，包括其员工及为履行合同聘请的第三方的人员，具体事项由合同当事人在专用合同条款约定。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除专用合同条款另有约定外，承包人应为其施工设备等办理财产保险。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53" w:name="_Toc351203616"/>
      <w:r>
        <w:rPr>
          <w:b/>
          <w:color w:val="auto"/>
          <w:sz w:val="24"/>
        </w:rPr>
        <w:t>18.4持续保险</w:t>
      </w:r>
      <w:bookmarkEnd w:id="55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合同当事人应与保险人保持联系，使保险人能够随时了解工程实施中的变动，并确保按保险合同条款要求持续保险。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54" w:name="_Toc351203617"/>
      <w:bookmarkStart w:id="555" w:name="_Toc337558832"/>
      <w:bookmarkStart w:id="556" w:name="_Toc296346627"/>
      <w:bookmarkStart w:id="557" w:name="_Toc296503126"/>
      <w:r>
        <w:rPr>
          <w:b/>
          <w:color w:val="auto"/>
          <w:sz w:val="24"/>
        </w:rPr>
        <w:t>18.5 保险凭证</w:t>
      </w:r>
      <w:bookmarkEnd w:id="554"/>
    </w:p>
    <w:bookmarkEnd w:id="555"/>
    <w:bookmarkEnd w:id="556"/>
    <w:bookmarkEnd w:id="55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合同当事人应及时向另一方当事人提交其已投保的各项保险的凭证和保险单复印件。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58" w:name="_Toc351203618"/>
      <w:bookmarkStart w:id="559" w:name="_Toc337558833"/>
      <w:bookmarkStart w:id="560" w:name="_Toc296346628"/>
      <w:bookmarkStart w:id="561" w:name="_Toc296503127"/>
      <w:r>
        <w:rPr>
          <w:b/>
          <w:color w:val="auto"/>
          <w:sz w:val="24"/>
        </w:rPr>
        <w:t>18.6 未按约定投保的补救</w:t>
      </w:r>
      <w:bookmarkEnd w:id="558"/>
    </w:p>
    <w:bookmarkEnd w:id="559"/>
    <w:bookmarkEnd w:id="560"/>
    <w:bookmarkEnd w:id="56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18.6.1发包人未按合同约定办理保险，或未能使保险持续有效的，则承包人可代为办理，所需费用由发包人承担。发包人未按合同约定办理保险，导致未能得到足额赔偿的，由发包人负责补足。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18.6.2承包人未按合同约定办理保险，或未能使保险持续有效的，则发包人可代为办理，所需费用由承包人承担。承包人未按合同约定办理保险，导致未能得到足额赔偿的，由承包人负责补足。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62" w:name="_Toc351203619"/>
      <w:bookmarkStart w:id="563" w:name="_Toc337558834"/>
      <w:r>
        <w:rPr>
          <w:b/>
          <w:color w:val="auto"/>
          <w:sz w:val="24"/>
        </w:rPr>
        <w:t>18.7 通知义务</w:t>
      </w:r>
      <w:bookmarkEnd w:id="562"/>
    </w:p>
    <w:bookmarkEnd w:id="56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除专用合同条款另有约定外，发包人变更除工伤保险之外的保险合同时，应事先征得承包人同意，并通知监理人；承包人变更除工伤保险之外的保险合同时，应事先征得发包人同意，并通知监理人。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保险事故发生时，投保人应按照保险合同规定的条件和期限及时向保险人报告。发包人和承包人应当在知道保险事故发生后及时通知对方。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64" w:name="_Toc351203620"/>
      <w:bookmarkStart w:id="565" w:name="_Toc337558835"/>
      <w:bookmarkStart w:id="566" w:name="_Toc296503140"/>
      <w:bookmarkStart w:id="567" w:name="_Toc296346641"/>
      <w:r>
        <w:rPr>
          <w:b/>
          <w:color w:val="auto"/>
          <w:sz w:val="24"/>
        </w:rPr>
        <w:t>19. 索赔</w:t>
      </w:r>
      <w:bookmarkEnd w:id="564"/>
    </w:p>
    <w:bookmarkEnd w:id="565"/>
    <w:bookmarkEnd w:id="566"/>
    <w:bookmarkEnd w:id="567"/>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68" w:name="_Toc351203621"/>
      <w:bookmarkStart w:id="569" w:name="_Toc337558836"/>
      <w:bookmarkStart w:id="570" w:name="_Toc296346642"/>
      <w:bookmarkStart w:id="571" w:name="_Toc296503141"/>
      <w:r>
        <w:rPr>
          <w:b/>
          <w:color w:val="auto"/>
          <w:sz w:val="24"/>
        </w:rPr>
        <w:t>19.1承包人的索赔</w:t>
      </w:r>
      <w:bookmarkEnd w:id="568"/>
    </w:p>
    <w:bookmarkEnd w:id="569"/>
    <w:bookmarkEnd w:id="570"/>
    <w:bookmarkEnd w:id="571"/>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根据合同约定，承包人认为有权得到追加付款和（或）延长工期的，应按以下程序向</w:t>
      </w:r>
      <w:r>
        <w:rPr>
          <w:rFonts w:hint="eastAsia"/>
          <w:color w:val="auto"/>
          <w:kern w:val="0"/>
          <w:sz w:val="24"/>
        </w:rPr>
        <w:t>发包</w:t>
      </w:r>
      <w:r>
        <w:rPr>
          <w:color w:val="auto"/>
          <w:kern w:val="0"/>
          <w:sz w:val="24"/>
        </w:rPr>
        <w:t>人提出索赔：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（2）承包人应在发出索赔意向通知书后28天内，向监理人正式递交索赔报告；索赔报告应详细说明索赔理由以及要求追加的付款金额和（或）延长的工期，并附必要的记录和证明材料；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（3）索赔事件具有持续影响的，承包人应按合理时间间隔继续递交延续索赔通知，说明持续影响的实际情况和记录，列出累计的追加付款金额和（或）工期延长天数；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（4）在索赔事件影响结束后28天内，承包人应向监理人递交最终索赔报告，说明最终要求索赔的追加付款金额和（或）延长的工期，并附必要的记录和证明材料。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72" w:name="_Toc351203622"/>
      <w:bookmarkStart w:id="573" w:name="_Toc296346643"/>
      <w:bookmarkStart w:id="574" w:name="_Toc337558837"/>
      <w:bookmarkStart w:id="575" w:name="_Toc296503142"/>
      <w:r>
        <w:rPr>
          <w:b/>
          <w:color w:val="auto"/>
          <w:sz w:val="24"/>
        </w:rPr>
        <w:t>19.2 对承包人索赔的处理</w:t>
      </w:r>
      <w:bookmarkEnd w:id="572"/>
    </w:p>
    <w:bookmarkEnd w:id="573"/>
    <w:bookmarkEnd w:id="574"/>
    <w:bookmarkEnd w:id="57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对承包人索赔的处理如下：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（1）监理人应在收到索赔报告后14天内完成审查并报送发包人。监理人对索赔报告存在异议的，有权要求承包人提交全部原始记录副本；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（2）发包人应在监理人收到索赔报告或有关索赔的进一步证明材料后的28天内，由监理人向承包人出具经发包人签认的索赔处理结果。发包人逾期答复的，则视为认可承包人的索赔要求；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（3）承包人接受索赔处理结果的，索赔款项在当期进度款中进行支付；承包人不接受索赔处理结果的，按照第20条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约定处理。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76" w:name="_Toc351203623"/>
      <w:bookmarkStart w:id="577" w:name="_Toc337558838"/>
      <w:bookmarkStart w:id="578" w:name="_Toc296503143"/>
      <w:bookmarkStart w:id="579" w:name="_Toc296346644"/>
      <w:r>
        <w:rPr>
          <w:b/>
          <w:color w:val="auto"/>
          <w:sz w:val="24"/>
        </w:rPr>
        <w:t>19.3发包人的索赔</w:t>
      </w:r>
      <w:bookmarkEnd w:id="576"/>
    </w:p>
    <w:bookmarkEnd w:id="577"/>
    <w:bookmarkEnd w:id="578"/>
    <w:bookmarkEnd w:id="57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根据合同约定，发包人认为有权得到赔付金额和（或）延长缺陷责任期的，监理人应向承包人发出通知并附有详细的证明。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80" w:name="_Toc351203624"/>
      <w:bookmarkStart w:id="581" w:name="_Toc296346645"/>
      <w:bookmarkStart w:id="582" w:name="_Toc296503144"/>
      <w:bookmarkStart w:id="583" w:name="_Toc337558839"/>
      <w:r>
        <w:rPr>
          <w:b/>
          <w:color w:val="auto"/>
          <w:sz w:val="24"/>
        </w:rPr>
        <w:t>19.4 对发包人索赔的处理</w:t>
      </w:r>
      <w:bookmarkEnd w:id="580"/>
    </w:p>
    <w:bookmarkEnd w:id="581"/>
    <w:bookmarkEnd w:id="582"/>
    <w:bookmarkEnd w:id="58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对发包人索赔的处理如下：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（1）承包人收到发包人提交的索赔报告后，应及时审查索赔报告的内容、查验发包人证明材料；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（2）承包人应在收到索赔报告或有关索赔的进一步证明材料后28天内，将索赔处理结果答复发包人。如果承包人未在上述期限内作出答复的，则视为对发包人索赔要求的认可；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（3）承包人接受索赔处理结果的，发包人可从应支付给承包人的合同价款中扣除赔付的金额或延长缺陷责任期；发包人不接受索赔处理结果的，按第20条</w:t>
      </w:r>
      <w:r>
        <w:rPr>
          <w:rFonts w:hint="eastAsia"/>
          <w:color w:val="auto"/>
          <w:kern w:val="0"/>
          <w:sz w:val="24"/>
        </w:rPr>
        <w:t>〔</w:t>
      </w:r>
      <w:r>
        <w:rPr>
          <w:color w:val="auto"/>
          <w:kern w:val="0"/>
          <w:sz w:val="24"/>
        </w:rPr>
        <w:t>争议解决</w:t>
      </w:r>
      <w:r>
        <w:rPr>
          <w:rFonts w:hint="eastAsia"/>
          <w:color w:val="auto"/>
          <w:kern w:val="0"/>
          <w:sz w:val="24"/>
        </w:rPr>
        <w:t>〕</w:t>
      </w:r>
      <w:r>
        <w:rPr>
          <w:color w:val="auto"/>
          <w:kern w:val="0"/>
          <w:sz w:val="24"/>
        </w:rPr>
        <w:t>约定处理。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84" w:name="_Toc351203625"/>
      <w:r>
        <w:rPr>
          <w:b/>
          <w:color w:val="auto"/>
          <w:sz w:val="24"/>
        </w:rPr>
        <w:t>19.5 提出索赔的期限</w:t>
      </w:r>
      <w:bookmarkEnd w:id="5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（1）承包人按第14.2款</w:t>
      </w:r>
      <w:r>
        <w:rPr>
          <w:rFonts w:hint="eastAsia"/>
          <w:color w:val="auto"/>
          <w:kern w:val="0"/>
          <w:sz w:val="24"/>
        </w:rPr>
        <w:t>〔</w:t>
      </w:r>
      <w:r>
        <w:rPr>
          <w:color w:val="auto"/>
          <w:kern w:val="0"/>
          <w:sz w:val="24"/>
        </w:rPr>
        <w:t>竣工结算审核</w:t>
      </w:r>
      <w:r>
        <w:rPr>
          <w:rFonts w:hint="eastAsia"/>
          <w:color w:val="auto"/>
          <w:kern w:val="0"/>
          <w:sz w:val="24"/>
        </w:rPr>
        <w:t>〕</w:t>
      </w:r>
      <w:r>
        <w:rPr>
          <w:color w:val="auto"/>
          <w:kern w:val="0"/>
          <w:sz w:val="24"/>
        </w:rPr>
        <w:t>约定接收竣工付款证书后，应被视为已无权再提出在工程接收证书颁发前所发生的任何索赔。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（2）承包人按第14.4款</w:t>
      </w:r>
      <w:r>
        <w:rPr>
          <w:rFonts w:hint="eastAsia"/>
          <w:color w:val="auto"/>
          <w:kern w:val="0"/>
          <w:sz w:val="24"/>
        </w:rPr>
        <w:t>〔</w:t>
      </w:r>
      <w:r>
        <w:rPr>
          <w:color w:val="auto"/>
          <w:kern w:val="0"/>
          <w:sz w:val="24"/>
        </w:rPr>
        <w:t>最终结清</w:t>
      </w:r>
      <w:r>
        <w:rPr>
          <w:rFonts w:hint="eastAsia"/>
          <w:color w:val="auto"/>
          <w:kern w:val="0"/>
          <w:sz w:val="24"/>
        </w:rPr>
        <w:t>〕</w:t>
      </w:r>
      <w:r>
        <w:rPr>
          <w:color w:val="auto"/>
          <w:kern w:val="0"/>
          <w:sz w:val="24"/>
        </w:rPr>
        <w:t>提交的最终结清申请单中，只限于提出工程接收证书颁发后发生的索赔。提出索赔的期限自接受最终结清证书时终止。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85" w:name="_Toc351203626"/>
      <w:r>
        <w:rPr>
          <w:b/>
          <w:color w:val="auto"/>
          <w:sz w:val="24"/>
        </w:rPr>
        <w:t>20</w:t>
      </w:r>
      <w:bookmarkStart w:id="586" w:name="_Toc296503146"/>
      <w:bookmarkStart w:id="587" w:name="_Toc296346647"/>
      <w:bookmarkStart w:id="588" w:name="_Toc337558840"/>
      <w:r>
        <w:rPr>
          <w:b/>
          <w:color w:val="auto"/>
          <w:sz w:val="24"/>
        </w:rPr>
        <w:t>. 争议解决</w:t>
      </w:r>
      <w:bookmarkEnd w:id="585"/>
    </w:p>
    <w:bookmarkEnd w:id="586"/>
    <w:bookmarkEnd w:id="587"/>
    <w:bookmarkEnd w:id="588"/>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89" w:name="_Toc351203627"/>
      <w:bookmarkStart w:id="590" w:name="_Toc296503147"/>
      <w:bookmarkStart w:id="591" w:name="_Toc337558841"/>
      <w:bookmarkStart w:id="592" w:name="_Toc296346648"/>
      <w:r>
        <w:rPr>
          <w:b/>
          <w:color w:val="auto"/>
          <w:sz w:val="24"/>
        </w:rPr>
        <w:t>20.1和解</w:t>
      </w:r>
      <w:bookmarkEnd w:id="589"/>
    </w:p>
    <w:bookmarkEnd w:id="590"/>
    <w:bookmarkEnd w:id="591"/>
    <w:bookmarkEnd w:id="59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合同当事人可以就争议自行和解，自行和解达成协议的经双方签字并盖章后作为合同补充文件，双方均应遵照执行。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93" w:name="_Toc351203628"/>
      <w:r>
        <w:rPr>
          <w:b/>
          <w:color w:val="auto"/>
          <w:sz w:val="24"/>
        </w:rPr>
        <w:t>20</w:t>
      </w:r>
      <w:bookmarkStart w:id="594" w:name="_Toc337558842"/>
      <w:bookmarkStart w:id="595" w:name="_Toc296503148"/>
      <w:bookmarkStart w:id="596" w:name="_Toc296346649"/>
      <w:r>
        <w:rPr>
          <w:b/>
          <w:color w:val="auto"/>
          <w:sz w:val="24"/>
        </w:rPr>
        <w:t>.2调解</w:t>
      </w:r>
      <w:bookmarkEnd w:id="593"/>
    </w:p>
    <w:bookmarkEnd w:id="594"/>
    <w:bookmarkEnd w:id="595"/>
    <w:bookmarkEnd w:id="596"/>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合同当事人可以就争议请求建设行政主管部门</w:t>
      </w:r>
      <w:r>
        <w:rPr>
          <w:rFonts w:hint="eastAsia"/>
          <w:color w:val="auto"/>
          <w:kern w:val="0"/>
          <w:sz w:val="24"/>
        </w:rPr>
        <w:t>、行业协会</w:t>
      </w:r>
      <w:r>
        <w:rPr>
          <w:color w:val="auto"/>
          <w:kern w:val="0"/>
          <w:sz w:val="24"/>
        </w:rPr>
        <w:t>或</w:t>
      </w:r>
      <w:r>
        <w:rPr>
          <w:rFonts w:hint="eastAsia"/>
          <w:color w:val="auto"/>
          <w:kern w:val="0"/>
          <w:sz w:val="24"/>
        </w:rPr>
        <w:t>其他</w:t>
      </w:r>
      <w:r>
        <w:rPr>
          <w:color w:val="auto"/>
          <w:kern w:val="0"/>
          <w:sz w:val="24"/>
        </w:rPr>
        <w:t>第三方进行调解，调解达成协议的，经双方签字并盖章后作为合同补充文件，双方均应遵照执行。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597" w:name="_Toc351203629"/>
      <w:bookmarkStart w:id="598" w:name="_Toc296503149"/>
      <w:bookmarkStart w:id="599" w:name="_Toc337558843"/>
      <w:bookmarkStart w:id="600" w:name="_Toc296346650"/>
      <w:r>
        <w:rPr>
          <w:b/>
          <w:color w:val="auto"/>
          <w:sz w:val="24"/>
        </w:rPr>
        <w:t>20.3争议评审</w:t>
      </w:r>
      <w:bookmarkEnd w:id="597"/>
    </w:p>
    <w:bookmarkEnd w:id="598"/>
    <w:bookmarkEnd w:id="599"/>
    <w:bookmarkEnd w:id="60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合同当事人在专用合同条款中约定采取争议评审方式解决争议</w:t>
      </w:r>
      <w:r>
        <w:rPr>
          <w:rFonts w:hint="eastAsia"/>
          <w:color w:val="auto"/>
          <w:kern w:val="0"/>
          <w:sz w:val="24"/>
        </w:rPr>
        <w:t>以及评审规则，并</w:t>
      </w:r>
      <w:r>
        <w:rPr>
          <w:color w:val="auto"/>
          <w:kern w:val="0"/>
          <w:sz w:val="24"/>
        </w:rPr>
        <w:t xml:space="preserve">按下列约定执行：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20.3.1 争议评审小组的确定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合同当事人可以共同选择一名或三名争议评审员，组成争议评审小组。除专用合同条款另有约定外，合同当事人应当自合同签订后28天内，或者争议发生后14天内，选定争议评审员。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color w:val="auto"/>
          <w:kern w:val="0"/>
          <w:sz w:val="24"/>
        </w:rPr>
        <w:t>评审</w:t>
      </w:r>
      <w:r>
        <w:rPr>
          <w:color w:val="auto"/>
          <w:kern w:val="0"/>
          <w:sz w:val="24"/>
        </w:rPr>
        <w:t xml:space="preserve">机构指定第三名首席争议评审员。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除专用合同条款另有约定外，评审员报酬由发包人和承包人各承担一半。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20.3.2 争议评审小组的决定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20.3.3 争议评审小组决定的效力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争议评审小组作出的书面决定经合同当事人签字确认后，对双方具有约束力，双方应遵照执行。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任何一方当事人不接受争议评审小组决定</w:t>
      </w:r>
      <w:r>
        <w:rPr>
          <w:rFonts w:hint="eastAsia"/>
          <w:color w:val="auto"/>
          <w:kern w:val="0"/>
          <w:sz w:val="24"/>
        </w:rPr>
        <w:t>或不履行争议评审小组决定的</w:t>
      </w:r>
      <w:r>
        <w:rPr>
          <w:color w:val="auto"/>
          <w:kern w:val="0"/>
          <w:sz w:val="24"/>
        </w:rPr>
        <w:t>，双方可选择采用其他争议解决方式。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601" w:name="_Toc351203630"/>
      <w:bookmarkStart w:id="602" w:name="_Toc337558844"/>
      <w:bookmarkStart w:id="603" w:name="_Toc296503150"/>
      <w:bookmarkStart w:id="604" w:name="_Toc296346651"/>
      <w:r>
        <w:rPr>
          <w:b/>
          <w:color w:val="auto"/>
          <w:sz w:val="24"/>
        </w:rPr>
        <w:t>20.4仲裁或诉讼</w:t>
      </w:r>
      <w:bookmarkEnd w:id="601"/>
    </w:p>
    <w:bookmarkEnd w:id="602"/>
    <w:bookmarkEnd w:id="603"/>
    <w:bookmarkEnd w:id="60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因合同及合同有关事项产生的争议，合同当事人可以在专用合同条款中约定以下一种方式解决争议：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（1）向约定的仲裁委员会申请仲裁；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（2）向有管辖权的人民法院起诉。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bookmarkStart w:id="605" w:name="_Toc351203631"/>
      <w:bookmarkStart w:id="606" w:name="_Toc296503152"/>
      <w:bookmarkStart w:id="607" w:name="_Toc296346653"/>
      <w:bookmarkStart w:id="608" w:name="_Toc337558845"/>
      <w:r>
        <w:rPr>
          <w:b/>
          <w:color w:val="auto"/>
          <w:sz w:val="24"/>
        </w:rPr>
        <w:t>20.5争议解决条款效力</w:t>
      </w:r>
      <w:bookmarkEnd w:id="605"/>
    </w:p>
    <w:bookmarkEnd w:id="606"/>
    <w:bookmarkEnd w:id="607"/>
    <w:bookmarkEnd w:id="60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rPr>
      </w:pPr>
      <w:r>
        <w:rPr>
          <w:color w:val="auto"/>
          <w:kern w:val="0"/>
          <w:sz w:val="24"/>
        </w:rPr>
        <w:t xml:space="preserve">合同有关争议解决的条款独立存在，合同的变更、解除、终止、无效或者被撤销均不影响其效力。 </w:t>
      </w:r>
    </w:p>
    <w:p>
      <w:pPr>
        <w:spacing w:line="360" w:lineRule="auto"/>
        <w:jc w:val="center"/>
        <w:rPr>
          <w:rStyle w:val="63"/>
          <w:color w:val="auto"/>
        </w:rPr>
      </w:pPr>
      <w:bookmarkStart w:id="609" w:name="_Toc351203632"/>
      <w:r>
        <w:rPr>
          <w:color w:val="auto"/>
          <w:sz w:val="24"/>
        </w:rPr>
        <w:br w:type="page"/>
      </w:r>
      <w:bookmarkStart w:id="610" w:name="_Toc26224_WPSOffice_Level1"/>
      <w:bookmarkStart w:id="611" w:name="_Toc533864028"/>
      <w:bookmarkStart w:id="612" w:name="_Toc516136844"/>
      <w:bookmarkStart w:id="613" w:name="_Toc11702_WPSOffice_Level1"/>
      <w:bookmarkStart w:id="614" w:name="_Toc30012"/>
      <w:r>
        <w:rPr>
          <w:rStyle w:val="63"/>
          <w:color w:val="auto"/>
        </w:rPr>
        <w:t xml:space="preserve">第三部分 </w:t>
      </w:r>
      <w:r>
        <w:rPr>
          <w:rStyle w:val="63"/>
          <w:rFonts w:hint="eastAsia"/>
          <w:color w:val="auto"/>
        </w:rPr>
        <w:t>专用合同条款</w:t>
      </w:r>
      <w:bookmarkEnd w:id="609"/>
      <w:bookmarkEnd w:id="610"/>
      <w:bookmarkEnd w:id="611"/>
      <w:bookmarkEnd w:id="612"/>
      <w:bookmarkEnd w:id="613"/>
    </w:p>
    <w:bookmarkEnd w:id="614"/>
    <w:p>
      <w:pPr>
        <w:pStyle w:val="4"/>
        <w:jc w:val="center"/>
        <w:rPr>
          <w:rFonts w:ascii="宋体" w:hAnsi="宋体" w:eastAsia="宋体" w:cs="宋体"/>
          <w:b w:val="0"/>
          <w:color w:val="auto"/>
          <w:sz w:val="28"/>
          <w:szCs w:val="28"/>
        </w:rPr>
      </w:pPr>
      <w:bookmarkStart w:id="615" w:name="_Toc24038"/>
      <w:bookmarkStart w:id="616" w:name="_Toc28765"/>
      <w:bookmarkStart w:id="617" w:name="_Toc31778"/>
      <w:bookmarkStart w:id="618" w:name="_Toc18244"/>
      <w:bookmarkStart w:id="619" w:name="_Toc19055"/>
      <w:r>
        <w:rPr>
          <w:rFonts w:hint="eastAsia" w:ascii="宋体" w:hAnsi="宋体" w:eastAsia="宋体" w:cs="宋体"/>
          <w:b w:val="0"/>
          <w:color w:val="auto"/>
          <w:sz w:val="28"/>
          <w:szCs w:val="28"/>
        </w:rPr>
        <w:t>具体条款由双方协商签订</w:t>
      </w:r>
      <w:bookmarkEnd w:id="615"/>
      <w:bookmarkEnd w:id="616"/>
      <w:bookmarkEnd w:id="617"/>
      <w:bookmarkEnd w:id="618"/>
      <w:bookmarkEnd w:id="619"/>
      <w:bookmarkStart w:id="620" w:name="_Toc246996336"/>
      <w:bookmarkEnd w:id="620"/>
      <w:bookmarkStart w:id="621" w:name="_Toc433737403"/>
      <w:bookmarkEnd w:id="621"/>
      <w:bookmarkStart w:id="622" w:name="_Toc246997079"/>
      <w:bookmarkEnd w:id="622"/>
      <w:bookmarkStart w:id="623" w:name="_Toc247085851"/>
      <w:bookmarkEnd w:id="623"/>
    </w:p>
    <w:p>
      <w:pPr>
        <w:adjustRightInd w:val="0"/>
        <w:snapToGrid w:val="0"/>
        <w:spacing w:line="360" w:lineRule="auto"/>
        <w:rPr>
          <w:color w:val="auto"/>
          <w:highlight w:val="none"/>
        </w:rPr>
        <w:sectPr>
          <w:footerReference r:id="rId11" w:type="default"/>
          <w:pgSz w:w="11906" w:h="16838"/>
          <w:pgMar w:top="1440" w:right="1080" w:bottom="1440" w:left="1080" w:header="851" w:footer="851" w:gutter="0"/>
          <w:pgNumType w:fmt="decimal"/>
          <w:cols w:space="720" w:num="1"/>
          <w:docGrid w:type="lines" w:linePitch="312" w:charSpace="0"/>
        </w:sectPr>
      </w:pPr>
    </w:p>
    <w:p>
      <w:pPr>
        <w:pStyle w:val="3"/>
        <w:jc w:val="center"/>
        <w:rPr>
          <w:rFonts w:ascii="宋体" w:hAnsi="宋体" w:cs="宋体"/>
          <w:color w:val="auto"/>
          <w:highlight w:val="none"/>
        </w:rPr>
      </w:pPr>
      <w:bookmarkStart w:id="624" w:name="_Toc1928"/>
      <w:r>
        <w:rPr>
          <w:rFonts w:hint="eastAsia"/>
          <w:color w:val="auto"/>
          <w:highlight w:val="none"/>
        </w:rPr>
        <w:t xml:space="preserve">第五部分  </w:t>
      </w:r>
      <w:bookmarkEnd w:id="154"/>
      <w:r>
        <w:rPr>
          <w:rFonts w:hint="eastAsia"/>
          <w:color w:val="auto"/>
          <w:highlight w:val="none"/>
        </w:rPr>
        <w:t>评审程序、方法和标准</w:t>
      </w:r>
      <w:bookmarkEnd w:id="155"/>
      <w:bookmarkEnd w:id="156"/>
      <w:bookmarkEnd w:id="157"/>
      <w:bookmarkEnd w:id="624"/>
    </w:p>
    <w:p>
      <w:pPr>
        <w:spacing w:line="360" w:lineRule="auto"/>
        <w:ind w:firstLine="480" w:firstLineChars="200"/>
        <w:rPr>
          <w:rFonts w:hint="eastAsia" w:ascii="宋体" w:hAnsi="宋体" w:cs="宋体"/>
          <w:color w:val="auto"/>
          <w:sz w:val="24"/>
          <w:highlight w:val="none"/>
        </w:rPr>
      </w:pPr>
    </w:p>
    <w:p>
      <w:pPr>
        <w:pStyle w:val="4"/>
        <w:bidi w:val="0"/>
        <w:jc w:val="center"/>
        <w:rPr>
          <w:color w:val="auto"/>
        </w:rPr>
      </w:pPr>
      <w:bookmarkStart w:id="625" w:name="_Toc18544"/>
      <w:bookmarkStart w:id="626" w:name="_Toc5802"/>
      <w:bookmarkStart w:id="627" w:name="_Toc3582"/>
      <w:bookmarkStart w:id="628" w:name="_Toc20393"/>
      <w:bookmarkStart w:id="629" w:name="_Toc112268530"/>
      <w:bookmarkStart w:id="630" w:name="_Toc112278798"/>
      <w:bookmarkStart w:id="631" w:name="_Toc317237623"/>
      <w:r>
        <w:rPr>
          <w:rFonts w:hint="eastAsia"/>
          <w:color w:val="auto"/>
        </w:rPr>
        <w:t>一、总则</w:t>
      </w:r>
      <w:bookmarkEnd w:id="625"/>
      <w:bookmarkEnd w:id="626"/>
      <w:bookmarkEnd w:id="627"/>
      <w:bookmarkEnd w:id="628"/>
      <w:bookmarkEnd w:id="629"/>
      <w:bookmarkEnd w:id="630"/>
      <w:bookmarkEnd w:id="63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 根据《中华人民共和国政府采购法》、《政府采购竞争性磋商采购方式管理暂行办法》等法律和规章，结合本采购项目特点制定本评审办法。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 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 磋商小组发现磋商文件表述不明确或需要说明的事项，可提请采购人、采购代理机构书面解释说明。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 磋商小组对响应文件的判定，只依据响应文件和磋商过程中认定的文件，不依据磋商后的任何外来证明。</w:t>
      </w:r>
    </w:p>
    <w:p>
      <w:pPr>
        <w:pStyle w:val="4"/>
        <w:bidi w:val="0"/>
        <w:jc w:val="center"/>
        <w:rPr>
          <w:color w:val="auto"/>
        </w:rPr>
      </w:pPr>
      <w:bookmarkStart w:id="632" w:name="_Toc13029"/>
      <w:bookmarkStart w:id="633" w:name="_Toc24260"/>
      <w:bookmarkStart w:id="634" w:name="_Toc22496"/>
      <w:bookmarkStart w:id="635" w:name="_Toc20027"/>
      <w:bookmarkStart w:id="636" w:name="_Toc112278799"/>
      <w:bookmarkStart w:id="637" w:name="_Toc13991"/>
      <w:bookmarkStart w:id="638" w:name="_Toc112268531"/>
      <w:r>
        <w:rPr>
          <w:rFonts w:hint="eastAsia"/>
          <w:color w:val="auto"/>
        </w:rPr>
        <w:t>二、评审程序、评审方法和评审标准</w:t>
      </w:r>
      <w:bookmarkEnd w:id="632"/>
      <w:bookmarkEnd w:id="633"/>
      <w:bookmarkEnd w:id="634"/>
      <w:bookmarkEnd w:id="635"/>
      <w:bookmarkEnd w:id="636"/>
      <w:bookmarkEnd w:id="637"/>
      <w:bookmarkEnd w:id="638"/>
    </w:p>
    <w:p>
      <w:pPr>
        <w:spacing w:line="360" w:lineRule="auto"/>
        <w:ind w:firstLine="482" w:firstLineChars="200"/>
        <w:rPr>
          <w:rFonts w:hint="eastAsia" w:ascii="宋体" w:hAnsi="宋体" w:cs="宋体"/>
          <w:b/>
          <w:color w:val="auto"/>
          <w:sz w:val="24"/>
          <w:highlight w:val="none"/>
        </w:rPr>
      </w:pP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1、响应文件的</w:t>
      </w:r>
      <w:r>
        <w:rPr>
          <w:rFonts w:hint="eastAsia" w:ascii="宋体" w:hAnsi="宋体" w:cs="宋体"/>
          <w:b/>
          <w:color w:val="auto"/>
          <w:sz w:val="24"/>
          <w:highlight w:val="none"/>
          <w:lang w:val="en-US" w:eastAsia="zh-CN"/>
        </w:rPr>
        <w:t>初步</w:t>
      </w:r>
      <w:r>
        <w:rPr>
          <w:rFonts w:hint="eastAsia" w:ascii="宋体" w:hAnsi="宋体" w:cs="宋体"/>
          <w:b/>
          <w:color w:val="auto"/>
          <w:sz w:val="24"/>
          <w:highlight w:val="none"/>
        </w:rPr>
        <w:t>审查（见附件1</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附件2</w:t>
      </w:r>
      <w:r>
        <w:rPr>
          <w:rFonts w:hint="eastAsia" w:ascii="宋体" w:hAnsi="宋体" w:cs="宋体"/>
          <w:b/>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委托代理人签字或者加盖公章。由委托代理人签字的，应当附法定代表人授权书。供应商为自然人的，应当由本人签字并附身份证明。</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2、分别与单一供应商进行磋商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其委托代理人签字或者加盖公章。由委托代理人签字的，应当附法定代表人授权书。供应商为自然人的，应当由本人签字并附身份证明。</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3、供应商提交最后报价</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3.2 已提交响应文件的供应商，在提交最后报价之前，可以根据磋商情况退出磋商。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4、综合评分（见附件</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5、关于政策性加分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（一）中小企业政策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5.1.1、中小企业的认定标准：（监狱企业视同小型、微型企业）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《政府采购促进中小企业发展暂行办法》（财库〔2020〕46号） 第二条、第四条规定。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5.1.2、根据财政部、工业和信息化部2020年12月18日颁布的《政府采购促进中小企业发展暂行办法》（财库〔2020〕46号）第九条规定及财政部2022年5月30日颁布的《关于进一步加 大政府采购支持中小企业力度的通知》（财库〔2022〕19 号） 第二条规定，采购人、采购代理机构应当对符合本办法规定的小微企业报价给予10%（工程项目为 3%）的扣除，用扣除后的价格参加评审。适用招标投标法的政府采购工程建设项目，采用综合评估法但未采用低价优先法计算价格分的，评标时应当在采用原报价进行评分的基础上增加其价格得分的 3%作为其价格分；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5.1.3、 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 1%作为其价格分。组成联合体或者接受分包的小微企业与联合体内其他企业、分包企业之间存在直接控股、管理关系的，不享受价格扣除优惠政策。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5.1.4、根据《政府采购促进中小企业发展管理办法》（财库〔2020〕46 号）第十一条规定，中小企业参加政府采购活动，应当出具本办法规定的《中小企业声明函》，否则不得享受相关中小企业扶持政策。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5.1.7、价格扣除幅度：本项目对小型和微型企业产品的价格给予</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rPr>
        <w:t>％的扣除，用扣除后的价格参与评审；供应商同时为小微型企业、监狱企业或残疾人福利性单位的，评审中只享受一次价格扣除，不重复进行价格扣除。</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（二）、节能环保产品</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5.2.1、所投分包(如不分包则指本项目)的所有响应产品进入当期节能清单的，其评标价=响应报价*（1-2%）；供应商所投产品满足此规定的，必须提供声明函并提供相关证明文件。 </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5.2.2、所投分包(如不分包则指本项目)的所有响应产品进入当期环保清单的，其评标价=响应报价*（1-1%）；供应商所投产品满足此规定的，必须提供声明函并提供相关证明文件。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 、关于强制采购节能产品、信息安全产品和优先采购环境标志产品的要求。</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5.3.2、提供的产品属于信息安全产品的，供应商应当选择经国家认证的信息安全产品投标，并提供有效的中国国家信息安全产品认证证书复印件。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5.3.3、提供的产品属于政府强制采购节能产品的，供应商应当选择《节能产品政府采购清单》中的产品投标，并提供有效的节能产品认证证书复印件。</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5.3.4 、提供的产品属于优先采购环境标志产品的，供应商应当选择《环境标志产品政府采购清单》中的产品投标，并提供有效的环境标志产品认证证书复印件。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如有虚假骗取政策性加分，将依法承担相应责任。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6、推荐成交候选供应商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6.1 磋商小组根据综合评分情况，按照评审得分由高到低顺序推荐3名以上成交候选供应商，并编写评审报告。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7、编写评审报告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评审报告应当包括以下主要内容：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（一）邀请供应商参加采购活动的具体方式和相关情况；</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（二）响应文件开启日期和地点；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（三）获取磋商文件的供应商名单和磋商小组成员名单；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（四）评审情况记录和说明，包括对供应商的资格审查情况、供应商响应文件评审情况、磋商情况、报价情况等；</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（五）提出的成交候选供应商的排序名单及理由。</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8、终止采购</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（一）因情况变化，不再符合规定的竞争性磋商采购方式适用情形的；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（二）出现影响采购公正的违法、违规行为的；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宋体" w:hAnsi="宋体" w:cs="宋体"/>
          <w:b/>
          <w:bCs/>
          <w:color w:val="auto"/>
          <w:sz w:val="24"/>
          <w:highlight w:val="none"/>
        </w:rPr>
        <w:sectPr>
          <w:pgSz w:w="11906" w:h="16838"/>
          <w:pgMar w:top="1247" w:right="1247" w:bottom="1134" w:left="1644" w:header="851" w:footer="851" w:gutter="0"/>
          <w:pgNumType w:fmt="decimal"/>
          <w:cols w:space="720" w:num="1"/>
          <w:docGrid w:type="lines" w:linePitch="312" w:charSpace="0"/>
        </w:sectPr>
      </w:pPr>
    </w:p>
    <w:p>
      <w:pPr>
        <w:pStyle w:val="4"/>
        <w:jc w:val="center"/>
        <w:rPr>
          <w:color w:val="auto"/>
          <w:highlight w:val="none"/>
        </w:rPr>
      </w:pPr>
      <w:bookmarkStart w:id="639" w:name="_Toc24644"/>
      <w:bookmarkStart w:id="640" w:name="_Toc12893"/>
      <w:r>
        <w:rPr>
          <w:rFonts w:hint="eastAsia"/>
          <w:color w:val="auto"/>
          <w:highlight w:val="none"/>
        </w:rPr>
        <w:t>附件1：资格性审查表</w:t>
      </w:r>
      <w:bookmarkEnd w:id="639"/>
      <w:bookmarkEnd w:id="640"/>
    </w:p>
    <w:p>
      <w:pPr>
        <w:tabs>
          <w:tab w:val="left" w:pos="4680"/>
        </w:tabs>
        <w:snapToGrid w:val="0"/>
        <w:spacing w:line="360" w:lineRule="auto"/>
        <w:ind w:firstLine="562" w:firstLineChars="200"/>
        <w:jc w:val="center"/>
        <w:outlineLvl w:val="0"/>
        <w:rPr>
          <w:rFonts w:hint="eastAsia" w:ascii="宋体" w:eastAsia="宋体"/>
          <w:b/>
          <w:bCs/>
          <w:color w:val="auto"/>
          <w:sz w:val="28"/>
          <w:szCs w:val="28"/>
          <w:highlight w:val="none"/>
          <w:lang w:eastAsia="zh-CN"/>
        </w:rPr>
      </w:pPr>
      <w:bookmarkStart w:id="641" w:name="_Toc501916571"/>
      <w:bookmarkStart w:id="642" w:name="_Toc1064"/>
      <w:bookmarkStart w:id="643" w:name="_Toc8290"/>
      <w:bookmarkStart w:id="644" w:name="_Toc5616075"/>
      <w:bookmarkStart w:id="645" w:name="_Toc23407"/>
      <w:bookmarkStart w:id="646" w:name="_Toc11384"/>
      <w:bookmarkStart w:id="647" w:name="_Toc2209"/>
      <w:r>
        <w:rPr>
          <w:rFonts w:hint="eastAsia" w:ascii="宋体" w:hAnsi="宋体" w:cs="宋体"/>
          <w:b/>
          <w:bCs/>
          <w:color w:val="auto"/>
          <w:sz w:val="28"/>
          <w:szCs w:val="28"/>
          <w:highlight w:val="none"/>
          <w:lang w:val="en-US" w:eastAsia="zh-CN"/>
        </w:rPr>
        <w:t>A包</w:t>
      </w:r>
      <w:r>
        <w:rPr>
          <w:rFonts w:hint="eastAsia" w:ascii="宋体" w:hAnsi="宋体" w:cs="宋体"/>
          <w:b/>
          <w:bCs/>
          <w:color w:val="auto"/>
          <w:sz w:val="28"/>
          <w:szCs w:val="28"/>
          <w:highlight w:val="none"/>
        </w:rPr>
        <w:t>资格性审查表</w:t>
      </w:r>
      <w:bookmarkEnd w:id="641"/>
      <w:bookmarkEnd w:id="642"/>
      <w:bookmarkEnd w:id="643"/>
      <w:bookmarkEnd w:id="644"/>
      <w:bookmarkEnd w:id="645"/>
      <w:bookmarkEnd w:id="646"/>
      <w:bookmarkEnd w:id="647"/>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保亭县响水镇金江居大社区综合服务中心文化配套采购项目</w:t>
      </w:r>
      <w:r>
        <w:rPr>
          <w:rFonts w:hint="eastAsia" w:ascii="宋体" w:hAnsi="宋体" w:cs="宋体"/>
          <w:color w:val="auto"/>
          <w:sz w:val="24"/>
          <w:highlight w:val="none"/>
        </w:rPr>
        <w:t xml:space="preserve">     </w:t>
      </w:r>
    </w:p>
    <w:p>
      <w:pPr>
        <w:shd w:val="clear" w:color="auto" w:fill="FFFFFF"/>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HNJY2024【52】</w:t>
      </w:r>
    </w:p>
    <w:tbl>
      <w:tblPr>
        <w:tblStyle w:val="25"/>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959"/>
        <w:gridCol w:w="4170"/>
        <w:gridCol w:w="645"/>
        <w:gridCol w:w="675"/>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审查项目</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评议内容</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供应商1</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供应商2</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1</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Cs/>
                <w:color w:val="auto"/>
                <w:sz w:val="24"/>
                <w:szCs w:val="24"/>
                <w:highlight w:val="none"/>
              </w:rPr>
            </w:pPr>
            <w:r>
              <w:rPr>
                <w:rFonts w:hint="eastAsia" w:ascii="宋体" w:hAnsi="宋体" w:cs="宋体"/>
                <w:bCs/>
                <w:color w:val="auto"/>
                <w:sz w:val="24"/>
                <w:szCs w:val="24"/>
                <w:highlight w:val="none"/>
              </w:rPr>
              <w:t>具有独立承担民事责任的能力</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color w:val="auto"/>
                <w:sz w:val="24"/>
                <w:szCs w:val="24"/>
                <w:highlight w:val="none"/>
              </w:rPr>
            </w:pPr>
            <w:r>
              <w:rPr>
                <w:rFonts w:hint="eastAsia" w:ascii="宋体" w:hAnsi="宋体" w:cs="宋体"/>
                <w:color w:val="auto"/>
                <w:sz w:val="24"/>
                <w:highlight w:val="none"/>
              </w:rPr>
              <w:t>①</w:t>
            </w:r>
            <w:r>
              <w:rPr>
                <w:rFonts w:hint="eastAsia" w:cs="宋体"/>
                <w:color w:val="auto"/>
                <w:sz w:val="24"/>
                <w:highlight w:val="none"/>
                <w:lang w:val="en-US" w:eastAsia="zh-CN"/>
              </w:rPr>
              <w:t>供应商</w:t>
            </w:r>
            <w:r>
              <w:rPr>
                <w:rFonts w:hint="eastAsia" w:ascii="宋体" w:hAnsi="宋体" w:cs="宋体"/>
                <w:color w:val="auto"/>
                <w:sz w:val="24"/>
                <w:highlight w:val="none"/>
              </w:rPr>
              <w:t>若为企业法人：提供“统一社会信用代码营业执照”；②若为事业法人：提供“事业单位法人证书副本”；③若为其他组织：提供“对应主管部门颁发的准许执业证明文件或营业执照”；④若为自然人：提供“提供工商主管部门颁发的个体营业执照/身份证明文件”以上均提供复印件加盖公章</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2</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Cs/>
                <w:color w:val="auto"/>
                <w:sz w:val="24"/>
                <w:szCs w:val="24"/>
                <w:highlight w:val="none"/>
              </w:rPr>
            </w:pPr>
            <w:r>
              <w:rPr>
                <w:rFonts w:hint="eastAsia" w:ascii="宋体" w:hAnsi="宋体" w:cs="宋体"/>
                <w:color w:val="auto"/>
                <w:sz w:val="24"/>
                <w:highlight w:val="none"/>
              </w:rPr>
              <w:t>具有良好的商业信誉和健全的财务会计制度</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0" w:beforeAutospacing="0" w:after="0" w:afterAutospacing="0" w:line="360" w:lineRule="auto"/>
              <w:ind w:right="74"/>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3</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Cs/>
                <w:color w:val="auto"/>
                <w:sz w:val="24"/>
                <w:szCs w:val="24"/>
                <w:highlight w:val="none"/>
              </w:rPr>
            </w:pPr>
            <w:r>
              <w:rPr>
                <w:rFonts w:hint="eastAsia" w:ascii="宋体" w:hAnsi="宋体" w:cs="宋体"/>
                <w:color w:val="auto"/>
                <w:sz w:val="24"/>
                <w:highlight w:val="none"/>
              </w:rPr>
              <w:t>具有履行合同所必需的设备和专业技术能力</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0" w:beforeAutospacing="0" w:after="0" w:afterAutospacing="0" w:line="360" w:lineRule="auto"/>
              <w:ind w:right="74"/>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4</w:t>
            </w:r>
          </w:p>
        </w:tc>
        <w:tc>
          <w:tcPr>
            <w:tcW w:w="2959"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bCs/>
                <w:color w:val="auto"/>
                <w:sz w:val="24"/>
                <w:szCs w:val="24"/>
                <w:highlight w:val="none"/>
              </w:rPr>
            </w:pPr>
            <w:r>
              <w:rPr>
                <w:rFonts w:hint="eastAsia" w:ascii="宋体" w:hAnsi="宋体" w:cs="宋体"/>
                <w:color w:val="auto"/>
                <w:sz w:val="24"/>
                <w:highlight w:val="none"/>
              </w:rPr>
              <w:t>有依法缴纳税收和社会保障资金的良好记录</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5</w:t>
            </w:r>
          </w:p>
        </w:tc>
        <w:tc>
          <w:tcPr>
            <w:tcW w:w="2959"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bCs/>
                <w:color w:val="auto"/>
                <w:kern w:val="2"/>
                <w:sz w:val="24"/>
                <w:szCs w:val="24"/>
                <w:highlight w:val="none"/>
              </w:rPr>
            </w:pPr>
            <w:r>
              <w:rPr>
                <w:rFonts w:hint="eastAsia" w:ascii="宋体" w:hAnsi="宋体" w:cs="宋体"/>
                <w:color w:val="auto"/>
                <w:sz w:val="24"/>
                <w:highlight w:val="none"/>
              </w:rPr>
              <w:t>参加政府采购活动前三年内，在经营活动中没有重大违法记录</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6</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default"/>
                <w:color w:val="auto"/>
              </w:rPr>
            </w:pPr>
            <w:r>
              <w:rPr>
                <w:rFonts w:hint="eastAsia" w:ascii="宋体" w:hAnsi="宋体" w:cs="宋体"/>
                <w:color w:val="auto"/>
                <w:sz w:val="24"/>
                <w:highlight w:val="none"/>
              </w:rPr>
              <w:t>法律、行政法规规定的其他条件</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color w:val="auto"/>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7</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eastAsia" w:ascii="宋体" w:hAnsi="宋体" w:cs="宋体"/>
                <w:color w:val="auto"/>
                <w:sz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必须未被列入“信用中国”网站(www.creditchina.gov.cn)政府采购严重违法失信行为记录名单、重大税收违法失信主体和中国政府采购网( www.ccgp.gov.cn ) 的“政府采购严重违法失信行为记录名单”及中国执行信息公开网（http://zxgk.court.gov.cn/shixin/）的失信被执行人的</w:t>
            </w:r>
            <w:r>
              <w:rPr>
                <w:rFonts w:hint="eastAsia" w:cs="宋体"/>
                <w:color w:val="auto"/>
                <w:sz w:val="24"/>
                <w:highlight w:val="none"/>
                <w:lang w:val="en-US" w:eastAsia="zh-CN"/>
              </w:rPr>
              <w:t>供应商</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cs="宋体"/>
                <w:color w:val="auto"/>
                <w:sz w:val="24"/>
                <w:highlight w:val="none"/>
                <w:lang w:val="en-US" w:eastAsia="zh-CN"/>
              </w:rPr>
            </w:pPr>
            <w:r>
              <w:rPr>
                <w:rFonts w:hint="eastAsia" w:ascii="宋体" w:hAnsi="宋体" w:cs="宋体"/>
                <w:color w:val="auto"/>
                <w:sz w:val="24"/>
                <w:highlight w:val="none"/>
              </w:rPr>
              <w:t>以上内容提供承诺函加盖公章，格式自拟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8</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eastAsia" w:cs="宋体"/>
                <w:color w:val="auto"/>
                <w:sz w:val="24"/>
                <w:highlight w:val="none"/>
                <w:lang w:val="en-US" w:eastAsia="zh-CN"/>
              </w:rPr>
            </w:pPr>
            <w:r>
              <w:rPr>
                <w:rFonts w:hint="eastAsia" w:ascii="宋体" w:hAnsi="宋体" w:cs="宋体"/>
                <w:color w:val="auto"/>
                <w:sz w:val="24"/>
                <w:highlight w:val="none"/>
              </w:rPr>
              <w:t>参加政府采购活动前三年内（成立不足三年的从成立之日起算），在经营活动无环保类行政处罚记录</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cs="宋体"/>
                <w:color w:val="auto"/>
                <w:sz w:val="24"/>
                <w:highlight w:val="none"/>
              </w:rPr>
            </w:pPr>
            <w:r>
              <w:rPr>
                <w:rFonts w:hint="eastAsia" w:ascii="宋体" w:hAnsi="宋体" w:cs="宋体"/>
                <w:color w:val="auto"/>
                <w:sz w:val="24"/>
                <w:highlight w:val="none"/>
              </w:rPr>
              <w:t>提供声明书加盖公章，格式自拟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b/>
                <w:color w:val="auto"/>
                <w:sz w:val="24"/>
                <w:highlight w:val="none"/>
              </w:rPr>
              <w:t>结       论</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Cs w:val="21"/>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Cs w:val="21"/>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Cs w:val="21"/>
                <w:highlight w:val="none"/>
              </w:rPr>
            </w:pPr>
          </w:p>
        </w:tc>
      </w:tr>
    </w:tbl>
    <w:p>
      <w:pPr>
        <w:pStyle w:val="24"/>
        <w:rPr>
          <w:color w:val="auto"/>
          <w:highlight w:val="none"/>
        </w:rPr>
      </w:pPr>
    </w:p>
    <w:p>
      <w:pPr>
        <w:spacing w:line="480" w:lineRule="exact"/>
        <w:ind w:firstLine="480" w:firstLineChars="200"/>
        <w:rPr>
          <w:rFonts w:ascii="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、在表中的各项只需填写“√</w:t>
      </w:r>
      <w:r>
        <w:rPr>
          <w:rFonts w:ascii="宋体" w:hAnsi="宋体" w:cs="宋体"/>
          <w:color w:val="auto"/>
          <w:sz w:val="24"/>
          <w:highlight w:val="none"/>
        </w:rPr>
        <w:t>/</w:t>
      </w:r>
      <w:r>
        <w:rPr>
          <w:rFonts w:hint="eastAsia" w:ascii="宋体" w:hAnsi="宋体" w:cs="宋体"/>
          <w:color w:val="auto"/>
          <w:sz w:val="24"/>
          <w:highlight w:val="none"/>
        </w:rPr>
        <w:t>通过”或“×</w:t>
      </w:r>
      <w:r>
        <w:rPr>
          <w:rFonts w:ascii="宋体" w:hAnsi="宋体" w:cs="宋体"/>
          <w:color w:val="auto"/>
          <w:sz w:val="24"/>
          <w:highlight w:val="none"/>
        </w:rPr>
        <w:t>/</w:t>
      </w:r>
      <w:r>
        <w:rPr>
          <w:rFonts w:hint="eastAsia" w:ascii="宋体" w:hAnsi="宋体" w:cs="宋体"/>
          <w:color w:val="auto"/>
          <w:sz w:val="24"/>
          <w:highlight w:val="none"/>
        </w:rPr>
        <w:t>不通过”。</w:t>
      </w:r>
    </w:p>
    <w:p>
      <w:pPr>
        <w:spacing w:line="480" w:lineRule="exact"/>
        <w:ind w:firstLine="480" w:firstLineChars="200"/>
        <w:rPr>
          <w:rFonts w:ascii="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、在结论中按“一项否决”的原则，只有全部是√</w:t>
      </w:r>
      <w:r>
        <w:rPr>
          <w:rFonts w:ascii="宋体" w:hAnsi="宋体" w:cs="宋体"/>
          <w:color w:val="auto"/>
          <w:sz w:val="24"/>
          <w:highlight w:val="none"/>
        </w:rPr>
        <w:t>/</w:t>
      </w:r>
      <w:r>
        <w:rPr>
          <w:rFonts w:hint="eastAsia" w:ascii="宋体" w:hAnsi="宋体" w:cs="宋体"/>
          <w:color w:val="auto"/>
          <w:sz w:val="24"/>
          <w:highlight w:val="none"/>
        </w:rPr>
        <w:t>通过的，填写“合格”；只要其中有一项是×</w:t>
      </w:r>
      <w:r>
        <w:rPr>
          <w:rFonts w:ascii="宋体" w:hAnsi="宋体" w:cs="宋体"/>
          <w:color w:val="auto"/>
          <w:sz w:val="24"/>
          <w:highlight w:val="none"/>
        </w:rPr>
        <w:t>/</w:t>
      </w:r>
      <w:r>
        <w:rPr>
          <w:rFonts w:hint="eastAsia" w:ascii="宋体" w:hAnsi="宋体" w:cs="宋体"/>
          <w:color w:val="auto"/>
          <w:sz w:val="24"/>
          <w:highlight w:val="none"/>
        </w:rPr>
        <w:t>不通过的，填写“不合格”。</w:t>
      </w:r>
    </w:p>
    <w:p>
      <w:pPr>
        <w:tabs>
          <w:tab w:val="left" w:pos="1030"/>
        </w:tabs>
        <w:spacing w:line="380" w:lineRule="exact"/>
        <w:ind w:firstLine="480" w:firstLineChars="200"/>
        <w:rPr>
          <w:color w:val="auto"/>
          <w:highlight w:val="none"/>
        </w:rPr>
      </w:pPr>
      <w:r>
        <w:rPr>
          <w:rFonts w:ascii="宋体" w:hAnsi="宋体" w:cs="宋体"/>
          <w:color w:val="auto"/>
          <w:sz w:val="24"/>
          <w:highlight w:val="none"/>
        </w:rPr>
        <w:t>3</w:t>
      </w:r>
      <w:r>
        <w:rPr>
          <w:rFonts w:hint="eastAsia" w:ascii="宋体" w:hAnsi="宋体" w:cs="宋体"/>
          <w:color w:val="auto"/>
          <w:sz w:val="24"/>
          <w:highlight w:val="none"/>
        </w:rPr>
        <w:t>、结论是合格的，才能进入下一轮；不合格的被淘汰</w:t>
      </w:r>
      <w:bookmarkStart w:id="648" w:name="_Toc4617"/>
      <w:bookmarkStart w:id="649" w:name="_Toc501916572"/>
      <w:r>
        <w:rPr>
          <w:rFonts w:hint="eastAsia" w:ascii="宋体" w:hAnsi="宋体" w:cs="宋体"/>
          <w:color w:val="auto"/>
          <w:sz w:val="24"/>
          <w:highlight w:val="none"/>
        </w:rPr>
        <w:t>。</w:t>
      </w:r>
    </w:p>
    <w:p>
      <w:pPr>
        <w:rPr>
          <w:color w:val="auto"/>
          <w:highlight w:val="none"/>
        </w:rPr>
      </w:pPr>
    </w:p>
    <w:p>
      <w:pPr>
        <w:tabs>
          <w:tab w:val="left" w:pos="4680"/>
        </w:tabs>
        <w:snapToGrid w:val="0"/>
        <w:spacing w:line="360" w:lineRule="auto"/>
        <w:ind w:firstLine="420" w:firstLineChars="200"/>
        <w:jc w:val="center"/>
        <w:outlineLvl w:val="0"/>
        <w:rPr>
          <w:rFonts w:hint="eastAsia" w:ascii="宋体" w:eastAsia="宋体"/>
          <w:b/>
          <w:bCs/>
          <w:color w:val="auto"/>
          <w:sz w:val="28"/>
          <w:szCs w:val="28"/>
          <w:highlight w:val="none"/>
          <w:lang w:eastAsia="zh-CN"/>
        </w:rPr>
      </w:pPr>
      <w:r>
        <w:rPr>
          <w:rFonts w:hint="eastAsia"/>
          <w:color w:val="auto"/>
          <w:highlight w:val="none"/>
        </w:rPr>
        <w:br w:type="page"/>
      </w:r>
      <w:r>
        <w:rPr>
          <w:rFonts w:hint="eastAsia" w:ascii="宋体" w:hAnsi="宋体" w:cs="宋体"/>
          <w:b/>
          <w:bCs/>
          <w:color w:val="auto"/>
          <w:sz w:val="28"/>
          <w:szCs w:val="28"/>
          <w:highlight w:val="none"/>
          <w:lang w:val="en-US" w:eastAsia="zh-CN"/>
        </w:rPr>
        <w:t>B包</w:t>
      </w:r>
      <w:r>
        <w:rPr>
          <w:rFonts w:hint="eastAsia" w:ascii="宋体" w:hAnsi="宋体" w:cs="宋体"/>
          <w:b/>
          <w:bCs/>
          <w:color w:val="auto"/>
          <w:sz w:val="28"/>
          <w:szCs w:val="28"/>
          <w:highlight w:val="none"/>
        </w:rPr>
        <w:t>资格性审查表</w:t>
      </w:r>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保亭县响水镇金江居大社区综合服务中心文化配套采购项目</w:t>
      </w:r>
      <w:r>
        <w:rPr>
          <w:rFonts w:hint="eastAsia" w:ascii="宋体" w:hAnsi="宋体" w:cs="宋体"/>
          <w:color w:val="auto"/>
          <w:sz w:val="24"/>
          <w:highlight w:val="none"/>
        </w:rPr>
        <w:t xml:space="preserve">     </w:t>
      </w:r>
    </w:p>
    <w:p>
      <w:pPr>
        <w:shd w:val="clear" w:color="auto" w:fill="FFFFFF"/>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HNJY2024【52】</w:t>
      </w:r>
    </w:p>
    <w:tbl>
      <w:tblPr>
        <w:tblStyle w:val="25"/>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959"/>
        <w:gridCol w:w="4170"/>
        <w:gridCol w:w="645"/>
        <w:gridCol w:w="675"/>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审查项目</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评议内容</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供应商1</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供应商2</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1</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Cs/>
                <w:color w:val="auto"/>
                <w:sz w:val="24"/>
                <w:szCs w:val="24"/>
                <w:highlight w:val="none"/>
              </w:rPr>
            </w:pPr>
            <w:r>
              <w:rPr>
                <w:rFonts w:hint="eastAsia" w:ascii="宋体" w:hAnsi="宋体" w:cs="宋体"/>
                <w:bCs/>
                <w:color w:val="auto"/>
                <w:sz w:val="24"/>
                <w:szCs w:val="24"/>
                <w:highlight w:val="none"/>
              </w:rPr>
              <w:t>具有独立承担民事责任的能力</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color w:val="auto"/>
                <w:sz w:val="24"/>
                <w:szCs w:val="24"/>
                <w:highlight w:val="none"/>
              </w:rPr>
            </w:pPr>
            <w:r>
              <w:rPr>
                <w:rFonts w:hint="eastAsia" w:ascii="宋体" w:hAnsi="宋体" w:cs="宋体"/>
                <w:color w:val="auto"/>
                <w:sz w:val="24"/>
                <w:highlight w:val="none"/>
              </w:rPr>
              <w:t>①</w:t>
            </w:r>
            <w:r>
              <w:rPr>
                <w:rFonts w:hint="eastAsia" w:cs="宋体"/>
                <w:color w:val="auto"/>
                <w:sz w:val="24"/>
                <w:highlight w:val="none"/>
                <w:lang w:val="en-US" w:eastAsia="zh-CN"/>
              </w:rPr>
              <w:t>供应商</w:t>
            </w:r>
            <w:r>
              <w:rPr>
                <w:rFonts w:hint="eastAsia" w:ascii="宋体" w:hAnsi="宋体" w:cs="宋体"/>
                <w:color w:val="auto"/>
                <w:sz w:val="24"/>
                <w:highlight w:val="none"/>
              </w:rPr>
              <w:t>若为企业法人：提供“统一社会信用代码营业执照”；②若为事业法人：提供“事业单位法人证书副本”；③若为其他组织：提供“对应主管部门颁发的准许执业证明文件或营业执照”；④若为自然人：提供“提供工商主管部门颁发的个体营业执照/身份证明文件”以上均提供复印件加盖公章</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2</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Cs/>
                <w:color w:val="auto"/>
                <w:sz w:val="24"/>
                <w:szCs w:val="24"/>
                <w:highlight w:val="none"/>
              </w:rPr>
            </w:pPr>
            <w:r>
              <w:rPr>
                <w:rFonts w:hint="eastAsia" w:ascii="宋体" w:hAnsi="宋体" w:cs="宋体"/>
                <w:color w:val="auto"/>
                <w:sz w:val="24"/>
                <w:highlight w:val="none"/>
              </w:rPr>
              <w:t>具有良好的商业信誉和健全的财务会计制度</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0" w:beforeAutospacing="0" w:after="0" w:afterAutospacing="0" w:line="360" w:lineRule="auto"/>
              <w:ind w:right="74"/>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3</w:t>
            </w:r>
          </w:p>
        </w:tc>
        <w:tc>
          <w:tcPr>
            <w:tcW w:w="29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Cs/>
                <w:color w:val="auto"/>
                <w:sz w:val="24"/>
                <w:szCs w:val="24"/>
                <w:highlight w:val="none"/>
              </w:rPr>
            </w:pPr>
            <w:r>
              <w:rPr>
                <w:rFonts w:hint="eastAsia" w:ascii="宋体" w:hAnsi="宋体" w:cs="宋体"/>
                <w:color w:val="auto"/>
                <w:sz w:val="24"/>
                <w:highlight w:val="none"/>
              </w:rPr>
              <w:t>具有履行合同所必需的设备和专业技术能力</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0" w:beforeAutospacing="0" w:after="0" w:afterAutospacing="0" w:line="360" w:lineRule="auto"/>
              <w:ind w:right="74"/>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4</w:t>
            </w:r>
          </w:p>
        </w:tc>
        <w:tc>
          <w:tcPr>
            <w:tcW w:w="2959"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bCs/>
                <w:color w:val="auto"/>
                <w:sz w:val="24"/>
                <w:szCs w:val="24"/>
                <w:highlight w:val="none"/>
              </w:rPr>
            </w:pPr>
            <w:r>
              <w:rPr>
                <w:rFonts w:hint="eastAsia" w:ascii="宋体" w:hAnsi="宋体" w:cs="宋体"/>
                <w:color w:val="auto"/>
                <w:sz w:val="24"/>
                <w:highlight w:val="none"/>
              </w:rPr>
              <w:t>有依法缴纳税收和社会保障资金的良好记录</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5</w:t>
            </w:r>
          </w:p>
        </w:tc>
        <w:tc>
          <w:tcPr>
            <w:tcW w:w="2959"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bCs/>
                <w:color w:val="auto"/>
                <w:kern w:val="2"/>
                <w:sz w:val="24"/>
                <w:szCs w:val="24"/>
                <w:highlight w:val="none"/>
              </w:rPr>
            </w:pPr>
            <w:r>
              <w:rPr>
                <w:rFonts w:hint="eastAsia" w:ascii="宋体" w:hAnsi="宋体" w:cs="宋体"/>
                <w:color w:val="auto"/>
                <w:sz w:val="24"/>
                <w:highlight w:val="none"/>
              </w:rPr>
              <w:t>参加政府采购活动前三年内，在经营活动中没有重大违法记录</w:t>
            </w:r>
          </w:p>
        </w:tc>
        <w:tc>
          <w:tcPr>
            <w:tcW w:w="4170"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suppressLineNumbers w:val="0"/>
              <w:shd w:val="clear" w:color="auto" w:fill="FFFFFF"/>
              <w:adjustRightInd w:val="0"/>
              <w:snapToGrid w:val="0"/>
              <w:spacing w:beforeAutospacing="0" w:afterAutospacing="0" w:line="360" w:lineRule="auto"/>
              <w:rPr>
                <w:rFonts w:hint="default"/>
                <w:color w:val="auto"/>
                <w:kern w:val="2"/>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rPr>
            </w:pPr>
            <w:r>
              <w:rPr>
                <w:rFonts w:hint="eastAsia" w:ascii="宋体" w:hAnsi="宋体" w:cs="宋体"/>
                <w:b/>
                <w:color w:val="auto"/>
                <w:sz w:val="24"/>
                <w:szCs w:val="24"/>
                <w:highlight w:val="none"/>
              </w:rPr>
              <w:t>6</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default"/>
                <w:color w:val="auto"/>
              </w:rPr>
            </w:pPr>
            <w:r>
              <w:rPr>
                <w:rFonts w:hint="eastAsia" w:ascii="宋体" w:hAnsi="宋体" w:cs="宋体"/>
                <w:color w:val="auto"/>
                <w:sz w:val="24"/>
                <w:highlight w:val="none"/>
              </w:rPr>
              <w:t>法律、行政法规规定的其他条件</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color w:val="auto"/>
                <w:sz w:val="24"/>
                <w:szCs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应提供承诺函加盖单位公章，格式自拟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7</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eastAsia" w:ascii="宋体" w:hAnsi="宋体" w:cs="宋体"/>
                <w:color w:val="auto"/>
                <w:sz w:val="24"/>
                <w:highlight w:val="none"/>
              </w:rPr>
            </w:pPr>
            <w:r>
              <w:rPr>
                <w:rFonts w:hint="eastAsia" w:cs="宋体"/>
                <w:color w:val="auto"/>
                <w:sz w:val="24"/>
                <w:highlight w:val="none"/>
                <w:lang w:val="en-US" w:eastAsia="zh-CN"/>
              </w:rPr>
              <w:t>供应商</w:t>
            </w:r>
            <w:r>
              <w:rPr>
                <w:rFonts w:hint="eastAsia" w:ascii="宋体" w:hAnsi="宋体" w:cs="宋体"/>
                <w:color w:val="auto"/>
                <w:sz w:val="24"/>
                <w:highlight w:val="none"/>
              </w:rPr>
              <w:t>必须未被列入“信用中国”网站(www.creditchina.gov.cn)政府采购严重违法失信行为记录名单、重大税收违法失信主体和中国政府采购网( www.ccgp.gov.cn ) 的“政府采购严重违法失信行为记录名单”及中国执行信息公开网（http://zxgk.court.gov.cn/shixin/）的失信被执行人的</w:t>
            </w:r>
            <w:r>
              <w:rPr>
                <w:rFonts w:hint="eastAsia" w:cs="宋体"/>
                <w:color w:val="auto"/>
                <w:sz w:val="24"/>
                <w:highlight w:val="none"/>
                <w:lang w:val="en-US" w:eastAsia="zh-CN"/>
              </w:rPr>
              <w:t>供应商</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cs="宋体"/>
                <w:color w:val="auto"/>
                <w:sz w:val="24"/>
                <w:highlight w:val="none"/>
                <w:lang w:val="en-US" w:eastAsia="zh-CN"/>
              </w:rPr>
            </w:pPr>
            <w:r>
              <w:rPr>
                <w:rFonts w:hint="eastAsia" w:ascii="宋体" w:hAnsi="宋体" w:cs="宋体"/>
                <w:color w:val="auto"/>
                <w:sz w:val="24"/>
                <w:highlight w:val="none"/>
              </w:rPr>
              <w:t>以上内容提供承诺函加盖公章，格式自拟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8</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eastAsia" w:cs="宋体"/>
                <w:color w:val="auto"/>
                <w:sz w:val="24"/>
                <w:highlight w:val="none"/>
                <w:lang w:val="en-US" w:eastAsia="zh-CN"/>
              </w:rPr>
            </w:pPr>
            <w:r>
              <w:rPr>
                <w:rFonts w:hint="eastAsia" w:ascii="宋体" w:hAnsi="宋体" w:cs="宋体"/>
                <w:color w:val="auto"/>
                <w:sz w:val="24"/>
                <w:highlight w:val="none"/>
              </w:rPr>
              <w:t>参加政府采购活动前三年内（成立不足三年的从成立之日起算），在经营活动无环保类行政处罚记录</w:t>
            </w:r>
          </w:p>
        </w:tc>
        <w:tc>
          <w:tcPr>
            <w:tcW w:w="4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cs="宋体"/>
                <w:color w:val="auto"/>
                <w:sz w:val="24"/>
                <w:highlight w:val="none"/>
              </w:rPr>
            </w:pPr>
            <w:r>
              <w:rPr>
                <w:rFonts w:hint="eastAsia" w:ascii="宋体" w:hAnsi="宋体" w:cs="宋体"/>
                <w:color w:val="auto"/>
                <w:sz w:val="24"/>
                <w:highlight w:val="none"/>
              </w:rPr>
              <w:t>提供声明书加盖公章，格式自拟</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9</w:t>
            </w:r>
          </w:p>
        </w:tc>
        <w:tc>
          <w:tcPr>
            <w:tcW w:w="29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Autospacing="0"/>
              <w:ind w:left="0" w:right="0"/>
              <w:rPr>
                <w:rFonts w:hint="eastAsia" w:ascii="宋体" w:hAnsi="宋体" w:cs="宋体"/>
                <w:color w:val="auto"/>
                <w:sz w:val="24"/>
                <w:highlight w:val="none"/>
              </w:rPr>
            </w:pPr>
            <w:r>
              <w:rPr>
                <w:rFonts w:hint="eastAsia" w:ascii="宋体" w:hAnsi="宋体" w:eastAsia="宋体" w:cs="宋体"/>
                <w:color w:val="auto"/>
                <w:sz w:val="24"/>
                <w:highlight w:val="none"/>
              </w:rPr>
              <w:t>本项目的特定资格要求</w:t>
            </w:r>
          </w:p>
        </w:tc>
        <w:tc>
          <w:tcPr>
            <w:tcW w:w="417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color w:val="auto"/>
                <w:sz w:val="24"/>
                <w:highlight w:val="none"/>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sz w:val="24"/>
                <w:highlight w:val="none"/>
              </w:rPr>
              <w:t>具有建设行政主管部门颁发的有效的建筑装修装饰工程专业承包二级（含）以上资质。（或根据《住房和城乡建设部关于印发建设工程企业资质管理制度改革方案的通知（【建市〔2020〕94号】）换发的建筑装修装饰工程专业承包乙级（含）以上资质，具有有效的安全生产许可证，并在人员、设备、资金等方面具有相应的施工能力；拟派项目负责人（项目经理）需具有在本单位注册的建筑工程专业二级或以上注册建造师执业资格，并未担任其他在施建设工程项目的项目负责人；【提供相应的企业资质证书、</w:t>
            </w:r>
            <w:r>
              <w:rPr>
                <w:rFonts w:hint="eastAsia" w:ascii="宋体" w:hAnsi="宋体" w:cs="宋体"/>
                <w:color w:val="auto"/>
                <w:sz w:val="24"/>
                <w:highlight w:val="none"/>
                <w:lang w:val="en-US" w:eastAsia="zh-CN"/>
              </w:rPr>
              <w:t>安全生产许可证、</w:t>
            </w:r>
            <w:r>
              <w:rPr>
                <w:rFonts w:hint="eastAsia" w:ascii="宋体" w:hAnsi="宋体" w:eastAsia="宋体" w:cs="宋体"/>
                <w:color w:val="auto"/>
                <w:sz w:val="24"/>
                <w:highlight w:val="none"/>
              </w:rPr>
              <w:t>项目负责人（项目经理）注册证、2024年1月1日至今任意一个月在本单位缴纳的社保证明材料（新入职人员以入职时间提供缴纳社保证明为准；须由社会保障部门盖章确认）及未担任其他在施建设工程项目的承诺函。项目经理注册在本单位的证明，以《全国建筑市场监管公共服务平台》查询截图为准】</w:t>
            </w:r>
          </w:p>
          <w:p>
            <w:pPr>
              <w:pStyle w:val="2"/>
              <w:keepNext w:val="0"/>
              <w:keepLines w:val="0"/>
              <w:numPr>
                <w:ilvl w:val="0"/>
                <w:numId w:val="0"/>
              </w:numPr>
              <w:suppressLineNumbers w:val="0"/>
              <w:spacing w:before="0" w:beforeAutospacing="0" w:afterAutospacing="0"/>
              <w:ind w:left="0" w:right="0" w:rightChars="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cs="宋体"/>
                <w:color w:val="auto"/>
                <w:sz w:val="24"/>
                <w:szCs w:val="24"/>
                <w:lang w:val="en-US" w:eastAsia="zh-CN"/>
              </w:rPr>
              <w:t>项目管理机构其他最低配备人员：施工员 1 人，安全员 1 人；技术负责人1人（可兼任）、机械员 1 人（可兼任），劳资专管员1人，资料员1人（可兼任）。【提供相应证书（可提供电子证书）及2024年1月1日至今任意一个月在本单位缴纳的社保证明材料（新入职人员以入职时间提供缴纳社保证明为准；须由社会保障部门盖章确认）复印件加盖单位公章】；</w:t>
            </w:r>
          </w:p>
          <w:p>
            <w:pPr>
              <w:pStyle w:val="2"/>
              <w:keepNext w:val="0"/>
              <w:keepLines w:val="0"/>
              <w:numPr>
                <w:ilvl w:val="0"/>
                <w:numId w:val="0"/>
              </w:numPr>
              <w:suppressLineNumbers w:val="0"/>
              <w:spacing w:before="0" w:beforeAutospacing="0" w:afterAutospacing="0"/>
              <w:ind w:left="0" w:right="0" w:rightChars="0"/>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应在海南省住房和城乡建设厅海南省房屋建筑工程全过程监管信息平台完成《海南省建筑企业诚信档案手册》登记，并打印信息平台生成的诚信档案手册。</w:t>
            </w:r>
          </w:p>
          <w:p>
            <w:pPr>
              <w:pStyle w:val="22"/>
              <w:keepNext w:val="0"/>
              <w:keepLines w:val="0"/>
              <w:suppressLineNumbers w:val="0"/>
              <w:shd w:val="clear" w:color="auto" w:fill="FFFFFF"/>
              <w:adjustRightInd w:val="0"/>
              <w:snapToGrid w:val="0"/>
              <w:spacing w:before="0" w:beforeAutospacing="0" w:after="0" w:afterAutospacing="0" w:line="360" w:lineRule="auto"/>
              <w:ind w:right="74"/>
              <w:rPr>
                <w:rFonts w:hint="eastAsia" w:cs="宋体"/>
                <w:color w:val="auto"/>
                <w:sz w:val="24"/>
                <w:szCs w:val="24"/>
                <w:lang w:val="en-US" w:eastAsia="zh-CN"/>
              </w:rPr>
            </w:pPr>
            <w:r>
              <w:rPr>
                <w:rFonts w:hint="eastAsia" w:cs="宋体"/>
                <w:color w:val="auto"/>
                <w:sz w:val="24"/>
                <w:szCs w:val="24"/>
                <w:lang w:val="en-US" w:eastAsia="zh-CN"/>
              </w:rPr>
              <w:t>（4）信誉要求：</w:t>
            </w:r>
          </w:p>
          <w:p>
            <w:pPr>
              <w:pStyle w:val="22"/>
              <w:keepNext w:val="0"/>
              <w:keepLines w:val="0"/>
              <w:suppressLineNumbers w:val="0"/>
              <w:shd w:val="clear" w:color="auto" w:fill="FFFFFF"/>
              <w:adjustRightInd w:val="0"/>
              <w:snapToGrid w:val="0"/>
              <w:spacing w:before="0" w:beforeAutospacing="0" w:after="0" w:afterAutospacing="0" w:line="360" w:lineRule="auto"/>
              <w:ind w:right="74"/>
              <w:rPr>
                <w:rFonts w:hint="eastAsia" w:ascii="宋体" w:hAnsi="宋体" w:cs="宋体"/>
                <w:color w:val="auto"/>
                <w:szCs w:val="21"/>
              </w:rPr>
            </w:pPr>
            <w:r>
              <w:rPr>
                <w:rFonts w:hint="eastAsia" w:ascii="宋体" w:hAnsi="宋体" w:cs="宋体"/>
                <w:color w:val="auto"/>
                <w:szCs w:val="21"/>
              </w:rPr>
              <w:t>近三年（202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 1 日至今）</w:t>
            </w:r>
            <w:r>
              <w:rPr>
                <w:rFonts w:hint="eastAsia" w:cs="宋体"/>
                <w:color w:val="auto"/>
                <w:szCs w:val="21"/>
                <w:lang w:val="en-US" w:eastAsia="zh-CN"/>
              </w:rPr>
              <w:t>供应商</w:t>
            </w:r>
            <w:r>
              <w:rPr>
                <w:rFonts w:hint="eastAsia" w:ascii="宋体" w:hAnsi="宋体" w:cs="宋体"/>
                <w:color w:val="auto"/>
                <w:szCs w:val="21"/>
              </w:rPr>
              <w:t>无以下情形：</w:t>
            </w:r>
          </w:p>
          <w:p>
            <w:pPr>
              <w:pStyle w:val="22"/>
              <w:keepNext w:val="0"/>
              <w:keepLines w:val="0"/>
              <w:suppressLineNumbers w:val="0"/>
              <w:shd w:val="clear" w:color="auto" w:fill="FFFFFF"/>
              <w:adjustRightInd w:val="0"/>
              <w:snapToGrid w:val="0"/>
              <w:spacing w:before="0" w:beforeAutospacing="0" w:after="0" w:afterAutospacing="0" w:line="360" w:lineRule="auto"/>
              <w:ind w:left="74" w:right="74" w:firstLine="480" w:firstLineChars="200"/>
              <w:rPr>
                <w:rFonts w:hint="eastAsia" w:ascii="宋体" w:hAnsi="宋体" w:cs="宋体"/>
                <w:color w:val="auto"/>
                <w:sz w:val="24"/>
                <w:highlight w:val="none"/>
              </w:rPr>
            </w:pPr>
            <w:r>
              <w:rPr>
                <w:rFonts w:hint="eastAsia" w:ascii="宋体" w:hAnsi="宋体" w:cs="宋体"/>
                <w:color w:val="auto"/>
                <w:szCs w:val="21"/>
                <w:lang w:val="en-US" w:eastAsia="zh-CN"/>
              </w:rPr>
              <w:t>①供应商</w:t>
            </w:r>
            <w:r>
              <w:rPr>
                <w:rFonts w:hint="eastAsia" w:ascii="宋体" w:hAnsi="宋体" w:cs="宋体"/>
                <w:color w:val="auto"/>
                <w:szCs w:val="21"/>
              </w:rPr>
              <w:t>被海南省建设行政主管部门认定的责令其不得参加投标的行为；</w:t>
            </w:r>
            <w:r>
              <w:rPr>
                <w:rFonts w:hint="eastAsia" w:ascii="宋体" w:hAnsi="宋体" w:cs="宋体"/>
                <w:color w:val="auto"/>
                <w:szCs w:val="21"/>
                <w:lang w:val="en-US" w:eastAsia="zh-CN"/>
              </w:rPr>
              <w:t>②供应商</w:t>
            </w:r>
            <w:r>
              <w:rPr>
                <w:rFonts w:hint="eastAsia" w:ascii="宋体" w:hAnsi="宋体" w:cs="宋体"/>
                <w:color w:val="auto"/>
                <w:szCs w:val="21"/>
              </w:rPr>
              <w:t>的投标资格被暂停或取消，处于被责令停业、财产被接管或冻结或破产状态；</w:t>
            </w:r>
            <w:r>
              <w:rPr>
                <w:rFonts w:hint="eastAsia" w:ascii="宋体" w:hAnsi="宋体" w:cs="宋体"/>
                <w:color w:val="auto"/>
                <w:szCs w:val="21"/>
                <w:lang w:val="en-US" w:eastAsia="zh-CN"/>
              </w:rPr>
              <w:t>③</w:t>
            </w:r>
            <w:r>
              <w:rPr>
                <w:rFonts w:hint="eastAsia" w:ascii="宋体" w:hAnsi="宋体" w:cs="宋体"/>
                <w:color w:val="auto"/>
                <w:szCs w:val="21"/>
              </w:rPr>
              <w:t>重大工程质量问题。若存在上述问题，按废标处理。【提供承诺函加盖公章，格式自拟】</w:t>
            </w:r>
            <w:r>
              <w:rPr>
                <w:rFonts w:hint="eastAsia" w:cs="宋体"/>
                <w:color w:val="auto"/>
                <w:sz w:val="24"/>
                <w:szCs w:val="24"/>
                <w:lang w:val="en-US" w:eastAsia="zh-CN"/>
              </w:rPr>
              <w:t>。</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b/>
                <w:color w:val="auto"/>
                <w:sz w:val="24"/>
                <w:highlight w:val="none"/>
              </w:rPr>
              <w:t>结       论</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Cs w:val="21"/>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Cs w:val="21"/>
                <w:highlight w:val="none"/>
              </w:rPr>
            </w:pP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Cs w:val="21"/>
                <w:highlight w:val="none"/>
              </w:rPr>
            </w:pPr>
          </w:p>
        </w:tc>
      </w:tr>
    </w:tbl>
    <w:p>
      <w:pPr>
        <w:pStyle w:val="24"/>
        <w:rPr>
          <w:color w:val="auto"/>
          <w:highlight w:val="none"/>
        </w:rPr>
      </w:pPr>
    </w:p>
    <w:p>
      <w:pPr>
        <w:spacing w:line="480" w:lineRule="exact"/>
        <w:ind w:firstLine="480" w:firstLineChars="200"/>
        <w:rPr>
          <w:rFonts w:ascii="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、在表中的各项只需填写“√</w:t>
      </w:r>
      <w:r>
        <w:rPr>
          <w:rFonts w:ascii="宋体" w:hAnsi="宋体" w:cs="宋体"/>
          <w:color w:val="auto"/>
          <w:sz w:val="24"/>
          <w:highlight w:val="none"/>
        </w:rPr>
        <w:t>/</w:t>
      </w:r>
      <w:r>
        <w:rPr>
          <w:rFonts w:hint="eastAsia" w:ascii="宋体" w:hAnsi="宋体" w:cs="宋体"/>
          <w:color w:val="auto"/>
          <w:sz w:val="24"/>
          <w:highlight w:val="none"/>
        </w:rPr>
        <w:t>通过”或“×</w:t>
      </w:r>
      <w:r>
        <w:rPr>
          <w:rFonts w:ascii="宋体" w:hAnsi="宋体" w:cs="宋体"/>
          <w:color w:val="auto"/>
          <w:sz w:val="24"/>
          <w:highlight w:val="none"/>
        </w:rPr>
        <w:t>/</w:t>
      </w:r>
      <w:r>
        <w:rPr>
          <w:rFonts w:hint="eastAsia" w:ascii="宋体" w:hAnsi="宋体" w:cs="宋体"/>
          <w:color w:val="auto"/>
          <w:sz w:val="24"/>
          <w:highlight w:val="none"/>
        </w:rPr>
        <w:t>不通过”。</w:t>
      </w:r>
    </w:p>
    <w:p>
      <w:pPr>
        <w:spacing w:line="480" w:lineRule="exact"/>
        <w:ind w:firstLine="480" w:firstLineChars="200"/>
        <w:rPr>
          <w:rFonts w:ascii="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、在结论中按“一项否决”的原则，只有全部是√</w:t>
      </w:r>
      <w:r>
        <w:rPr>
          <w:rFonts w:ascii="宋体" w:hAnsi="宋体" w:cs="宋体"/>
          <w:color w:val="auto"/>
          <w:sz w:val="24"/>
          <w:highlight w:val="none"/>
        </w:rPr>
        <w:t>/</w:t>
      </w:r>
      <w:r>
        <w:rPr>
          <w:rFonts w:hint="eastAsia" w:ascii="宋体" w:hAnsi="宋体" w:cs="宋体"/>
          <w:color w:val="auto"/>
          <w:sz w:val="24"/>
          <w:highlight w:val="none"/>
        </w:rPr>
        <w:t>通过的，填写“合格”；只要其中有一项是×</w:t>
      </w:r>
      <w:r>
        <w:rPr>
          <w:rFonts w:ascii="宋体" w:hAnsi="宋体" w:cs="宋体"/>
          <w:color w:val="auto"/>
          <w:sz w:val="24"/>
          <w:highlight w:val="none"/>
        </w:rPr>
        <w:t>/</w:t>
      </w:r>
      <w:r>
        <w:rPr>
          <w:rFonts w:hint="eastAsia" w:ascii="宋体" w:hAnsi="宋体" w:cs="宋体"/>
          <w:color w:val="auto"/>
          <w:sz w:val="24"/>
          <w:highlight w:val="none"/>
        </w:rPr>
        <w:t>不通过的，填写“不合格”。</w:t>
      </w:r>
    </w:p>
    <w:p>
      <w:pPr>
        <w:tabs>
          <w:tab w:val="left" w:pos="1030"/>
        </w:tabs>
        <w:spacing w:line="380" w:lineRule="exact"/>
        <w:ind w:firstLine="480" w:firstLineChars="200"/>
        <w:rPr>
          <w:color w:val="auto"/>
          <w:highlight w:val="none"/>
        </w:rPr>
      </w:pPr>
      <w:r>
        <w:rPr>
          <w:rFonts w:ascii="宋体" w:hAnsi="宋体" w:cs="宋体"/>
          <w:color w:val="auto"/>
          <w:sz w:val="24"/>
          <w:highlight w:val="none"/>
        </w:rPr>
        <w:t>3</w:t>
      </w:r>
      <w:r>
        <w:rPr>
          <w:rFonts w:hint="eastAsia" w:ascii="宋体" w:hAnsi="宋体" w:cs="宋体"/>
          <w:color w:val="auto"/>
          <w:sz w:val="24"/>
          <w:highlight w:val="none"/>
        </w:rPr>
        <w:t>、结论是合格的，才能进入下一轮；不合格的被淘汰。</w:t>
      </w:r>
    </w:p>
    <w:p>
      <w:pPr>
        <w:rPr>
          <w:rFonts w:hint="eastAsia"/>
          <w:color w:val="auto"/>
          <w:highlight w:val="none"/>
        </w:rPr>
      </w:pPr>
      <w:r>
        <w:rPr>
          <w:rFonts w:hint="eastAsia"/>
          <w:color w:val="auto"/>
          <w:highlight w:val="none"/>
        </w:rPr>
        <w:br w:type="page"/>
      </w:r>
    </w:p>
    <w:p>
      <w:pPr>
        <w:pStyle w:val="6"/>
        <w:rPr>
          <w:rFonts w:hint="eastAsia"/>
          <w:color w:val="auto"/>
        </w:rPr>
      </w:pPr>
    </w:p>
    <w:p>
      <w:pPr>
        <w:pStyle w:val="4"/>
        <w:tabs>
          <w:tab w:val="left" w:pos="2841"/>
          <w:tab w:val="center" w:pos="4568"/>
        </w:tabs>
        <w:jc w:val="center"/>
        <w:rPr>
          <w:color w:val="auto"/>
          <w:highlight w:val="none"/>
        </w:rPr>
      </w:pPr>
      <w:bookmarkStart w:id="650" w:name="_Toc17306"/>
      <w:r>
        <w:rPr>
          <w:rFonts w:hint="eastAsia"/>
          <w:color w:val="auto"/>
          <w:highlight w:val="none"/>
        </w:rPr>
        <w:t>附件2：符合性审查表</w:t>
      </w:r>
      <w:bookmarkEnd w:id="648"/>
      <w:bookmarkEnd w:id="649"/>
      <w:bookmarkEnd w:id="650"/>
    </w:p>
    <w:p>
      <w:pPr>
        <w:jc w:val="center"/>
        <w:rPr>
          <w:b/>
          <w:bCs/>
          <w:color w:val="auto"/>
          <w:sz w:val="28"/>
          <w:szCs w:val="28"/>
          <w:highlight w:val="none"/>
        </w:rPr>
      </w:pPr>
      <w:bookmarkStart w:id="651" w:name="_Toc11800"/>
      <w:bookmarkStart w:id="652" w:name="_Toc29038"/>
      <w:bookmarkStart w:id="653" w:name="_Toc5616076"/>
      <w:r>
        <w:rPr>
          <w:rFonts w:hint="eastAsia"/>
          <w:b/>
          <w:bCs/>
          <w:color w:val="auto"/>
          <w:sz w:val="28"/>
          <w:szCs w:val="28"/>
          <w:highlight w:val="none"/>
          <w:lang w:val="en-US" w:eastAsia="zh-CN"/>
        </w:rPr>
        <w:t>A、B包适用本表</w:t>
      </w:r>
      <w:bookmarkEnd w:id="651"/>
      <w:bookmarkEnd w:id="652"/>
      <w:bookmarkEnd w:id="653"/>
    </w:p>
    <w:p>
      <w:pPr>
        <w:shd w:val="clear" w:color="auto" w:fill="FFFFFF"/>
        <w:spacing w:line="36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保亭县响水镇金江居大社区综合服务中心文化配套采购项目</w:t>
      </w:r>
      <w:r>
        <w:rPr>
          <w:rFonts w:hint="eastAsia" w:ascii="宋体" w:hAnsi="宋体" w:cs="宋体"/>
          <w:color w:val="auto"/>
          <w:sz w:val="24"/>
          <w:highlight w:val="none"/>
        </w:rPr>
        <w:t xml:space="preserve"> </w:t>
      </w:r>
    </w:p>
    <w:p>
      <w:pPr>
        <w:shd w:val="clear" w:color="auto" w:fill="FFFFFF"/>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HNJY2024【52】</w:t>
      </w:r>
    </w:p>
    <w:tbl>
      <w:tblPr>
        <w:tblStyle w:val="25"/>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135"/>
        <w:gridCol w:w="3997"/>
        <w:gridCol w:w="961"/>
        <w:gridCol w:w="1046"/>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审查项目</w:t>
            </w:r>
          </w:p>
        </w:tc>
        <w:tc>
          <w:tcPr>
            <w:tcW w:w="39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评议内容</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供应商1</w:t>
            </w: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供应商2</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1</w:t>
            </w:r>
          </w:p>
        </w:tc>
        <w:tc>
          <w:tcPr>
            <w:tcW w:w="2135" w:type="dxa"/>
            <w:tcBorders>
              <w:top w:val="single" w:color="auto" w:sz="4" w:space="0"/>
              <w:left w:val="single" w:color="auto" w:sz="4" w:space="0"/>
              <w:bottom w:val="single" w:color="auto" w:sz="4" w:space="0"/>
              <w:right w:val="single" w:color="auto" w:sz="4" w:space="0"/>
            </w:tcBorders>
          </w:tcPr>
          <w:p>
            <w:pPr>
              <w:keepNext w:val="0"/>
              <w:keepLines w:val="0"/>
              <w:suppressLineNumbers w:val="0"/>
              <w:shd w:val="clear" w:color="auto" w:fill="FFFFFF"/>
              <w:spacing w:before="0" w:beforeAutospacing="0" w:after="0" w:afterAutospacing="0" w:line="500" w:lineRule="exact"/>
              <w:ind w:left="0" w:right="0"/>
              <w:jc w:val="center"/>
              <w:rPr>
                <w:rFonts w:hint="default" w:ascii="宋体" w:hAnsi="宋体" w:cs="宋体"/>
                <w:bCs/>
                <w:color w:val="auto"/>
                <w:sz w:val="24"/>
                <w:highlight w:val="none"/>
              </w:rPr>
            </w:pPr>
            <w:r>
              <w:rPr>
                <w:rFonts w:hint="eastAsia" w:ascii="宋体" w:hAnsi="宋体" w:cs="宋体"/>
                <w:bCs/>
                <w:color w:val="auto"/>
                <w:sz w:val="24"/>
                <w:highlight w:val="none"/>
              </w:rPr>
              <w:t>响应文件的有效性、完整性</w:t>
            </w:r>
          </w:p>
        </w:tc>
        <w:tc>
          <w:tcPr>
            <w:tcW w:w="3997" w:type="dxa"/>
            <w:tcBorders>
              <w:top w:val="single" w:color="auto" w:sz="4" w:space="0"/>
              <w:left w:val="single" w:color="auto" w:sz="4" w:space="0"/>
              <w:bottom w:val="single" w:color="auto" w:sz="4" w:space="0"/>
              <w:right w:val="single" w:color="auto" w:sz="4" w:space="0"/>
            </w:tcBorders>
          </w:tcPr>
          <w:p>
            <w:pPr>
              <w:keepNext w:val="0"/>
              <w:keepLines w:val="0"/>
              <w:suppressLineNumbers w:val="0"/>
              <w:shd w:val="clear" w:color="auto" w:fill="FFFFFF"/>
              <w:spacing w:before="0" w:beforeAutospacing="0" w:after="0" w:afterAutospacing="0" w:line="500" w:lineRule="exact"/>
              <w:ind w:left="0" w:right="0"/>
              <w:rPr>
                <w:rFonts w:hint="default" w:ascii="宋体" w:hAnsi="宋体" w:cs="宋体"/>
                <w:color w:val="auto"/>
                <w:sz w:val="24"/>
                <w:highlight w:val="none"/>
              </w:rPr>
            </w:pPr>
            <w:r>
              <w:rPr>
                <w:rFonts w:hint="eastAsia" w:ascii="宋体" w:hAnsi="宋体" w:cs="宋体"/>
                <w:color w:val="auto"/>
                <w:sz w:val="24"/>
                <w:highlight w:val="none"/>
              </w:rPr>
              <w:t>是否符合磋商文件的样式和签署要求且内容完整无缺漏</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2</w:t>
            </w: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rPr>
              <w:t>响应有效期</w:t>
            </w:r>
          </w:p>
        </w:tc>
        <w:tc>
          <w:tcPr>
            <w:tcW w:w="39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rPr>
              <w:t>是否满足磋商文件要求</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3</w:t>
            </w: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93" w:beforeLines="30" w:beforeAutospacing="0" w:after="93" w:afterLines="30" w:afterAutospacing="0" w:line="500" w:lineRule="exact"/>
              <w:ind w:left="0" w:right="0"/>
              <w:jc w:val="center"/>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rPr>
              <w:t>报价项目完整性</w:t>
            </w:r>
          </w:p>
        </w:tc>
        <w:tc>
          <w:tcPr>
            <w:tcW w:w="39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是否对本项目内所有的内容进行响应报价，漏报其响应将被拒绝；报价是否有效</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4</w:t>
            </w: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b/>
                <w:color w:val="auto"/>
                <w:kern w:val="2"/>
                <w:sz w:val="24"/>
                <w:szCs w:val="24"/>
                <w:highlight w:val="none"/>
                <w:lang w:val="en-US" w:eastAsia="zh-CN" w:bidi="ar-SA"/>
              </w:rPr>
            </w:pPr>
            <w:r>
              <w:rPr>
                <w:rFonts w:hint="eastAsia" w:ascii="宋体" w:cs="宋体"/>
                <w:color w:val="auto"/>
                <w:sz w:val="24"/>
                <w:szCs w:val="24"/>
              </w:rPr>
              <w:t>合同履行期限</w:t>
            </w:r>
          </w:p>
        </w:tc>
        <w:tc>
          <w:tcPr>
            <w:tcW w:w="39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rPr>
              <w:t>是否满足磋商文件要求</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5</w:t>
            </w: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s="宋体"/>
                <w:color w:val="auto"/>
                <w:sz w:val="24"/>
                <w:highlight w:val="none"/>
              </w:rPr>
            </w:pPr>
            <w:r>
              <w:rPr>
                <w:rFonts w:hint="eastAsia" w:ascii="宋体" w:hAnsi="宋体" w:cs="宋体"/>
                <w:color w:val="auto"/>
                <w:sz w:val="24"/>
                <w:highlight w:val="none"/>
              </w:rPr>
              <w:t>其</w:t>
            </w:r>
            <w:r>
              <w:rPr>
                <w:rFonts w:hint="eastAsia" w:ascii="宋体" w:hAnsi="宋体" w:cs="宋体"/>
                <w:color w:val="auto"/>
                <w:sz w:val="24"/>
                <w:highlight w:val="none"/>
                <w:lang w:val="en-US" w:eastAsia="zh-CN"/>
              </w:rPr>
              <w:t>他</w:t>
            </w:r>
          </w:p>
        </w:tc>
        <w:tc>
          <w:tcPr>
            <w:tcW w:w="39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rPr>
                <w:rFonts w:hint="eastAsia" w:ascii="宋体" w:hAnsi="宋体" w:cs="宋体"/>
                <w:color w:val="auto"/>
                <w:sz w:val="24"/>
                <w:highlight w:val="none"/>
              </w:rPr>
            </w:pPr>
            <w:r>
              <w:rPr>
                <w:rFonts w:hint="eastAsia" w:ascii="宋体" w:hAnsi="宋体" w:cs="宋体"/>
                <w:color w:val="auto"/>
                <w:sz w:val="24"/>
                <w:highlight w:val="none"/>
              </w:rPr>
              <w:t>是否有其</w:t>
            </w:r>
            <w:r>
              <w:rPr>
                <w:rFonts w:hint="eastAsia" w:ascii="宋体" w:hAnsi="宋体" w:cs="宋体"/>
                <w:color w:val="auto"/>
                <w:sz w:val="24"/>
                <w:highlight w:val="none"/>
                <w:lang w:val="en-US" w:eastAsia="zh-CN"/>
              </w:rPr>
              <w:t>他</w:t>
            </w:r>
            <w:r>
              <w:rPr>
                <w:rFonts w:hint="eastAsia" w:ascii="宋体" w:hAnsi="宋体" w:cs="宋体"/>
                <w:color w:val="auto"/>
                <w:sz w:val="24"/>
                <w:highlight w:val="none"/>
              </w:rPr>
              <w:t>无效认定条件</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b/>
                <w:color w:val="auto"/>
                <w:sz w:val="24"/>
                <w:highlight w:val="none"/>
              </w:rPr>
              <w:t>结       论</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color w:val="auto"/>
                <w:sz w:val="24"/>
                <w:highlight w:val="none"/>
              </w:rPr>
            </w:pPr>
          </w:p>
        </w:tc>
      </w:tr>
    </w:tbl>
    <w:p>
      <w:pPr>
        <w:pStyle w:val="24"/>
        <w:ind w:firstLine="480"/>
        <w:rPr>
          <w:color w:val="auto"/>
          <w:sz w:val="24"/>
          <w:highlight w:val="none"/>
        </w:rPr>
      </w:pPr>
    </w:p>
    <w:p>
      <w:pPr>
        <w:spacing w:line="480" w:lineRule="exact"/>
        <w:ind w:firstLine="480" w:firstLineChars="200"/>
        <w:rPr>
          <w:rFonts w:ascii="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、在表中的各项只需填写“√</w:t>
      </w:r>
      <w:r>
        <w:rPr>
          <w:rFonts w:ascii="宋体" w:hAnsi="宋体" w:cs="宋体"/>
          <w:color w:val="auto"/>
          <w:sz w:val="24"/>
          <w:highlight w:val="none"/>
        </w:rPr>
        <w:t>/</w:t>
      </w:r>
      <w:r>
        <w:rPr>
          <w:rFonts w:hint="eastAsia" w:ascii="宋体" w:hAnsi="宋体" w:cs="宋体"/>
          <w:color w:val="auto"/>
          <w:sz w:val="24"/>
          <w:highlight w:val="none"/>
        </w:rPr>
        <w:t>通过”或“×</w:t>
      </w:r>
      <w:r>
        <w:rPr>
          <w:rFonts w:ascii="宋体" w:hAnsi="宋体" w:cs="宋体"/>
          <w:color w:val="auto"/>
          <w:sz w:val="24"/>
          <w:highlight w:val="none"/>
        </w:rPr>
        <w:t>/</w:t>
      </w:r>
      <w:r>
        <w:rPr>
          <w:rFonts w:hint="eastAsia" w:ascii="宋体" w:hAnsi="宋体" w:cs="宋体"/>
          <w:color w:val="auto"/>
          <w:sz w:val="24"/>
          <w:highlight w:val="none"/>
        </w:rPr>
        <w:t>不通过”。</w:t>
      </w:r>
    </w:p>
    <w:p>
      <w:pPr>
        <w:spacing w:line="480" w:lineRule="exact"/>
        <w:ind w:firstLine="480" w:firstLineChars="200"/>
        <w:rPr>
          <w:rFonts w:ascii="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、在结论中按“一项否决”的原则，只有全部是√</w:t>
      </w:r>
      <w:r>
        <w:rPr>
          <w:rFonts w:ascii="宋体" w:hAnsi="宋体" w:cs="宋体"/>
          <w:color w:val="auto"/>
          <w:sz w:val="24"/>
          <w:highlight w:val="none"/>
        </w:rPr>
        <w:t>/</w:t>
      </w:r>
      <w:r>
        <w:rPr>
          <w:rFonts w:hint="eastAsia" w:ascii="宋体" w:hAnsi="宋体" w:cs="宋体"/>
          <w:color w:val="auto"/>
          <w:sz w:val="24"/>
          <w:highlight w:val="none"/>
        </w:rPr>
        <w:t>通过的，填写“合格”；只要其中有一项是×</w:t>
      </w:r>
      <w:r>
        <w:rPr>
          <w:rFonts w:ascii="宋体" w:hAnsi="宋体" w:cs="宋体"/>
          <w:color w:val="auto"/>
          <w:sz w:val="24"/>
          <w:highlight w:val="none"/>
        </w:rPr>
        <w:t>/</w:t>
      </w:r>
      <w:r>
        <w:rPr>
          <w:rFonts w:hint="eastAsia" w:ascii="宋体" w:hAnsi="宋体" w:cs="宋体"/>
          <w:color w:val="auto"/>
          <w:sz w:val="24"/>
          <w:highlight w:val="none"/>
        </w:rPr>
        <w:t>不通过的，填写“不合格”。</w:t>
      </w:r>
    </w:p>
    <w:p>
      <w:pPr>
        <w:tabs>
          <w:tab w:val="left" w:pos="1030"/>
        </w:tabs>
        <w:spacing w:line="380" w:lineRule="exact"/>
        <w:ind w:firstLine="480" w:firstLineChars="200"/>
        <w:rPr>
          <w:rFonts w:hint="eastAsia"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、结论是合格的，才能进入下一轮；不合格的被淘汰。</w:t>
      </w: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rPr>
          <w:rStyle w:val="35"/>
          <w:color w:val="auto"/>
          <w:highlight w:val="none"/>
        </w:rPr>
      </w:pPr>
      <w:bookmarkStart w:id="654" w:name="_Toc31231"/>
      <w:r>
        <w:rPr>
          <w:rStyle w:val="35"/>
          <w:rFonts w:hint="eastAsia"/>
          <w:color w:val="auto"/>
          <w:highlight w:val="none"/>
        </w:rPr>
        <w:t>附件3：评审标准和方法</w:t>
      </w:r>
    </w:p>
    <w:bookmarkEnd w:id="654"/>
    <w:p>
      <w:pPr>
        <w:jc w:val="center"/>
        <w:rPr>
          <w:rFonts w:hint="eastAsia"/>
          <w:b/>
          <w:bCs/>
          <w:color w:val="auto"/>
          <w:sz w:val="28"/>
          <w:szCs w:val="36"/>
          <w:highlight w:val="none"/>
        </w:rPr>
      </w:pPr>
      <w:r>
        <w:rPr>
          <w:rFonts w:hint="eastAsia"/>
          <w:b/>
          <w:bCs/>
          <w:color w:val="auto"/>
          <w:sz w:val="28"/>
          <w:szCs w:val="36"/>
          <w:highlight w:val="none"/>
          <w:lang w:val="en-US" w:eastAsia="zh-CN"/>
        </w:rPr>
        <w:t>A包</w:t>
      </w:r>
      <w:r>
        <w:rPr>
          <w:rFonts w:hint="eastAsia"/>
          <w:b/>
          <w:bCs/>
          <w:color w:val="auto"/>
          <w:sz w:val="28"/>
          <w:szCs w:val="36"/>
          <w:highlight w:val="none"/>
        </w:rPr>
        <w:t>综合评分项</w:t>
      </w:r>
    </w:p>
    <w:p>
      <w:pPr>
        <w:shd w:val="clear" w:color="auto" w:fill="FFFFFF"/>
        <w:spacing w:line="360" w:lineRule="auto"/>
        <w:rPr>
          <w:rFonts w:hint="eastAsia" w:ascii="宋体" w:hAnsi="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保亭县响水镇金江居大社区综合服务中心文化配套采购项目</w:t>
      </w:r>
    </w:p>
    <w:p>
      <w:pPr>
        <w:shd w:val="clear" w:color="auto" w:fill="FFFFFF"/>
        <w:spacing w:line="360" w:lineRule="auto"/>
        <w:rPr>
          <w:rFonts w:hint="eastAsia"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HNJY2024【52】</w:t>
      </w:r>
    </w:p>
    <w:tbl>
      <w:tblPr>
        <w:tblStyle w:val="25"/>
        <w:tblW w:w="984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132"/>
        <w:gridCol w:w="6018"/>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b/>
                <w:bCs/>
                <w:i w:val="0"/>
                <w:iCs w:val="0"/>
                <w:color w:val="auto"/>
                <w:sz w:val="24"/>
                <w:szCs w:val="24"/>
                <w:u w:val="none"/>
              </w:rPr>
            </w:pPr>
            <w:bookmarkStart w:id="655" w:name="_Toc25750"/>
            <w:bookmarkStart w:id="656" w:name="_Toc4697"/>
            <w:bookmarkStart w:id="657" w:name="_Toc212102881"/>
            <w:bookmarkStart w:id="658" w:name="_Toc13611"/>
            <w:bookmarkStart w:id="659" w:name="_Toc317237629"/>
            <w:r>
              <w:rPr>
                <w:rFonts w:hint="eastAsia" w:ascii="宋体" w:hAnsi="宋体" w:eastAsia="宋体" w:cs="宋体"/>
                <w:b/>
                <w:bCs/>
                <w:i w:val="0"/>
                <w:iCs w:val="0"/>
                <w:color w:val="auto"/>
                <w:kern w:val="0"/>
                <w:sz w:val="24"/>
                <w:szCs w:val="24"/>
                <w:u w:val="none"/>
                <w:lang w:val="en-US" w:eastAsia="zh-CN" w:bidi="ar"/>
              </w:rPr>
              <w:t>序号</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评审因素</w:t>
            </w:r>
          </w:p>
        </w:tc>
        <w:tc>
          <w:tcPr>
            <w:tcW w:w="6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评审标准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8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商务部分</w:t>
            </w:r>
            <w:r>
              <w:rPr>
                <w:rFonts w:hint="eastAsia" w:ascii="宋体" w:hAnsi="宋体" w:cs="宋体"/>
                <w:b/>
                <w:bCs/>
                <w:i w:val="0"/>
                <w:iCs w:val="0"/>
                <w:color w:val="auto"/>
                <w:kern w:val="0"/>
                <w:sz w:val="24"/>
                <w:szCs w:val="24"/>
                <w:u w:val="none"/>
                <w:lang w:val="en-US" w:eastAsia="zh-CN" w:bidi="ar"/>
              </w:rPr>
              <w:t>（29分）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sz w:val="24"/>
                <w:szCs w:val="24"/>
                <w:u w:val="none"/>
                <w:lang w:val="en-US" w:eastAsia="zh-CN"/>
              </w:rPr>
              <w:t>类似</w:t>
            </w:r>
            <w:r>
              <w:rPr>
                <w:rFonts w:hint="eastAsia" w:ascii="宋体" w:hAnsi="宋体" w:eastAsia="宋体" w:cs="宋体"/>
                <w:i w:val="0"/>
                <w:iCs w:val="0"/>
                <w:color w:val="auto"/>
                <w:sz w:val="24"/>
                <w:szCs w:val="24"/>
                <w:u w:val="none"/>
              </w:rPr>
              <w:t>业绩</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default" w:ascii="宋体" w:hAnsi="宋体" w:eastAsia="宋体" w:cs="宋体"/>
                <w:i w:val="0"/>
                <w:iCs w:val="0"/>
                <w:color w:val="auto"/>
                <w:sz w:val="24"/>
                <w:szCs w:val="24"/>
                <w:u w:val="none"/>
                <w:lang w:val="en-US"/>
              </w:rPr>
            </w:pPr>
            <w:r>
              <w:rPr>
                <w:rFonts w:hint="default" w:ascii="宋体" w:hAnsi="宋体" w:eastAsia="宋体" w:cs="宋体"/>
                <w:i w:val="0"/>
                <w:iCs w:val="0"/>
                <w:color w:val="auto"/>
                <w:sz w:val="24"/>
                <w:szCs w:val="24"/>
                <w:u w:val="none"/>
                <w:lang w:val="en-US"/>
              </w:rPr>
              <w:t>供应商提供2021年01月01日起至今，供应商有承接过类似业绩的，每提供一个项目业绩得</w:t>
            </w:r>
            <w:r>
              <w:rPr>
                <w:rFonts w:hint="eastAsia" w:ascii="宋体" w:hAnsi="宋体" w:cs="宋体"/>
                <w:i w:val="0"/>
                <w:iCs w:val="0"/>
                <w:color w:val="auto"/>
                <w:sz w:val="24"/>
                <w:szCs w:val="24"/>
                <w:u w:val="none"/>
                <w:lang w:val="en-US" w:eastAsia="zh-CN"/>
              </w:rPr>
              <w:t>3.5</w:t>
            </w:r>
            <w:r>
              <w:rPr>
                <w:rFonts w:hint="default" w:ascii="宋体" w:hAnsi="宋体" w:eastAsia="宋体" w:cs="宋体"/>
                <w:i w:val="0"/>
                <w:iCs w:val="0"/>
                <w:color w:val="auto"/>
                <w:sz w:val="24"/>
                <w:szCs w:val="24"/>
                <w:u w:val="none"/>
                <w:lang w:val="en-US"/>
              </w:rPr>
              <w:t>分，本项目满分</w:t>
            </w:r>
            <w:r>
              <w:rPr>
                <w:rFonts w:hint="eastAsia" w:ascii="宋体" w:hAnsi="宋体" w:cs="宋体"/>
                <w:i w:val="0"/>
                <w:iCs w:val="0"/>
                <w:color w:val="auto"/>
                <w:sz w:val="24"/>
                <w:szCs w:val="24"/>
                <w:u w:val="none"/>
                <w:lang w:val="en-US" w:eastAsia="zh-CN"/>
              </w:rPr>
              <w:t>7</w:t>
            </w:r>
            <w:r>
              <w:rPr>
                <w:rFonts w:hint="default" w:ascii="宋体" w:hAnsi="宋体" w:eastAsia="宋体" w:cs="宋体"/>
                <w:i w:val="0"/>
                <w:iCs w:val="0"/>
                <w:color w:val="auto"/>
                <w:sz w:val="24"/>
                <w:szCs w:val="24"/>
                <w:u w:val="none"/>
                <w:lang w:val="en-US"/>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default" w:ascii="宋体" w:hAnsi="宋体" w:eastAsia="宋体" w:cs="宋体"/>
                <w:i w:val="0"/>
                <w:iCs w:val="0"/>
                <w:color w:val="auto"/>
                <w:sz w:val="24"/>
                <w:szCs w:val="24"/>
                <w:u w:val="none"/>
                <w:lang w:val="en-US"/>
              </w:rPr>
            </w:pPr>
            <w:r>
              <w:rPr>
                <w:rFonts w:hint="eastAsia" w:ascii="宋体" w:hAnsi="宋体" w:cs="宋体"/>
                <w:b/>
                <w:bCs/>
                <w:i w:val="0"/>
                <w:iCs w:val="0"/>
                <w:color w:val="auto"/>
                <w:sz w:val="24"/>
                <w:szCs w:val="24"/>
                <w:u w:val="none"/>
                <w:lang w:val="en-US" w:eastAsia="zh-CN"/>
              </w:rPr>
              <w:t>证明材料</w:t>
            </w:r>
            <w:r>
              <w:rPr>
                <w:rFonts w:hint="default" w:ascii="宋体" w:hAnsi="宋体" w:eastAsia="宋体" w:cs="宋体"/>
                <w:b/>
                <w:bCs/>
                <w:i w:val="0"/>
                <w:iCs w:val="0"/>
                <w:color w:val="auto"/>
                <w:sz w:val="24"/>
                <w:szCs w:val="24"/>
                <w:u w:val="none"/>
                <w:lang w:val="en-US"/>
              </w:rPr>
              <w:t>：</w:t>
            </w:r>
            <w:r>
              <w:rPr>
                <w:rFonts w:hint="default" w:ascii="宋体" w:hAnsi="宋体" w:eastAsia="宋体" w:cs="宋体"/>
                <w:i w:val="0"/>
                <w:iCs w:val="0"/>
                <w:color w:val="auto"/>
                <w:sz w:val="24"/>
                <w:szCs w:val="24"/>
                <w:u w:val="none"/>
                <w:lang w:val="en-US"/>
              </w:rPr>
              <w:t>提供合同复印件加盖供应商公章</w:t>
            </w:r>
            <w:r>
              <w:rPr>
                <w:rFonts w:hint="eastAsia" w:ascii="宋体" w:hAnsi="宋体" w:cs="宋体"/>
                <w:i w:val="0"/>
                <w:iCs w:val="0"/>
                <w:color w:val="auto"/>
                <w:sz w:val="24"/>
                <w:szCs w:val="24"/>
                <w:u w:val="none"/>
                <w:lang w:val="en-US" w:eastAsia="zh-CN"/>
              </w:rPr>
              <w:t>，</w:t>
            </w:r>
            <w:r>
              <w:rPr>
                <w:rFonts w:hint="default" w:ascii="宋体" w:hAnsi="宋体" w:eastAsia="宋体" w:cs="宋体"/>
                <w:i w:val="0"/>
                <w:iCs w:val="0"/>
                <w:color w:val="auto"/>
                <w:sz w:val="24"/>
                <w:szCs w:val="24"/>
                <w:u w:val="none"/>
                <w:lang w:val="en-US"/>
              </w:rPr>
              <w:t>时间以合同签订日期为准。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7</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采购技术要求指标</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供应商须根据</w:t>
            </w:r>
            <w:r>
              <w:rPr>
                <w:rFonts w:hint="eastAsia" w:ascii="宋体" w:hAnsi="宋体" w:cs="宋体"/>
                <w:i w:val="0"/>
                <w:iCs w:val="0"/>
                <w:color w:val="auto"/>
                <w:sz w:val="24"/>
                <w:szCs w:val="24"/>
                <w:u w:val="none"/>
                <w:lang w:val="en-US" w:eastAsia="zh-CN"/>
              </w:rPr>
              <w:t>磋商</w:t>
            </w:r>
            <w:r>
              <w:rPr>
                <w:rFonts w:hint="eastAsia" w:ascii="宋体" w:hAnsi="宋体" w:eastAsia="宋体" w:cs="宋体"/>
                <w:i w:val="0"/>
                <w:iCs w:val="0"/>
                <w:color w:val="auto"/>
                <w:sz w:val="24"/>
                <w:szCs w:val="24"/>
                <w:u w:val="none"/>
              </w:rPr>
              <w:t>文件第三部分</w:t>
            </w:r>
            <w:r>
              <w:rPr>
                <w:rFonts w:hint="eastAsia" w:ascii="宋体" w:hAnsi="宋体" w:cs="宋体"/>
                <w:i w:val="0"/>
                <w:iCs w:val="0"/>
                <w:color w:val="auto"/>
                <w:sz w:val="24"/>
                <w:szCs w:val="24"/>
                <w:u w:val="none"/>
                <w:lang w:val="en-US" w:eastAsia="zh-CN"/>
              </w:rPr>
              <w:t>A包</w:t>
            </w:r>
            <w:r>
              <w:rPr>
                <w:rFonts w:hint="eastAsia" w:ascii="宋体" w:hAnsi="宋体" w:eastAsia="宋体" w:cs="宋体"/>
                <w:i w:val="0"/>
                <w:iCs w:val="0"/>
                <w:color w:val="auto"/>
                <w:sz w:val="24"/>
                <w:szCs w:val="24"/>
                <w:u w:val="none"/>
              </w:rPr>
              <w:t>采购需求中的参数要求（共</w:t>
            </w:r>
            <w:r>
              <w:rPr>
                <w:rFonts w:hint="eastAsia" w:ascii="宋体" w:hAnsi="宋体" w:cs="宋体"/>
                <w:i w:val="0"/>
                <w:iCs w:val="0"/>
                <w:color w:val="auto"/>
                <w:sz w:val="24"/>
                <w:szCs w:val="24"/>
                <w:u w:val="none"/>
                <w:lang w:val="en-US" w:eastAsia="zh-CN"/>
              </w:rPr>
              <w:t>148项</w:t>
            </w:r>
            <w:r>
              <w:rPr>
                <w:rFonts w:hint="eastAsia" w:ascii="宋体" w:hAnsi="宋体" w:eastAsia="宋体" w:cs="宋体"/>
                <w:i w:val="0"/>
                <w:iCs w:val="0"/>
                <w:color w:val="auto"/>
                <w:sz w:val="24"/>
                <w:szCs w:val="24"/>
                <w:u w:val="none"/>
              </w:rPr>
              <w:t>）逐</w:t>
            </w:r>
            <w:r>
              <w:rPr>
                <w:rFonts w:hint="eastAsia" w:ascii="宋体" w:hAnsi="宋体" w:cs="宋体"/>
                <w:i w:val="0"/>
                <w:iCs w:val="0"/>
                <w:color w:val="auto"/>
                <w:sz w:val="24"/>
                <w:szCs w:val="24"/>
                <w:u w:val="none"/>
                <w:lang w:val="en-US" w:eastAsia="zh-CN"/>
              </w:rPr>
              <w:t>项</w:t>
            </w:r>
            <w:r>
              <w:rPr>
                <w:rFonts w:hint="eastAsia" w:ascii="宋体" w:hAnsi="宋体" w:eastAsia="宋体" w:cs="宋体"/>
                <w:i w:val="0"/>
                <w:iCs w:val="0"/>
                <w:color w:val="auto"/>
                <w:sz w:val="24"/>
                <w:szCs w:val="24"/>
                <w:u w:val="none"/>
              </w:rPr>
              <w:t>进行响应</w:t>
            </w:r>
            <w:r>
              <w:rPr>
                <w:rFonts w:hint="eastAsia" w:ascii="宋体" w:hAnsi="宋体" w:cs="宋体"/>
                <w:i w:val="0"/>
                <w:iCs w:val="0"/>
                <w:color w:val="auto"/>
                <w:sz w:val="24"/>
                <w:szCs w:val="24"/>
                <w:u w:val="none"/>
                <w:lang w:eastAsia="zh-CN"/>
              </w:rPr>
              <w:t>（</w:t>
            </w:r>
            <w:r>
              <w:rPr>
                <w:rFonts w:hint="eastAsia" w:ascii="宋体" w:hAnsi="宋体" w:cs="宋体"/>
                <w:i w:val="0"/>
                <w:iCs w:val="0"/>
                <w:color w:val="auto"/>
                <w:sz w:val="24"/>
                <w:szCs w:val="24"/>
                <w:u w:val="none"/>
                <w:lang w:val="en-US" w:eastAsia="zh-CN"/>
              </w:rPr>
              <w:t>其中一项内的一条参数不满足，则该项不响应</w:t>
            </w:r>
            <w:r>
              <w:rPr>
                <w:rFonts w:hint="eastAsia" w:ascii="宋体"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，完全响应者得</w:t>
            </w:r>
            <w:r>
              <w:rPr>
                <w:rFonts w:hint="eastAsia" w:ascii="宋体" w:hAnsi="宋体" w:cs="宋体"/>
                <w:i w:val="0"/>
                <w:iCs w:val="0"/>
                <w:color w:val="auto"/>
                <w:sz w:val="24"/>
                <w:szCs w:val="24"/>
                <w:u w:val="none"/>
                <w:lang w:val="en-US" w:eastAsia="zh-CN"/>
              </w:rPr>
              <w:t>22</w:t>
            </w:r>
            <w:r>
              <w:rPr>
                <w:rFonts w:hint="eastAsia" w:ascii="宋体" w:hAnsi="宋体" w:eastAsia="宋体" w:cs="宋体"/>
                <w:i w:val="0"/>
                <w:iCs w:val="0"/>
                <w:color w:val="auto"/>
                <w:sz w:val="24"/>
                <w:szCs w:val="24"/>
                <w:u w:val="none"/>
              </w:rPr>
              <w:t>分。每有一</w:t>
            </w:r>
            <w:r>
              <w:rPr>
                <w:rFonts w:hint="eastAsia" w:ascii="宋体" w:hAnsi="宋体" w:cs="宋体"/>
                <w:i w:val="0"/>
                <w:iCs w:val="0"/>
                <w:color w:val="auto"/>
                <w:sz w:val="24"/>
                <w:szCs w:val="24"/>
                <w:u w:val="none"/>
                <w:lang w:val="en-US" w:eastAsia="zh-CN"/>
              </w:rPr>
              <w:t>项</w:t>
            </w:r>
            <w:r>
              <w:rPr>
                <w:rFonts w:hint="eastAsia" w:ascii="宋体" w:hAnsi="宋体" w:eastAsia="宋体" w:cs="宋体"/>
                <w:i w:val="0"/>
                <w:iCs w:val="0"/>
                <w:color w:val="auto"/>
                <w:sz w:val="24"/>
                <w:szCs w:val="24"/>
                <w:u w:val="none"/>
              </w:rPr>
              <w:t>不满足扣</w:t>
            </w:r>
            <w:r>
              <w:rPr>
                <w:rFonts w:hint="eastAsia" w:ascii="宋体" w:hAnsi="宋体" w:cs="宋体"/>
                <w:i w:val="0"/>
                <w:iCs w:val="0"/>
                <w:color w:val="auto"/>
                <w:sz w:val="24"/>
                <w:szCs w:val="24"/>
                <w:u w:val="none"/>
                <w:lang w:val="en-US" w:eastAsia="zh-CN"/>
              </w:rPr>
              <w:t>0.15</w:t>
            </w:r>
            <w:r>
              <w:rPr>
                <w:rFonts w:hint="eastAsia" w:ascii="宋体" w:hAnsi="宋体" w:eastAsia="宋体" w:cs="宋体"/>
                <w:i w:val="0"/>
                <w:iCs w:val="0"/>
                <w:color w:val="auto"/>
                <w:sz w:val="24"/>
                <w:szCs w:val="24"/>
                <w:u w:val="none"/>
              </w:rPr>
              <w:t>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22</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8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技术部分</w:t>
            </w:r>
            <w:r>
              <w:rPr>
                <w:rFonts w:hint="eastAsia" w:ascii="宋体" w:hAnsi="宋体" w:cs="宋体"/>
                <w:b/>
                <w:bCs/>
                <w:i w:val="0"/>
                <w:iCs w:val="0"/>
                <w:color w:val="auto"/>
                <w:kern w:val="0"/>
                <w:sz w:val="24"/>
                <w:szCs w:val="24"/>
                <w:u w:val="none"/>
                <w:lang w:val="en-US" w:eastAsia="zh-CN" w:bidi="ar"/>
              </w:rPr>
              <w:t>（41分）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u w:val="none"/>
                <w:lang w:val="en-US" w:eastAsia="zh-CN" w:bidi="ar-SA"/>
              </w:rPr>
              <w:t>项目实施方案</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line="360" w:lineRule="auto"/>
              <w:ind w:left="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根据供应商提供的项目实施方案,</w:t>
            </w:r>
            <w:r>
              <w:rPr>
                <w:rFonts w:hint="eastAsia" w:ascii="宋体"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包括但不限于：①项目整体实施计划；②质量保证措施；③项目供货组织措施；④设备安装调试方案；⑤验收方案等。</w:t>
            </w:r>
            <w:r>
              <w:rPr>
                <w:rFonts w:hint="eastAsia" w:ascii="宋体"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进行综合比较打分，本项满分</w:t>
            </w:r>
            <w:r>
              <w:rPr>
                <w:rFonts w:hint="eastAsia" w:ascii="宋体" w:hAnsi="宋体" w:cs="宋体"/>
                <w:i w:val="0"/>
                <w:iCs w:val="0"/>
                <w:color w:val="auto"/>
                <w:sz w:val="24"/>
                <w:szCs w:val="24"/>
                <w:u w:val="none"/>
                <w:lang w:val="en-US" w:eastAsia="zh-CN"/>
              </w:rPr>
              <w:t>16</w:t>
            </w:r>
            <w:r>
              <w:rPr>
                <w:rFonts w:hint="eastAsia" w:ascii="宋体" w:hAnsi="宋体" w:eastAsia="宋体" w:cs="宋体"/>
                <w:i w:val="0"/>
                <w:iCs w:val="0"/>
                <w:color w:val="auto"/>
                <w:sz w:val="24"/>
                <w:szCs w:val="24"/>
                <w:u w:val="none"/>
              </w:rPr>
              <w:t>分。</w:t>
            </w:r>
          </w:p>
          <w:p>
            <w:pPr>
              <w:pStyle w:val="2"/>
              <w:keepNext w:val="0"/>
              <w:keepLines w:val="0"/>
              <w:numPr>
                <w:ilvl w:val="0"/>
                <w:numId w:val="0"/>
              </w:numPr>
              <w:suppressLineNumbers w:val="0"/>
              <w:spacing w:before="0" w:beforeAutospacing="0" w:afterAutospacing="0" w:line="360" w:lineRule="auto"/>
              <w:ind w:left="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（1）方案科学、合理、具体、全面，对本项目的适用性强，内容详细、具体，可执行性强，总体编写质量高得</w:t>
            </w:r>
            <w:r>
              <w:rPr>
                <w:rFonts w:hint="eastAsia" w:ascii="宋体" w:hAnsi="宋体" w:cs="宋体"/>
                <w:i w:val="0"/>
                <w:iCs w:val="0"/>
                <w:color w:val="auto"/>
                <w:sz w:val="24"/>
                <w:szCs w:val="24"/>
                <w:u w:val="none"/>
                <w:lang w:val="en-US" w:eastAsia="zh-CN"/>
              </w:rPr>
              <w:t>16</w:t>
            </w:r>
            <w:r>
              <w:rPr>
                <w:rFonts w:hint="eastAsia" w:ascii="宋体" w:hAnsi="宋体" w:eastAsia="宋体" w:cs="宋体"/>
                <w:i w:val="0"/>
                <w:iCs w:val="0"/>
                <w:color w:val="auto"/>
                <w:sz w:val="24"/>
                <w:szCs w:val="24"/>
                <w:u w:val="none"/>
              </w:rPr>
              <w:t>分；</w:t>
            </w:r>
          </w:p>
          <w:p>
            <w:pPr>
              <w:pStyle w:val="2"/>
              <w:keepNext w:val="0"/>
              <w:keepLines w:val="0"/>
              <w:numPr>
                <w:ilvl w:val="0"/>
                <w:numId w:val="0"/>
              </w:numPr>
              <w:suppressLineNumbers w:val="0"/>
              <w:spacing w:before="0" w:beforeAutospacing="0" w:afterAutospacing="0" w:line="360" w:lineRule="auto"/>
              <w:ind w:left="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（2）方案基本科学、合理、具体、全面，对本项目的适用性较强，内容基本全面，可执行性较强，总体编写质量较高得</w:t>
            </w:r>
            <w:r>
              <w:rPr>
                <w:rFonts w:hint="eastAsia" w:ascii="宋体" w:hAnsi="宋体" w:cs="宋体"/>
                <w:i w:val="0"/>
                <w:iCs w:val="0"/>
                <w:color w:val="auto"/>
                <w:sz w:val="24"/>
                <w:szCs w:val="24"/>
                <w:u w:val="none"/>
                <w:lang w:val="en-US" w:eastAsia="zh-CN"/>
              </w:rPr>
              <w:t>12</w:t>
            </w:r>
            <w:r>
              <w:rPr>
                <w:rFonts w:hint="eastAsia" w:ascii="宋体" w:hAnsi="宋体" w:eastAsia="宋体" w:cs="宋体"/>
                <w:i w:val="0"/>
                <w:iCs w:val="0"/>
                <w:color w:val="auto"/>
                <w:sz w:val="24"/>
                <w:szCs w:val="24"/>
                <w:u w:val="none"/>
              </w:rPr>
              <w:t>分；</w:t>
            </w:r>
          </w:p>
          <w:p>
            <w:pPr>
              <w:pStyle w:val="2"/>
              <w:keepNext w:val="0"/>
              <w:keepLines w:val="0"/>
              <w:numPr>
                <w:ilvl w:val="0"/>
                <w:numId w:val="0"/>
              </w:numPr>
              <w:suppressLineNumbers w:val="0"/>
              <w:spacing w:before="0" w:beforeAutospacing="0" w:afterAutospacing="0" w:line="360" w:lineRule="auto"/>
              <w:ind w:left="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（3）方案内容基本齐全，适用性和可执行性一般，总体编写质量一般或较差得</w:t>
            </w:r>
            <w:r>
              <w:rPr>
                <w:rFonts w:hint="eastAsia" w:ascii="宋体" w:hAnsi="宋体" w:cs="宋体"/>
                <w:i w:val="0"/>
                <w:iCs w:val="0"/>
                <w:color w:val="auto"/>
                <w:sz w:val="24"/>
                <w:szCs w:val="24"/>
                <w:u w:val="none"/>
                <w:lang w:val="en-US" w:eastAsia="zh-CN"/>
              </w:rPr>
              <w:t>8</w:t>
            </w:r>
            <w:r>
              <w:rPr>
                <w:rFonts w:hint="eastAsia" w:ascii="宋体" w:hAnsi="宋体" w:eastAsia="宋体" w:cs="宋体"/>
                <w:i w:val="0"/>
                <w:iCs w:val="0"/>
                <w:color w:val="auto"/>
                <w:sz w:val="24"/>
                <w:szCs w:val="24"/>
                <w:u w:val="none"/>
              </w:rPr>
              <w:t>分；</w:t>
            </w:r>
          </w:p>
          <w:p>
            <w:pPr>
              <w:pStyle w:val="2"/>
              <w:keepNext w:val="0"/>
              <w:keepLines w:val="0"/>
              <w:numPr>
                <w:ilvl w:val="0"/>
                <w:numId w:val="0"/>
              </w:numPr>
              <w:suppressLineNumbers w:val="0"/>
              <w:spacing w:before="0" w:beforeAutospacing="0" w:afterAutospacing="0" w:line="360" w:lineRule="auto"/>
              <w:ind w:left="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（4）方案内容不齐全，适用性和可执行性差的，得</w:t>
            </w:r>
            <w:r>
              <w:rPr>
                <w:rFonts w:hint="eastAsia" w:ascii="宋体" w:hAnsi="宋体" w:cs="宋体"/>
                <w:i w:val="0"/>
                <w:iCs w:val="0"/>
                <w:color w:val="auto"/>
                <w:sz w:val="24"/>
                <w:szCs w:val="24"/>
                <w:u w:val="none"/>
                <w:lang w:val="en-US" w:eastAsia="zh-CN"/>
              </w:rPr>
              <w:t>4</w:t>
            </w:r>
            <w:r>
              <w:rPr>
                <w:rFonts w:hint="eastAsia" w:ascii="宋体" w:hAnsi="宋体" w:eastAsia="宋体" w:cs="宋体"/>
                <w:i w:val="0"/>
                <w:iCs w:val="0"/>
                <w:color w:val="auto"/>
                <w:sz w:val="24"/>
                <w:szCs w:val="24"/>
                <w:u w:val="none"/>
              </w:rPr>
              <w:t>分；</w:t>
            </w:r>
          </w:p>
          <w:p>
            <w:pPr>
              <w:pStyle w:val="2"/>
              <w:keepNext w:val="0"/>
              <w:keepLines w:val="0"/>
              <w:numPr>
                <w:ilvl w:val="0"/>
                <w:numId w:val="0"/>
              </w:numPr>
              <w:suppressLineNumbers w:val="0"/>
              <w:spacing w:before="0" w:beforeAutospacing="0" w:afterAutospacing="0" w:line="360" w:lineRule="auto"/>
              <w:ind w:left="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（5）未提供方案者不得分。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16</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售后服务方案</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根据供应商提供的售后服务方案，</w:t>
            </w:r>
            <w:r>
              <w:rPr>
                <w:rFonts w:hint="eastAsia" w:ascii="宋体"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包括但不限于：①保修期及服务承诺；②售后服务流程及机构设置；③维修方案及维修能力；④应急保障及响应时间等</w:t>
            </w:r>
            <w:r>
              <w:rPr>
                <w:rFonts w:hint="eastAsia" w:ascii="宋体"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。进行综合比较打分，本项满分</w:t>
            </w: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（1）方案科学、合理、具体、全面，对本项目的适用性强，内容详细、具体，可执行性强，总体编写质量高得</w:t>
            </w: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（2）方案基本科学、合理、具体、全面，对本项目的适用性较强，内容基本全面，可执行性较强，总体编写质量较高得</w:t>
            </w:r>
            <w:r>
              <w:rPr>
                <w:rFonts w:hint="eastAsia" w:ascii="宋体" w:hAnsi="宋体" w:cs="宋体"/>
                <w:i w:val="0"/>
                <w:iCs w:val="0"/>
                <w:color w:val="auto"/>
                <w:sz w:val="24"/>
                <w:szCs w:val="24"/>
                <w:u w:val="none"/>
                <w:lang w:val="en-US" w:eastAsia="zh-CN"/>
              </w:rPr>
              <w:t>7.5</w:t>
            </w:r>
            <w:r>
              <w:rPr>
                <w:rFonts w:hint="eastAsia" w:ascii="宋体" w:hAnsi="宋体" w:eastAsia="宋体" w:cs="宋体"/>
                <w:i w:val="0"/>
                <w:iCs w:val="0"/>
                <w:color w:val="auto"/>
                <w:sz w:val="24"/>
                <w:szCs w:val="24"/>
                <w:u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（3）方案内容基本齐全，适用性和可执行性一般，总体编写质量一般或较差得</w:t>
            </w:r>
            <w:r>
              <w:rPr>
                <w:rFonts w:hint="eastAsia" w:ascii="宋体" w:hAnsi="宋体" w:cs="宋体"/>
                <w:i w:val="0"/>
                <w:iCs w:val="0"/>
                <w:color w:val="auto"/>
                <w:sz w:val="24"/>
                <w:szCs w:val="24"/>
                <w:u w:val="none"/>
                <w:lang w:val="en-US" w:eastAsia="zh-CN"/>
              </w:rPr>
              <w:t>5</w:t>
            </w:r>
            <w:r>
              <w:rPr>
                <w:rFonts w:hint="eastAsia" w:ascii="宋体" w:hAnsi="宋体" w:eastAsia="宋体" w:cs="宋体"/>
                <w:i w:val="0"/>
                <w:iCs w:val="0"/>
                <w:color w:val="auto"/>
                <w:sz w:val="24"/>
                <w:szCs w:val="24"/>
                <w:u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（4）方案内容不齐全，适用性和可执行性差的，得</w:t>
            </w:r>
            <w:r>
              <w:rPr>
                <w:rFonts w:hint="eastAsia" w:ascii="宋体" w:hAnsi="宋体" w:cs="宋体"/>
                <w:i w:val="0"/>
                <w:iCs w:val="0"/>
                <w:color w:val="auto"/>
                <w:sz w:val="24"/>
                <w:szCs w:val="24"/>
                <w:u w:val="none"/>
                <w:lang w:val="en-US" w:eastAsia="zh-CN"/>
              </w:rPr>
              <w:t>2.5</w:t>
            </w:r>
            <w:r>
              <w:rPr>
                <w:rFonts w:hint="eastAsia" w:ascii="宋体" w:hAnsi="宋体" w:eastAsia="宋体" w:cs="宋体"/>
                <w:i w:val="0"/>
                <w:iCs w:val="0"/>
                <w:color w:val="auto"/>
                <w:sz w:val="24"/>
                <w:szCs w:val="24"/>
                <w:u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（5）未提供方案者不得分。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10</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验收方案</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 xml:space="preserve">方案必须包括但不限于：验收标准、验收方式 、验收人员等内容。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1）方案详尽无缺漏、合理且有针对性、可行性强；得</w:t>
            </w:r>
            <w:r>
              <w:rPr>
                <w:rFonts w:hint="eastAsia" w:ascii="宋体" w:hAnsi="宋体" w:cs="宋体"/>
                <w:i w:val="0"/>
                <w:iCs w:val="0"/>
                <w:color w:val="auto"/>
                <w:sz w:val="24"/>
                <w:szCs w:val="24"/>
                <w:u w:val="none"/>
                <w:lang w:val="en-US" w:eastAsia="zh-CN"/>
              </w:rPr>
              <w:t>5</w:t>
            </w:r>
            <w:r>
              <w:rPr>
                <w:rFonts w:hint="eastAsia" w:ascii="宋体" w:hAnsi="宋体" w:eastAsia="宋体" w:cs="宋体"/>
                <w:i w:val="0"/>
                <w:iCs w:val="0"/>
                <w:color w:val="auto"/>
                <w:sz w:val="24"/>
                <w:szCs w:val="24"/>
                <w:u w:val="none"/>
              </w:rPr>
              <w:t xml:space="preserve">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2）方案有一项缺漏或各项较简略、合理性及针对性不足的；得</w:t>
            </w:r>
            <w:r>
              <w:rPr>
                <w:rFonts w:hint="eastAsia" w:ascii="宋体" w:hAnsi="宋体" w:cs="宋体"/>
                <w:i w:val="0"/>
                <w:iCs w:val="0"/>
                <w:color w:val="auto"/>
                <w:sz w:val="24"/>
                <w:szCs w:val="24"/>
                <w:u w:val="none"/>
                <w:lang w:val="en-US" w:eastAsia="zh-CN"/>
              </w:rPr>
              <w:t>3</w:t>
            </w:r>
            <w:r>
              <w:rPr>
                <w:rFonts w:hint="eastAsia" w:ascii="宋体" w:hAnsi="宋体" w:eastAsia="宋体" w:cs="宋体"/>
                <w:i w:val="0"/>
                <w:iCs w:val="0"/>
                <w:color w:val="auto"/>
                <w:sz w:val="24"/>
                <w:szCs w:val="24"/>
                <w:u w:val="none"/>
              </w:rPr>
              <w:t xml:space="preserve">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 xml:space="preserve">3）方案缺漏较多或与招标需求不相符、可行性差；得1分；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4）不提供不得分。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质量保证方案</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质量保证方案：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根据供应商提供的质量保证方案（包括但不限于：质保期的承诺、质保期满后的相关服务等内容）</w:t>
            </w:r>
            <w:r>
              <w:rPr>
                <w:rFonts w:hint="eastAsia" w:ascii="宋体" w:hAnsi="宋体" w:eastAsia="宋体" w:cs="宋体"/>
                <w:i w:val="0"/>
                <w:iCs w:val="0"/>
                <w:color w:val="auto"/>
                <w:sz w:val="24"/>
                <w:szCs w:val="24"/>
                <w:u w:val="none"/>
              </w:rPr>
              <w:t>进行综合比较打分，本项满分</w:t>
            </w: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（1）</w:t>
            </w:r>
            <w:r>
              <w:rPr>
                <w:rFonts w:hint="eastAsia" w:ascii="宋体" w:hAnsi="宋体" w:eastAsia="宋体" w:cs="宋体"/>
                <w:i w:val="0"/>
                <w:iCs w:val="0"/>
                <w:color w:val="auto"/>
                <w:sz w:val="24"/>
                <w:szCs w:val="24"/>
                <w:u w:val="none"/>
                <w:lang w:val="en-US" w:eastAsia="zh-CN"/>
              </w:rPr>
              <w:t>具备完善的质量保证方案，内容细致全面，</w:t>
            </w:r>
            <w:r>
              <w:rPr>
                <w:rFonts w:hint="eastAsia" w:ascii="宋体" w:hAnsi="宋体" w:eastAsia="宋体" w:cs="宋体"/>
                <w:i w:val="0"/>
                <w:iCs w:val="0"/>
                <w:color w:val="auto"/>
                <w:sz w:val="24"/>
                <w:szCs w:val="24"/>
                <w:u w:val="none"/>
              </w:rPr>
              <w:t>对本项目针对性强</w:t>
            </w:r>
            <w:r>
              <w:rPr>
                <w:rFonts w:hint="eastAsia" w:ascii="宋体" w:hAnsi="宋体" w:cs="宋体"/>
                <w:i w:val="0"/>
                <w:iCs w:val="0"/>
                <w:color w:val="auto"/>
                <w:sz w:val="24"/>
                <w:szCs w:val="24"/>
                <w:u w:val="none"/>
                <w:lang w:eastAsia="zh-CN"/>
              </w:rPr>
              <w:t>，</w:t>
            </w:r>
            <w:r>
              <w:rPr>
                <w:rFonts w:hint="eastAsia" w:ascii="宋体" w:hAnsi="宋体" w:eastAsia="宋体" w:cs="宋体"/>
                <w:i w:val="0"/>
                <w:iCs w:val="0"/>
                <w:color w:val="auto"/>
                <w:sz w:val="24"/>
                <w:szCs w:val="24"/>
                <w:u w:val="none"/>
                <w:lang w:val="en-US" w:eastAsia="zh-CN"/>
              </w:rPr>
              <w:t>优于采购人需求的，得</w:t>
            </w: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lang w:val="en-US" w:eastAsia="zh-CN"/>
              </w:rPr>
              <w:t xml:space="preserve">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（2）</w:t>
            </w:r>
            <w:r>
              <w:rPr>
                <w:rFonts w:hint="eastAsia" w:ascii="宋体" w:hAnsi="宋体" w:eastAsia="宋体" w:cs="宋体"/>
                <w:i w:val="0"/>
                <w:iCs w:val="0"/>
                <w:color w:val="auto"/>
                <w:sz w:val="24"/>
                <w:szCs w:val="24"/>
                <w:u w:val="none"/>
                <w:lang w:val="en-US" w:eastAsia="zh-CN"/>
              </w:rPr>
              <w:t>质量保证方案</w:t>
            </w:r>
            <w:r>
              <w:rPr>
                <w:rFonts w:hint="eastAsia" w:ascii="宋体" w:hAnsi="宋体" w:cs="宋体"/>
                <w:i w:val="0"/>
                <w:iCs w:val="0"/>
                <w:color w:val="auto"/>
                <w:sz w:val="24"/>
                <w:szCs w:val="24"/>
                <w:u w:val="none"/>
                <w:lang w:val="en-US" w:eastAsia="zh-CN"/>
              </w:rPr>
              <w:t>较</w:t>
            </w:r>
            <w:r>
              <w:rPr>
                <w:rFonts w:hint="eastAsia" w:ascii="宋体" w:hAnsi="宋体" w:eastAsia="宋体" w:cs="宋体"/>
                <w:i w:val="0"/>
                <w:iCs w:val="0"/>
                <w:color w:val="auto"/>
                <w:sz w:val="24"/>
                <w:szCs w:val="24"/>
                <w:u w:val="none"/>
                <w:lang w:val="en-US" w:eastAsia="zh-CN"/>
              </w:rPr>
              <w:t>完善的，内容</w:t>
            </w:r>
            <w:r>
              <w:rPr>
                <w:rFonts w:hint="eastAsia" w:ascii="宋体" w:hAnsi="宋体" w:cs="宋体"/>
                <w:i w:val="0"/>
                <w:iCs w:val="0"/>
                <w:color w:val="auto"/>
                <w:sz w:val="24"/>
                <w:szCs w:val="24"/>
                <w:u w:val="none"/>
                <w:lang w:val="en-US" w:eastAsia="zh-CN"/>
              </w:rPr>
              <w:t>较</w:t>
            </w:r>
            <w:r>
              <w:rPr>
                <w:rFonts w:hint="eastAsia" w:ascii="宋体" w:hAnsi="宋体" w:eastAsia="宋体" w:cs="宋体"/>
                <w:i w:val="0"/>
                <w:iCs w:val="0"/>
                <w:color w:val="auto"/>
                <w:sz w:val="24"/>
                <w:szCs w:val="24"/>
                <w:u w:val="none"/>
                <w:lang w:val="en-US" w:eastAsia="zh-CN"/>
              </w:rPr>
              <w:t>全面，</w:t>
            </w:r>
            <w:r>
              <w:rPr>
                <w:rFonts w:hint="eastAsia" w:ascii="宋体" w:hAnsi="宋体" w:eastAsia="宋体" w:cs="宋体"/>
                <w:i w:val="0"/>
                <w:iCs w:val="0"/>
                <w:color w:val="auto"/>
                <w:sz w:val="24"/>
                <w:szCs w:val="24"/>
                <w:u w:val="none"/>
              </w:rPr>
              <w:t>对本项目针对性</w:t>
            </w:r>
            <w:r>
              <w:rPr>
                <w:rFonts w:hint="eastAsia" w:ascii="宋体" w:hAnsi="宋体" w:cs="宋体"/>
                <w:i w:val="0"/>
                <w:iCs w:val="0"/>
                <w:color w:val="auto"/>
                <w:sz w:val="24"/>
                <w:szCs w:val="24"/>
                <w:u w:val="none"/>
                <w:lang w:val="en-US" w:eastAsia="zh-CN"/>
              </w:rPr>
              <w:t>较</w:t>
            </w:r>
            <w:r>
              <w:rPr>
                <w:rFonts w:hint="eastAsia" w:ascii="宋体" w:hAnsi="宋体" w:eastAsia="宋体" w:cs="宋体"/>
                <w:i w:val="0"/>
                <w:iCs w:val="0"/>
                <w:color w:val="auto"/>
                <w:sz w:val="24"/>
                <w:szCs w:val="24"/>
                <w:u w:val="none"/>
              </w:rPr>
              <w:t>强</w:t>
            </w:r>
            <w:r>
              <w:rPr>
                <w:rFonts w:hint="eastAsia" w:ascii="宋体" w:hAnsi="宋体" w:cs="宋体"/>
                <w:i w:val="0"/>
                <w:iCs w:val="0"/>
                <w:color w:val="auto"/>
                <w:sz w:val="24"/>
                <w:szCs w:val="24"/>
                <w:u w:val="none"/>
                <w:lang w:eastAsia="zh-CN"/>
              </w:rPr>
              <w:t>，</w:t>
            </w:r>
            <w:r>
              <w:rPr>
                <w:rFonts w:hint="eastAsia" w:ascii="宋体" w:hAnsi="宋体" w:cs="宋体"/>
                <w:i w:val="0"/>
                <w:iCs w:val="0"/>
                <w:color w:val="auto"/>
                <w:sz w:val="24"/>
                <w:szCs w:val="24"/>
                <w:u w:val="none"/>
                <w:lang w:val="en-US" w:eastAsia="zh-CN"/>
              </w:rPr>
              <w:t>能够满足</w:t>
            </w:r>
            <w:r>
              <w:rPr>
                <w:rFonts w:hint="eastAsia" w:ascii="宋体" w:hAnsi="宋体" w:eastAsia="宋体" w:cs="宋体"/>
                <w:i w:val="0"/>
                <w:iCs w:val="0"/>
                <w:color w:val="auto"/>
                <w:sz w:val="24"/>
                <w:szCs w:val="24"/>
                <w:u w:val="none"/>
                <w:lang w:val="en-US" w:eastAsia="zh-CN"/>
              </w:rPr>
              <w:t>采购人需求的，得</w:t>
            </w:r>
            <w:r>
              <w:rPr>
                <w:rFonts w:hint="eastAsia" w:ascii="宋体" w:hAnsi="宋体" w:cs="宋体"/>
                <w:i w:val="0"/>
                <w:iCs w:val="0"/>
                <w:color w:val="auto"/>
                <w:sz w:val="24"/>
                <w:szCs w:val="24"/>
                <w:u w:val="none"/>
                <w:lang w:val="en-US" w:eastAsia="zh-CN"/>
              </w:rPr>
              <w:t>7.5</w:t>
            </w:r>
            <w:r>
              <w:rPr>
                <w:rFonts w:hint="eastAsia" w:ascii="宋体" w:hAnsi="宋体" w:eastAsia="宋体" w:cs="宋体"/>
                <w:i w:val="0"/>
                <w:iCs w:val="0"/>
                <w:color w:val="auto"/>
                <w:sz w:val="24"/>
                <w:szCs w:val="24"/>
                <w:u w:val="none"/>
                <w:lang w:val="en-US" w:eastAsia="zh-CN"/>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（3）</w:t>
            </w:r>
            <w:r>
              <w:rPr>
                <w:rFonts w:hint="eastAsia" w:ascii="宋体" w:hAnsi="宋体" w:eastAsia="宋体" w:cs="宋体"/>
                <w:i w:val="0"/>
                <w:iCs w:val="0"/>
                <w:color w:val="auto"/>
                <w:sz w:val="24"/>
                <w:szCs w:val="24"/>
                <w:u w:val="none"/>
                <w:lang w:val="en-US" w:eastAsia="zh-CN"/>
              </w:rPr>
              <w:t>具备一定的质量保证方案，内容一般，能</w:t>
            </w:r>
            <w:r>
              <w:rPr>
                <w:rFonts w:hint="eastAsia" w:ascii="宋体" w:hAnsi="宋体" w:cs="宋体"/>
                <w:i w:val="0"/>
                <w:iCs w:val="0"/>
                <w:color w:val="auto"/>
                <w:sz w:val="24"/>
                <w:szCs w:val="24"/>
                <w:u w:val="none"/>
                <w:lang w:val="en-US" w:eastAsia="zh-CN"/>
              </w:rPr>
              <w:t>基本</w:t>
            </w:r>
            <w:r>
              <w:rPr>
                <w:rFonts w:hint="eastAsia" w:ascii="宋体" w:hAnsi="宋体" w:eastAsia="宋体" w:cs="宋体"/>
                <w:i w:val="0"/>
                <w:iCs w:val="0"/>
                <w:color w:val="auto"/>
                <w:sz w:val="24"/>
                <w:szCs w:val="24"/>
                <w:u w:val="none"/>
                <w:lang w:val="en-US" w:eastAsia="zh-CN"/>
              </w:rPr>
              <w:t>满足采购人的需求的，得</w:t>
            </w:r>
            <w:r>
              <w:rPr>
                <w:rFonts w:hint="eastAsia" w:ascii="宋体" w:hAnsi="宋体" w:cs="宋体"/>
                <w:i w:val="0"/>
                <w:iCs w:val="0"/>
                <w:color w:val="auto"/>
                <w:sz w:val="24"/>
                <w:szCs w:val="24"/>
                <w:u w:val="none"/>
                <w:lang w:val="en-US" w:eastAsia="zh-CN"/>
              </w:rPr>
              <w:t>5</w:t>
            </w:r>
            <w:r>
              <w:rPr>
                <w:rFonts w:hint="eastAsia" w:ascii="宋体" w:hAnsi="宋体" w:eastAsia="宋体" w:cs="宋体"/>
                <w:i w:val="0"/>
                <w:iCs w:val="0"/>
                <w:color w:val="auto"/>
                <w:sz w:val="24"/>
                <w:szCs w:val="24"/>
                <w:u w:val="none"/>
                <w:lang w:val="en-US" w:eastAsia="zh-CN"/>
              </w:rPr>
              <w:t xml:space="preserve">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（4）</w:t>
            </w:r>
            <w:r>
              <w:rPr>
                <w:rFonts w:hint="eastAsia" w:ascii="宋体" w:hAnsi="宋体" w:eastAsia="宋体" w:cs="宋体"/>
                <w:i w:val="0"/>
                <w:iCs w:val="0"/>
                <w:color w:val="auto"/>
                <w:sz w:val="24"/>
                <w:szCs w:val="24"/>
                <w:u w:val="none"/>
                <w:lang w:val="en-US" w:eastAsia="zh-CN"/>
              </w:rPr>
              <w:t>质量保证方案不完善，只能部分满足采购人需求的，得</w:t>
            </w:r>
            <w:r>
              <w:rPr>
                <w:rFonts w:hint="eastAsia" w:ascii="宋体" w:hAnsi="宋体" w:cs="宋体"/>
                <w:i w:val="0"/>
                <w:iCs w:val="0"/>
                <w:color w:val="auto"/>
                <w:sz w:val="24"/>
                <w:szCs w:val="24"/>
                <w:u w:val="none"/>
                <w:lang w:val="en-US" w:eastAsia="zh-CN"/>
              </w:rPr>
              <w:t>2.5</w:t>
            </w:r>
            <w:r>
              <w:rPr>
                <w:rFonts w:hint="eastAsia" w:ascii="宋体" w:hAnsi="宋体" w:eastAsia="宋体" w:cs="宋体"/>
                <w:i w:val="0"/>
                <w:iCs w:val="0"/>
                <w:color w:val="auto"/>
                <w:sz w:val="24"/>
                <w:szCs w:val="24"/>
                <w:u w:val="none"/>
                <w:lang w:val="en-US" w:eastAsia="zh-CN"/>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（5）</w:t>
            </w:r>
            <w:r>
              <w:rPr>
                <w:rFonts w:hint="eastAsia" w:ascii="宋体" w:hAnsi="宋体" w:eastAsia="宋体" w:cs="宋体"/>
                <w:i w:val="0"/>
                <w:iCs w:val="0"/>
                <w:color w:val="auto"/>
                <w:sz w:val="24"/>
                <w:szCs w:val="24"/>
                <w:u w:val="none"/>
                <w:lang w:val="en-US" w:eastAsia="zh-CN"/>
              </w:rPr>
              <w:t>不提供质量保证方案的得0分。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8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价格部分</w:t>
            </w:r>
            <w:r>
              <w:rPr>
                <w:rFonts w:hint="eastAsia" w:ascii="宋体" w:hAnsi="宋体" w:cs="宋体"/>
                <w:b/>
                <w:bCs/>
                <w:i w:val="0"/>
                <w:iCs w:val="0"/>
                <w:color w:val="auto"/>
                <w:kern w:val="0"/>
                <w:sz w:val="24"/>
                <w:szCs w:val="24"/>
                <w:u w:val="none"/>
                <w:lang w:val="en-US" w:eastAsia="zh-CN" w:bidi="ar"/>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报价</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综合评分法中的价格分统一采用低价优先法计算，即满足磋商文件要求且最后报价最低的供应商的价格为磋商基准价，其价格分为满分。其他供应商的价格分统一按照下列公式计算：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磋商报价得分=（磋商基准价/最后磋商报价）×30%×100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磋商小组认为供应商的最后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30</w:t>
            </w:r>
            <w:r>
              <w:rPr>
                <w:rFonts w:hint="eastAsia" w:ascii="宋体" w:hAnsi="宋体" w:eastAsia="宋体" w:cs="宋体"/>
                <w:i w:val="0"/>
                <w:iCs w:val="0"/>
                <w:color w:val="auto"/>
                <w:sz w:val="24"/>
                <w:szCs w:val="24"/>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sz w:val="24"/>
                <w:szCs w:val="24"/>
                <w:u w:val="none"/>
              </w:rPr>
              <w:t>分</w:t>
            </w:r>
          </w:p>
        </w:tc>
      </w:tr>
    </w:tbl>
    <w:p>
      <w:pPr>
        <w:jc w:val="center"/>
        <w:rPr>
          <w:rFonts w:hint="eastAsia"/>
          <w:b/>
          <w:bCs/>
          <w:color w:val="auto"/>
          <w:sz w:val="28"/>
          <w:szCs w:val="36"/>
          <w:highlight w:val="none"/>
        </w:rPr>
      </w:pPr>
      <w:r>
        <w:rPr>
          <w:rStyle w:val="36"/>
          <w:rFonts w:hint="eastAsia"/>
          <w:color w:val="auto"/>
          <w:highlight w:val="none"/>
        </w:rPr>
        <w:br w:type="page"/>
      </w:r>
      <w:r>
        <w:rPr>
          <w:rStyle w:val="36"/>
          <w:rFonts w:hint="eastAsia"/>
          <w:color w:val="auto"/>
          <w:highlight w:val="none"/>
          <w:lang w:val="en-US" w:eastAsia="zh-CN"/>
        </w:rPr>
        <w:t>B</w:t>
      </w:r>
      <w:r>
        <w:rPr>
          <w:rFonts w:hint="eastAsia"/>
          <w:b/>
          <w:bCs/>
          <w:color w:val="auto"/>
          <w:sz w:val="28"/>
          <w:szCs w:val="36"/>
          <w:highlight w:val="none"/>
          <w:lang w:val="en-US" w:eastAsia="zh-CN"/>
        </w:rPr>
        <w:t>包</w:t>
      </w:r>
      <w:r>
        <w:rPr>
          <w:rFonts w:hint="eastAsia"/>
          <w:b/>
          <w:bCs/>
          <w:color w:val="auto"/>
          <w:sz w:val="28"/>
          <w:szCs w:val="36"/>
          <w:highlight w:val="none"/>
        </w:rPr>
        <w:t>综合评分项</w:t>
      </w:r>
    </w:p>
    <w:p>
      <w:pPr>
        <w:shd w:val="clear" w:color="auto" w:fill="FFFFFF"/>
        <w:spacing w:line="360" w:lineRule="auto"/>
        <w:rPr>
          <w:rFonts w:hint="eastAsia" w:ascii="宋体" w:hAnsi="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保亭县响水镇金江居大社区综合服务中心文化配套采购项目</w:t>
      </w:r>
    </w:p>
    <w:p>
      <w:pPr>
        <w:shd w:val="clear" w:color="auto" w:fill="FFFFFF"/>
        <w:spacing w:line="360" w:lineRule="auto"/>
        <w:rPr>
          <w:rFonts w:hint="eastAsia"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HNJY2024【52】</w:t>
      </w:r>
    </w:p>
    <w:tbl>
      <w:tblPr>
        <w:tblStyle w:val="25"/>
        <w:tblW w:w="971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132"/>
        <w:gridCol w:w="6018"/>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评审因素</w:t>
            </w:r>
          </w:p>
        </w:tc>
        <w:tc>
          <w:tcPr>
            <w:tcW w:w="6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评审标准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7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商务部分</w:t>
            </w:r>
            <w:r>
              <w:rPr>
                <w:rFonts w:hint="eastAsia" w:ascii="宋体" w:hAnsi="宋体" w:cs="宋体"/>
                <w:b/>
                <w:bCs/>
                <w:i w:val="0"/>
                <w:iCs w:val="0"/>
                <w:color w:val="auto"/>
                <w:kern w:val="0"/>
                <w:sz w:val="24"/>
                <w:szCs w:val="24"/>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类似项业绩</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default" w:ascii="宋体" w:hAnsi="宋体" w:eastAsia="宋体" w:cs="宋体"/>
                <w:i w:val="0"/>
                <w:iCs w:val="0"/>
                <w:color w:val="auto"/>
                <w:sz w:val="24"/>
                <w:szCs w:val="24"/>
                <w:u w:val="none"/>
                <w:lang w:val="en-US"/>
              </w:rPr>
            </w:pPr>
            <w:r>
              <w:rPr>
                <w:rFonts w:hint="default" w:ascii="宋体" w:hAnsi="宋体" w:eastAsia="宋体" w:cs="宋体"/>
                <w:i w:val="0"/>
                <w:iCs w:val="0"/>
                <w:color w:val="auto"/>
                <w:sz w:val="24"/>
                <w:szCs w:val="24"/>
                <w:u w:val="none"/>
                <w:lang w:val="en-US"/>
              </w:rPr>
              <w:t>2021年</w:t>
            </w:r>
            <w:r>
              <w:rPr>
                <w:rFonts w:hint="eastAsia" w:ascii="宋体" w:hAnsi="宋体" w:cs="宋体"/>
                <w:i w:val="0"/>
                <w:iCs w:val="0"/>
                <w:color w:val="auto"/>
                <w:sz w:val="24"/>
                <w:szCs w:val="24"/>
                <w:u w:val="none"/>
                <w:lang w:val="en-US" w:eastAsia="zh-CN"/>
              </w:rPr>
              <w:t>6</w:t>
            </w:r>
            <w:r>
              <w:rPr>
                <w:rFonts w:hint="default" w:ascii="宋体" w:hAnsi="宋体" w:eastAsia="宋体" w:cs="宋体"/>
                <w:i w:val="0"/>
                <w:iCs w:val="0"/>
                <w:color w:val="auto"/>
                <w:sz w:val="24"/>
                <w:szCs w:val="24"/>
                <w:u w:val="none"/>
                <w:lang w:val="en-US"/>
              </w:rPr>
              <w:t xml:space="preserve">月1日以来，供应商每有1项装修装饰业绩的得4分（已完工或在建项目均可），满分8分。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b/>
                <w:bCs/>
                <w:i w:val="0"/>
                <w:iCs w:val="0"/>
                <w:color w:val="auto"/>
                <w:sz w:val="24"/>
                <w:szCs w:val="24"/>
                <w:u w:val="none"/>
                <w:lang w:val="en-US" w:eastAsia="zh-CN"/>
              </w:rPr>
              <w:t>证明材料</w:t>
            </w:r>
            <w:r>
              <w:rPr>
                <w:rFonts w:hint="default" w:ascii="宋体" w:hAnsi="宋体" w:eastAsia="宋体" w:cs="宋体"/>
                <w:b/>
                <w:bCs/>
                <w:i w:val="0"/>
                <w:iCs w:val="0"/>
                <w:color w:val="auto"/>
                <w:sz w:val="24"/>
                <w:szCs w:val="24"/>
                <w:u w:val="none"/>
                <w:lang w:val="en-US"/>
              </w:rPr>
              <w:t>：</w:t>
            </w:r>
            <w:r>
              <w:rPr>
                <w:rFonts w:hint="default" w:ascii="宋体" w:hAnsi="宋体" w:eastAsia="宋体" w:cs="宋体"/>
                <w:i w:val="0"/>
                <w:iCs w:val="0"/>
                <w:color w:val="auto"/>
                <w:sz w:val="24"/>
                <w:szCs w:val="24"/>
                <w:u w:val="none"/>
                <w:lang w:val="en-US"/>
              </w:rPr>
              <w:t>提供施工合同证明，日期以合同签订日期为准，在响应文件中提供加盖供应商公章的合同复印件。</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项目部人员配备</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项目部关键岗位人员配备最低标准为项目负责人1人、施工员1人、安全员1人。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在此基础上配备专职项目技术负责人，且其具有建筑工程类中级或以上职称得2分；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b/>
                <w:bCs/>
                <w:i w:val="0"/>
                <w:iCs w:val="0"/>
                <w:color w:val="auto"/>
                <w:sz w:val="24"/>
                <w:szCs w:val="24"/>
                <w:u w:val="none"/>
                <w:lang w:val="en-US" w:eastAsia="zh-CN"/>
              </w:rPr>
              <w:t>证明材料</w:t>
            </w:r>
            <w:r>
              <w:rPr>
                <w:rFonts w:hint="eastAsia" w:ascii="宋体" w:hAnsi="宋体" w:eastAsia="宋体" w:cs="宋体"/>
                <w:b/>
                <w:bCs/>
                <w:i w:val="0"/>
                <w:iCs w:val="0"/>
                <w:color w:val="auto"/>
                <w:sz w:val="24"/>
                <w:szCs w:val="24"/>
                <w:u w:val="none"/>
              </w:rPr>
              <w:t>：</w:t>
            </w:r>
            <w:r>
              <w:rPr>
                <w:rFonts w:hint="eastAsia" w:ascii="宋体" w:hAnsi="宋体" w:eastAsia="宋体" w:cs="宋体"/>
                <w:i w:val="0"/>
                <w:iCs w:val="0"/>
                <w:color w:val="auto"/>
                <w:sz w:val="24"/>
                <w:szCs w:val="24"/>
                <w:u w:val="none"/>
              </w:rPr>
              <w:t>项目技术负责人须提供职称证复印件加盖公章，并提供社保证明加盖公章。不提供者不得分。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7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技术部分</w:t>
            </w:r>
            <w:r>
              <w:rPr>
                <w:rFonts w:hint="eastAsia" w:ascii="宋体" w:hAnsi="宋体" w:cs="宋体"/>
                <w:b/>
                <w:bCs/>
                <w:i w:val="0"/>
                <w:iCs w:val="0"/>
                <w:color w:val="auto"/>
                <w:kern w:val="0"/>
                <w:sz w:val="24"/>
                <w:szCs w:val="24"/>
                <w:u w:val="none"/>
                <w:lang w:val="en-US" w:eastAsia="zh-CN" w:bidi="ar"/>
              </w:rPr>
              <w:t>（60分）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施工方案与技术措施</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ind w:left="0" w:right="0" w:rightChars="0"/>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根据供应商提供的施工方案与技术措施进行评分，本项满分10分。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1、</w:t>
            </w:r>
            <w:r>
              <w:rPr>
                <w:rFonts w:hint="eastAsia" w:ascii="宋体" w:hAnsi="宋体" w:eastAsia="宋体" w:cs="宋体"/>
                <w:i w:val="0"/>
                <w:iCs w:val="0"/>
                <w:color w:val="auto"/>
                <w:sz w:val="24"/>
                <w:szCs w:val="24"/>
                <w:u w:val="none"/>
              </w:rPr>
              <w:t>方案考虑全面，不漏项，专业性、针对性、系统性强，操作可行性强，完全满足采购需求得10分；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2、</w:t>
            </w:r>
            <w:r>
              <w:rPr>
                <w:rFonts w:hint="eastAsia" w:ascii="宋体" w:hAnsi="宋体" w:eastAsia="宋体" w:cs="宋体"/>
                <w:i w:val="0"/>
                <w:iCs w:val="0"/>
                <w:color w:val="auto"/>
                <w:sz w:val="24"/>
                <w:szCs w:val="24"/>
                <w:u w:val="none"/>
              </w:rPr>
              <w:t>方案考虑较为全面，基本不漏项，专业性、针对性、系统性较强，操作可行性较强，满足采购需求得7分；</w:t>
            </w:r>
          </w:p>
          <w:p>
            <w:pPr>
              <w:pStyle w:val="2"/>
              <w:keepNext w:val="0"/>
              <w:keepLines w:val="0"/>
              <w:numPr>
                <w:ilvl w:val="0"/>
                <w:numId w:val="0"/>
              </w:numPr>
              <w:suppressLineNumbers w:val="0"/>
              <w:spacing w:before="0" w:beforeAutospacing="0" w:afterAutospacing="0"/>
              <w:ind w:left="0" w:leftChars="0" w:right="0" w:rightChars="0" w:firstLine="0" w:firstLine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3、</w:t>
            </w:r>
            <w:r>
              <w:rPr>
                <w:rFonts w:hint="eastAsia" w:ascii="宋体" w:hAnsi="宋体" w:eastAsia="宋体" w:cs="宋体"/>
                <w:i w:val="0"/>
                <w:iCs w:val="0"/>
                <w:color w:val="auto"/>
                <w:sz w:val="24"/>
                <w:szCs w:val="24"/>
                <w:u w:val="none"/>
              </w:rPr>
              <w:t>方案考虑不够周全，基本不漏项，有一定的专业性、针对性、系统性，有一定的操作可行性，基本满足采购需求得4分；</w:t>
            </w:r>
          </w:p>
          <w:p>
            <w:pPr>
              <w:pStyle w:val="2"/>
              <w:keepNext w:val="0"/>
              <w:keepLines w:val="0"/>
              <w:numPr>
                <w:ilvl w:val="0"/>
                <w:numId w:val="0"/>
              </w:numPr>
              <w:suppressLineNumbers w:val="0"/>
              <w:spacing w:before="0" w:beforeAutospacing="0" w:afterAutospacing="0"/>
              <w:ind w:left="0" w:leftChars="0" w:right="0" w:rightChars="0" w:firstLine="0" w:firstLine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4、</w:t>
            </w:r>
            <w:r>
              <w:rPr>
                <w:rFonts w:hint="eastAsia" w:ascii="宋体" w:hAnsi="宋体" w:eastAsia="宋体" w:cs="宋体"/>
                <w:i w:val="0"/>
                <w:iCs w:val="0"/>
                <w:color w:val="auto"/>
                <w:sz w:val="24"/>
                <w:szCs w:val="24"/>
                <w:u w:val="none"/>
              </w:rPr>
              <w:t>方案混乱，无操作可行性，得1分，</w:t>
            </w:r>
          </w:p>
          <w:p>
            <w:pPr>
              <w:pStyle w:val="2"/>
              <w:keepNext w:val="0"/>
              <w:keepLines w:val="0"/>
              <w:numPr>
                <w:ilvl w:val="0"/>
                <w:numId w:val="0"/>
              </w:numPr>
              <w:suppressLineNumbers w:val="0"/>
              <w:spacing w:before="0" w:beforeAutospacing="0" w:afterAutospacing="0"/>
              <w:ind w:left="0" w:leftChars="0" w:right="0" w:rightChars="0" w:firstLine="0" w:firstLine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5、</w:t>
            </w:r>
            <w:r>
              <w:rPr>
                <w:rFonts w:hint="eastAsia" w:ascii="宋体" w:hAnsi="宋体" w:eastAsia="宋体" w:cs="宋体"/>
                <w:i w:val="0"/>
                <w:iCs w:val="0"/>
                <w:color w:val="auto"/>
                <w:sz w:val="24"/>
                <w:szCs w:val="24"/>
                <w:u w:val="none"/>
              </w:rPr>
              <w:t>不提供不得分。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质量管理体系与措施</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ind w:left="0" w:right="0" w:rightChars="0"/>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根据供应商提供的质量管理体系与措施进行评分，本项满分10分。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1、</w:t>
            </w:r>
            <w:r>
              <w:rPr>
                <w:rFonts w:hint="eastAsia" w:ascii="宋体" w:hAnsi="宋体" w:eastAsia="宋体" w:cs="宋体"/>
                <w:i w:val="0"/>
                <w:iCs w:val="0"/>
                <w:color w:val="auto"/>
                <w:sz w:val="24"/>
                <w:szCs w:val="24"/>
                <w:u w:val="none"/>
              </w:rPr>
              <w:t>方案考虑全面，不漏项，专业性、针对性、系统性强，操作可行性强，完全满足采购需求得10分；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2、</w:t>
            </w:r>
            <w:r>
              <w:rPr>
                <w:rFonts w:hint="eastAsia" w:ascii="宋体" w:hAnsi="宋体" w:eastAsia="宋体" w:cs="宋体"/>
                <w:i w:val="0"/>
                <w:iCs w:val="0"/>
                <w:color w:val="auto"/>
                <w:sz w:val="24"/>
                <w:szCs w:val="24"/>
                <w:u w:val="none"/>
              </w:rPr>
              <w:t>方案考虑较为全面，基本不漏项，专业性、针对性、系统性较强，操作可行性较强，满足采购需求得7分；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3、</w:t>
            </w:r>
            <w:r>
              <w:rPr>
                <w:rFonts w:hint="eastAsia" w:ascii="宋体" w:hAnsi="宋体" w:eastAsia="宋体" w:cs="宋体"/>
                <w:i w:val="0"/>
                <w:iCs w:val="0"/>
                <w:color w:val="auto"/>
                <w:sz w:val="24"/>
                <w:szCs w:val="24"/>
                <w:u w:val="none"/>
              </w:rPr>
              <w:t>方案考虑不够周全，基本不漏项，有一定的专业性、针对性、系统性，有一定的操作可行性，基本满足采购需求得4分；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4、</w:t>
            </w:r>
            <w:r>
              <w:rPr>
                <w:rFonts w:hint="eastAsia" w:ascii="宋体" w:hAnsi="宋体" w:eastAsia="宋体" w:cs="宋体"/>
                <w:i w:val="0"/>
                <w:iCs w:val="0"/>
                <w:color w:val="auto"/>
                <w:sz w:val="24"/>
                <w:szCs w:val="24"/>
                <w:u w:val="none"/>
              </w:rPr>
              <w:t>方案混乱，无操作可行性，得1分，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5、</w:t>
            </w:r>
            <w:r>
              <w:rPr>
                <w:rFonts w:hint="eastAsia" w:ascii="宋体" w:hAnsi="宋体" w:eastAsia="宋体" w:cs="宋体"/>
                <w:i w:val="0"/>
                <w:iCs w:val="0"/>
                <w:color w:val="auto"/>
                <w:sz w:val="24"/>
                <w:szCs w:val="24"/>
                <w:u w:val="none"/>
              </w:rPr>
              <w:t>不提供不得分。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安全管理体系与措施</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ind w:left="0" w:right="0" w:rightChars="0"/>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根据供应商提供的安全管理体系与措施进行评分，本项满分10分。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1、</w:t>
            </w:r>
            <w:r>
              <w:rPr>
                <w:rFonts w:hint="eastAsia" w:ascii="宋体" w:hAnsi="宋体" w:eastAsia="宋体" w:cs="宋体"/>
                <w:i w:val="0"/>
                <w:iCs w:val="0"/>
                <w:color w:val="auto"/>
                <w:sz w:val="24"/>
                <w:szCs w:val="24"/>
                <w:u w:val="none"/>
              </w:rPr>
              <w:t>方案考虑全面，不漏项，专业性、针对性、系统性强，操作可行性强，完全满足采购需求得10分；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2、</w:t>
            </w:r>
            <w:r>
              <w:rPr>
                <w:rFonts w:hint="eastAsia" w:ascii="宋体" w:hAnsi="宋体" w:eastAsia="宋体" w:cs="宋体"/>
                <w:i w:val="0"/>
                <w:iCs w:val="0"/>
                <w:color w:val="auto"/>
                <w:sz w:val="24"/>
                <w:szCs w:val="24"/>
                <w:u w:val="none"/>
              </w:rPr>
              <w:t>方案考虑较为全面，基本不漏项，专业性、针对性、系统性较强，操作可行性较强，满足采购需求得7分；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3、</w:t>
            </w:r>
            <w:r>
              <w:rPr>
                <w:rFonts w:hint="eastAsia" w:ascii="宋体" w:hAnsi="宋体" w:eastAsia="宋体" w:cs="宋体"/>
                <w:i w:val="0"/>
                <w:iCs w:val="0"/>
                <w:color w:val="auto"/>
                <w:sz w:val="24"/>
                <w:szCs w:val="24"/>
                <w:u w:val="none"/>
              </w:rPr>
              <w:t>方案考虑不够周全，基本不漏项，有一定的专业性、针对性、系统性，有一定的操作可行性，基本满足采购需求得4分；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4、</w:t>
            </w:r>
            <w:r>
              <w:rPr>
                <w:rFonts w:hint="eastAsia" w:ascii="宋体" w:hAnsi="宋体" w:eastAsia="宋体" w:cs="宋体"/>
                <w:i w:val="0"/>
                <w:iCs w:val="0"/>
                <w:color w:val="auto"/>
                <w:sz w:val="24"/>
                <w:szCs w:val="24"/>
                <w:u w:val="none"/>
              </w:rPr>
              <w:t>方案混乱，无操作可行性，得1分，</w:t>
            </w:r>
          </w:p>
          <w:p>
            <w:pPr>
              <w:pStyle w:val="2"/>
              <w:keepNext w:val="0"/>
              <w:keepLines w:val="0"/>
              <w:numPr>
                <w:ilvl w:val="0"/>
                <w:numId w:val="0"/>
              </w:numPr>
              <w:suppressLineNumbers w:val="0"/>
              <w:spacing w:before="0" w:beforeAutospacing="0" w:afterAutospacing="0"/>
              <w:ind w:left="0" w:leftChars="0" w:right="0" w:rightChars="0"/>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5、</w:t>
            </w:r>
            <w:r>
              <w:rPr>
                <w:rFonts w:hint="eastAsia" w:ascii="宋体" w:hAnsi="宋体" w:eastAsia="宋体" w:cs="宋体"/>
                <w:i w:val="0"/>
                <w:iCs w:val="0"/>
                <w:color w:val="auto"/>
                <w:sz w:val="24"/>
                <w:szCs w:val="24"/>
                <w:u w:val="none"/>
              </w:rPr>
              <w:t>不提供不得分。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工程进度计划与措施</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ind w:left="0" w:right="0" w:rightChars="0"/>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根据供应商提供的工程进度计划与措施进行评分，本项满分10分。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1、</w:t>
            </w:r>
            <w:r>
              <w:rPr>
                <w:rFonts w:hint="eastAsia" w:ascii="宋体" w:hAnsi="宋体" w:eastAsia="宋体" w:cs="宋体"/>
                <w:i w:val="0"/>
                <w:iCs w:val="0"/>
                <w:color w:val="auto"/>
                <w:sz w:val="24"/>
                <w:szCs w:val="24"/>
                <w:u w:val="none"/>
              </w:rPr>
              <w:t>方案考虑全面，不漏项，专业性、针对性、系统性强，操作可行性强，完全满足采购需求得10分；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2、</w:t>
            </w:r>
            <w:r>
              <w:rPr>
                <w:rFonts w:hint="eastAsia" w:ascii="宋体" w:hAnsi="宋体" w:eastAsia="宋体" w:cs="宋体"/>
                <w:i w:val="0"/>
                <w:iCs w:val="0"/>
                <w:color w:val="auto"/>
                <w:sz w:val="24"/>
                <w:szCs w:val="24"/>
                <w:u w:val="none"/>
              </w:rPr>
              <w:t>方案考虑较为全面，基本不漏项，专业性、针对性、系统性较强，操作可行性较强，满足采购需求得7分；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3、</w:t>
            </w:r>
            <w:r>
              <w:rPr>
                <w:rFonts w:hint="eastAsia" w:ascii="宋体" w:hAnsi="宋体" w:eastAsia="宋体" w:cs="宋体"/>
                <w:i w:val="0"/>
                <w:iCs w:val="0"/>
                <w:color w:val="auto"/>
                <w:sz w:val="24"/>
                <w:szCs w:val="24"/>
                <w:u w:val="none"/>
              </w:rPr>
              <w:t>方案考虑不够周全，基本不漏项，有一定的专业性、针对性、系统性，有一定的操作可行性，基本满足采购需求得4分；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4、</w:t>
            </w:r>
            <w:r>
              <w:rPr>
                <w:rFonts w:hint="eastAsia" w:ascii="宋体" w:hAnsi="宋体" w:eastAsia="宋体" w:cs="宋体"/>
                <w:i w:val="0"/>
                <w:iCs w:val="0"/>
                <w:color w:val="auto"/>
                <w:sz w:val="24"/>
                <w:szCs w:val="24"/>
                <w:u w:val="none"/>
              </w:rPr>
              <w:t>方案混乱，无操作可行性，得1分，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5、</w:t>
            </w:r>
            <w:r>
              <w:rPr>
                <w:rFonts w:hint="eastAsia" w:ascii="宋体" w:hAnsi="宋体" w:eastAsia="宋体" w:cs="宋体"/>
                <w:i w:val="0"/>
                <w:iCs w:val="0"/>
                <w:color w:val="auto"/>
                <w:sz w:val="24"/>
                <w:szCs w:val="24"/>
                <w:u w:val="none"/>
              </w:rPr>
              <w:t>不提供不得分。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环境保护管理体系与措施</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ind w:left="0" w:right="0" w:rightChars="0"/>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根据供应商提供的环境保护管理体系与措施进行评分，本项满分10分。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1、</w:t>
            </w:r>
            <w:r>
              <w:rPr>
                <w:rFonts w:hint="eastAsia" w:ascii="宋体" w:hAnsi="宋体" w:eastAsia="宋体" w:cs="宋体"/>
                <w:i w:val="0"/>
                <w:iCs w:val="0"/>
                <w:color w:val="auto"/>
                <w:sz w:val="24"/>
                <w:szCs w:val="24"/>
                <w:u w:val="none"/>
              </w:rPr>
              <w:t>方案考虑全面，不漏项，专业性、针对性、系统性强，操作可行性强，完全满足采购需求得10分；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2、</w:t>
            </w:r>
            <w:r>
              <w:rPr>
                <w:rFonts w:hint="eastAsia" w:ascii="宋体" w:hAnsi="宋体" w:eastAsia="宋体" w:cs="宋体"/>
                <w:i w:val="0"/>
                <w:iCs w:val="0"/>
                <w:color w:val="auto"/>
                <w:sz w:val="24"/>
                <w:szCs w:val="24"/>
                <w:u w:val="none"/>
              </w:rPr>
              <w:t>方案考虑较为全面，基本不漏项，专业性、针对性、系统性较强，操作可行性较强，满足采购需求得7分；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3、</w:t>
            </w:r>
            <w:r>
              <w:rPr>
                <w:rFonts w:hint="eastAsia" w:ascii="宋体" w:hAnsi="宋体" w:eastAsia="宋体" w:cs="宋体"/>
                <w:i w:val="0"/>
                <w:iCs w:val="0"/>
                <w:color w:val="auto"/>
                <w:sz w:val="24"/>
                <w:szCs w:val="24"/>
                <w:u w:val="none"/>
              </w:rPr>
              <w:t>方案考虑不够周全，基本不漏项，有一定的专业性、针对性、系统性，有一定的操作可行性，基本满足采购需求得4分；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4、</w:t>
            </w:r>
            <w:r>
              <w:rPr>
                <w:rFonts w:hint="eastAsia" w:ascii="宋体" w:hAnsi="宋体" w:eastAsia="宋体" w:cs="宋体"/>
                <w:i w:val="0"/>
                <w:iCs w:val="0"/>
                <w:color w:val="auto"/>
                <w:sz w:val="24"/>
                <w:szCs w:val="24"/>
                <w:u w:val="none"/>
              </w:rPr>
              <w:t>方案混乱，无操作可行性，得1分，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5、</w:t>
            </w:r>
            <w:r>
              <w:rPr>
                <w:rFonts w:hint="eastAsia" w:ascii="宋体" w:hAnsi="宋体" w:eastAsia="宋体" w:cs="宋体"/>
                <w:i w:val="0"/>
                <w:iCs w:val="0"/>
                <w:color w:val="auto"/>
                <w:sz w:val="24"/>
                <w:szCs w:val="24"/>
                <w:u w:val="none"/>
              </w:rPr>
              <w:t>不提供不得分。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安全文明施工标准化管理体系与措施</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numPr>
                <w:ilvl w:val="0"/>
                <w:numId w:val="0"/>
              </w:numPr>
              <w:suppressLineNumbers w:val="0"/>
              <w:spacing w:before="0" w:beforeAutospacing="0" w:afterAutospacing="0"/>
              <w:ind w:left="0" w:right="0" w:rightChars="0"/>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根据供应商提供的安全文明施工标准化管理体系与措施进行评分，本项满分10分。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1、</w:t>
            </w:r>
            <w:r>
              <w:rPr>
                <w:rFonts w:hint="eastAsia" w:ascii="宋体" w:hAnsi="宋体" w:eastAsia="宋体" w:cs="宋体"/>
                <w:i w:val="0"/>
                <w:iCs w:val="0"/>
                <w:color w:val="auto"/>
                <w:sz w:val="24"/>
                <w:szCs w:val="24"/>
                <w:u w:val="none"/>
              </w:rPr>
              <w:t>方案考虑全面，不漏项，专业性、针对性、系统性强，操作可行性强，完全满足采购需求得10分；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2、</w:t>
            </w:r>
            <w:r>
              <w:rPr>
                <w:rFonts w:hint="eastAsia" w:ascii="宋体" w:hAnsi="宋体" w:eastAsia="宋体" w:cs="宋体"/>
                <w:i w:val="0"/>
                <w:iCs w:val="0"/>
                <w:color w:val="auto"/>
                <w:sz w:val="24"/>
                <w:szCs w:val="24"/>
                <w:u w:val="none"/>
              </w:rPr>
              <w:t>方案考虑较为全面，基本不漏项，专业性、针对性、系统性较强，操作可行性较强，满足采购需求得7分；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3、</w:t>
            </w:r>
            <w:r>
              <w:rPr>
                <w:rFonts w:hint="eastAsia" w:ascii="宋体" w:hAnsi="宋体" w:eastAsia="宋体" w:cs="宋体"/>
                <w:i w:val="0"/>
                <w:iCs w:val="0"/>
                <w:color w:val="auto"/>
                <w:sz w:val="24"/>
                <w:szCs w:val="24"/>
                <w:u w:val="none"/>
              </w:rPr>
              <w:t>方案考虑不够周全，基本不漏项，有一定的专业性、针对性、系统性，有一定的操作可行性，基本满足采购需求得4分；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4、</w:t>
            </w:r>
            <w:r>
              <w:rPr>
                <w:rFonts w:hint="eastAsia" w:ascii="宋体" w:hAnsi="宋体" w:eastAsia="宋体" w:cs="宋体"/>
                <w:i w:val="0"/>
                <w:iCs w:val="0"/>
                <w:color w:val="auto"/>
                <w:sz w:val="24"/>
                <w:szCs w:val="24"/>
                <w:u w:val="none"/>
              </w:rPr>
              <w:t>方案混乱，无操作可行性，得1分，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lang w:val="en-US" w:eastAsia="zh-CN" w:bidi="ar-SA"/>
              </w:rPr>
              <w:t>5、</w:t>
            </w:r>
            <w:r>
              <w:rPr>
                <w:rFonts w:hint="eastAsia" w:ascii="宋体" w:hAnsi="宋体" w:eastAsia="宋体" w:cs="宋体"/>
                <w:i w:val="0"/>
                <w:iCs w:val="0"/>
                <w:color w:val="auto"/>
                <w:sz w:val="24"/>
                <w:szCs w:val="24"/>
                <w:u w:val="none"/>
              </w:rPr>
              <w:t>不提供不得分。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7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价格部分</w:t>
            </w:r>
            <w:r>
              <w:rPr>
                <w:rFonts w:hint="eastAsia" w:ascii="宋体" w:hAnsi="宋体" w:cs="宋体"/>
                <w:b/>
                <w:bCs/>
                <w:i w:val="0"/>
                <w:iCs w:val="0"/>
                <w:color w:val="auto"/>
                <w:kern w:val="0"/>
                <w:sz w:val="24"/>
                <w:szCs w:val="24"/>
                <w:u w:val="none"/>
                <w:lang w:val="en-US" w:eastAsia="zh-CN" w:bidi="ar"/>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报价</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综合评分法中的价格分统一采用低价优先法计算，即满足磋商文件要求且最后报价最低的供应商的价格为磋商基准价，其价格分为满分。其他供应商的价格分统一按照下列公式计算：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磋商报价得分=（磋商基准价/最后磋商报价）×30%×100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磋商小组认为供应商的最后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8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r>
    </w:tbl>
    <w:p>
      <w:pPr>
        <w:rPr>
          <w:rStyle w:val="36"/>
          <w:rFonts w:hint="eastAsia"/>
          <w:b w:val="0"/>
          <w:bCs/>
          <w:color w:val="auto"/>
          <w:highlight w:val="none"/>
        </w:rPr>
      </w:pPr>
    </w:p>
    <w:p>
      <w:pPr>
        <w:pStyle w:val="6"/>
        <w:rPr>
          <w:rFonts w:hint="eastAsia"/>
          <w:color w:val="auto"/>
        </w:rPr>
      </w:pPr>
    </w:p>
    <w:p>
      <w:pPr>
        <w:jc w:val="center"/>
        <w:outlineLvl w:val="0"/>
        <w:rPr>
          <w:rStyle w:val="36"/>
          <w:color w:val="auto"/>
          <w:highlight w:val="none"/>
        </w:rPr>
      </w:pPr>
      <w:bookmarkStart w:id="660" w:name="_Toc7752"/>
      <w:r>
        <w:rPr>
          <w:rStyle w:val="36"/>
          <w:rFonts w:hint="eastAsia"/>
          <w:color w:val="auto"/>
          <w:highlight w:val="none"/>
        </w:rPr>
        <w:t>第六部分  响应文件格式</w:t>
      </w:r>
      <w:bookmarkEnd w:id="655"/>
      <w:bookmarkEnd w:id="656"/>
      <w:bookmarkEnd w:id="657"/>
      <w:bookmarkEnd w:id="658"/>
      <w:bookmarkEnd w:id="659"/>
      <w:bookmarkEnd w:id="660"/>
    </w:p>
    <w:p>
      <w:pPr>
        <w:pStyle w:val="4"/>
        <w:rPr>
          <w:rFonts w:cs="宋体"/>
          <w:color w:val="auto"/>
          <w:highlight w:val="none"/>
        </w:rPr>
      </w:pPr>
    </w:p>
    <w:p>
      <w:pPr>
        <w:pStyle w:val="38"/>
        <w:spacing w:line="400" w:lineRule="atLeast"/>
        <w:ind w:firstLine="235"/>
        <w:rPr>
          <w:rFonts w:ascii="宋体" w:hAnsi="宋体" w:cs="宋体"/>
          <w:b/>
          <w:bCs/>
          <w:color w:val="auto"/>
          <w:sz w:val="24"/>
          <w:szCs w:val="24"/>
          <w:highlight w:val="none"/>
        </w:rPr>
      </w:pPr>
      <w:r>
        <w:rPr>
          <w:rFonts w:hint="eastAsia" w:ascii="宋体" w:hAnsi="宋体" w:cs="宋体"/>
          <w:b/>
          <w:bCs/>
          <w:color w:val="auto"/>
          <w:sz w:val="24"/>
          <w:szCs w:val="24"/>
          <w:highlight w:val="none"/>
        </w:rPr>
        <w:t>请供应商按照以下要求的格式、内容、顺序制作响应文件，并请编制目录及页码，否则可能将影响对响应文件的评价。</w:t>
      </w:r>
    </w:p>
    <w:p>
      <w:pPr>
        <w:rPr>
          <w:rFonts w:ascii="宋体" w:hAnsi="宋体" w:cs="宋体"/>
          <w:color w:val="auto"/>
          <w:highlight w:val="none"/>
        </w:rPr>
      </w:pPr>
    </w:p>
    <w:p>
      <w:pPr>
        <w:bidi w:val="0"/>
        <w:jc w:val="center"/>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b/>
          <w:bCs/>
          <w:color w:val="auto"/>
          <w:sz w:val="32"/>
          <w:szCs w:val="32"/>
          <w:lang w:val="en-US" w:eastAsia="zh-CN"/>
        </w:rPr>
        <w:t>A包</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响应文件格式</w:t>
      </w:r>
    </w:p>
    <w:p>
      <w:pPr>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（正本/副本）</w:t>
      </w:r>
    </w:p>
    <w:p>
      <w:pPr>
        <w:rPr>
          <w:rFonts w:ascii="宋体" w:hAnsi="宋体" w:cs="宋体"/>
          <w:color w:val="auto"/>
          <w:highlight w:val="none"/>
        </w:rPr>
      </w:pPr>
    </w:p>
    <w:p>
      <w:pPr>
        <w:rPr>
          <w:rFonts w:ascii="宋体" w:hAnsi="宋体" w:cs="宋体"/>
          <w:color w:val="auto"/>
          <w:highlight w:val="none"/>
        </w:rPr>
      </w:pPr>
    </w:p>
    <w:p>
      <w:pPr>
        <w:jc w:val="center"/>
        <w:rPr>
          <w:rFonts w:hint="eastAsia" w:ascii="宋体" w:hAnsi="宋体" w:cs="宋体"/>
          <w:b/>
          <w:color w:val="auto"/>
          <w:sz w:val="30"/>
          <w:szCs w:val="30"/>
          <w:highlight w:val="none"/>
        </w:rPr>
      </w:pPr>
      <w:r>
        <w:rPr>
          <w:rFonts w:hint="eastAsia" w:ascii="宋体" w:hAnsi="宋体" w:cs="宋体"/>
          <w:b/>
          <w:bCs/>
          <w:color w:val="auto"/>
          <w:sz w:val="48"/>
          <w:szCs w:val="48"/>
          <w:highlight w:val="none"/>
          <w:lang w:eastAsia="zh-CN"/>
        </w:rPr>
        <w:t>保亭县响水镇金江居大社区综合服务中心文化配套采购项目</w:t>
      </w:r>
    </w:p>
    <w:p>
      <w:pPr>
        <w:jc w:val="center"/>
        <w:rPr>
          <w:rFonts w:hint="eastAsia" w:ascii="宋体" w:hAnsi="宋体" w:cs="宋体"/>
          <w:b/>
          <w:color w:val="auto"/>
          <w:sz w:val="30"/>
          <w:szCs w:val="30"/>
          <w:highlight w:val="none"/>
          <w:lang w:eastAsia="zh-CN"/>
        </w:rPr>
      </w:pPr>
      <w:r>
        <w:rPr>
          <w:rFonts w:hint="eastAsia" w:ascii="宋体" w:hAnsi="宋体" w:cs="宋体"/>
          <w:b/>
          <w:color w:val="auto"/>
          <w:sz w:val="30"/>
          <w:szCs w:val="30"/>
          <w:highlight w:val="none"/>
        </w:rPr>
        <w:t>编号：</w:t>
      </w:r>
      <w:r>
        <w:rPr>
          <w:rFonts w:hint="eastAsia" w:ascii="宋体" w:hAnsi="宋体" w:cs="宋体"/>
          <w:b/>
          <w:color w:val="auto"/>
          <w:sz w:val="30"/>
          <w:szCs w:val="30"/>
          <w:highlight w:val="none"/>
          <w:lang w:eastAsia="zh-CN"/>
        </w:rPr>
        <w:t>HNJY2024【52】</w:t>
      </w:r>
    </w:p>
    <w:p>
      <w:pPr>
        <w:pStyle w:val="4"/>
        <w:rPr>
          <w:rFonts w:hint="default" w:cs="宋体"/>
          <w:color w:val="auto"/>
          <w:highlight w:val="none"/>
          <w:lang w:val="en-US"/>
        </w:rPr>
      </w:pPr>
      <w:r>
        <w:rPr>
          <w:rFonts w:hint="eastAsia" w:ascii="宋体" w:cs="宋体"/>
          <w:b/>
          <w:color w:val="auto"/>
          <w:sz w:val="30"/>
          <w:szCs w:val="30"/>
          <w:highlight w:val="none"/>
          <w:lang w:val="en-US" w:eastAsia="zh-CN"/>
        </w:rPr>
        <w:t xml:space="preserve">                    包号：A包</w:t>
      </w:r>
    </w:p>
    <w:p>
      <w:pPr>
        <w:rPr>
          <w:rFonts w:ascii="宋体" w:hAnsi="宋体" w:cs="宋体"/>
          <w:color w:val="auto"/>
          <w:highlight w:val="none"/>
        </w:rPr>
      </w:pPr>
    </w:p>
    <w:p>
      <w:pPr>
        <w:rPr>
          <w:rFonts w:ascii="宋体" w:hAnsi="宋体" w:cs="宋体"/>
          <w:color w:val="auto"/>
          <w:highlight w:val="none"/>
        </w:rPr>
      </w:pPr>
    </w:p>
    <w:p>
      <w:pPr>
        <w:jc w:val="center"/>
        <w:rPr>
          <w:rFonts w:hint="eastAsia" w:ascii="宋体" w:hAnsi="宋体" w:cs="宋体"/>
          <w:b/>
          <w:color w:val="auto"/>
          <w:spacing w:val="120"/>
          <w:sz w:val="72"/>
          <w:szCs w:val="72"/>
          <w:highlight w:val="none"/>
        </w:rPr>
      </w:pPr>
    </w:p>
    <w:p>
      <w:pPr>
        <w:jc w:val="center"/>
        <w:rPr>
          <w:rFonts w:ascii="宋体" w:hAnsi="宋体" w:cs="宋体"/>
          <w:color w:val="auto"/>
          <w:sz w:val="72"/>
          <w:szCs w:val="72"/>
          <w:highlight w:val="none"/>
        </w:rPr>
      </w:pPr>
      <w:r>
        <w:rPr>
          <w:rFonts w:hint="eastAsia" w:ascii="宋体" w:hAnsi="宋体" w:cs="宋体"/>
          <w:b/>
          <w:color w:val="auto"/>
          <w:spacing w:val="120"/>
          <w:sz w:val="72"/>
          <w:szCs w:val="72"/>
          <w:highlight w:val="none"/>
        </w:rPr>
        <w:t>竞争性磋商</w:t>
      </w:r>
    </w:p>
    <w:p>
      <w:pPr>
        <w:rPr>
          <w:rFonts w:ascii="宋体" w:hAnsi="宋体" w:cs="宋体"/>
          <w:color w:val="auto"/>
          <w:highlight w:val="none"/>
        </w:rPr>
      </w:pPr>
    </w:p>
    <w:p>
      <w:pPr>
        <w:pStyle w:val="4"/>
        <w:rPr>
          <w:rFonts w:cs="宋体"/>
          <w:color w:val="auto"/>
          <w:highlight w:val="none"/>
        </w:rPr>
      </w:pPr>
    </w:p>
    <w:p>
      <w:pPr>
        <w:jc w:val="center"/>
        <w:rPr>
          <w:rFonts w:ascii="宋体" w:hAnsi="宋体" w:cs="宋体"/>
          <w:b/>
          <w:color w:val="auto"/>
          <w:sz w:val="116"/>
          <w:szCs w:val="116"/>
          <w:highlight w:val="none"/>
        </w:rPr>
      </w:pPr>
      <w:r>
        <w:rPr>
          <w:rFonts w:hint="eastAsia" w:ascii="宋体" w:hAnsi="宋体" w:cs="宋体"/>
          <w:b/>
          <w:color w:val="auto"/>
          <w:spacing w:val="120"/>
          <w:sz w:val="116"/>
          <w:szCs w:val="116"/>
          <w:highlight w:val="none"/>
        </w:rPr>
        <w:t>响应文</w:t>
      </w:r>
      <w:r>
        <w:rPr>
          <w:rFonts w:hint="eastAsia" w:ascii="宋体" w:hAnsi="宋体" w:cs="宋体"/>
          <w:b/>
          <w:color w:val="auto"/>
          <w:sz w:val="116"/>
          <w:szCs w:val="116"/>
          <w:highlight w:val="none"/>
        </w:rPr>
        <w:t>件</w:t>
      </w:r>
    </w:p>
    <w:p>
      <w:pPr>
        <w:rPr>
          <w:rFonts w:ascii="宋体" w:hAnsi="宋体" w:cs="宋体"/>
          <w:b/>
          <w:color w:val="auto"/>
          <w:sz w:val="28"/>
          <w:szCs w:val="28"/>
          <w:highlight w:val="none"/>
        </w:rPr>
      </w:pP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p>
    <w:p>
      <w:pPr>
        <w:ind w:firstLine="1684" w:firstLineChars="559"/>
        <w:jc w:val="left"/>
        <w:rPr>
          <w:rFonts w:ascii="宋体" w:hAnsi="宋体" w:cs="宋体"/>
          <w:b/>
          <w:color w:val="auto"/>
          <w:sz w:val="30"/>
          <w:szCs w:val="30"/>
          <w:highlight w:val="none"/>
        </w:rPr>
      </w:pPr>
      <w:r>
        <w:rPr>
          <w:rFonts w:hint="eastAsia" w:ascii="宋体" w:hAnsi="宋体" w:cs="宋体"/>
          <w:b/>
          <w:color w:val="auto"/>
          <w:sz w:val="30"/>
          <w:szCs w:val="30"/>
          <w:highlight w:val="none"/>
        </w:rPr>
        <w:t>供应商</w:t>
      </w:r>
      <w:r>
        <w:rPr>
          <w:rFonts w:hint="eastAsia" w:ascii="宋体" w:hAnsi="宋体" w:cs="宋体"/>
          <w:b/>
          <w:color w:val="auto"/>
          <w:sz w:val="30"/>
          <w:szCs w:val="30"/>
          <w:highlight w:val="none"/>
          <w:lang w:val="en-US" w:eastAsia="zh-CN"/>
        </w:rPr>
        <w:t>名称</w:t>
      </w:r>
      <w:r>
        <w:rPr>
          <w:rFonts w:hint="eastAsia" w:ascii="宋体" w:hAnsi="宋体" w:cs="宋体"/>
          <w:b/>
          <w:color w:val="auto"/>
          <w:sz w:val="30"/>
          <w:szCs w:val="30"/>
          <w:highlight w:val="none"/>
        </w:rPr>
        <w:t>：（盖章）</w:t>
      </w:r>
    </w:p>
    <w:p>
      <w:pPr>
        <w:ind w:firstLine="1687" w:firstLineChars="600"/>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法定代表人或被授权</w:t>
      </w:r>
      <w:r>
        <w:rPr>
          <w:rFonts w:hint="eastAsia" w:ascii="宋体" w:hAnsi="宋体" w:cs="宋体"/>
          <w:b/>
          <w:bCs/>
          <w:color w:val="auto"/>
          <w:sz w:val="28"/>
          <w:szCs w:val="28"/>
          <w:highlight w:val="none"/>
          <w:lang w:val="en-US" w:eastAsia="zh-CN"/>
        </w:rPr>
        <w:t>人</w:t>
      </w:r>
      <w:r>
        <w:rPr>
          <w:rFonts w:hint="eastAsia" w:ascii="宋体" w:hAnsi="宋体" w:cs="宋体"/>
          <w:b/>
          <w:bCs/>
          <w:color w:val="auto"/>
          <w:sz w:val="28"/>
          <w:szCs w:val="28"/>
          <w:highlight w:val="none"/>
        </w:rPr>
        <w:t>：（签字或签章）</w:t>
      </w:r>
    </w:p>
    <w:p>
      <w:pPr>
        <w:ind w:firstLine="1684" w:firstLineChars="559"/>
        <w:jc w:val="left"/>
        <w:rPr>
          <w:rFonts w:ascii="宋体" w:hAnsi="宋体" w:cs="宋体"/>
          <w:b/>
          <w:color w:val="auto"/>
          <w:sz w:val="30"/>
          <w:szCs w:val="30"/>
          <w:highlight w:val="none"/>
        </w:rPr>
      </w:pPr>
      <w:r>
        <w:rPr>
          <w:rFonts w:hint="eastAsia" w:ascii="宋体" w:hAnsi="宋体" w:cs="宋体"/>
          <w:b/>
          <w:color w:val="auto"/>
          <w:sz w:val="30"/>
          <w:szCs w:val="30"/>
          <w:highlight w:val="none"/>
        </w:rPr>
        <w:t>日  期：   年    月   日</w:t>
      </w:r>
    </w:p>
    <w:p>
      <w:pPr>
        <w:jc w:val="left"/>
        <w:rPr>
          <w:rFonts w:ascii="宋体" w:hAnsi="宋体" w:cs="宋体"/>
          <w:b/>
          <w:color w:val="auto"/>
          <w:highlight w:val="none"/>
        </w:rPr>
      </w:pPr>
      <w:r>
        <w:rPr>
          <w:rFonts w:hint="eastAsia" w:ascii="宋体" w:hAnsi="宋体" w:cs="宋体"/>
          <w:b/>
          <w:color w:val="auto"/>
          <w:highlight w:val="none"/>
        </w:rPr>
        <w:br w:type="page"/>
      </w:r>
    </w:p>
    <w:p>
      <w:pPr>
        <w:jc w:val="center"/>
        <w:rPr>
          <w:rFonts w:ascii="宋体" w:hAnsi="宋体" w:cs="宋体"/>
          <w:color w:val="auto"/>
          <w:sz w:val="44"/>
          <w:szCs w:val="44"/>
          <w:highlight w:val="none"/>
        </w:rPr>
      </w:pPr>
      <w:bookmarkStart w:id="661" w:name="_Toc6155"/>
      <w:bookmarkStart w:id="662" w:name="_Toc22936"/>
      <w:bookmarkStart w:id="663" w:name="_Toc30205"/>
      <w:bookmarkStart w:id="664" w:name="_Toc729"/>
      <w:bookmarkStart w:id="665" w:name="_Toc24224"/>
      <w:bookmarkStart w:id="666" w:name="_Toc317237630"/>
      <w:bookmarkStart w:id="667" w:name="_Toc8959"/>
      <w:bookmarkStart w:id="668" w:name="_Toc212102882"/>
      <w:r>
        <w:rPr>
          <w:rFonts w:hint="eastAsia" w:ascii="宋体" w:hAnsi="宋体" w:cs="宋体"/>
          <w:color w:val="auto"/>
          <w:sz w:val="44"/>
          <w:szCs w:val="44"/>
          <w:highlight w:val="none"/>
        </w:rPr>
        <w:t>目录</w:t>
      </w:r>
    </w:p>
    <w:p>
      <w:pPr>
        <w:pStyle w:val="6"/>
        <w:overflowPunct w:val="0"/>
        <w:spacing w:line="560" w:lineRule="exact"/>
        <w:ind w:firstLine="0"/>
        <w:jc w:val="center"/>
        <w:rPr>
          <w:rFonts w:hint="eastAsia" w:ascii="宋体" w:hAnsi="宋体" w:eastAsia="宋体" w:cs="宋体"/>
          <w:b/>
          <w:color w:val="auto"/>
          <w:sz w:val="36"/>
          <w:szCs w:val="36"/>
          <w:highlight w:val="none"/>
          <w:lang w:val="en-US" w:eastAsia="zh-CN"/>
        </w:rPr>
      </w:pPr>
    </w:p>
    <w:p>
      <w:pPr>
        <w:ind w:firstLine="2530" w:firstLineChars="1200"/>
        <w:rPr>
          <w:rFonts w:ascii="宋体" w:hAnsi="宋体" w:cs="宋体"/>
          <w:b/>
          <w:color w:val="auto"/>
          <w:highlight w:val="none"/>
        </w:rPr>
      </w:pPr>
      <w:r>
        <w:rPr>
          <w:rFonts w:hint="eastAsia" w:ascii="宋体" w:hAnsi="宋体" w:eastAsia="宋体" w:cs="宋体"/>
          <w:b/>
          <w:color w:val="auto"/>
          <w:sz w:val="21"/>
          <w:szCs w:val="21"/>
          <w:highlight w:val="none"/>
          <w:lang w:val="en-US" w:eastAsia="zh-CN"/>
        </w:rPr>
        <w:t>（注：按以下格式顺序自行编辑目录）</w:t>
      </w:r>
      <w:r>
        <w:rPr>
          <w:rFonts w:hint="eastAsia" w:ascii="宋体" w:hAnsi="宋体" w:eastAsia="宋体" w:cs="宋体"/>
          <w:b/>
          <w:color w:val="auto"/>
          <w:sz w:val="36"/>
          <w:szCs w:val="36"/>
          <w:highlight w:val="none"/>
        </w:rPr>
        <w:br w:type="page"/>
      </w:r>
      <w:r>
        <w:rPr>
          <w:rFonts w:hint="eastAsia" w:ascii="宋体" w:hAnsi="宋体" w:cs="宋体"/>
          <w:b/>
          <w:color w:val="auto"/>
          <w:sz w:val="36"/>
          <w:szCs w:val="36"/>
          <w:highlight w:val="none"/>
          <w:lang w:val="en-US" w:eastAsia="zh-CN"/>
        </w:rPr>
        <w:t xml:space="preserve">                 </w:t>
      </w:r>
      <w:r>
        <w:rPr>
          <w:rFonts w:hint="eastAsia" w:ascii="Calibri" w:hAnsi="Calibri" w:eastAsia="宋体" w:cs="Times New Roman"/>
          <w:b/>
          <w:bCs/>
          <w:color w:val="auto"/>
          <w:kern w:val="2"/>
          <w:sz w:val="28"/>
          <w:szCs w:val="28"/>
          <w:highlight w:val="none"/>
          <w:lang w:val="en-US" w:eastAsia="zh-CN" w:bidi="ar-SA"/>
        </w:rPr>
        <w:t>一</w:t>
      </w:r>
      <w:r>
        <w:rPr>
          <w:rFonts w:hint="eastAsia"/>
          <w:b/>
          <w:bCs/>
          <w:color w:val="auto"/>
          <w:sz w:val="28"/>
          <w:szCs w:val="28"/>
          <w:highlight w:val="none"/>
          <w:lang w:val="en-US" w:eastAsia="zh-CN"/>
        </w:rPr>
        <w:t>、响 应 函</w:t>
      </w:r>
    </w:p>
    <w:p>
      <w:pPr>
        <w:pStyle w:val="39"/>
        <w:spacing w:line="560" w:lineRule="exact"/>
        <w:rPr>
          <w:rFonts w:hAnsi="宋体" w:eastAsia="宋体" w:cs="宋体"/>
          <w:color w:val="auto"/>
          <w:sz w:val="24"/>
          <w:szCs w:val="24"/>
        </w:rPr>
      </w:pPr>
      <w:r>
        <w:rPr>
          <w:rFonts w:hint="eastAsia" w:hAnsi="宋体" w:eastAsia="宋体" w:cs="宋体"/>
          <w:color w:val="auto"/>
          <w:sz w:val="24"/>
          <w:szCs w:val="24"/>
          <w:u w:val="single"/>
        </w:rPr>
        <w:t>海南建云项目管理有限公司</w:t>
      </w:r>
      <w:r>
        <w:rPr>
          <w:rFonts w:hint="eastAsia" w:hAnsi="宋体" w:eastAsia="宋体" w:cs="宋体"/>
          <w:color w:val="auto"/>
          <w:sz w:val="24"/>
          <w:szCs w:val="24"/>
        </w:rPr>
        <w:t>：</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我们仔细阅读并全面研究了</w:t>
      </w:r>
      <w:r>
        <w:rPr>
          <w:rFonts w:hint="eastAsia" w:hAnsi="宋体" w:eastAsia="宋体" w:cs="宋体"/>
          <w:color w:val="auto"/>
          <w:sz w:val="24"/>
          <w:szCs w:val="24"/>
          <w:u w:val="single"/>
          <w:lang w:eastAsia="zh-CN"/>
        </w:rPr>
        <w:t>保亭县响水镇金江居大社区综合服务中心文化配套采购项目</w:t>
      </w:r>
      <w:r>
        <w:rPr>
          <w:rFonts w:hint="eastAsia" w:hAnsi="宋体" w:eastAsia="宋体" w:cs="宋体"/>
          <w:iCs/>
          <w:color w:val="auto"/>
          <w:sz w:val="24"/>
          <w:szCs w:val="21"/>
        </w:rPr>
        <w:t>（项目编号</w:t>
      </w:r>
      <w:r>
        <w:rPr>
          <w:rFonts w:hint="eastAsia" w:hAnsi="宋体" w:eastAsia="宋体" w:cs="宋体"/>
          <w:iCs/>
          <w:color w:val="auto"/>
          <w:sz w:val="24"/>
          <w:szCs w:val="21"/>
          <w:lang w:val="en-US" w:eastAsia="zh-CN"/>
        </w:rPr>
        <w:t>及包号为</w:t>
      </w:r>
      <w:r>
        <w:rPr>
          <w:rFonts w:hint="eastAsia" w:hAnsi="宋体" w:eastAsia="宋体" w:cs="宋体"/>
          <w:iCs/>
          <w:color w:val="auto"/>
          <w:sz w:val="24"/>
          <w:szCs w:val="21"/>
          <w:u w:val="single"/>
          <w:lang w:val="en-US" w:eastAsia="zh-CN"/>
        </w:rPr>
        <w:t xml:space="preserve">        </w:t>
      </w:r>
      <w:r>
        <w:rPr>
          <w:rFonts w:hint="eastAsia" w:hAnsi="宋体" w:eastAsia="宋体" w:cs="宋体"/>
          <w:iCs/>
          <w:color w:val="auto"/>
          <w:sz w:val="24"/>
          <w:szCs w:val="21"/>
        </w:rPr>
        <w:t>）</w:t>
      </w:r>
      <w:r>
        <w:rPr>
          <w:rFonts w:hint="eastAsia" w:hAnsi="宋体" w:eastAsia="宋体" w:cs="宋体"/>
          <w:color w:val="auto"/>
          <w:sz w:val="24"/>
          <w:szCs w:val="24"/>
        </w:rPr>
        <w:t>磋商文件（包括更正公告，如果有的话）收悉，决定响应磋商文件的邀请，参与本项目。</w:t>
      </w:r>
    </w:p>
    <w:p>
      <w:pPr>
        <w:spacing w:line="360" w:lineRule="auto"/>
        <w:ind w:firstLine="480" w:firstLineChars="200"/>
        <w:rPr>
          <w:rFonts w:ascii="宋体" w:hAnsi="宋体" w:cs="宋体"/>
          <w:color w:val="auto"/>
          <w:sz w:val="24"/>
        </w:rPr>
      </w:pPr>
      <w:r>
        <w:rPr>
          <w:rFonts w:hint="eastAsia" w:ascii="宋体" w:hAnsi="宋体" w:cs="宋体"/>
          <w:color w:val="auto"/>
          <w:sz w:val="24"/>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hint="eastAsia" w:ascii="宋体" w:hAnsi="宋体" w:cs="宋体"/>
          <w:color w:val="auto"/>
          <w:sz w:val="24"/>
          <w:u w:val="single"/>
        </w:rPr>
        <w:t xml:space="preserve">                 </w:t>
      </w:r>
      <w:r>
        <w:rPr>
          <w:rFonts w:hint="eastAsia" w:ascii="宋体" w:hAnsi="宋体" w:cs="宋体"/>
          <w:color w:val="auto"/>
          <w:sz w:val="24"/>
          <w:u w:val="none"/>
        </w:rPr>
        <w:t>(</w:t>
      </w:r>
      <w:r>
        <w:rPr>
          <w:rFonts w:hint="eastAsia" w:ascii="宋体" w:hAnsi="宋体" w:eastAsia="宋体" w:cs="宋体"/>
          <w:color w:val="auto"/>
          <w:sz w:val="24"/>
          <w:u w:val="none"/>
        </w:rPr>
        <w:t>¥</w:t>
      </w:r>
      <w:r>
        <w:rPr>
          <w:rFonts w:hint="eastAsia" w:ascii="宋体" w:hAnsi="宋体" w:cs="宋体"/>
          <w:color w:val="auto"/>
          <w:sz w:val="24"/>
        </w:rPr>
        <w:t xml:space="preserve">        ）。</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2、如果我们被授予合同，我们将严格履行合同规定的责任和义务，保证按期、按质、按量完成合同义务。</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3、我们承诺</w:t>
      </w:r>
      <w:r>
        <w:rPr>
          <w:rFonts w:hint="eastAsia" w:hAnsi="宋体" w:eastAsia="宋体" w:cs="宋体"/>
          <w:color w:val="auto"/>
          <w:sz w:val="24"/>
          <w:szCs w:val="24"/>
          <w:lang w:val="en-US" w:eastAsia="zh-CN"/>
        </w:rPr>
        <w:t>我司不会</w:t>
      </w:r>
      <w:r>
        <w:rPr>
          <w:rFonts w:hint="eastAsia" w:hAnsi="宋体" w:eastAsia="宋体" w:cs="宋体"/>
          <w:color w:val="auto"/>
          <w:sz w:val="24"/>
          <w:szCs w:val="24"/>
        </w:rPr>
        <w:t>发生下列情况：</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（1）我方在磋商有效期内撤回响应文件；</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（2）我方提供了虚假响应磋商文件的响应文件；</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（3）在磋商过程中有违反法律法规和相关纪律的行为；</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（4）在收到成交通知书后并在磋商有效期内，由于我方原因未能按照磋商文件要求提交履约保证金或与采购人签订并履行合同。</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4、我们同意按磋商文件中的规定，本响应文件的有效期限为开启响应文件</w:t>
      </w:r>
      <w:r>
        <w:rPr>
          <w:rFonts w:hint="eastAsia" w:hAnsi="宋体" w:eastAsia="宋体" w:cs="宋体"/>
          <w:color w:val="auto"/>
          <w:sz w:val="24"/>
          <w:szCs w:val="24"/>
          <w:u w:val="single"/>
          <w:lang w:val="en-US" w:eastAsia="zh-CN"/>
        </w:rPr>
        <w:t xml:space="preserve"> </w:t>
      </w:r>
      <w:r>
        <w:rPr>
          <w:rFonts w:hint="eastAsia" w:hAnsi="宋体" w:eastAsia="宋体" w:cs="宋体"/>
          <w:color w:val="auto"/>
          <w:sz w:val="24"/>
          <w:szCs w:val="24"/>
          <w:u w:val="single"/>
        </w:rPr>
        <w:t xml:space="preserve"> </w:t>
      </w:r>
      <w:r>
        <w:rPr>
          <w:rFonts w:hint="eastAsia" w:hAnsi="宋体" w:eastAsia="宋体" w:cs="宋体"/>
          <w:color w:val="auto"/>
          <w:sz w:val="24"/>
          <w:szCs w:val="24"/>
          <w:u w:val="single"/>
          <w:lang w:val="en-US" w:eastAsia="zh-CN"/>
        </w:rPr>
        <w:t xml:space="preserve"> </w:t>
      </w:r>
      <w:r>
        <w:rPr>
          <w:rFonts w:hint="eastAsia" w:hAnsi="宋体" w:eastAsia="宋体" w:cs="宋体"/>
          <w:color w:val="auto"/>
          <w:sz w:val="24"/>
          <w:szCs w:val="24"/>
        </w:rPr>
        <w:t>天。</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5、我们愿意提供采购方在磋商文件中要求的所有资料。</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6、我们愿意遵守采购公告及磋商文件中明示的收费标准。</w:t>
      </w:r>
    </w:p>
    <w:p>
      <w:pPr>
        <w:pStyle w:val="39"/>
        <w:spacing w:line="360" w:lineRule="auto"/>
        <w:ind w:firstLine="480" w:firstLineChars="200"/>
        <w:rPr>
          <w:rFonts w:hint="eastAsia" w:hAnsi="宋体" w:eastAsia="宋体" w:cs="宋体"/>
          <w:color w:val="auto"/>
          <w:sz w:val="24"/>
          <w:szCs w:val="24"/>
        </w:rPr>
      </w:pPr>
      <w:r>
        <w:rPr>
          <w:rFonts w:hint="eastAsia" w:hAnsi="宋体" w:eastAsia="宋体" w:cs="宋体"/>
          <w:color w:val="auto"/>
          <w:sz w:val="24"/>
          <w:szCs w:val="24"/>
        </w:rPr>
        <w:t>7、我们承诺响应文件在提交响应文件截止时间后至磋商有效期截止前保持有效，不作任何更改和变动。</w:t>
      </w:r>
    </w:p>
    <w:p>
      <w:pPr>
        <w:pStyle w:val="39"/>
        <w:spacing w:line="360" w:lineRule="auto"/>
        <w:ind w:firstLine="480" w:firstLineChars="200"/>
        <w:rPr>
          <w:rFonts w:hint="eastAsia" w:hAnsi="宋体" w:eastAsia="宋体" w:cs="宋体"/>
          <w:color w:val="auto"/>
          <w:sz w:val="24"/>
          <w:szCs w:val="24"/>
          <w:lang w:val="en-US" w:eastAsia="zh-CN"/>
        </w:rPr>
      </w:pPr>
      <w:r>
        <w:rPr>
          <w:rFonts w:hint="eastAsia" w:hAnsi="宋体" w:eastAsia="宋体" w:cs="宋体"/>
          <w:color w:val="auto"/>
          <w:sz w:val="24"/>
          <w:szCs w:val="24"/>
          <w:lang w:val="en-US" w:eastAsia="zh-CN"/>
        </w:rPr>
        <w:t>8、我方承诺遵守《中华人民共和国劳动法》关于性别平等的相关规定和《中华人民共和国妇女权益保障法》中关于“劳动和社会保障权益”的有关要求。</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供应商全称（公章）：</w:t>
      </w:r>
    </w:p>
    <w:p>
      <w:pPr>
        <w:pStyle w:val="39"/>
        <w:spacing w:line="360" w:lineRule="auto"/>
        <w:rPr>
          <w:rFonts w:hAnsi="宋体" w:eastAsia="宋体" w:cs="宋体"/>
          <w:iCs/>
          <w:color w:val="auto"/>
          <w:sz w:val="24"/>
          <w:szCs w:val="21"/>
        </w:rPr>
      </w:pPr>
      <w:r>
        <w:rPr>
          <w:rFonts w:hint="eastAsia" w:hAnsi="宋体" w:eastAsia="宋体" w:cs="宋体"/>
          <w:color w:val="auto"/>
          <w:sz w:val="24"/>
          <w:szCs w:val="24"/>
        </w:rPr>
        <w:t>法定代表人或被授权代表：</w:t>
      </w:r>
      <w:r>
        <w:rPr>
          <w:rFonts w:hint="eastAsia" w:hAnsi="宋体" w:eastAsia="宋体" w:cs="宋体"/>
          <w:iCs/>
          <w:color w:val="auto"/>
          <w:sz w:val="24"/>
          <w:szCs w:val="21"/>
        </w:rPr>
        <w:t>（签字或盖章）</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地址：邮政编码：</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联系人：联系电话：</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电子邮件：</w:t>
      </w:r>
      <w:r>
        <w:rPr>
          <w:rFonts w:hint="eastAsia" w:hAnsi="宋体" w:eastAsia="宋体" w:cs="宋体"/>
          <w:color w:val="auto"/>
          <w:sz w:val="24"/>
          <w:szCs w:val="24"/>
        </w:rPr>
        <w:tab/>
      </w:r>
      <w:r>
        <w:rPr>
          <w:rFonts w:hint="eastAsia" w:hAnsi="宋体" w:eastAsia="宋体" w:cs="宋体"/>
          <w:color w:val="auto"/>
          <w:sz w:val="24"/>
          <w:szCs w:val="24"/>
        </w:rPr>
        <w:t>传真：</w:t>
      </w:r>
    </w:p>
    <w:p>
      <w:pPr>
        <w:pStyle w:val="39"/>
        <w:jc w:val="right"/>
        <w:rPr>
          <w:rFonts w:hAnsi="宋体" w:eastAsia="宋体" w:cs="宋体"/>
          <w:color w:val="auto"/>
          <w:sz w:val="24"/>
          <w:szCs w:val="24"/>
          <w:highlight w:val="none"/>
        </w:rPr>
        <w:sectPr>
          <w:footerReference r:id="rId13" w:type="first"/>
          <w:footerReference r:id="rId12" w:type="default"/>
          <w:pgSz w:w="11906" w:h="16838"/>
          <w:pgMar w:top="1247" w:right="1247" w:bottom="1134" w:left="1644" w:header="851" w:footer="851" w:gutter="0"/>
          <w:pgNumType w:fmt="decimal"/>
          <w:cols w:space="720" w:num="1"/>
          <w:titlePg/>
          <w:docGrid w:type="lines" w:linePitch="312" w:charSpace="0"/>
        </w:sectPr>
      </w:pPr>
      <w:r>
        <w:rPr>
          <w:rFonts w:hint="eastAsia" w:hAnsi="宋体" w:eastAsia="宋体" w:cs="宋体"/>
          <w:color w:val="auto"/>
          <w:sz w:val="24"/>
          <w:szCs w:val="24"/>
        </w:rPr>
        <w:t>日期：</w:t>
      </w:r>
      <w:r>
        <w:rPr>
          <w:rFonts w:hint="eastAsia" w:hAnsi="宋体" w:eastAsia="宋体" w:cs="宋体"/>
          <w:color w:val="auto"/>
          <w:sz w:val="24"/>
          <w:szCs w:val="24"/>
          <w:lang w:val="en-US" w:eastAsia="zh-CN"/>
        </w:rPr>
        <w:t xml:space="preserve">   </w:t>
      </w:r>
      <w:r>
        <w:rPr>
          <w:rFonts w:hint="eastAsia" w:hAnsi="宋体" w:eastAsia="宋体" w:cs="宋体"/>
          <w:color w:val="auto"/>
          <w:sz w:val="24"/>
          <w:szCs w:val="24"/>
        </w:rPr>
        <w:t>年     月     日</w:t>
      </w:r>
    </w:p>
    <w:p>
      <w:pPr>
        <w:jc w:val="center"/>
        <w:rPr>
          <w:b/>
          <w:bCs/>
          <w:color w:val="auto"/>
          <w:sz w:val="28"/>
          <w:szCs w:val="28"/>
          <w:highlight w:val="none"/>
        </w:rPr>
      </w:pPr>
      <w:bookmarkStart w:id="669" w:name="_Toc5925"/>
      <w:r>
        <w:rPr>
          <w:rFonts w:hint="eastAsia"/>
          <w:b/>
          <w:bCs/>
          <w:color w:val="auto"/>
          <w:sz w:val="28"/>
          <w:szCs w:val="28"/>
          <w:highlight w:val="none"/>
        </w:rPr>
        <w:t>二、法定代表人身份证明和授权委托书格式</w:t>
      </w:r>
      <w:bookmarkEnd w:id="661"/>
      <w:bookmarkEnd w:id="662"/>
      <w:bookmarkEnd w:id="669"/>
    </w:p>
    <w:p>
      <w:pPr>
        <w:pStyle w:val="6"/>
        <w:overflowPunct w:val="0"/>
        <w:spacing w:line="560" w:lineRule="exact"/>
        <w:ind w:firstLine="0"/>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1、法定代表人身份证明</w:t>
      </w:r>
    </w:p>
    <w:p>
      <w:pPr>
        <w:spacing w:line="440" w:lineRule="exact"/>
        <w:rPr>
          <w:rFonts w:ascii="宋体" w:hAnsi="宋体" w:cs="宋体"/>
          <w:color w:val="auto"/>
          <w:szCs w:val="21"/>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供应商名称：</w:t>
      </w:r>
    </w:p>
    <w:p>
      <w:pPr>
        <w:spacing w:line="480" w:lineRule="auto"/>
        <w:rPr>
          <w:rFonts w:ascii="宋体" w:hAnsi="宋体" w:cs="宋体"/>
          <w:color w:val="auto"/>
          <w:sz w:val="24"/>
          <w:highlight w:val="none"/>
        </w:rPr>
      </w:pPr>
      <w:r>
        <w:rPr>
          <w:rFonts w:hint="eastAsia" w:ascii="宋体" w:hAnsi="宋体" w:cs="宋体"/>
          <w:color w:val="auto"/>
          <w:sz w:val="24"/>
          <w:highlight w:val="none"/>
        </w:rPr>
        <w:t>单位性质：</w:t>
      </w:r>
    </w:p>
    <w:p>
      <w:pPr>
        <w:spacing w:line="480" w:lineRule="auto"/>
        <w:rPr>
          <w:rFonts w:ascii="宋体" w:hAnsi="宋体" w:cs="宋体"/>
          <w:color w:val="auto"/>
          <w:sz w:val="24"/>
          <w:highlight w:val="none"/>
        </w:rPr>
      </w:pPr>
      <w:r>
        <w:rPr>
          <w:rFonts w:hint="eastAsia" w:ascii="宋体" w:hAnsi="宋体" w:cs="宋体"/>
          <w:color w:val="auto"/>
          <w:sz w:val="24"/>
          <w:highlight w:val="none"/>
        </w:rPr>
        <w:t>地址：</w:t>
      </w:r>
    </w:p>
    <w:p>
      <w:pPr>
        <w:spacing w:line="480" w:lineRule="auto"/>
        <w:rPr>
          <w:rFonts w:ascii="宋体" w:hAnsi="宋体" w:cs="宋体"/>
          <w:color w:val="auto"/>
          <w:sz w:val="24"/>
          <w:highlight w:val="none"/>
        </w:rPr>
      </w:pPr>
      <w:r>
        <w:rPr>
          <w:rFonts w:hint="eastAsia" w:ascii="宋体" w:hAnsi="宋体" w:cs="宋体"/>
          <w:color w:val="auto"/>
          <w:sz w:val="24"/>
          <w:highlight w:val="none"/>
        </w:rPr>
        <w:t>成立时间：年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spacing w:line="480" w:lineRule="auto"/>
        <w:rPr>
          <w:rFonts w:ascii="宋体" w:hAnsi="宋体" w:cs="宋体"/>
          <w:color w:val="auto"/>
          <w:sz w:val="24"/>
          <w:highlight w:val="none"/>
        </w:rPr>
      </w:pPr>
      <w:r>
        <w:rPr>
          <w:rFonts w:hint="eastAsia" w:ascii="宋体" w:hAnsi="宋体" w:cs="宋体"/>
          <w:color w:val="auto"/>
          <w:sz w:val="24"/>
          <w:highlight w:val="none"/>
        </w:rPr>
        <w:t>经营期限：</w:t>
      </w:r>
    </w:p>
    <w:p>
      <w:pPr>
        <w:spacing w:line="480" w:lineRule="auto"/>
        <w:rPr>
          <w:rFonts w:ascii="宋体" w:hAnsi="宋体" w:cs="宋体"/>
          <w:color w:val="auto"/>
          <w:sz w:val="24"/>
          <w:highlight w:val="none"/>
        </w:rPr>
      </w:pPr>
      <w:r>
        <w:rPr>
          <w:rFonts w:hint="eastAsia" w:ascii="宋体" w:hAnsi="宋体" w:cs="宋体"/>
          <w:color w:val="auto"/>
          <w:sz w:val="24"/>
          <w:highlight w:val="none"/>
        </w:rPr>
        <w:t>姓名： 性别：年龄：职务：</w:t>
      </w:r>
    </w:p>
    <w:p>
      <w:pPr>
        <w:spacing w:line="480" w:lineRule="auto"/>
        <w:rPr>
          <w:rFonts w:ascii="宋体" w:hAnsi="宋体" w:cs="宋体"/>
          <w:color w:val="auto"/>
          <w:sz w:val="24"/>
          <w:highlight w:val="none"/>
        </w:rPr>
      </w:pPr>
      <w:r>
        <w:rPr>
          <w:rFonts w:hint="eastAsia" w:ascii="宋体" w:hAnsi="宋体" w:cs="宋体"/>
          <w:color w:val="auto"/>
          <w:sz w:val="24"/>
          <w:highlight w:val="none"/>
        </w:rPr>
        <w:t xml:space="preserve">系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（供应商名称）的法定代表人。</w:t>
      </w:r>
    </w:p>
    <w:p>
      <w:pPr>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特此证明。</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 xml:space="preserve">                               供应商</w:t>
      </w:r>
      <w:r>
        <w:rPr>
          <w:rFonts w:hint="eastAsia" w:ascii="宋体" w:hAnsi="宋体" w:cs="宋体"/>
          <w:color w:val="auto"/>
          <w:sz w:val="24"/>
          <w:highlight w:val="none"/>
          <w:lang w:val="en-US" w:eastAsia="zh-CN"/>
        </w:rPr>
        <w:t>名称</w:t>
      </w:r>
      <w:r>
        <w:rPr>
          <w:rFonts w:hint="eastAsia" w:ascii="宋体" w:hAnsi="宋体" w:cs="宋体"/>
          <w:color w:val="auto"/>
          <w:sz w:val="24"/>
          <w:highlight w:val="none"/>
        </w:rPr>
        <w:t>：（盖单位章）</w:t>
      </w:r>
    </w:p>
    <w:p>
      <w:pPr>
        <w:pStyle w:val="6"/>
        <w:overflowPunct w:val="0"/>
        <w:spacing w:line="360" w:lineRule="auto"/>
        <w:jc w:val="right"/>
        <w:rPr>
          <w:rFonts w:ascii="宋体" w:hAnsi="宋体" w:eastAsia="宋体" w:cs="宋体"/>
          <w:color w:val="auto"/>
          <w:szCs w:val="24"/>
          <w:highlight w:val="none"/>
        </w:rPr>
      </w:pP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日</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p>
    <w:p>
      <w:pPr>
        <w:spacing w:line="460" w:lineRule="exact"/>
        <w:ind w:firstLine="561"/>
        <w:outlineLvl w:val="1"/>
        <w:rPr>
          <w:rFonts w:ascii="宋体" w:hAnsi="宋体" w:cs="宋体"/>
          <w:b/>
          <w:color w:val="auto"/>
          <w:highlight w:val="none"/>
        </w:rPr>
      </w:pPr>
      <w:bookmarkStart w:id="670" w:name="_Toc24406"/>
      <w:bookmarkStart w:id="671" w:name="_Toc23879"/>
      <w:bookmarkStart w:id="672" w:name="_Toc13847"/>
      <w:bookmarkStart w:id="673" w:name="_Toc27511918"/>
      <w:bookmarkStart w:id="674" w:name="_Toc21549"/>
      <w:r>
        <w:rPr>
          <w:rFonts w:hint="eastAsia" w:ascii="宋体" w:hAnsi="宋体" w:cs="宋体"/>
          <w:bCs/>
          <w:color w:val="auto"/>
          <w:sz w:val="24"/>
          <w:highlight w:val="none"/>
        </w:rPr>
        <w:t>附：法定代表人身份证正反面复印件。</w:t>
      </w:r>
      <w:bookmarkEnd w:id="670"/>
      <w:bookmarkEnd w:id="671"/>
      <w:bookmarkEnd w:id="672"/>
      <w:bookmarkEnd w:id="673"/>
      <w:bookmarkEnd w:id="674"/>
    </w:p>
    <w:p>
      <w:pPr>
        <w:pStyle w:val="6"/>
        <w:overflowPunct w:val="0"/>
        <w:spacing w:line="560" w:lineRule="exact"/>
        <w:ind w:firstLine="0"/>
        <w:jc w:val="center"/>
        <w:rPr>
          <w:rFonts w:ascii="宋体" w:hAnsi="宋体" w:eastAsia="宋体" w:cs="宋体"/>
          <w:b/>
          <w:color w:val="auto"/>
          <w:sz w:val="28"/>
          <w:szCs w:val="28"/>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28"/>
          <w:szCs w:val="28"/>
          <w:highlight w:val="none"/>
        </w:rPr>
        <w:t>2、授权委托书</w:t>
      </w:r>
    </w:p>
    <w:p>
      <w:pPr>
        <w:pStyle w:val="6"/>
        <w:overflowPunct w:val="0"/>
        <w:spacing w:line="360" w:lineRule="auto"/>
        <w:jc w:val="center"/>
        <w:rPr>
          <w:rFonts w:ascii="宋体" w:hAnsi="宋体" w:eastAsia="宋体" w:cs="宋体"/>
          <w:b/>
          <w:color w:val="auto"/>
          <w:szCs w:val="24"/>
          <w:highlight w:val="none"/>
        </w:rPr>
      </w:pP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本授权委托书声明：我 </w:t>
      </w:r>
      <w:r>
        <w:rPr>
          <w:rFonts w:hint="eastAsia" w:ascii="宋体" w:hAnsi="宋体" w:eastAsia="宋体" w:cs="宋体"/>
          <w:iCs/>
          <w:color w:val="auto"/>
          <w:szCs w:val="21"/>
          <w:highlight w:val="none"/>
          <w:u w:val="single"/>
        </w:rPr>
        <w:t xml:space="preserve">  （姓名）  </w:t>
      </w:r>
      <w:r>
        <w:rPr>
          <w:rFonts w:hint="eastAsia" w:ascii="宋体" w:hAnsi="宋体" w:eastAsia="宋体" w:cs="宋体"/>
          <w:color w:val="auto"/>
          <w:szCs w:val="24"/>
          <w:highlight w:val="none"/>
        </w:rPr>
        <w:t>系</w:t>
      </w:r>
      <w:r>
        <w:rPr>
          <w:rFonts w:hint="eastAsia" w:ascii="宋体" w:hAnsi="宋体" w:eastAsia="宋体" w:cs="宋体"/>
          <w:iCs/>
          <w:color w:val="auto"/>
          <w:szCs w:val="21"/>
          <w:highlight w:val="none"/>
          <w:u w:val="single"/>
        </w:rPr>
        <w:t xml:space="preserve">   （</w:t>
      </w:r>
      <w:r>
        <w:rPr>
          <w:rFonts w:hint="eastAsia" w:ascii="宋体" w:hAnsi="宋体" w:eastAsia="宋体" w:cs="宋体"/>
          <w:iCs/>
          <w:color w:val="auto"/>
          <w:szCs w:val="21"/>
          <w:highlight w:val="none"/>
          <w:u w:val="single"/>
          <w:lang w:val="en-US" w:eastAsia="zh-CN"/>
        </w:rPr>
        <w:t>供应商</w:t>
      </w:r>
      <w:r>
        <w:rPr>
          <w:rFonts w:hint="eastAsia" w:ascii="宋体" w:hAnsi="宋体" w:eastAsia="宋体" w:cs="宋体"/>
          <w:iCs/>
          <w:color w:val="auto"/>
          <w:szCs w:val="21"/>
          <w:highlight w:val="none"/>
          <w:u w:val="single"/>
        </w:rPr>
        <w:t xml:space="preserve">名称）  </w:t>
      </w:r>
      <w:r>
        <w:rPr>
          <w:rFonts w:hint="eastAsia" w:ascii="宋体" w:hAnsi="宋体" w:eastAsia="宋体" w:cs="宋体"/>
          <w:color w:val="auto"/>
          <w:szCs w:val="24"/>
          <w:highlight w:val="none"/>
        </w:rPr>
        <w:t>的法定代表人，现授权委托</w:t>
      </w:r>
      <w:r>
        <w:rPr>
          <w:rFonts w:hint="eastAsia" w:ascii="宋体" w:hAnsi="宋体" w:eastAsia="宋体" w:cs="宋体"/>
          <w:iCs/>
          <w:color w:val="auto"/>
          <w:szCs w:val="21"/>
          <w:highlight w:val="none"/>
          <w:u w:val="single"/>
        </w:rPr>
        <w:t xml:space="preserve">  （被授权人姓名及身份证号码）  </w:t>
      </w:r>
      <w:r>
        <w:rPr>
          <w:rFonts w:hint="eastAsia" w:ascii="宋体" w:hAnsi="宋体" w:eastAsia="宋体" w:cs="宋体"/>
          <w:color w:val="auto"/>
          <w:szCs w:val="24"/>
          <w:highlight w:val="none"/>
        </w:rPr>
        <w:t>为我公司的代理人，以本公司的名义参加海南建云项目管理有限公司组织的</w:t>
      </w:r>
      <w:r>
        <w:rPr>
          <w:rFonts w:hint="eastAsia" w:ascii="宋体" w:hAnsi="宋体" w:eastAsia="宋体" w:cs="宋体"/>
          <w:color w:val="auto"/>
          <w:szCs w:val="24"/>
          <w:highlight w:val="none"/>
          <w:lang w:val="en-US" w:eastAsia="zh-CN"/>
        </w:rPr>
        <w:t>项目</w:t>
      </w:r>
      <w:r>
        <w:rPr>
          <w:rFonts w:hint="eastAsia" w:ascii="宋体" w:hAnsi="宋体" w:eastAsia="宋体" w:cs="宋体"/>
          <w:color w:val="auto"/>
          <w:szCs w:val="24"/>
          <w:highlight w:val="none"/>
        </w:rPr>
        <w:t>编号</w:t>
      </w:r>
      <w:r>
        <w:rPr>
          <w:rFonts w:hint="eastAsia" w:ascii="宋体" w:hAnsi="宋体" w:eastAsia="宋体" w:cs="宋体"/>
          <w:color w:val="auto"/>
          <w:szCs w:val="24"/>
          <w:highlight w:val="none"/>
          <w:lang w:val="en-US" w:eastAsia="zh-CN"/>
        </w:rPr>
        <w:t>及包号</w:t>
      </w:r>
      <w:r>
        <w:rPr>
          <w:rFonts w:hint="eastAsia" w:ascii="宋体" w:hAnsi="宋体" w:eastAsia="宋体" w:cs="宋体"/>
          <w:color w:val="auto"/>
          <w:szCs w:val="24"/>
          <w:highlight w:val="none"/>
        </w:rPr>
        <w:t>为</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的采购活动，处理与本招标活动有关的一切事务。被授权人在开标、评标、合同签订过程中所签署的一切文件，我均予以承认。</w:t>
      </w: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与本项目有关的质疑、投诉事项，我将亲自处理或另行特别授权。</w:t>
      </w: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本授权委托书的效力自签署日起至合同履行完毕止。</w:t>
      </w: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被授权人无转委托权。特此委托。</w:t>
      </w:r>
    </w:p>
    <w:p>
      <w:pPr>
        <w:pStyle w:val="6"/>
        <w:overflowPunct w:val="0"/>
        <w:spacing w:line="360" w:lineRule="auto"/>
        <w:ind w:firstLine="480" w:firstLineChars="200"/>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本授权书于</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日签字生效，特此证明。</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highlight w:val="none"/>
        </w:rPr>
        <w:t>供应商名称：（填写名称并盖章）</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法定代表人：</w:t>
      </w:r>
      <w:r>
        <w:rPr>
          <w:rFonts w:hint="eastAsia" w:ascii="宋体" w:hAnsi="宋体" w:eastAsia="宋体" w:cs="宋体"/>
          <w:iCs/>
          <w:color w:val="auto"/>
          <w:szCs w:val="21"/>
          <w:highlight w:val="none"/>
        </w:rPr>
        <w:t>（签字或盖章）</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被授权代表：</w:t>
      </w:r>
      <w:r>
        <w:rPr>
          <w:rFonts w:hint="eastAsia" w:ascii="宋体" w:hAnsi="宋体" w:eastAsia="宋体" w:cs="宋体"/>
          <w:iCs/>
          <w:color w:val="auto"/>
          <w:szCs w:val="21"/>
          <w:highlight w:val="none"/>
        </w:rPr>
        <w:t>（签字或盖章）</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附 ：</w:t>
      </w:r>
      <w:bookmarkStart w:id="675" w:name="_Toc32762"/>
      <w:bookmarkStart w:id="676" w:name="_Toc2528"/>
      <w:r>
        <w:rPr>
          <w:rFonts w:hint="eastAsia" w:ascii="宋体" w:hAnsi="宋体" w:cs="宋体"/>
          <w:color w:val="auto"/>
          <w:sz w:val="24"/>
          <w:highlight w:val="none"/>
        </w:rPr>
        <w:t>被授权代表身份证</w:t>
      </w:r>
      <w:r>
        <w:rPr>
          <w:rFonts w:hint="eastAsia" w:ascii="宋体" w:hAnsi="宋体" w:cs="宋体"/>
          <w:bCs/>
          <w:color w:val="auto"/>
          <w:sz w:val="24"/>
          <w:highlight w:val="none"/>
        </w:rPr>
        <w:t>正反面</w:t>
      </w:r>
      <w:r>
        <w:rPr>
          <w:rFonts w:hint="eastAsia" w:ascii="宋体" w:hAnsi="宋体" w:cs="宋体"/>
          <w:color w:val="auto"/>
          <w:sz w:val="24"/>
          <w:highlight w:val="none"/>
        </w:rPr>
        <w:t>复印件。</w:t>
      </w:r>
      <w:bookmarkEnd w:id="675"/>
      <w:bookmarkEnd w:id="676"/>
    </w:p>
    <w:bookmarkEnd w:id="663"/>
    <w:bookmarkEnd w:id="664"/>
    <w:bookmarkEnd w:id="665"/>
    <w:bookmarkEnd w:id="666"/>
    <w:bookmarkEnd w:id="667"/>
    <w:p>
      <w:pPr>
        <w:pStyle w:val="4"/>
        <w:keepNext w:val="0"/>
        <w:keepLines w:val="0"/>
        <w:tabs>
          <w:tab w:val="left" w:pos="540"/>
          <w:tab w:val="left" w:pos="720"/>
        </w:tabs>
        <w:spacing w:before="156" w:beforeLines="50" w:after="156" w:afterLines="50"/>
        <w:rPr>
          <w:rFonts w:cs="宋体"/>
          <w:color w:val="auto"/>
          <w:highlight w:val="none"/>
        </w:rPr>
      </w:pPr>
    </w:p>
    <w:p>
      <w:pPr>
        <w:rPr>
          <w:rFonts w:ascii="宋体" w:hAnsi="宋体" w:cs="宋体"/>
          <w:color w:val="auto"/>
          <w:highlight w:val="none"/>
        </w:rPr>
      </w:pPr>
    </w:p>
    <w:p>
      <w:pPr>
        <w:pStyle w:val="6"/>
        <w:overflowPunct w:val="0"/>
        <w:spacing w:line="560" w:lineRule="exact"/>
        <w:ind w:firstLine="0"/>
        <w:jc w:val="center"/>
        <w:rPr>
          <w:rFonts w:ascii="宋体" w:hAnsi="宋体" w:eastAsia="宋体" w:cs="宋体"/>
          <w:b/>
          <w:color w:val="auto"/>
          <w:sz w:val="28"/>
          <w:szCs w:val="28"/>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28"/>
          <w:szCs w:val="28"/>
          <w:highlight w:val="none"/>
        </w:rPr>
        <w:t>三、报价一览表</w:t>
      </w:r>
    </w:p>
    <w:p>
      <w:pPr>
        <w:pStyle w:val="39"/>
        <w:rPr>
          <w:rFonts w:hAnsi="宋体" w:eastAsia="宋体" w:cs="宋体"/>
          <w:color w:val="auto"/>
          <w:sz w:val="21"/>
          <w:szCs w:val="21"/>
          <w:highlight w:val="none"/>
        </w:rPr>
      </w:pPr>
    </w:p>
    <w:bookmarkEnd w:id="668"/>
    <w:tbl>
      <w:tblPr>
        <w:tblStyle w:val="25"/>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lang w:val="en-GB"/>
              </w:rPr>
            </w:pPr>
            <w:bookmarkStart w:id="677" w:name="_Toc202875604"/>
            <w:bookmarkStart w:id="678" w:name="_Toc10225"/>
            <w:bookmarkStart w:id="679" w:name="_Toc201465544"/>
            <w:bookmarkStart w:id="680" w:name="_Toc28348"/>
            <w:bookmarkStart w:id="681" w:name="_Toc18441"/>
            <w:bookmarkStart w:id="682" w:name="_Toc317237633"/>
            <w:bookmarkStart w:id="683" w:name="_Toc2566"/>
            <w:bookmarkStart w:id="684" w:name="_Toc283"/>
            <w:bookmarkStart w:id="685" w:name="_Toc27943"/>
            <w:bookmarkStart w:id="686" w:name="_Toc14559"/>
            <w:bookmarkStart w:id="687" w:name="_Toc5520"/>
            <w:bookmarkStart w:id="688" w:name="_Toc4758"/>
            <w:bookmarkStart w:id="689" w:name="_Toc9461"/>
            <w:bookmarkStart w:id="690" w:name="_Toc28652"/>
            <w:bookmarkStart w:id="691" w:name="_Toc22122"/>
            <w:bookmarkStart w:id="692" w:name="_Toc212102886"/>
            <w:r>
              <w:rPr>
                <w:rFonts w:hint="eastAsia" w:ascii="宋体" w:hAnsi="宋体" w:cs="宋体"/>
                <w:b/>
                <w:bCs/>
                <w:color w:val="auto"/>
                <w:sz w:val="24"/>
                <w:highlight w:val="none"/>
                <w:lang w:val="en-GB"/>
              </w:rPr>
              <w:t>项目名称</w:t>
            </w:r>
          </w:p>
        </w:tc>
        <w:tc>
          <w:tcPr>
            <w:tcW w:w="7036" w:type="dxa"/>
            <w:noWrap/>
          </w:tcPr>
          <w:p>
            <w:pPr>
              <w:keepNext w:val="0"/>
              <w:keepLines w:val="0"/>
              <w:suppressLineNumbers w:val="0"/>
              <w:spacing w:before="156" w:beforeLines="50" w:beforeAutospacing="0" w:after="156" w:afterLines="50" w:afterAutospacing="0" w:line="440" w:lineRule="exact"/>
              <w:ind w:left="0" w:right="0"/>
              <w:jc w:val="center"/>
              <w:rPr>
                <w:rFonts w:hint="default"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项目</w:t>
            </w:r>
            <w:r>
              <w:rPr>
                <w:rFonts w:hint="eastAsia" w:ascii="宋体" w:hAnsi="宋体" w:cs="宋体"/>
                <w:b/>
                <w:bCs/>
                <w:color w:val="auto"/>
                <w:sz w:val="24"/>
                <w:highlight w:val="none"/>
                <w:lang w:val="en-GB"/>
              </w:rPr>
              <w:t>编号</w:t>
            </w:r>
            <w:r>
              <w:rPr>
                <w:rFonts w:hint="eastAsia" w:ascii="宋体" w:hAnsi="宋体" w:cs="宋体"/>
                <w:b/>
                <w:bCs/>
                <w:color w:val="auto"/>
                <w:sz w:val="24"/>
                <w:highlight w:val="none"/>
                <w:lang w:val="en-US" w:eastAsia="zh-CN"/>
              </w:rPr>
              <w:t>及包号</w:t>
            </w:r>
          </w:p>
        </w:tc>
        <w:tc>
          <w:tcPr>
            <w:tcW w:w="7036" w:type="dxa"/>
            <w:noWrap/>
          </w:tcPr>
          <w:p>
            <w:pPr>
              <w:keepNext w:val="0"/>
              <w:keepLines w:val="0"/>
              <w:suppressLineNumbers w:val="0"/>
              <w:spacing w:before="156" w:beforeLines="50" w:beforeAutospacing="0" w:after="156" w:afterLines="50" w:afterAutospacing="0" w:line="440" w:lineRule="exact"/>
              <w:ind w:left="0" w:right="0"/>
              <w:jc w:val="center"/>
              <w:rPr>
                <w:rFonts w:hint="default"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ign w:val="center"/>
          </w:tcPr>
          <w:p>
            <w:pPr>
              <w:keepNext w:val="0"/>
              <w:keepLines w:val="0"/>
              <w:suppressLineNumbers w:val="0"/>
              <w:spacing w:before="312" w:beforeLines="100" w:beforeAutospacing="0" w:after="312" w:afterLines="10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报价总计</w:t>
            </w:r>
          </w:p>
        </w:tc>
        <w:tc>
          <w:tcPr>
            <w:tcW w:w="7036" w:type="dxa"/>
            <w:noWrap/>
          </w:tcPr>
          <w:p>
            <w:pPr>
              <w:keepNext w:val="0"/>
              <w:keepLines w:val="0"/>
              <w:suppressLineNumbers w:val="0"/>
              <w:spacing w:before="312" w:beforeLines="100" w:beforeAutospacing="0" w:after="312" w:afterLines="100" w:afterAutospacing="0" w:line="440" w:lineRule="exact"/>
              <w:ind w:left="0" w:right="0"/>
              <w:rPr>
                <w:rFonts w:hint="default" w:ascii="宋体" w:hAnsi="宋体" w:cs="宋体"/>
                <w:color w:val="auto"/>
                <w:sz w:val="24"/>
                <w:highlight w:val="none"/>
                <w:u w:val="single"/>
                <w:lang w:val="en-GB"/>
              </w:rPr>
            </w:pPr>
            <w:r>
              <w:rPr>
                <w:rFonts w:hint="eastAsia" w:ascii="宋体" w:hAnsi="宋体" w:cs="宋体"/>
                <w:color w:val="auto"/>
                <w:sz w:val="24"/>
                <w:highlight w:val="none"/>
                <w:lang w:val="en-US" w:eastAsia="zh-CN"/>
              </w:rPr>
              <w:t>人民币</w:t>
            </w:r>
            <w:r>
              <w:rPr>
                <w:rFonts w:hint="eastAsia" w:ascii="宋体" w:hAnsi="宋体" w:cs="宋体"/>
                <w:color w:val="auto"/>
                <w:sz w:val="24"/>
                <w:highlight w:val="none"/>
                <w:lang w:val="en-GB"/>
              </w:rPr>
              <w:t>（大写）：</w:t>
            </w:r>
          </w:p>
          <w:p>
            <w:pPr>
              <w:keepNext w:val="0"/>
              <w:keepLines w:val="0"/>
              <w:suppressLineNumbers w:val="0"/>
              <w:spacing w:before="312" w:beforeLines="100" w:beforeAutospacing="0" w:after="312" w:afterLines="100" w:afterAutospacing="0" w:line="440" w:lineRule="exact"/>
              <w:ind w:left="0" w:right="0" w:firstLine="720" w:firstLineChars="300"/>
              <w:rPr>
                <w:rFonts w:hint="default" w:ascii="宋体" w:hAnsi="宋体" w:cs="宋体"/>
                <w:color w:val="auto"/>
                <w:sz w:val="24"/>
                <w:highlight w:val="none"/>
                <w:lang w:val="en-GB"/>
              </w:rPr>
            </w:pPr>
            <w:r>
              <w:rPr>
                <w:rFonts w:hint="eastAsia" w:ascii="宋体" w:hAnsi="宋体" w:cs="宋体"/>
                <w:color w:val="auto"/>
                <w:sz w:val="24"/>
                <w:highlight w:val="none"/>
                <w:lang w:val="en-GB"/>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rPr>
            </w:pPr>
            <w:r>
              <w:rPr>
                <w:rFonts w:hint="eastAsia" w:ascii="宋体" w:hAnsi="宋体" w:cs="宋体"/>
                <w:b/>
                <w:bCs/>
                <w:color w:val="auto"/>
                <w:sz w:val="24"/>
                <w:highlight w:val="none"/>
              </w:rPr>
              <w:t>合同履行期限</w:t>
            </w:r>
          </w:p>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w:t>
            </w:r>
            <w:r>
              <w:rPr>
                <w:rFonts w:hint="eastAsia" w:ascii="宋体" w:hAnsi="宋体" w:cs="宋体"/>
                <w:b/>
                <w:bCs/>
                <w:color w:val="auto"/>
                <w:sz w:val="24"/>
                <w:highlight w:val="none"/>
                <w:lang w:val="en-US" w:eastAsia="zh-CN"/>
              </w:rPr>
              <w:t>交货期</w:t>
            </w:r>
            <w:r>
              <w:rPr>
                <w:rFonts w:hint="eastAsia" w:ascii="宋体" w:hAnsi="宋体" w:cs="宋体"/>
                <w:b/>
                <w:bCs/>
                <w:color w:val="auto"/>
                <w:sz w:val="24"/>
                <w:highlight w:val="none"/>
                <w:lang w:val="en-GB"/>
              </w:rPr>
              <w:t>）</w:t>
            </w:r>
          </w:p>
        </w:tc>
        <w:tc>
          <w:tcPr>
            <w:tcW w:w="7036" w:type="dxa"/>
            <w:noWrap/>
          </w:tcPr>
          <w:p>
            <w:pPr>
              <w:keepNext w:val="0"/>
              <w:keepLines w:val="0"/>
              <w:suppressLineNumbers w:val="0"/>
              <w:spacing w:before="156" w:beforeLines="50" w:beforeAutospacing="0" w:after="156" w:afterLines="50" w:afterAutospacing="0" w:line="440" w:lineRule="exact"/>
              <w:ind w:left="0" w:right="0"/>
              <w:rPr>
                <w:rFonts w:hint="default"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备注</w:t>
            </w:r>
          </w:p>
        </w:tc>
        <w:tc>
          <w:tcPr>
            <w:tcW w:w="7036" w:type="dxa"/>
            <w:noWrap/>
          </w:tcPr>
          <w:p>
            <w:pPr>
              <w:keepNext w:val="0"/>
              <w:keepLines w:val="0"/>
              <w:suppressLineNumbers w:val="0"/>
              <w:spacing w:before="156" w:beforeLines="50" w:beforeAutospacing="0" w:after="156" w:afterLines="50" w:afterAutospacing="0" w:line="440" w:lineRule="exact"/>
              <w:ind w:left="0" w:right="0"/>
              <w:rPr>
                <w:rFonts w:hint="default"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9061" w:type="dxa"/>
            <w:gridSpan w:val="2"/>
            <w:noWrap/>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1、供应商企业类型：大型（   ） 中型（   ） 小型（   ） 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9061" w:type="dxa"/>
            <w:gridSpan w:val="2"/>
            <w:noWrap/>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9061" w:type="dxa"/>
            <w:gridSpan w:val="2"/>
            <w:noWrap/>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3、供应商是否为残疾人福利性单位：是（    ）    否（    ）</w:t>
            </w:r>
          </w:p>
        </w:tc>
      </w:tr>
    </w:tbl>
    <w:p>
      <w:pPr>
        <w:topLinePunct/>
        <w:snapToGrid w:val="0"/>
        <w:spacing w:before="4" w:line="360" w:lineRule="auto"/>
        <w:ind w:firstLine="240" w:firstLineChars="100"/>
        <w:rPr>
          <w:rFonts w:hint="eastAsia" w:ascii="宋体" w:hAnsi="宋体" w:cs="宋体"/>
          <w:color w:val="auto"/>
          <w:sz w:val="24"/>
          <w:szCs w:val="24"/>
          <w:lang w:val="en-US" w:eastAsia="zh-CN"/>
        </w:rPr>
      </w:pPr>
    </w:p>
    <w:p>
      <w:pPr>
        <w:spacing w:line="360" w:lineRule="auto"/>
        <w:rPr>
          <w:rFonts w:ascii="宋体" w:hAnsi="宋体" w:cs="宋体"/>
          <w:bCs/>
          <w:color w:val="auto"/>
          <w:sz w:val="24"/>
        </w:rPr>
      </w:pPr>
      <w:r>
        <w:rPr>
          <w:rFonts w:hint="eastAsia" w:ascii="宋体" w:hAnsi="宋体" w:cs="宋体"/>
          <w:bCs/>
          <w:color w:val="auto"/>
          <w:sz w:val="24"/>
        </w:rPr>
        <w:t>供应商全称（公章）：</w:t>
      </w:r>
    </w:p>
    <w:p>
      <w:pPr>
        <w:spacing w:line="360" w:lineRule="auto"/>
        <w:rPr>
          <w:rFonts w:ascii="宋体" w:hAnsi="宋体" w:cs="宋体"/>
          <w:color w:val="auto"/>
          <w:sz w:val="24"/>
        </w:rPr>
      </w:pPr>
      <w:r>
        <w:rPr>
          <w:rFonts w:hint="eastAsia" w:ascii="宋体" w:hAnsi="宋体" w:cs="宋体"/>
          <w:color w:val="auto"/>
          <w:sz w:val="24"/>
        </w:rPr>
        <w:t>法定代表人或被授权代表：</w:t>
      </w:r>
      <w:r>
        <w:rPr>
          <w:rFonts w:hint="eastAsia" w:ascii="宋体" w:hAnsi="宋体" w:cs="宋体"/>
          <w:iCs/>
          <w:color w:val="auto"/>
          <w:sz w:val="24"/>
          <w:szCs w:val="21"/>
        </w:rPr>
        <w:t>（签字或盖章）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注: </w:t>
      </w:r>
    </w:p>
    <w:p>
      <w:pPr>
        <w:spacing w:line="360" w:lineRule="auto"/>
        <w:ind w:firstLine="240" w:firstLineChars="100"/>
        <w:rPr>
          <w:rFonts w:ascii="宋体" w:hAnsi="宋体" w:cs="宋体"/>
          <w:color w:val="auto"/>
          <w:sz w:val="24"/>
        </w:rPr>
      </w:pPr>
      <w:r>
        <w:rPr>
          <w:rFonts w:hint="eastAsia" w:ascii="宋体" w:hAnsi="宋体" w:cs="宋体"/>
          <w:color w:val="auto"/>
          <w:sz w:val="24"/>
        </w:rPr>
        <w:t>1、报价一览表应准确填写，若报价一览表与响应文件不符时，以报价一览表为准；</w:t>
      </w:r>
    </w:p>
    <w:p>
      <w:pPr>
        <w:spacing w:line="360" w:lineRule="auto"/>
        <w:ind w:firstLine="240" w:firstLineChars="100"/>
        <w:rPr>
          <w:rFonts w:ascii="宋体" w:hAnsi="宋体" w:cs="宋体"/>
          <w:color w:val="auto"/>
          <w:sz w:val="24"/>
        </w:rPr>
      </w:pPr>
      <w:r>
        <w:rPr>
          <w:rFonts w:hint="eastAsia" w:ascii="宋体" w:hAnsi="宋体" w:cs="宋体"/>
          <w:color w:val="auto"/>
          <w:sz w:val="24"/>
        </w:rPr>
        <w:t>2、报价中必须包含相关</w:t>
      </w:r>
      <w:r>
        <w:rPr>
          <w:rFonts w:hint="eastAsia" w:ascii="宋体" w:hAnsi="宋体" w:cs="宋体"/>
          <w:color w:val="auto"/>
          <w:sz w:val="24"/>
          <w:lang w:val="en-US" w:eastAsia="zh-CN"/>
        </w:rPr>
        <w:t>配送</w:t>
      </w:r>
      <w:r>
        <w:rPr>
          <w:rFonts w:hint="eastAsia" w:ascii="宋体" w:hAnsi="宋体" w:cs="宋体"/>
          <w:color w:val="auto"/>
          <w:sz w:val="24"/>
        </w:rPr>
        <w:t>费用、后续服务及其他所有费用等完成该项目全部内容的一切费用。所有价格均应以人民币报价，金额单位为元。</w:t>
      </w:r>
    </w:p>
    <w:p>
      <w:pPr>
        <w:spacing w:line="360" w:lineRule="auto"/>
        <w:ind w:firstLine="240" w:firstLineChars="100"/>
        <w:rPr>
          <w:rFonts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spacing w:line="360" w:lineRule="auto"/>
        <w:ind w:firstLine="240" w:firstLineChars="100"/>
        <w:rPr>
          <w:rFonts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GB"/>
        </w:rPr>
        <w:t>此表是响应文件的必要文件，是响应文件的组成部分。</w:t>
      </w:r>
    </w:p>
    <w:p>
      <w:pPr>
        <w:spacing w:line="360" w:lineRule="auto"/>
        <w:ind w:firstLine="240" w:firstLineChars="100"/>
        <w:rPr>
          <w:rFonts w:hint="eastAsia" w:ascii="宋体" w:hAnsi="宋体" w:cs="宋体"/>
          <w:color w:val="auto"/>
          <w:sz w:val="24"/>
        </w:rPr>
      </w:pPr>
      <w:r>
        <w:rPr>
          <w:rFonts w:hint="eastAsia" w:ascii="宋体" w:hAnsi="宋体" w:cs="宋体"/>
          <w:color w:val="auto"/>
          <w:sz w:val="24"/>
        </w:rPr>
        <w:t>5、此表为表样，行数可自行添加，但表式不变。</w:t>
      </w:r>
    </w:p>
    <w:p>
      <w:pPr>
        <w:rPr>
          <w:rFonts w:hint="eastAsia" w:ascii="宋体" w:hAnsi="宋体" w:cs="宋体"/>
          <w:color w:val="auto"/>
          <w:sz w:val="24"/>
        </w:rPr>
      </w:pPr>
      <w:r>
        <w:rPr>
          <w:rFonts w:hint="eastAsia" w:ascii="宋体" w:hAnsi="宋体" w:cs="宋体"/>
          <w:color w:val="auto"/>
          <w:sz w:val="24"/>
        </w:rPr>
        <w:br w:type="page"/>
      </w:r>
    </w:p>
    <w:p>
      <w:pPr>
        <w:pStyle w:val="20"/>
        <w:jc w:val="center"/>
        <w:rPr>
          <w:rFonts w:ascii="宋体" w:hAnsi="宋体" w:cs="宋体"/>
          <w:b/>
          <w:smallCaps w:val="0"/>
          <w:color w:val="auto"/>
          <w:sz w:val="28"/>
          <w:szCs w:val="28"/>
        </w:rPr>
      </w:pPr>
      <w:r>
        <w:rPr>
          <w:rFonts w:hint="eastAsia" w:ascii="宋体" w:hAnsi="宋体" w:cs="宋体"/>
          <w:b/>
          <w:smallCaps w:val="0"/>
          <w:color w:val="auto"/>
          <w:sz w:val="28"/>
          <w:szCs w:val="28"/>
        </w:rPr>
        <w:t>3.1报价明细表</w:t>
      </w:r>
    </w:p>
    <w:p>
      <w:pPr>
        <w:topLinePunct/>
        <w:snapToGrid w:val="0"/>
        <w:spacing w:before="4" w:line="360" w:lineRule="auto"/>
        <w:ind w:firstLine="240" w:firstLineChars="100"/>
        <w:rPr>
          <w:rFonts w:ascii="宋体" w:hAnsi="宋体"/>
          <w:color w:val="auto"/>
          <w:sz w:val="24"/>
        </w:rPr>
      </w:pPr>
      <w:bookmarkStart w:id="693" w:name="_Toc15018"/>
    </w:p>
    <w:p>
      <w:pPr>
        <w:topLinePunct/>
        <w:snapToGrid w:val="0"/>
        <w:spacing w:before="4" w:line="360" w:lineRule="auto"/>
        <w:ind w:firstLine="240" w:firstLineChars="100"/>
        <w:rPr>
          <w:rFonts w:ascii="宋体" w:hAnsi="宋体"/>
          <w:color w:val="auto"/>
          <w:sz w:val="24"/>
        </w:rPr>
      </w:pPr>
      <w:r>
        <w:rPr>
          <w:rFonts w:hint="eastAsia" w:ascii="宋体" w:hAnsi="宋体"/>
          <w:color w:val="auto"/>
          <w:sz w:val="24"/>
        </w:rPr>
        <w:t>项目名称：</w:t>
      </w:r>
      <w:bookmarkEnd w:id="693"/>
    </w:p>
    <w:p>
      <w:pPr>
        <w:topLinePunct/>
        <w:snapToGrid w:val="0"/>
        <w:spacing w:before="4" w:line="360" w:lineRule="auto"/>
        <w:ind w:firstLine="240" w:firstLineChars="100"/>
        <w:rPr>
          <w:rFonts w:ascii="宋体" w:hAnsi="宋体"/>
          <w:color w:val="auto"/>
          <w:sz w:val="24"/>
        </w:rPr>
      </w:pPr>
      <w:bookmarkStart w:id="694" w:name="_Toc4990"/>
      <w:r>
        <w:rPr>
          <w:rFonts w:hint="eastAsia" w:ascii="宋体" w:hAnsi="宋体"/>
          <w:color w:val="auto"/>
          <w:sz w:val="24"/>
        </w:rPr>
        <w:t>项目编号、包号：</w:t>
      </w:r>
      <w:bookmarkEnd w:id="694"/>
    </w:p>
    <w:p>
      <w:pPr>
        <w:rPr>
          <w:rFonts w:ascii="宋体" w:hAnsi="宋体" w:cs="宋体"/>
          <w:bCs/>
          <w:color w:val="auto"/>
          <w:sz w:val="24"/>
        </w:rPr>
      </w:pPr>
    </w:p>
    <w:tbl>
      <w:tblPr>
        <w:tblStyle w:val="25"/>
        <w:tblW w:w="9000" w:type="dxa"/>
        <w:jc w:val="center"/>
        <w:tblLayout w:type="fixed"/>
        <w:tblCellMar>
          <w:top w:w="0" w:type="dxa"/>
          <w:left w:w="30" w:type="dxa"/>
          <w:bottom w:w="0" w:type="dxa"/>
          <w:right w:w="30" w:type="dxa"/>
        </w:tblCellMar>
      </w:tblPr>
      <w:tblGrid>
        <w:gridCol w:w="720"/>
        <w:gridCol w:w="1800"/>
        <w:gridCol w:w="1800"/>
        <w:gridCol w:w="900"/>
        <w:gridCol w:w="720"/>
        <w:gridCol w:w="1260"/>
        <w:gridCol w:w="1080"/>
        <w:gridCol w:w="720"/>
      </w:tblGrid>
      <w:tr>
        <w:tblPrEx>
          <w:tblCellMar>
            <w:top w:w="0" w:type="dxa"/>
            <w:left w:w="30" w:type="dxa"/>
            <w:bottom w:w="0" w:type="dxa"/>
            <w:right w:w="30" w:type="dxa"/>
          </w:tblCellMar>
        </w:tblPrEx>
        <w:trPr>
          <w:trHeight w:val="994"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rPr>
            </w:pPr>
            <w:r>
              <w:rPr>
                <w:rFonts w:hint="eastAsia" w:ascii="宋体" w:hAnsi="宋体" w:cs="宋体"/>
                <w:color w:val="auto"/>
                <w:sz w:val="24"/>
              </w:rPr>
              <w:br w:type="page"/>
            </w:r>
            <w:r>
              <w:rPr>
                <w:rFonts w:hint="eastAsia" w:ascii="宋体" w:hAnsi="宋体" w:cs="宋体"/>
                <w:b/>
                <w:color w:val="auto"/>
                <w:sz w:val="24"/>
              </w:rPr>
              <w:t>序号</w:t>
            </w:r>
          </w:p>
        </w:tc>
        <w:tc>
          <w:tcPr>
            <w:tcW w:w="18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firstLine="120" w:firstLineChars="50"/>
              <w:jc w:val="center"/>
              <w:rPr>
                <w:rFonts w:hint="default" w:ascii="宋体" w:hAnsi="宋体" w:cs="宋体"/>
                <w:b/>
                <w:color w:val="auto"/>
                <w:sz w:val="24"/>
              </w:rPr>
            </w:pPr>
          </w:p>
          <w:p>
            <w:pPr>
              <w:keepNext w:val="0"/>
              <w:keepLines w:val="0"/>
              <w:suppressLineNumbers w:val="0"/>
              <w:spacing w:before="0" w:beforeAutospacing="0" w:after="0" w:afterAutospacing="0"/>
              <w:ind w:left="0" w:right="0" w:firstLine="120" w:firstLineChars="50"/>
              <w:jc w:val="center"/>
              <w:rPr>
                <w:rFonts w:hint="default" w:ascii="宋体" w:hAnsi="宋体" w:cs="宋体"/>
                <w:b/>
                <w:color w:val="auto"/>
                <w:sz w:val="24"/>
              </w:rPr>
            </w:pPr>
            <w:r>
              <w:rPr>
                <w:rFonts w:hint="eastAsia" w:ascii="宋体" w:hAnsi="宋体" w:cs="宋体"/>
                <w:b/>
                <w:color w:val="auto"/>
                <w:sz w:val="24"/>
              </w:rPr>
              <w:t>货物名称</w:t>
            </w:r>
          </w:p>
          <w:p>
            <w:pPr>
              <w:keepNext w:val="0"/>
              <w:keepLines w:val="0"/>
              <w:suppressLineNumbers w:val="0"/>
              <w:spacing w:before="0" w:beforeAutospacing="0" w:after="0" w:afterAutospacing="0"/>
              <w:ind w:left="0" w:right="0"/>
              <w:jc w:val="center"/>
              <w:rPr>
                <w:rFonts w:hint="default" w:ascii="宋体" w:hAnsi="宋体" w:cs="宋体"/>
                <w:color w:val="auto"/>
                <w:sz w:val="24"/>
              </w:rPr>
            </w:pPr>
          </w:p>
        </w:tc>
        <w:tc>
          <w:tcPr>
            <w:tcW w:w="18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rPr>
            </w:pPr>
            <w:r>
              <w:rPr>
                <w:rFonts w:hint="eastAsia" w:ascii="宋体" w:hAnsi="宋体" w:cs="宋体"/>
                <w:b/>
                <w:color w:val="auto"/>
                <w:sz w:val="24"/>
              </w:rPr>
              <w:t>品牌、规格</w:t>
            </w:r>
          </w:p>
          <w:p>
            <w:pPr>
              <w:keepNext w:val="0"/>
              <w:keepLines w:val="0"/>
              <w:suppressLineNumbers w:val="0"/>
              <w:spacing w:before="0" w:beforeAutospacing="0" w:after="0" w:afterAutospacing="0"/>
              <w:ind w:left="0" w:right="0" w:firstLine="241" w:firstLineChars="100"/>
              <w:jc w:val="center"/>
              <w:rPr>
                <w:rFonts w:hint="default" w:ascii="宋体" w:hAnsi="宋体" w:cs="宋体"/>
                <w:color w:val="auto"/>
                <w:sz w:val="24"/>
              </w:rPr>
            </w:pPr>
            <w:r>
              <w:rPr>
                <w:rFonts w:hint="eastAsia" w:ascii="宋体" w:hAnsi="宋体" w:cs="宋体"/>
                <w:b/>
                <w:color w:val="auto"/>
                <w:sz w:val="24"/>
              </w:rPr>
              <w:t>型号、产地</w:t>
            </w:r>
          </w:p>
        </w:tc>
        <w:tc>
          <w:tcPr>
            <w:tcW w:w="9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93" w:beforeLines="30" w:beforeAutospacing="0" w:after="93" w:afterLines="30" w:afterAutospacing="0" w:line="400" w:lineRule="exact"/>
              <w:ind w:left="0" w:right="0"/>
              <w:jc w:val="center"/>
              <w:rPr>
                <w:rFonts w:hint="default" w:ascii="宋体" w:hAnsi="宋体" w:cs="宋体"/>
                <w:color w:val="auto"/>
                <w:sz w:val="24"/>
              </w:rPr>
            </w:pPr>
            <w:r>
              <w:rPr>
                <w:rFonts w:hint="eastAsia" w:ascii="宋体" w:hAnsi="宋体" w:cs="宋体"/>
                <w:b/>
                <w:color w:val="auto"/>
                <w:sz w:val="24"/>
              </w:rPr>
              <w:t>单价（元）</w:t>
            </w:r>
          </w:p>
        </w:tc>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93" w:beforeLines="30" w:beforeAutospacing="0" w:after="93" w:afterLines="30" w:afterAutospacing="0" w:line="400" w:lineRule="exact"/>
              <w:ind w:left="0" w:right="0"/>
              <w:jc w:val="center"/>
              <w:rPr>
                <w:rFonts w:hint="default" w:ascii="宋体" w:hAnsi="宋体" w:cs="宋体"/>
                <w:color w:val="auto"/>
                <w:sz w:val="24"/>
              </w:rPr>
            </w:pPr>
            <w:r>
              <w:rPr>
                <w:rFonts w:hint="eastAsia" w:ascii="宋体" w:hAnsi="宋体" w:cs="宋体"/>
                <w:b/>
                <w:color w:val="auto"/>
                <w:sz w:val="24"/>
              </w:rPr>
              <w:t>数量</w:t>
            </w:r>
          </w:p>
        </w:tc>
        <w:tc>
          <w:tcPr>
            <w:tcW w:w="126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93" w:beforeLines="30" w:beforeAutospacing="0" w:after="93" w:afterLines="30" w:afterAutospacing="0" w:line="400" w:lineRule="exact"/>
              <w:ind w:left="0" w:right="0"/>
              <w:jc w:val="center"/>
              <w:rPr>
                <w:rFonts w:hint="default" w:ascii="宋体" w:hAnsi="宋体" w:cs="宋体"/>
                <w:color w:val="auto"/>
                <w:sz w:val="24"/>
              </w:rPr>
            </w:pPr>
            <w:r>
              <w:rPr>
                <w:rFonts w:hint="eastAsia" w:ascii="宋体" w:hAnsi="宋体" w:cs="宋体"/>
                <w:b/>
                <w:color w:val="auto"/>
                <w:sz w:val="24"/>
              </w:rPr>
              <w:t>单位</w:t>
            </w:r>
          </w:p>
        </w:tc>
        <w:tc>
          <w:tcPr>
            <w:tcW w:w="108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93" w:beforeLines="30" w:beforeAutospacing="0" w:after="93" w:afterLines="30" w:afterAutospacing="0" w:line="400" w:lineRule="exact"/>
              <w:ind w:left="0" w:right="0"/>
              <w:jc w:val="center"/>
              <w:rPr>
                <w:rFonts w:hint="default" w:ascii="宋体" w:hAnsi="宋体" w:cs="宋体"/>
                <w:b/>
                <w:color w:val="auto"/>
                <w:sz w:val="24"/>
              </w:rPr>
            </w:pPr>
            <w:r>
              <w:rPr>
                <w:rFonts w:hint="eastAsia" w:ascii="宋体" w:hAnsi="宋体" w:cs="宋体"/>
                <w:b/>
                <w:color w:val="auto"/>
                <w:sz w:val="24"/>
              </w:rPr>
              <w:t>合计</w:t>
            </w:r>
          </w:p>
          <w:p>
            <w:pPr>
              <w:keepNext w:val="0"/>
              <w:keepLines w:val="0"/>
              <w:suppressLineNumbers w:val="0"/>
              <w:autoSpaceDE w:val="0"/>
              <w:autoSpaceDN w:val="0"/>
              <w:adjustRightInd w:val="0"/>
              <w:spacing w:before="93" w:beforeLines="30" w:beforeAutospacing="0" w:after="93" w:afterLines="30" w:afterAutospacing="0" w:line="400" w:lineRule="exact"/>
              <w:ind w:left="0" w:right="0"/>
              <w:jc w:val="center"/>
              <w:rPr>
                <w:rFonts w:hint="default" w:ascii="宋体" w:hAnsi="宋体" w:cs="宋体"/>
                <w:color w:val="auto"/>
                <w:sz w:val="24"/>
              </w:rPr>
            </w:pPr>
            <w:r>
              <w:rPr>
                <w:rFonts w:hint="eastAsia" w:ascii="宋体" w:hAnsi="宋体" w:cs="宋体"/>
                <w:b/>
                <w:color w:val="auto"/>
                <w:sz w:val="24"/>
              </w:rPr>
              <w:t>（元）</w:t>
            </w:r>
          </w:p>
        </w:tc>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93" w:beforeLines="30" w:beforeAutospacing="0" w:after="93" w:afterLines="30" w:afterAutospacing="0" w:line="400" w:lineRule="exact"/>
              <w:ind w:left="0" w:right="0"/>
              <w:jc w:val="center"/>
              <w:rPr>
                <w:rFonts w:hint="default" w:ascii="宋体" w:hAnsi="宋体" w:cs="宋体"/>
                <w:color w:val="auto"/>
                <w:sz w:val="24"/>
              </w:rPr>
            </w:pPr>
            <w:r>
              <w:rPr>
                <w:rFonts w:hint="eastAsia" w:ascii="宋体" w:hAnsi="宋体" w:cs="宋体"/>
                <w:b/>
                <w:color w:val="auto"/>
                <w:sz w:val="24"/>
              </w:rPr>
              <w:t>备注</w:t>
            </w:r>
          </w:p>
        </w:tc>
      </w:tr>
      <w:tr>
        <w:tblPrEx>
          <w:tblCellMar>
            <w:top w:w="0" w:type="dxa"/>
            <w:left w:w="30" w:type="dxa"/>
            <w:bottom w:w="0" w:type="dxa"/>
            <w:right w:w="30" w:type="dxa"/>
          </w:tblCellMar>
        </w:tblPrEx>
        <w:trPr>
          <w:trHeight w:val="520"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1</w:t>
            </w:r>
          </w:p>
        </w:tc>
        <w:tc>
          <w:tcPr>
            <w:tcW w:w="1800" w:type="dxa"/>
            <w:tcBorders>
              <w:top w:val="single" w:color="auto" w:sz="8" w:space="0"/>
              <w:left w:val="single" w:color="auto" w:sz="8" w:space="0"/>
              <w:bottom w:val="single" w:color="auto" w:sz="8" w:space="0"/>
              <w:right w:val="single" w:color="auto" w:sz="8" w:space="0"/>
            </w:tcBorders>
            <w:noWrap/>
            <w:vAlign w:val="bottom"/>
          </w:tcPr>
          <w:p>
            <w:pPr>
              <w:keepNext w:val="0"/>
              <w:keepLines w:val="0"/>
              <w:suppressLineNumbers w:val="0"/>
              <w:spacing w:before="0" w:beforeAutospacing="0" w:after="0" w:afterAutospacing="0"/>
              <w:ind w:left="0" w:right="0"/>
              <w:rPr>
                <w:rFonts w:hint="default" w:ascii="宋体" w:hAnsi="宋体" w:cs="宋体"/>
                <w:color w:val="auto"/>
                <w:szCs w:val="21"/>
              </w:rPr>
            </w:pPr>
          </w:p>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90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08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r>
      <w:tr>
        <w:tblPrEx>
          <w:tblCellMar>
            <w:top w:w="0" w:type="dxa"/>
            <w:left w:w="30" w:type="dxa"/>
            <w:bottom w:w="0" w:type="dxa"/>
            <w:right w:w="30" w:type="dxa"/>
          </w:tblCellMar>
        </w:tblPrEx>
        <w:trPr>
          <w:trHeight w:val="574"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2</w:t>
            </w:r>
          </w:p>
        </w:tc>
        <w:tc>
          <w:tcPr>
            <w:tcW w:w="1800" w:type="dxa"/>
            <w:tcBorders>
              <w:top w:val="single" w:color="auto" w:sz="8" w:space="0"/>
              <w:left w:val="single" w:color="auto" w:sz="8" w:space="0"/>
              <w:bottom w:val="single" w:color="auto" w:sz="8" w:space="0"/>
              <w:right w:val="single" w:color="auto" w:sz="8" w:space="0"/>
            </w:tcBorders>
            <w:noWrap/>
            <w:vAlign w:val="bottom"/>
          </w:tcPr>
          <w:p>
            <w:pPr>
              <w:keepNext w:val="0"/>
              <w:keepLines w:val="0"/>
              <w:suppressLineNumbers w:val="0"/>
              <w:spacing w:before="0" w:beforeAutospacing="0" w:after="0" w:afterAutospacing="0"/>
              <w:ind w:left="0" w:right="0"/>
              <w:rPr>
                <w:rFonts w:hint="default" w:ascii="宋体" w:hAnsi="宋体" w:cs="宋体"/>
                <w:color w:val="auto"/>
                <w:szCs w:val="21"/>
              </w:rPr>
            </w:pPr>
          </w:p>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90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08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3</w:t>
            </w:r>
          </w:p>
        </w:tc>
        <w:tc>
          <w:tcPr>
            <w:tcW w:w="1800" w:type="dxa"/>
            <w:tcBorders>
              <w:top w:val="single" w:color="auto" w:sz="8" w:space="0"/>
              <w:left w:val="single" w:color="auto" w:sz="8" w:space="0"/>
              <w:bottom w:val="single" w:color="auto" w:sz="8" w:space="0"/>
              <w:right w:val="single" w:color="auto" w:sz="8" w:space="0"/>
            </w:tcBorders>
            <w:noWrap/>
            <w:vAlign w:val="bottom"/>
          </w:tcPr>
          <w:p>
            <w:pPr>
              <w:keepNext w:val="0"/>
              <w:keepLines w:val="0"/>
              <w:suppressLineNumbers w:val="0"/>
              <w:spacing w:before="0" w:beforeAutospacing="0" w:after="0" w:afterAutospacing="0"/>
              <w:ind w:left="0" w:right="0"/>
              <w:rPr>
                <w:rFonts w:hint="default" w:ascii="宋体" w:hAnsi="宋体" w:cs="宋体"/>
                <w:color w:val="auto"/>
                <w:szCs w:val="21"/>
              </w:rPr>
            </w:pPr>
          </w:p>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90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08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ign w:val="bottom"/>
          </w:tcPr>
          <w:p>
            <w:pPr>
              <w:keepNext w:val="0"/>
              <w:keepLines w:val="0"/>
              <w:suppressLineNumbers w:val="0"/>
              <w:spacing w:before="0" w:beforeAutospacing="0" w:after="0" w:afterAutospacing="0"/>
              <w:ind w:left="0" w:right="0"/>
              <w:rPr>
                <w:rFonts w:hint="default" w:ascii="宋体" w:hAnsi="宋体" w:cs="宋体"/>
                <w:b/>
                <w:color w:val="auto"/>
                <w:szCs w:val="21"/>
              </w:rPr>
            </w:pPr>
            <w:r>
              <w:rPr>
                <w:rFonts w:hint="eastAsia" w:ascii="宋体" w:hAnsi="宋体" w:cs="宋体"/>
                <w:b/>
                <w:color w:val="auto"/>
                <w:szCs w:val="21"/>
              </w:rPr>
              <w:t>……</w:t>
            </w:r>
          </w:p>
        </w:tc>
        <w:tc>
          <w:tcPr>
            <w:tcW w:w="180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90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08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720" w:type="dxa"/>
            <w:tcBorders>
              <w:top w:val="single" w:color="auto" w:sz="8" w:space="0"/>
              <w:left w:val="single" w:color="auto" w:sz="8" w:space="0"/>
              <w:bottom w:val="single" w:color="auto" w:sz="8"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4"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color w:val="auto"/>
                <w:szCs w:val="21"/>
              </w:rPr>
            </w:pPr>
          </w:p>
        </w:tc>
        <w:tc>
          <w:tcPr>
            <w:tcW w:w="1800" w:type="dxa"/>
            <w:tcBorders>
              <w:top w:val="single" w:color="auto" w:sz="8" w:space="0"/>
              <w:left w:val="single" w:color="auto" w:sz="8" w:space="0"/>
              <w:bottom w:val="single" w:color="auto" w:sz="4"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b/>
                <w:color w:val="auto"/>
                <w:szCs w:val="21"/>
              </w:rPr>
            </w:pPr>
            <w:r>
              <w:rPr>
                <w:rFonts w:hint="eastAsia" w:ascii="宋体" w:hAnsi="宋体" w:cs="宋体"/>
                <w:b/>
                <w:color w:val="auto"/>
                <w:szCs w:val="21"/>
              </w:rPr>
              <w:t>其它</w:t>
            </w:r>
          </w:p>
        </w:tc>
        <w:tc>
          <w:tcPr>
            <w:tcW w:w="1800" w:type="dxa"/>
            <w:tcBorders>
              <w:top w:val="single" w:color="auto" w:sz="8" w:space="0"/>
              <w:left w:val="single" w:color="auto" w:sz="8" w:space="0"/>
              <w:bottom w:val="single" w:color="auto" w:sz="4"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900" w:type="dxa"/>
            <w:tcBorders>
              <w:top w:val="single" w:color="auto" w:sz="8" w:space="0"/>
              <w:left w:val="single" w:color="auto" w:sz="8" w:space="0"/>
              <w:bottom w:val="single" w:color="auto" w:sz="4"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720" w:type="dxa"/>
            <w:tcBorders>
              <w:top w:val="single" w:color="auto" w:sz="8" w:space="0"/>
              <w:left w:val="single" w:color="auto" w:sz="8" w:space="0"/>
              <w:bottom w:val="single" w:color="auto" w:sz="4" w:space="0"/>
              <w:right w:val="single" w:color="auto" w:sz="8" w:space="0"/>
            </w:tcBorders>
            <w:noWrap/>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1260" w:type="dxa"/>
            <w:tcBorders>
              <w:top w:val="single" w:color="auto" w:sz="8" w:space="0"/>
              <w:left w:val="single" w:color="auto" w:sz="8" w:space="0"/>
              <w:bottom w:val="single" w:color="auto" w:sz="4" w:space="0"/>
              <w:right w:val="single" w:color="auto" w:sz="8" w:space="0"/>
            </w:tcBorders>
            <w:noWrap/>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1080" w:type="dxa"/>
            <w:tcBorders>
              <w:top w:val="single" w:color="auto" w:sz="8" w:space="0"/>
              <w:left w:val="single" w:color="auto" w:sz="8" w:space="0"/>
              <w:bottom w:val="single" w:color="auto" w:sz="4"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720" w:type="dxa"/>
            <w:tcBorders>
              <w:top w:val="single" w:color="auto" w:sz="8" w:space="0"/>
              <w:left w:val="single" w:color="auto" w:sz="8" w:space="0"/>
              <w:bottom w:val="single" w:color="auto" w:sz="4" w:space="0"/>
              <w:right w:val="single" w:color="auto" w:sz="8" w:space="0"/>
            </w:tcBorders>
            <w:noWrap/>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2520" w:type="dxa"/>
            <w:gridSpan w:val="2"/>
            <w:tcBorders>
              <w:top w:val="single" w:color="auto" w:sz="4" w:space="0"/>
              <w:left w:val="single" w:color="auto" w:sz="4"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rPr>
                <w:rFonts w:hint="default" w:ascii="宋体" w:hAnsi="宋体" w:cs="宋体"/>
                <w:color w:val="auto"/>
                <w:szCs w:val="21"/>
              </w:rPr>
            </w:pPr>
            <w:r>
              <w:rPr>
                <w:rFonts w:hint="eastAsia" w:ascii="宋体" w:hAnsi="宋体" w:cs="宋体"/>
                <w:b/>
                <w:color w:val="auto"/>
                <w:szCs w:val="21"/>
              </w:rPr>
              <w:t>报价总额（小写）</w:t>
            </w:r>
          </w:p>
        </w:tc>
        <w:tc>
          <w:tcPr>
            <w:tcW w:w="3420" w:type="dxa"/>
            <w:gridSpan w:val="3"/>
            <w:tcBorders>
              <w:top w:val="single" w:color="auto" w:sz="4" w:space="0"/>
              <w:left w:val="single" w:color="auto" w:sz="8" w:space="0"/>
              <w:bottom w:val="single" w:color="auto" w:sz="8"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3060" w:type="dxa"/>
            <w:gridSpan w:val="3"/>
            <w:vMerge w:val="restart"/>
            <w:tcBorders>
              <w:top w:val="single" w:color="auto" w:sz="4" w:space="0"/>
              <w:left w:val="single" w:color="auto" w:sz="8"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大小写应一致</w:t>
            </w:r>
          </w:p>
        </w:tc>
      </w:tr>
      <w:tr>
        <w:tblPrEx>
          <w:tblCellMar>
            <w:top w:w="0" w:type="dxa"/>
            <w:left w:w="30" w:type="dxa"/>
            <w:bottom w:w="0" w:type="dxa"/>
            <w:right w:w="30" w:type="dxa"/>
          </w:tblCellMar>
        </w:tblPrEx>
        <w:trPr>
          <w:trHeight w:val="579" w:hRule="exact"/>
          <w:jc w:val="center"/>
        </w:trPr>
        <w:tc>
          <w:tcPr>
            <w:tcW w:w="2520" w:type="dxa"/>
            <w:gridSpan w:val="2"/>
            <w:tcBorders>
              <w:top w:val="single" w:color="auto" w:sz="8" w:space="0"/>
              <w:left w:val="single" w:color="auto" w:sz="4" w:space="0"/>
              <w:bottom w:val="single" w:color="auto" w:sz="4"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rPr>
                <w:rFonts w:hint="default" w:ascii="宋体" w:hAnsi="宋体" w:cs="宋体"/>
                <w:color w:val="auto"/>
                <w:szCs w:val="21"/>
              </w:rPr>
            </w:pPr>
            <w:r>
              <w:rPr>
                <w:rFonts w:hint="eastAsia" w:ascii="宋体" w:hAnsi="宋体" w:cs="宋体"/>
                <w:b/>
                <w:color w:val="auto"/>
                <w:szCs w:val="21"/>
              </w:rPr>
              <w:t>报价总额（大写）</w:t>
            </w:r>
          </w:p>
        </w:tc>
        <w:tc>
          <w:tcPr>
            <w:tcW w:w="3420" w:type="dxa"/>
            <w:gridSpan w:val="3"/>
            <w:tcBorders>
              <w:top w:val="single" w:color="auto" w:sz="8" w:space="0"/>
              <w:left w:val="single" w:color="auto" w:sz="8" w:space="0"/>
              <w:bottom w:val="single" w:color="auto" w:sz="4" w:space="0"/>
              <w:right w:val="single" w:color="auto" w:sz="8" w:space="0"/>
            </w:tcBorders>
            <w:noWrap/>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hAnsi="宋体" w:cs="宋体"/>
                <w:color w:val="auto"/>
                <w:szCs w:val="21"/>
              </w:rPr>
            </w:pPr>
          </w:p>
        </w:tc>
        <w:tc>
          <w:tcPr>
            <w:tcW w:w="3060" w:type="dxa"/>
            <w:gridSpan w:val="3"/>
            <w:vMerge w:val="continue"/>
            <w:tcBorders>
              <w:left w:val="single" w:color="auto" w:sz="8" w:space="0"/>
              <w:bottom w:val="single" w:color="auto" w:sz="4" w:space="0"/>
              <w:right w:val="single" w:color="auto" w:sz="4" w:space="0"/>
            </w:tcBorders>
            <w:noWrap/>
          </w:tcPr>
          <w:p>
            <w:pPr>
              <w:keepNext w:val="0"/>
              <w:keepLines w:val="0"/>
              <w:suppressLineNumbers w:val="0"/>
              <w:spacing w:before="0" w:beforeAutospacing="0" w:after="0" w:afterAutospacing="0"/>
              <w:ind w:left="0" w:right="0"/>
              <w:rPr>
                <w:rFonts w:hint="default" w:ascii="宋体" w:hAnsi="宋体" w:cs="宋体"/>
                <w:color w:val="auto"/>
                <w:szCs w:val="21"/>
              </w:rPr>
            </w:pPr>
          </w:p>
        </w:tc>
      </w:tr>
    </w:tbl>
    <w:p>
      <w:pPr>
        <w:topLinePunct/>
        <w:snapToGrid w:val="0"/>
        <w:spacing w:before="4" w:line="360" w:lineRule="auto"/>
        <w:ind w:firstLine="241" w:firstLineChars="100"/>
        <w:rPr>
          <w:rFonts w:ascii="宋体" w:hAnsi="宋体"/>
          <w:b/>
          <w:bCs/>
          <w:color w:val="auto"/>
          <w:sz w:val="24"/>
        </w:rPr>
      </w:pPr>
    </w:p>
    <w:p>
      <w:pPr>
        <w:topLinePunct/>
        <w:snapToGrid w:val="0"/>
        <w:spacing w:before="4" w:line="360" w:lineRule="auto"/>
        <w:ind w:firstLine="241" w:firstLineChars="100"/>
        <w:rPr>
          <w:rFonts w:ascii="宋体" w:hAnsi="宋体"/>
          <w:b/>
          <w:bCs/>
          <w:color w:val="auto"/>
          <w:sz w:val="24"/>
        </w:rPr>
      </w:pPr>
      <w:r>
        <w:rPr>
          <w:rFonts w:hint="eastAsia" w:ascii="宋体" w:hAnsi="宋体"/>
          <w:b/>
          <w:bCs/>
          <w:color w:val="auto"/>
          <w:sz w:val="24"/>
        </w:rPr>
        <w:t>供应商名称（盖公章） ：</w:t>
      </w:r>
    </w:p>
    <w:p>
      <w:pPr>
        <w:topLinePunct/>
        <w:snapToGrid w:val="0"/>
        <w:spacing w:before="4" w:line="360" w:lineRule="auto"/>
        <w:ind w:firstLine="241" w:firstLineChars="100"/>
        <w:rPr>
          <w:rFonts w:ascii="宋体" w:hAnsi="宋体"/>
          <w:b/>
          <w:bCs/>
          <w:color w:val="auto"/>
          <w:sz w:val="24"/>
        </w:rPr>
      </w:pPr>
      <w:r>
        <w:rPr>
          <w:rFonts w:hint="eastAsia" w:ascii="宋体" w:hAnsi="宋体"/>
          <w:b/>
          <w:bCs/>
          <w:color w:val="auto"/>
          <w:sz w:val="24"/>
        </w:rPr>
        <w:t>法定代表人或其委托代理人（签名或盖章）：</w:t>
      </w:r>
    </w:p>
    <w:p>
      <w:pPr>
        <w:widowControl/>
        <w:jc w:val="left"/>
        <w:rPr>
          <w:rFonts w:ascii="宋体" w:hAnsi="宋体" w:cs="宋体"/>
          <w:b/>
          <w:color w:val="auto"/>
          <w:kern w:val="0"/>
          <w:szCs w:val="21"/>
        </w:rPr>
      </w:pPr>
    </w:p>
    <w:p>
      <w:pPr>
        <w:widowControl/>
        <w:jc w:val="left"/>
        <w:rPr>
          <w:rFonts w:ascii="宋体" w:hAnsi="宋体" w:cs="宋体"/>
          <w:b/>
          <w:color w:val="auto"/>
          <w:kern w:val="0"/>
          <w:szCs w:val="21"/>
        </w:rPr>
      </w:pPr>
    </w:p>
    <w:p>
      <w:pPr>
        <w:topLinePunct/>
        <w:snapToGrid w:val="0"/>
        <w:spacing w:before="4" w:line="360" w:lineRule="auto"/>
        <w:ind w:firstLine="240" w:firstLineChars="100"/>
        <w:rPr>
          <w:rFonts w:ascii="宋体" w:hAnsi="宋体"/>
          <w:color w:val="auto"/>
          <w:sz w:val="24"/>
        </w:rPr>
      </w:pPr>
      <w:r>
        <w:rPr>
          <w:rFonts w:hint="eastAsia" w:ascii="宋体" w:hAnsi="宋体"/>
          <w:color w:val="auto"/>
          <w:sz w:val="24"/>
        </w:rPr>
        <w:t xml:space="preserve">注：1.供应商应按“分项报价明细表”的格式详细报出投标总价的各个组成部分的报价。 </w:t>
      </w:r>
    </w:p>
    <w:p>
      <w:pPr>
        <w:topLinePunct/>
        <w:snapToGrid w:val="0"/>
        <w:spacing w:before="4" w:line="360" w:lineRule="auto"/>
        <w:ind w:firstLine="720" w:firstLineChars="300"/>
        <w:rPr>
          <w:rFonts w:ascii="宋体" w:hAnsi="宋体"/>
          <w:color w:val="auto"/>
          <w:sz w:val="24"/>
        </w:rPr>
      </w:pPr>
      <w:r>
        <w:rPr>
          <w:rFonts w:hint="eastAsia" w:ascii="宋体" w:hAnsi="宋体"/>
          <w:color w:val="auto"/>
          <w:sz w:val="24"/>
        </w:rPr>
        <w:t>2.“分项报价明细表”各分项报价合计应当与“开标一览表”报价合计相等。</w:t>
      </w:r>
    </w:p>
    <w:p>
      <w:pPr>
        <w:topLinePunct/>
        <w:snapToGrid w:val="0"/>
        <w:spacing w:before="4" w:line="360" w:lineRule="auto"/>
        <w:ind w:firstLine="720" w:firstLineChars="300"/>
        <w:rPr>
          <w:b/>
          <w:bCs/>
          <w:color w:val="auto"/>
        </w:rPr>
      </w:pPr>
      <w:r>
        <w:rPr>
          <w:rFonts w:ascii="宋体" w:hAnsi="宋体"/>
          <w:color w:val="auto"/>
          <w:sz w:val="24"/>
        </w:rPr>
        <w:t>3</w:t>
      </w:r>
      <w:r>
        <w:rPr>
          <w:rFonts w:hint="eastAsia" w:ascii="宋体" w:hAnsi="宋体"/>
          <w:color w:val="auto"/>
          <w:sz w:val="24"/>
        </w:rPr>
        <w:t>.</w:t>
      </w:r>
      <w:r>
        <w:rPr>
          <w:rFonts w:ascii="宋体" w:hAnsi="宋体"/>
          <w:color w:val="auto"/>
          <w:sz w:val="24"/>
        </w:rPr>
        <w:t>此表为表样，行数可自行添加，但表式不变。</w:t>
      </w:r>
    </w:p>
    <w:p>
      <w:pPr>
        <w:pStyle w:val="19"/>
        <w:rPr>
          <w:rFonts w:hint="eastAsia"/>
          <w:color w:val="auto"/>
        </w:rPr>
      </w:pPr>
    </w:p>
    <w:bookmarkEnd w:id="677"/>
    <w:bookmarkEnd w:id="678"/>
    <w:bookmarkEnd w:id="679"/>
    <w:bookmarkEnd w:id="680"/>
    <w:bookmarkEnd w:id="681"/>
    <w:bookmarkEnd w:id="682"/>
    <w:bookmarkEnd w:id="683"/>
    <w:bookmarkEnd w:id="684"/>
    <w:p>
      <w:pPr>
        <w:jc w:val="center"/>
        <w:rPr>
          <w:rFonts w:hint="eastAsia" w:ascii="宋体" w:hAnsi="宋体" w:eastAsia="宋体" w:cs="宋体"/>
          <w:b/>
          <w:color w:val="auto"/>
          <w:kern w:val="2"/>
          <w:sz w:val="28"/>
          <w:szCs w:val="28"/>
          <w:highlight w:val="none"/>
          <w:lang w:val="en-US" w:eastAsia="zh-CN" w:bidi="ar-SA"/>
        </w:rPr>
      </w:pPr>
    </w:p>
    <w:p>
      <w:pPr>
        <w:rPr>
          <w:rFonts w:hint="eastAsia" w:ascii="宋体" w:hAnsi="宋体" w:cs="宋体"/>
          <w:b/>
          <w:color w:val="auto"/>
          <w:kern w:val="2"/>
          <w:sz w:val="28"/>
          <w:szCs w:val="28"/>
          <w:highlight w:val="none"/>
          <w:lang w:val="en-US" w:eastAsia="zh-CN" w:bidi="ar-SA"/>
        </w:rPr>
      </w:pPr>
      <w:r>
        <w:rPr>
          <w:rFonts w:hint="eastAsia" w:ascii="宋体" w:hAnsi="宋体" w:cs="宋体"/>
          <w:b/>
          <w:color w:val="auto"/>
          <w:kern w:val="2"/>
          <w:sz w:val="28"/>
          <w:szCs w:val="28"/>
          <w:highlight w:val="none"/>
          <w:lang w:val="en-US" w:eastAsia="zh-CN" w:bidi="ar-SA"/>
        </w:rPr>
        <w:br w:type="page"/>
      </w:r>
    </w:p>
    <w:bookmarkEnd w:id="685"/>
    <w:bookmarkEnd w:id="686"/>
    <w:bookmarkEnd w:id="687"/>
    <w:bookmarkEnd w:id="688"/>
    <w:bookmarkEnd w:id="689"/>
    <w:bookmarkEnd w:id="690"/>
    <w:bookmarkEnd w:id="691"/>
    <w:p>
      <w:pPr>
        <w:pStyle w:val="4"/>
        <w:snapToGrid w:val="0"/>
        <w:jc w:val="center"/>
        <w:rPr>
          <w:rFonts w:hint="eastAsia" w:ascii="宋体" w:hAnsi="宋体" w:cs="宋体"/>
          <w:color w:val="auto"/>
          <w:sz w:val="28"/>
          <w:szCs w:val="28"/>
        </w:rPr>
      </w:pPr>
      <w:bookmarkStart w:id="695" w:name="_Toc27160"/>
      <w:bookmarkStart w:id="696" w:name="_Toc16684"/>
      <w:bookmarkStart w:id="697" w:name="_Toc10382"/>
      <w:bookmarkStart w:id="698" w:name="_Toc4559"/>
      <w:bookmarkStart w:id="699" w:name="_Toc12696"/>
      <w:bookmarkStart w:id="700" w:name="_Toc317237638"/>
      <w:bookmarkStart w:id="701" w:name="_Toc14498"/>
      <w:bookmarkStart w:id="702" w:name="_Toc31284"/>
      <w:bookmarkStart w:id="703" w:name="_Toc15832"/>
      <w:bookmarkStart w:id="704" w:name="_Toc29658"/>
      <w:bookmarkStart w:id="705" w:name="_Toc14065"/>
      <w:r>
        <w:rPr>
          <w:rFonts w:hint="eastAsia" w:ascii="宋体" w:cs="宋体"/>
          <w:b/>
          <w:color w:val="auto"/>
          <w:kern w:val="2"/>
          <w:sz w:val="28"/>
          <w:szCs w:val="28"/>
          <w:highlight w:val="none"/>
          <w:lang w:val="en-US" w:eastAsia="zh-CN" w:bidi="ar-SA"/>
        </w:rPr>
        <w:t>四</w:t>
      </w:r>
      <w:r>
        <w:rPr>
          <w:rFonts w:hint="eastAsia" w:ascii="宋体" w:hAnsi="宋体" w:cs="宋体"/>
          <w:b/>
          <w:bCs/>
          <w:iCs/>
          <w:color w:val="auto"/>
          <w:sz w:val="28"/>
          <w:szCs w:val="28"/>
        </w:rPr>
        <w:t>、</w:t>
      </w:r>
      <w:bookmarkEnd w:id="695"/>
      <w:bookmarkEnd w:id="696"/>
      <w:bookmarkEnd w:id="697"/>
      <w:bookmarkEnd w:id="698"/>
      <w:bookmarkEnd w:id="699"/>
      <w:bookmarkEnd w:id="700"/>
      <w:r>
        <w:rPr>
          <w:rFonts w:hint="eastAsia" w:ascii="宋体" w:hAnsi="宋体" w:cs="宋体"/>
          <w:color w:val="auto"/>
          <w:sz w:val="28"/>
          <w:szCs w:val="28"/>
        </w:rPr>
        <w:t>类似业绩</w:t>
      </w:r>
      <w:bookmarkEnd w:id="701"/>
      <w:bookmarkEnd w:id="702"/>
      <w:bookmarkEnd w:id="703"/>
      <w:bookmarkEnd w:id="704"/>
      <w:bookmarkEnd w:id="705"/>
    </w:p>
    <w:tbl>
      <w:tblPr>
        <w:tblStyle w:val="25"/>
        <w:tblW w:w="0" w:type="auto"/>
        <w:jc w:val="center"/>
        <w:tblLayout w:type="fixed"/>
        <w:tblCellMar>
          <w:top w:w="0" w:type="dxa"/>
          <w:left w:w="0" w:type="dxa"/>
          <w:bottom w:w="0" w:type="dxa"/>
          <w:right w:w="0" w:type="dxa"/>
        </w:tblCellMar>
      </w:tblPr>
      <w:tblGrid>
        <w:gridCol w:w="447"/>
        <w:gridCol w:w="2016"/>
        <w:gridCol w:w="2467"/>
        <w:gridCol w:w="1090"/>
        <w:gridCol w:w="1083"/>
        <w:gridCol w:w="873"/>
      </w:tblGrid>
      <w:tr>
        <w:tblPrEx>
          <w:tblCellMar>
            <w:top w:w="0" w:type="dxa"/>
            <w:left w:w="0" w:type="dxa"/>
            <w:bottom w:w="0" w:type="dxa"/>
            <w:right w:w="0" w:type="dxa"/>
          </w:tblCellMar>
        </w:tblPrEx>
        <w:trPr>
          <w:trHeight w:val="626" w:hRule="atLeast"/>
          <w:jc w:val="center"/>
        </w:trPr>
        <w:tc>
          <w:tcPr>
            <w:tcW w:w="4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序号</w:t>
            </w:r>
          </w:p>
        </w:tc>
        <w:tc>
          <w:tcPr>
            <w:tcW w:w="20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甲方名称</w:t>
            </w:r>
          </w:p>
        </w:tc>
        <w:tc>
          <w:tcPr>
            <w:tcW w:w="2467"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项目名称</w:t>
            </w:r>
          </w:p>
        </w:tc>
        <w:tc>
          <w:tcPr>
            <w:tcW w:w="109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合同金额</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（万元）</w:t>
            </w:r>
          </w:p>
        </w:tc>
        <w:tc>
          <w:tcPr>
            <w:tcW w:w="10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签订</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时间</w:t>
            </w:r>
          </w:p>
        </w:tc>
        <w:tc>
          <w:tcPr>
            <w:tcW w:w="8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备注</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bl>
    <w:p>
      <w:pPr>
        <w:snapToGrid w:val="0"/>
        <w:spacing w:line="360" w:lineRule="auto"/>
        <w:textAlignment w:val="baseline"/>
        <w:rPr>
          <w:rFonts w:hint="eastAsia" w:ascii="宋体" w:hAnsi="宋体" w:cs="宋体"/>
          <w:color w:val="auto"/>
          <w:sz w:val="24"/>
        </w:rPr>
      </w:pPr>
    </w:p>
    <w:p>
      <w:pPr>
        <w:snapToGrid w:val="0"/>
        <w:spacing w:line="360" w:lineRule="auto"/>
        <w:ind w:firstLine="723" w:firstLineChars="300"/>
        <w:textAlignment w:val="baseline"/>
        <w:rPr>
          <w:rFonts w:hint="eastAsia" w:ascii="宋体" w:hAnsi="宋体" w:cs="宋体"/>
          <w:b/>
          <w:bCs/>
          <w:color w:val="auto"/>
          <w:szCs w:val="21"/>
        </w:rPr>
      </w:pPr>
      <w:r>
        <w:rPr>
          <w:rFonts w:hint="eastAsia" w:cs="Times New Roman"/>
          <w:b/>
          <w:bCs/>
          <w:color w:val="auto"/>
          <w:sz w:val="24"/>
          <w:szCs w:val="24"/>
          <w:highlight w:val="none"/>
        </w:rPr>
        <w:t>附：合同复印件</w:t>
      </w:r>
      <w:r>
        <w:rPr>
          <w:rFonts w:hint="eastAsia"/>
          <w:b/>
          <w:bCs/>
          <w:color w:val="auto"/>
          <w:sz w:val="24"/>
          <w:szCs w:val="24"/>
          <w:highlight w:val="none"/>
        </w:rPr>
        <w:t>加盖公章</w:t>
      </w:r>
      <w:r>
        <w:rPr>
          <w:rFonts w:hint="eastAsia" w:ascii="宋体" w:hAnsi="宋体" w:cs="宋体"/>
          <w:b/>
          <w:bCs/>
          <w:color w:val="auto"/>
          <w:szCs w:val="21"/>
        </w:rPr>
        <w:t>。</w:t>
      </w:r>
    </w:p>
    <w:p>
      <w:pPr>
        <w:pStyle w:val="4"/>
        <w:keepNext w:val="0"/>
        <w:keepLines w:val="0"/>
        <w:tabs>
          <w:tab w:val="left" w:pos="360"/>
          <w:tab w:val="left" w:pos="540"/>
        </w:tabs>
        <w:spacing w:before="156" w:beforeLines="50" w:after="156" w:afterLines="50"/>
        <w:jc w:val="center"/>
        <w:rPr>
          <w:rFonts w:cs="宋体"/>
          <w:color w:val="auto"/>
          <w:sz w:val="28"/>
          <w:szCs w:val="28"/>
          <w:highlight w:val="none"/>
        </w:rPr>
      </w:pPr>
    </w:p>
    <w:p>
      <w:pPr>
        <w:pStyle w:val="17"/>
        <w:rPr>
          <w:color w:val="auto"/>
          <w:highlight w:val="none"/>
        </w:rPr>
      </w:pPr>
    </w:p>
    <w:p>
      <w:pPr>
        <w:adjustRightInd w:val="0"/>
        <w:snapToGrid w:val="0"/>
        <w:spacing w:line="360" w:lineRule="auto"/>
        <w:jc w:val="center"/>
        <w:rPr>
          <w:rFonts w:ascii="宋体" w:hAnsi="宋体" w:cs="宋体"/>
          <w:b/>
          <w:color w:val="auto"/>
          <w:sz w:val="28"/>
          <w:szCs w:val="28"/>
          <w:highlight w:val="none"/>
        </w:rPr>
      </w:pPr>
    </w:p>
    <w:p>
      <w:pPr>
        <w:pStyle w:val="4"/>
        <w:rPr>
          <w:rFonts w:cs="宋体"/>
          <w:color w:val="auto"/>
          <w:highlight w:val="none"/>
        </w:rPr>
      </w:pPr>
    </w:p>
    <w:p>
      <w:pPr>
        <w:pStyle w:val="40"/>
        <w:spacing w:before="156" w:after="156"/>
        <w:jc w:val="both"/>
        <w:rPr>
          <w:rFonts w:hint="eastAsia"/>
          <w:color w:val="auto"/>
          <w:sz w:val="28"/>
          <w:szCs w:val="40"/>
          <w:lang w:val="en-US" w:eastAsia="zh-CN"/>
        </w:rPr>
      </w:pPr>
      <w:bookmarkStart w:id="706" w:name="_Toc16266"/>
      <w:bookmarkStart w:id="707" w:name="_Toc12310"/>
      <w:bookmarkStart w:id="708" w:name="_Toc29989"/>
      <w:bookmarkStart w:id="709" w:name="_Toc212102898"/>
      <w:bookmarkStart w:id="710" w:name="_Toc13316"/>
      <w:bookmarkStart w:id="711" w:name="_Toc2510"/>
      <w:bookmarkStart w:id="712" w:name="_Toc17783"/>
      <w:bookmarkStart w:id="713" w:name="_Toc20398"/>
      <w:bookmarkStart w:id="714" w:name="_Toc317237642"/>
      <w:bookmarkStart w:id="715" w:name="_Toc16543"/>
      <w:bookmarkStart w:id="716" w:name="_Toc15247"/>
    </w:p>
    <w:p>
      <w:pPr>
        <w:pStyle w:val="40"/>
        <w:spacing w:before="156" w:after="156"/>
        <w:jc w:val="both"/>
        <w:rPr>
          <w:rFonts w:hint="eastAsia"/>
          <w:color w:val="auto"/>
          <w:sz w:val="28"/>
          <w:szCs w:val="40"/>
          <w:lang w:val="en-US" w:eastAsia="zh-CN"/>
        </w:rPr>
      </w:pPr>
    </w:p>
    <w:p>
      <w:pPr>
        <w:rPr>
          <w:color w:val="auto"/>
          <w:highlight w:val="none"/>
        </w:rPr>
      </w:pPr>
      <w:bookmarkStart w:id="717" w:name="_Toc29480"/>
      <w:bookmarkStart w:id="718" w:name="_Toc27511"/>
      <w:r>
        <w:rPr>
          <w:rFonts w:hint="eastAsia"/>
          <w:color w:val="auto"/>
          <w:sz w:val="28"/>
          <w:szCs w:val="40"/>
          <w:lang w:val="en-US" w:eastAsia="zh-CN"/>
        </w:rPr>
        <w:br w:type="page"/>
      </w:r>
    </w:p>
    <w:p>
      <w:pPr>
        <w:jc w:val="center"/>
        <w:rPr>
          <w:rFonts w:hint="eastAsia" w:ascii="Arial" w:hAnsi="Arial"/>
          <w:b/>
          <w:color w:val="auto"/>
          <w:sz w:val="28"/>
          <w:szCs w:val="28"/>
          <w:highlight w:val="none"/>
          <w:lang w:val="en-US" w:eastAsia="zh-CN"/>
        </w:rPr>
      </w:pPr>
      <w:r>
        <w:rPr>
          <w:rFonts w:hint="eastAsia" w:ascii="Arial" w:hAnsi="Arial"/>
          <w:b/>
          <w:color w:val="auto"/>
          <w:sz w:val="28"/>
          <w:szCs w:val="28"/>
          <w:highlight w:val="none"/>
          <w:lang w:val="en-US" w:eastAsia="zh-CN"/>
        </w:rPr>
        <w:t>五、采购需求响应表</w:t>
      </w:r>
    </w:p>
    <w:p>
      <w:pPr>
        <w:keepNext w:val="0"/>
        <w:keepLines w:val="0"/>
        <w:widowControl w:val="0"/>
        <w:suppressLineNumbers w:val="0"/>
        <w:shd w:val="clear" w:fill="FFFFFF"/>
        <w:snapToGrid w:val="0"/>
        <w:spacing w:before="0" w:beforeAutospacing="0" w:after="0" w:afterAutospacing="0" w:line="500" w:lineRule="exact"/>
        <w:ind w:left="0" w:right="0" w:firstLine="480" w:firstLineChars="200"/>
        <w:jc w:val="both"/>
        <w:rPr>
          <w:rFonts w:hint="eastAsia" w:ascii="宋体" w:hAnsi="宋体" w:eastAsia="宋体" w:cs="宋体"/>
          <w:b/>
          <w:bCs/>
          <w:color w:val="auto"/>
          <w:kern w:val="2"/>
          <w:sz w:val="24"/>
          <w:szCs w:val="24"/>
          <w:u w:val="single"/>
          <w:shd w:val="clear" w:fill="FFFFFF"/>
          <w:lang w:val="en-US" w:eastAsia="zh-CN" w:bidi="ar"/>
        </w:rPr>
      </w:pPr>
      <w:r>
        <w:rPr>
          <w:rFonts w:hint="eastAsia" w:ascii="宋体" w:hAnsi="宋体" w:eastAsia="宋体" w:cs="宋体"/>
          <w:color w:val="auto"/>
          <w:kern w:val="2"/>
          <w:sz w:val="24"/>
          <w:szCs w:val="24"/>
          <w:shd w:val="clear" w:fill="FFFFFF"/>
          <w:lang w:val="en-US" w:eastAsia="zh-CN" w:bidi="ar"/>
        </w:rPr>
        <w:t>说明：供应商必须仔细阅读磋商文件中“第三章 采购需求”所有条款等相关要求，并将磋商文件中“第三章 采购需求”所有条款等相关要求列入下表进行响应，未列入下表的视作供应商不响应。</w:t>
      </w:r>
      <w:r>
        <w:rPr>
          <w:rFonts w:hint="eastAsia" w:ascii="宋体" w:hAnsi="宋体" w:cs="宋体"/>
          <w:color w:val="auto"/>
          <w:kern w:val="2"/>
          <w:sz w:val="24"/>
          <w:szCs w:val="24"/>
          <w:shd w:val="clear" w:fill="FFFFFF"/>
          <w:lang w:val="en-US" w:eastAsia="zh-CN" w:bidi="ar"/>
        </w:rPr>
        <w:t>如</w:t>
      </w:r>
      <w:r>
        <w:rPr>
          <w:rFonts w:hint="eastAsia" w:ascii="宋体" w:hAnsi="宋体" w:eastAsia="宋体" w:cs="宋体"/>
          <w:color w:val="auto"/>
          <w:kern w:val="2"/>
          <w:sz w:val="24"/>
          <w:szCs w:val="24"/>
          <w:shd w:val="clear" w:fill="FFFFFF"/>
          <w:lang w:val="en-US" w:eastAsia="zh-CN" w:bidi="ar"/>
        </w:rPr>
        <w:t>带★的指标列入下表时，必须在指标前面保留★</w:t>
      </w:r>
      <w:r>
        <w:rPr>
          <w:rFonts w:hint="eastAsia" w:ascii="宋体" w:hAnsi="宋体" w:cs="宋体"/>
          <w:color w:val="auto"/>
          <w:kern w:val="2"/>
          <w:sz w:val="24"/>
          <w:szCs w:val="24"/>
          <w:shd w:val="clear" w:fill="FFFFFF"/>
          <w:lang w:val="en-US" w:eastAsia="zh-CN" w:bidi="ar"/>
        </w:rPr>
        <w:t>（如有）</w:t>
      </w:r>
      <w:r>
        <w:rPr>
          <w:rFonts w:hint="eastAsia" w:ascii="宋体" w:hAnsi="宋体" w:eastAsia="宋体" w:cs="宋体"/>
          <w:b/>
          <w:bCs/>
          <w:color w:val="auto"/>
          <w:kern w:val="2"/>
          <w:sz w:val="24"/>
          <w:szCs w:val="24"/>
          <w:u w:val="single"/>
          <w:shd w:val="clear" w:fill="FFFFFF"/>
          <w:lang w:val="en-US" w:eastAsia="zh-CN" w:bidi="ar"/>
        </w:rPr>
        <w:t>供应商必须根据所投项目的实际情况如实填写，评审委员会如发现有虚假描述的，该响应文件无效，该供应商列入黑名单，并报政府采购主管部门严肃处理。</w:t>
      </w:r>
    </w:p>
    <w:p>
      <w:pPr>
        <w:pStyle w:val="2"/>
        <w:rPr>
          <w:rFonts w:hint="default"/>
          <w:color w:val="auto"/>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7"/>
        <w:gridCol w:w="2897"/>
        <w:gridCol w:w="2700"/>
        <w:gridCol w:w="175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 w:hRule="atLeast"/>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序号</w:t>
            </w:r>
          </w:p>
        </w:tc>
        <w:tc>
          <w:tcPr>
            <w:tcW w:w="28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磋商文件要求</w:t>
            </w:r>
          </w:p>
        </w:tc>
        <w:tc>
          <w:tcPr>
            <w:tcW w:w="2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响应文件应答</w:t>
            </w:r>
          </w:p>
        </w:tc>
        <w:tc>
          <w:tcPr>
            <w:tcW w:w="17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偏离</w:t>
            </w:r>
          </w:p>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情况</w:t>
            </w:r>
          </w:p>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b/>
                <w:bCs/>
                <w:color w:val="auto"/>
                <w:kern w:val="2"/>
                <w:sz w:val="24"/>
                <w:szCs w:val="24"/>
                <w:shd w:val="clear" w:fill="FFFFFF"/>
                <w:lang w:val="en-US" w:eastAsia="zh-CN" w:bidi="ar"/>
              </w:rPr>
              <w:t>（＋/-/=）</w:t>
            </w: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1</w:t>
            </w:r>
          </w:p>
        </w:tc>
        <w:tc>
          <w:tcPr>
            <w:tcW w:w="28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2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4" w:hRule="atLeast"/>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2</w:t>
            </w:r>
          </w:p>
        </w:tc>
        <w:tc>
          <w:tcPr>
            <w:tcW w:w="28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2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3</w:t>
            </w:r>
          </w:p>
        </w:tc>
        <w:tc>
          <w:tcPr>
            <w:tcW w:w="28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2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4</w:t>
            </w:r>
          </w:p>
        </w:tc>
        <w:tc>
          <w:tcPr>
            <w:tcW w:w="28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2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5</w:t>
            </w:r>
          </w:p>
        </w:tc>
        <w:tc>
          <w:tcPr>
            <w:tcW w:w="28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2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17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shd w:val="clear" w:fill="FFFFFF"/>
              <w:snapToGrid w:val="0"/>
              <w:spacing w:before="0" w:beforeAutospacing="0" w:after="0" w:afterAutospacing="0" w:line="360" w:lineRule="auto"/>
              <w:ind w:left="0" w:right="0"/>
              <w:jc w:val="center"/>
              <w:rPr>
                <w:rFonts w:hint="eastAsia" w:ascii="宋体" w:hAnsi="宋体" w:eastAsia="宋体" w:cs="宋体"/>
                <w:color w:val="auto"/>
                <w:kern w:val="2"/>
                <w:sz w:val="24"/>
                <w:szCs w:val="24"/>
                <w:shd w:val="clear" w:fill="FFFFFF"/>
              </w:rPr>
            </w:pPr>
          </w:p>
        </w:tc>
      </w:tr>
    </w:tbl>
    <w:p>
      <w:pPr>
        <w:keepNext w:val="0"/>
        <w:keepLines w:val="0"/>
        <w:widowControl w:val="0"/>
        <w:suppressLineNumbers w:val="0"/>
        <w:shd w:val="clear" w:fill="FFFFFF"/>
        <w:snapToGrid w:val="0"/>
        <w:spacing w:before="0" w:beforeAutospacing="0" w:after="0" w:afterAutospacing="0" w:line="360" w:lineRule="auto"/>
        <w:ind w:left="0" w:right="0"/>
        <w:jc w:val="both"/>
        <w:rPr>
          <w:rFonts w:hint="eastAsia" w:ascii="宋体" w:hAnsi="宋体" w:eastAsia="宋体" w:cs="宋体"/>
          <w:bCs/>
          <w:color w:val="auto"/>
          <w:kern w:val="2"/>
          <w:sz w:val="24"/>
          <w:szCs w:val="24"/>
          <w:shd w:val="clear" w:fill="FFFFFF"/>
        </w:rPr>
      </w:pPr>
      <w:r>
        <w:rPr>
          <w:rFonts w:hint="eastAsia" w:ascii="宋体" w:hAnsi="宋体" w:eastAsia="宋体" w:cs="宋体"/>
          <w:bCs/>
          <w:color w:val="auto"/>
          <w:kern w:val="2"/>
          <w:sz w:val="24"/>
          <w:szCs w:val="24"/>
          <w:shd w:val="clear" w:fill="FFFFFF"/>
          <w:lang w:val="en-US" w:eastAsia="zh-CN" w:bidi="ar"/>
        </w:rPr>
        <w:t xml:space="preserve"> </w:t>
      </w:r>
    </w:p>
    <w:p>
      <w:pPr>
        <w:keepNext w:val="0"/>
        <w:keepLines w:val="0"/>
        <w:widowControl w:val="0"/>
        <w:suppressLineNumbers w:val="0"/>
        <w:adjustRightInd w:val="0"/>
        <w:snapToGrid w:val="0"/>
        <w:spacing w:before="0" w:beforeLines="50" w:beforeAutospacing="0" w:after="0" w:afterAutospacing="0"/>
        <w:ind w:left="0" w:right="0"/>
        <w:jc w:val="both"/>
        <w:rPr>
          <w:rFonts w:hint="eastAsia" w:ascii="宋体" w:hAnsi="宋体" w:eastAsia="宋体" w:cs="宋体"/>
          <w:bCs/>
          <w:color w:val="auto"/>
          <w:kern w:val="2"/>
          <w:sz w:val="24"/>
          <w:szCs w:val="24"/>
        </w:rPr>
      </w:pPr>
      <w:r>
        <w:rPr>
          <w:rFonts w:hint="eastAsia" w:ascii="宋体" w:hAnsi="宋体" w:eastAsia="宋体" w:cs="宋体"/>
          <w:bCs/>
          <w:color w:val="auto"/>
          <w:kern w:val="2"/>
          <w:sz w:val="24"/>
          <w:szCs w:val="24"/>
          <w:lang w:val="en-US" w:eastAsia="zh-CN" w:bidi="ar"/>
        </w:rPr>
        <w:t xml:space="preserve">填写供应商全称（公章）：          </w:t>
      </w:r>
    </w:p>
    <w:p>
      <w:pPr>
        <w:keepNext w:val="0"/>
        <w:keepLines w:val="0"/>
        <w:widowControl w:val="0"/>
        <w:suppressLineNumbers w:val="0"/>
        <w:adjustRightInd w:val="0"/>
        <w:snapToGrid w:val="0"/>
        <w:spacing w:before="0" w:beforeLines="50" w:beforeAutospacing="0" w:after="0" w:afterAutospacing="0"/>
        <w:ind w:left="0" w:right="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法定代表人或被授权代表：</w:t>
      </w:r>
      <w:r>
        <w:rPr>
          <w:rFonts w:hint="eastAsia" w:ascii="宋体" w:hAnsi="宋体" w:eastAsia="宋体" w:cs="宋体"/>
          <w:iCs/>
          <w:color w:val="auto"/>
          <w:kern w:val="2"/>
          <w:sz w:val="24"/>
          <w:szCs w:val="24"/>
          <w:lang w:val="en-US" w:eastAsia="zh-CN" w:bidi="ar"/>
        </w:rPr>
        <w:t>（签字或盖章）</w:t>
      </w:r>
    </w:p>
    <w:p>
      <w:pPr>
        <w:keepNext w:val="0"/>
        <w:keepLines w:val="0"/>
        <w:widowControl w:val="0"/>
        <w:suppressLineNumbers w:val="0"/>
        <w:shd w:val="clear" w:fill="FFFFFF"/>
        <w:snapToGrid w:val="0"/>
        <w:spacing w:before="0" w:beforeAutospacing="0" w:after="0" w:afterAutospacing="0" w:line="360" w:lineRule="auto"/>
        <w:ind w:left="0" w:right="0"/>
        <w:jc w:val="both"/>
        <w:rPr>
          <w:rFonts w:hint="eastAsia" w:ascii="宋体" w:hAnsi="宋体" w:eastAsia="宋体" w:cs="宋体"/>
          <w:bCs/>
          <w:color w:val="auto"/>
          <w:kern w:val="2"/>
          <w:sz w:val="24"/>
          <w:szCs w:val="24"/>
          <w:shd w:val="clear" w:fill="FFFFFF"/>
        </w:rPr>
      </w:pPr>
      <w:r>
        <w:rPr>
          <w:rFonts w:hint="eastAsia" w:ascii="宋体" w:hAnsi="宋体" w:eastAsia="宋体" w:cs="宋体"/>
          <w:bCs/>
          <w:color w:val="auto"/>
          <w:kern w:val="2"/>
          <w:sz w:val="24"/>
          <w:szCs w:val="24"/>
          <w:shd w:val="clear" w:fill="FFFFFF"/>
          <w:lang w:val="en-US" w:eastAsia="zh-CN" w:bidi="ar"/>
        </w:rPr>
        <w:t xml:space="preserve"> </w:t>
      </w:r>
    </w:p>
    <w:p>
      <w:pPr>
        <w:keepNext w:val="0"/>
        <w:keepLines w:val="0"/>
        <w:widowControl w:val="0"/>
        <w:suppressLineNumbers w:val="0"/>
        <w:shd w:val="clear" w:fill="FFFFFF"/>
        <w:snapToGrid w:val="0"/>
        <w:spacing w:before="0" w:beforeAutospacing="0" w:after="0" w:afterAutospacing="0" w:line="360" w:lineRule="auto"/>
        <w:ind w:left="0" w:right="0" w:firstLine="480" w:firstLineChars="200"/>
        <w:jc w:val="both"/>
        <w:rPr>
          <w:rFonts w:hint="eastAsia" w:ascii="宋体" w:hAnsi="宋体" w:eastAsia="宋体" w:cs="宋体"/>
          <w:bCs/>
          <w:color w:val="auto"/>
          <w:kern w:val="2"/>
          <w:sz w:val="24"/>
          <w:szCs w:val="24"/>
          <w:shd w:val="clear" w:fill="FFFFFF"/>
        </w:rPr>
      </w:pPr>
      <w:r>
        <w:rPr>
          <w:rFonts w:hint="eastAsia" w:ascii="宋体" w:hAnsi="宋体" w:eastAsia="宋体" w:cs="宋体"/>
          <w:bCs/>
          <w:color w:val="auto"/>
          <w:kern w:val="2"/>
          <w:sz w:val="24"/>
          <w:szCs w:val="24"/>
          <w:shd w:val="clear" w:fill="FFFFFF"/>
          <w:lang w:val="en-US" w:eastAsia="zh-CN" w:bidi="ar"/>
        </w:rPr>
        <w:t>注：1. 此表为表样，供应商必须把采购项目的全部要求列入此表，并对要求进行逐一应答，行数可自行添加，但表式不变。</w:t>
      </w: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bCs/>
          <w:color w:val="auto"/>
          <w:kern w:val="2"/>
          <w:sz w:val="24"/>
          <w:szCs w:val="24"/>
          <w:shd w:val="clear" w:fill="FFFFFF"/>
        </w:rPr>
      </w:pPr>
      <w:r>
        <w:rPr>
          <w:rFonts w:hint="eastAsia" w:ascii="宋体" w:hAnsi="宋体" w:eastAsia="宋体" w:cs="宋体"/>
          <w:bCs/>
          <w:color w:val="auto"/>
          <w:kern w:val="2"/>
          <w:sz w:val="24"/>
          <w:szCs w:val="24"/>
          <w:shd w:val="clear" w:fill="FFFFFF"/>
          <w:lang w:val="en-US" w:eastAsia="zh-CN" w:bidi="ar"/>
        </w:rPr>
        <w:t>2.是否偏离用符号“+.=.-”分别表示正偏离（优于要求）.完全响应（满足要求）.负偏离（不满足要求），必须逐次对应响应。</w:t>
      </w:r>
      <w:r>
        <w:rPr>
          <w:rFonts w:hint="eastAsia" w:ascii="宋体" w:hAnsi="宋体" w:eastAsia="宋体" w:cs="宋体"/>
          <w:b/>
          <w:bCs/>
          <w:color w:val="auto"/>
          <w:kern w:val="2"/>
          <w:sz w:val="24"/>
          <w:szCs w:val="24"/>
          <w:u w:val="single"/>
          <w:shd w:val="clear" w:fill="FFFFFF"/>
          <w:lang w:val="en-US" w:eastAsia="zh-CN" w:bidi="ar"/>
        </w:rPr>
        <w:t>评委评审时不能只根据供应商填写的偏离情况说明来判断是否响应</w:t>
      </w:r>
      <w:r>
        <w:rPr>
          <w:rFonts w:hint="eastAsia" w:ascii="宋体" w:hAnsi="宋体" w:eastAsia="宋体" w:cs="宋体"/>
          <w:bCs/>
          <w:color w:val="auto"/>
          <w:kern w:val="2"/>
          <w:sz w:val="24"/>
          <w:szCs w:val="24"/>
          <w:shd w:val="clear" w:fill="FFFFFF"/>
          <w:lang w:val="en-US" w:eastAsia="zh-CN" w:bidi="ar"/>
        </w:rPr>
        <w:t>，而应认真查阅“磋商文件要求”内容以及相关的技术资料判断是否满足要求。</w:t>
      </w:r>
    </w:p>
    <w:p>
      <w:pPr>
        <w:rPr>
          <w:rFonts w:hint="eastAsia" w:ascii="Arial" w:hAnsi="Arial"/>
          <w:b/>
          <w:color w:val="auto"/>
          <w:sz w:val="28"/>
          <w:szCs w:val="28"/>
          <w:highlight w:val="none"/>
          <w:lang w:val="en-US" w:eastAsia="zh-CN"/>
        </w:rPr>
      </w:pPr>
    </w:p>
    <w:p>
      <w:pPr>
        <w:rPr>
          <w:rFonts w:hint="eastAsia" w:ascii="Arial" w:hAnsi="Arial"/>
          <w:b/>
          <w:color w:val="auto"/>
          <w:sz w:val="28"/>
          <w:szCs w:val="28"/>
          <w:highlight w:val="none"/>
          <w:lang w:val="en-US" w:eastAsia="zh-CN"/>
        </w:rPr>
      </w:pPr>
      <w:r>
        <w:rPr>
          <w:rFonts w:hint="eastAsia" w:ascii="Arial" w:hAnsi="Arial"/>
          <w:b/>
          <w:color w:val="auto"/>
          <w:sz w:val="28"/>
          <w:szCs w:val="28"/>
          <w:highlight w:val="none"/>
          <w:lang w:val="en-US" w:eastAsia="zh-CN"/>
        </w:rPr>
        <w:br w:type="page"/>
      </w:r>
    </w:p>
    <w:p>
      <w:pPr>
        <w:pStyle w:val="40"/>
        <w:spacing w:before="156" w:after="156"/>
        <w:jc w:val="center"/>
        <w:rPr>
          <w:rFonts w:cs="宋体"/>
          <w:color w:val="auto"/>
          <w:sz w:val="28"/>
          <w:szCs w:val="28"/>
        </w:rPr>
      </w:pPr>
      <w:r>
        <w:rPr>
          <w:rFonts w:hint="eastAsia"/>
          <w:color w:val="auto"/>
          <w:sz w:val="28"/>
          <w:szCs w:val="40"/>
          <w:lang w:val="en-US" w:eastAsia="zh-CN"/>
        </w:rPr>
        <w:t>六、</w:t>
      </w:r>
      <w:r>
        <w:rPr>
          <w:rFonts w:hint="eastAsia"/>
          <w:color w:val="auto"/>
          <w:sz w:val="28"/>
          <w:szCs w:val="40"/>
        </w:rPr>
        <w:t>供应商资格</w:t>
      </w:r>
      <w:bookmarkEnd w:id="706"/>
      <w:bookmarkEnd w:id="707"/>
      <w:bookmarkEnd w:id="708"/>
      <w:bookmarkEnd w:id="717"/>
      <w:bookmarkEnd w:id="718"/>
    </w:p>
    <w:p>
      <w:pPr>
        <w:pStyle w:val="4"/>
        <w:keepNext w:val="0"/>
        <w:keepLines w:val="0"/>
        <w:tabs>
          <w:tab w:val="left" w:pos="360"/>
          <w:tab w:val="left" w:pos="540"/>
        </w:tabs>
        <w:spacing w:before="156" w:beforeLines="50" w:after="156" w:afterLines="50"/>
        <w:jc w:val="center"/>
        <w:rPr>
          <w:rFonts w:hint="eastAsia" w:cs="宋体"/>
          <w:color w:val="auto"/>
          <w:sz w:val="28"/>
          <w:szCs w:val="28"/>
          <w:highlight w:val="none"/>
        </w:rPr>
      </w:pPr>
      <w:bookmarkStart w:id="719" w:name="_Toc7784"/>
      <w:bookmarkStart w:id="720" w:name="_Toc11835"/>
      <w:bookmarkStart w:id="721" w:name="_Toc24022"/>
      <w:r>
        <w:rPr>
          <w:rFonts w:hint="eastAsia" w:ascii="宋体" w:hAnsi="宋体" w:cs="宋体"/>
          <w:b/>
          <w:color w:val="auto"/>
          <w:sz w:val="28"/>
          <w:szCs w:val="28"/>
        </w:rPr>
        <w:t>1、</w:t>
      </w:r>
      <w:bookmarkStart w:id="722" w:name="_Toc482131665"/>
      <w:bookmarkStart w:id="723" w:name="_Toc10310"/>
      <w:bookmarkStart w:id="724" w:name="_Toc464675413"/>
      <w:bookmarkStart w:id="725" w:name="_Toc7520"/>
      <w:bookmarkStart w:id="726" w:name="_Toc20959"/>
      <w:bookmarkStart w:id="727" w:name="_Toc15477"/>
      <w:bookmarkStart w:id="728" w:name="_Toc11482"/>
      <w:r>
        <w:rPr>
          <w:rFonts w:hint="eastAsia" w:cs="宋体"/>
          <w:color w:val="auto"/>
          <w:sz w:val="28"/>
          <w:szCs w:val="28"/>
          <w:highlight w:val="none"/>
        </w:rPr>
        <w:t>供应商一般情况表</w:t>
      </w:r>
      <w:bookmarkEnd w:id="719"/>
      <w:bookmarkEnd w:id="720"/>
      <w:bookmarkEnd w:id="721"/>
      <w:bookmarkEnd w:id="722"/>
      <w:bookmarkEnd w:id="723"/>
      <w:bookmarkEnd w:id="724"/>
      <w:bookmarkEnd w:id="725"/>
      <w:bookmarkEnd w:id="726"/>
      <w:bookmarkEnd w:id="727"/>
      <w:bookmarkEnd w:id="728"/>
    </w:p>
    <w:tbl>
      <w:tblPr>
        <w:tblStyle w:val="25"/>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169"/>
        <w:gridCol w:w="749"/>
        <w:gridCol w:w="1354"/>
        <w:gridCol w:w="55"/>
        <w:gridCol w:w="1461"/>
        <w:gridCol w:w="260"/>
        <w:gridCol w:w="709"/>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lang w:val="en-US" w:eastAsia="zh-CN"/>
              </w:rPr>
              <w:t>供应商</w:t>
            </w:r>
            <w:r>
              <w:rPr>
                <w:rFonts w:hint="eastAsia" w:ascii="宋体" w:hAnsi="宋体" w:cs="宋体"/>
                <w:color w:val="auto"/>
                <w:sz w:val="24"/>
                <w:szCs w:val="24"/>
              </w:rPr>
              <w:t>名称</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注册地址</w:t>
            </w:r>
          </w:p>
        </w:tc>
        <w:tc>
          <w:tcPr>
            <w:tcW w:w="3272"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516"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邮政编码</w:t>
            </w:r>
          </w:p>
        </w:tc>
        <w:tc>
          <w:tcPr>
            <w:tcW w:w="2444"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076" w:type="dxa"/>
            <w:vMerge w:val="restart"/>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联系方式</w:t>
            </w:r>
          </w:p>
        </w:tc>
        <w:tc>
          <w:tcPr>
            <w:tcW w:w="1169"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联系人</w:t>
            </w:r>
          </w:p>
        </w:tc>
        <w:tc>
          <w:tcPr>
            <w:tcW w:w="2103"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516"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电  话</w:t>
            </w:r>
          </w:p>
        </w:tc>
        <w:tc>
          <w:tcPr>
            <w:tcW w:w="2444"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076" w:type="dxa"/>
            <w:vMerge w:val="continue"/>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169"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传  真</w:t>
            </w:r>
          </w:p>
        </w:tc>
        <w:tc>
          <w:tcPr>
            <w:tcW w:w="2103"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516"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网  址</w:t>
            </w:r>
          </w:p>
        </w:tc>
        <w:tc>
          <w:tcPr>
            <w:tcW w:w="2444"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组织结构</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1"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法定代表人</w:t>
            </w:r>
          </w:p>
        </w:tc>
        <w:tc>
          <w:tcPr>
            <w:tcW w:w="1918"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409"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技术职称</w:t>
            </w:r>
          </w:p>
        </w:tc>
        <w:tc>
          <w:tcPr>
            <w:tcW w:w="1721"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709"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电话</w:t>
            </w:r>
          </w:p>
        </w:tc>
        <w:tc>
          <w:tcPr>
            <w:tcW w:w="1475"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成立时间</w:t>
            </w:r>
          </w:p>
        </w:tc>
        <w:tc>
          <w:tcPr>
            <w:tcW w:w="1918"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5314" w:type="dxa"/>
            <w:gridSpan w:val="6"/>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开户银行</w:t>
            </w:r>
          </w:p>
        </w:tc>
        <w:tc>
          <w:tcPr>
            <w:tcW w:w="7227"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账号</w:t>
            </w:r>
          </w:p>
        </w:tc>
        <w:tc>
          <w:tcPr>
            <w:tcW w:w="7227"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经营范围</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备注</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bl>
    <w:p>
      <w:pPr>
        <w:rPr>
          <w:color w:val="auto"/>
        </w:rPr>
      </w:pPr>
    </w:p>
    <w:p>
      <w:pPr>
        <w:snapToGrid w:val="0"/>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附：营业执照副本等复印件加盖公章。</w:t>
      </w: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lang w:val="en-US" w:eastAsia="zh-CN"/>
        </w:rPr>
        <w:t>2、</w:t>
      </w:r>
      <w:r>
        <w:rPr>
          <w:rFonts w:hint="eastAsia" w:ascii="宋体" w:hAnsi="宋体" w:cs="宋体"/>
          <w:b/>
          <w:color w:val="auto"/>
          <w:sz w:val="28"/>
          <w:szCs w:val="28"/>
        </w:rPr>
        <w:t>附供应商资格要求的资料复印件</w:t>
      </w:r>
    </w:p>
    <w:p>
      <w:pPr>
        <w:pStyle w:val="4"/>
        <w:rPr>
          <w:rFonts w:cs="宋体"/>
          <w:color w:val="auto"/>
        </w:rPr>
      </w:pPr>
    </w:p>
    <w:p>
      <w:pPr>
        <w:pStyle w:val="4"/>
        <w:keepNext w:val="0"/>
        <w:keepLines w:val="0"/>
        <w:tabs>
          <w:tab w:val="left" w:pos="360"/>
          <w:tab w:val="left" w:pos="540"/>
        </w:tabs>
        <w:spacing w:before="156" w:beforeLines="50" w:after="156" w:afterLines="50"/>
        <w:jc w:val="center"/>
        <w:rPr>
          <w:rFonts w:cs="宋体"/>
          <w:color w:val="auto"/>
          <w:sz w:val="28"/>
          <w:szCs w:val="28"/>
          <w:highlight w:val="none"/>
        </w:rPr>
      </w:pPr>
      <w:r>
        <w:rPr>
          <w:rFonts w:hint="eastAsia" w:cs="宋体"/>
          <w:color w:val="auto"/>
          <w:sz w:val="24"/>
        </w:rPr>
        <w:br w:type="page"/>
      </w:r>
      <w:bookmarkStart w:id="729" w:name="_Toc14552"/>
      <w:bookmarkStart w:id="730" w:name="_Toc6957"/>
      <w:r>
        <w:rPr>
          <w:rFonts w:hint="eastAsia" w:cs="宋体"/>
          <w:color w:val="auto"/>
          <w:sz w:val="28"/>
          <w:szCs w:val="28"/>
          <w:highlight w:val="none"/>
        </w:rPr>
        <w:t>3、反商业贿赂承诺书格式</w:t>
      </w:r>
      <w:bookmarkEnd w:id="709"/>
      <w:bookmarkEnd w:id="710"/>
      <w:bookmarkEnd w:id="711"/>
      <w:bookmarkEnd w:id="712"/>
      <w:bookmarkEnd w:id="713"/>
      <w:bookmarkEnd w:id="714"/>
      <w:bookmarkEnd w:id="715"/>
      <w:bookmarkEnd w:id="716"/>
      <w:bookmarkEnd w:id="729"/>
      <w:bookmarkEnd w:id="730"/>
    </w:p>
    <w:p>
      <w:pPr>
        <w:jc w:val="left"/>
        <w:rPr>
          <w:rFonts w:ascii="宋体" w:hAnsi="宋体" w:cs="宋体"/>
          <w:b/>
          <w:color w:val="auto"/>
          <w:sz w:val="28"/>
          <w:szCs w:val="28"/>
          <w:highlight w:val="none"/>
        </w:rPr>
      </w:pPr>
      <w:r>
        <w:rPr>
          <w:rFonts w:hint="eastAsia" w:ascii="宋体" w:hAnsi="宋体" w:cs="宋体"/>
          <w:b/>
          <w:color w:val="auto"/>
          <w:sz w:val="28"/>
          <w:szCs w:val="28"/>
          <w:highlight w:val="none"/>
        </w:rPr>
        <w:t>我公司郑重承诺：</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在</w:t>
      </w:r>
      <w:r>
        <w:rPr>
          <w:rFonts w:hint="eastAsia" w:ascii="宋体" w:hAnsi="宋体" w:cs="宋体"/>
          <w:color w:val="auto"/>
          <w:sz w:val="24"/>
          <w:highlight w:val="none"/>
          <w:u w:val="single"/>
          <w:lang w:eastAsia="zh-CN"/>
        </w:rPr>
        <w:t>保亭县响水镇金江居大社区综合服务中心文化配套采购项目</w:t>
      </w:r>
      <w:r>
        <w:rPr>
          <w:rFonts w:hint="eastAsia" w:ascii="宋体" w:hAnsi="宋体" w:cs="宋体"/>
          <w:color w:val="auto"/>
          <w:sz w:val="24"/>
          <w:highlight w:val="none"/>
        </w:rPr>
        <w:t>磋商项目采购活动中，我公司保证做到：</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一、公平竞争参加本磋商项目。</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三、若出现上述行为，我公司及参与磋商的工作人员愿意接受按照国家法律法规等有关规定给予的处罚。</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720" w:lineRule="auto"/>
        <w:rPr>
          <w:rFonts w:hint="eastAsia" w:ascii="宋体" w:hAnsi="宋体" w:cs="宋体"/>
          <w:color w:val="auto"/>
          <w:sz w:val="24"/>
          <w:highlight w:val="none"/>
        </w:rPr>
      </w:pPr>
      <w:r>
        <w:rPr>
          <w:rFonts w:hint="eastAsia" w:ascii="宋体" w:hAnsi="宋体" w:cs="宋体"/>
          <w:iCs/>
          <w:color w:val="auto"/>
          <w:sz w:val="24"/>
          <w:highlight w:val="none"/>
        </w:rPr>
        <w:t>供应商</w:t>
      </w:r>
      <w:r>
        <w:rPr>
          <w:rFonts w:hint="eastAsia" w:ascii="宋体" w:hAnsi="宋体" w:cs="宋体"/>
          <w:color w:val="auto"/>
          <w:sz w:val="24"/>
          <w:highlight w:val="none"/>
          <w:lang w:val="en-US" w:eastAsia="zh-CN"/>
        </w:rPr>
        <w:t>名称</w:t>
      </w:r>
      <w:r>
        <w:rPr>
          <w:rFonts w:hint="eastAsia" w:ascii="宋体" w:hAnsi="宋体" w:cs="宋体"/>
          <w:iCs/>
          <w:color w:val="auto"/>
          <w:sz w:val="24"/>
          <w:highlight w:val="none"/>
        </w:rPr>
        <w:t>：</w:t>
      </w:r>
      <w:r>
        <w:rPr>
          <w:rFonts w:hint="eastAsia" w:ascii="宋体" w:hAnsi="宋体" w:cs="宋体"/>
          <w:color w:val="auto"/>
          <w:sz w:val="24"/>
          <w:highlight w:val="none"/>
        </w:rPr>
        <w:t>（填写名称并盖章）</w:t>
      </w:r>
    </w:p>
    <w:p>
      <w:pPr>
        <w:spacing w:line="720" w:lineRule="auto"/>
        <w:rPr>
          <w:rFonts w:ascii="宋体" w:hAnsi="宋体" w:cs="宋体"/>
          <w:color w:val="auto"/>
          <w:sz w:val="24"/>
          <w:highlight w:val="none"/>
        </w:rPr>
      </w:pPr>
      <w:r>
        <w:rPr>
          <w:rFonts w:hint="eastAsia" w:ascii="宋体" w:hAnsi="宋体" w:cs="宋体"/>
          <w:color w:val="auto"/>
          <w:sz w:val="24"/>
          <w:highlight w:val="none"/>
        </w:rPr>
        <w:t>法定代表人或</w:t>
      </w:r>
      <w:r>
        <w:rPr>
          <w:rFonts w:hint="eastAsia" w:ascii="宋体" w:hAnsi="宋体" w:cs="宋体"/>
          <w:color w:val="auto"/>
          <w:sz w:val="24"/>
          <w:highlight w:val="none"/>
          <w:lang w:val="en-US" w:eastAsia="zh-CN"/>
        </w:rPr>
        <w:t>被</w:t>
      </w:r>
      <w:r>
        <w:rPr>
          <w:rFonts w:hint="eastAsia" w:ascii="宋体" w:hAnsi="宋体" w:cs="宋体"/>
          <w:color w:val="auto"/>
          <w:sz w:val="24"/>
          <w:highlight w:val="none"/>
        </w:rPr>
        <w:t>授权</w:t>
      </w:r>
      <w:r>
        <w:rPr>
          <w:rFonts w:hint="eastAsia" w:ascii="宋体" w:hAnsi="宋体" w:cs="宋体"/>
          <w:color w:val="auto"/>
          <w:sz w:val="24"/>
          <w:highlight w:val="none"/>
          <w:lang w:val="en-US" w:eastAsia="zh-CN"/>
        </w:rPr>
        <w:t>人</w:t>
      </w:r>
      <w:r>
        <w:rPr>
          <w:rFonts w:hint="eastAsia" w:ascii="宋体" w:hAnsi="宋体" w:cs="宋体"/>
          <w:color w:val="auto"/>
          <w:sz w:val="24"/>
          <w:highlight w:val="none"/>
        </w:rPr>
        <w:t>：</w:t>
      </w:r>
      <w:r>
        <w:rPr>
          <w:rFonts w:hint="eastAsia" w:ascii="宋体" w:hAnsi="宋体" w:cs="宋体"/>
          <w:iCs/>
          <w:color w:val="auto"/>
          <w:sz w:val="24"/>
          <w:szCs w:val="21"/>
          <w:highlight w:val="none"/>
        </w:rPr>
        <w:t>（签字或盖章）</w:t>
      </w:r>
    </w:p>
    <w:p>
      <w:pPr>
        <w:spacing w:line="360" w:lineRule="auto"/>
        <w:ind w:firstLine="2400" w:firstLineChars="1000"/>
        <w:jc w:val="center"/>
        <w:rPr>
          <w:rFonts w:ascii="宋体" w:hAnsi="宋体" w:cs="宋体"/>
          <w:iCs/>
          <w:color w:val="auto"/>
          <w:sz w:val="24"/>
          <w:highlight w:val="none"/>
        </w:rPr>
      </w:pPr>
    </w:p>
    <w:p>
      <w:pPr>
        <w:spacing w:line="360" w:lineRule="auto"/>
        <w:ind w:firstLine="2400" w:firstLineChars="1000"/>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p>
      <w:pPr>
        <w:jc w:val="center"/>
        <w:rPr>
          <w:rFonts w:ascii="宋体" w:hAnsi="宋体" w:cs="宋体"/>
          <w:b/>
          <w:bCs/>
          <w:color w:val="auto"/>
          <w:sz w:val="28"/>
          <w:szCs w:val="28"/>
          <w:highlight w:val="none"/>
        </w:rPr>
      </w:pPr>
      <w:r>
        <w:rPr>
          <w:rFonts w:hint="eastAsia" w:ascii="宋体" w:hAnsi="宋体" w:cs="宋体"/>
          <w:color w:val="auto"/>
          <w:sz w:val="24"/>
          <w:highlight w:val="none"/>
        </w:rPr>
        <w:br w:type="page"/>
      </w:r>
      <w:bookmarkStart w:id="731" w:name="_Toc317237643"/>
      <w:r>
        <w:rPr>
          <w:rFonts w:hint="eastAsia" w:ascii="宋体" w:hAnsi="宋体" w:cs="宋体"/>
          <w:b/>
          <w:bCs/>
          <w:color w:val="auto"/>
          <w:sz w:val="28"/>
          <w:szCs w:val="28"/>
          <w:highlight w:val="none"/>
        </w:rPr>
        <w:t>4、</w:t>
      </w:r>
      <w:r>
        <w:rPr>
          <w:rFonts w:hint="eastAsia" w:ascii="宋体" w:hAnsi="宋体" w:cs="宋体"/>
          <w:b/>
          <w:bCs/>
          <w:color w:val="auto"/>
          <w:kern w:val="0"/>
          <w:sz w:val="28"/>
          <w:szCs w:val="28"/>
          <w:highlight w:val="none"/>
        </w:rPr>
        <w:t>诚信投标、诚信履约承诺书</w:t>
      </w:r>
    </w:p>
    <w:p>
      <w:pPr>
        <w:rPr>
          <w:rFonts w:ascii="宋体" w:hAnsi="宋体" w:cs="宋体"/>
          <w:color w:val="auto"/>
          <w:highlight w:val="none"/>
        </w:rPr>
      </w:pPr>
    </w:p>
    <w:p>
      <w:pPr>
        <w:rPr>
          <w:rFonts w:ascii="宋体" w:hAnsi="宋体" w:cs="宋体"/>
          <w:color w:val="auto"/>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保亭黎族苗族自治县民政局</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我方就本磋商采购活动向贵方郑重承诺：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一、我们已经充分理解了磋商文件规定的所有采购要求、成交条件和合同条款，没有任何异议。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以上承诺，能够经受来自任何方面的审查和监督。如有虚假或背离，我方愿承担由此引发的一切不利后果，无条件接受采购人的处置和政府采购监管单位的处罚。</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名称</w:t>
      </w:r>
      <w:r>
        <w:rPr>
          <w:rFonts w:hint="eastAsia" w:ascii="宋体" w:hAnsi="宋体" w:cs="宋体"/>
          <w:color w:val="auto"/>
          <w:sz w:val="24"/>
          <w:highlight w:val="none"/>
        </w:rPr>
        <w:t>：（填写名称并盖章）</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iCs/>
          <w:color w:val="auto"/>
          <w:sz w:val="24"/>
          <w:szCs w:val="21"/>
          <w:highlight w:val="none"/>
        </w:rPr>
        <w:t>（签字或盖章）</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签署日期：</w:t>
      </w:r>
    </w:p>
    <w:p>
      <w:pPr>
        <w:pStyle w:val="4"/>
        <w:keepNext w:val="0"/>
        <w:keepLines w:val="0"/>
        <w:tabs>
          <w:tab w:val="left" w:pos="360"/>
          <w:tab w:val="left" w:pos="540"/>
        </w:tabs>
        <w:spacing w:before="156" w:beforeLines="50" w:after="156" w:afterLines="50"/>
        <w:rPr>
          <w:rFonts w:cs="宋体"/>
          <w:color w:val="auto"/>
          <w:highlight w:val="none"/>
        </w:rPr>
      </w:pPr>
    </w:p>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30"/>
          <w:szCs w:val="30"/>
          <w:highlight w:val="none"/>
        </w:rPr>
        <w:br w:type="page"/>
      </w:r>
      <w:r>
        <w:rPr>
          <w:rFonts w:hint="eastAsia" w:ascii="宋体" w:hAnsi="宋体" w:cs="宋体"/>
          <w:b/>
          <w:bCs/>
          <w:color w:val="auto"/>
          <w:sz w:val="28"/>
          <w:szCs w:val="28"/>
          <w:highlight w:val="none"/>
        </w:rPr>
        <w:t>5、政府采购供应商信用承诺书</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承诺主体名称：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（供应商名称）</w:t>
      </w:r>
    </w:p>
    <w:p>
      <w:pPr>
        <w:snapToGrid w:val="0"/>
        <w:spacing w:line="360" w:lineRule="auto"/>
        <w:ind w:firstLine="480" w:firstLineChars="200"/>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统一社会信用代码：</w:t>
      </w:r>
      <w:r>
        <w:rPr>
          <w:rFonts w:hint="eastAsia" w:ascii="宋体" w:hAnsi="宋体" w:cs="宋体"/>
          <w:color w:val="auto"/>
          <w:sz w:val="24"/>
          <w:highlight w:val="none"/>
          <w:u w:val="single"/>
          <w:lang w:val="en-US" w:eastAsia="zh-CN"/>
        </w:rPr>
        <w:t xml:space="preserve">             </w:t>
      </w:r>
    </w:p>
    <w:p>
      <w:pPr>
        <w:snapToGrid w:val="0"/>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采购项目名称：</w:t>
      </w:r>
      <w:r>
        <w:rPr>
          <w:rFonts w:hint="eastAsia" w:ascii="宋体" w:hAnsi="宋体" w:cs="宋体"/>
          <w:color w:val="auto"/>
          <w:sz w:val="24"/>
          <w:highlight w:val="none"/>
          <w:lang w:eastAsia="zh-CN"/>
        </w:rPr>
        <w:t>保亭县响水镇金江居大社区综合服务中心文化配套采购项目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为维护公平竞争、规范有序的市场秩序,营造诚实守信的信用环境，共同推进社会信用体系建设完善，树立企业诚信守法形象，本企业对本次采购活动郑重承诺如下：</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（一）对提供给注册登记部门、行业管理部门、司法部门、行业组织以及在政府采购活动中提交的所有资料的合法性、真实性、准确性和有效性负责；</w:t>
      </w:r>
    </w:p>
    <w:p>
      <w:pPr>
        <w:snapToGrid w:val="0"/>
        <w:spacing w:line="324"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（二）严格按照国家法律、法规和规章开展采购活动，全面履行应尽的责任和义务，全面做到履约守信，具备《中华人民共和国政府采购法》第二十二条第一款规定的条件；</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（三）严格依法开展生产经营活动，主动接受行业监管，自愿接受依法开展的日常检查；违法失信经营后将自愿接受约束和惩戒，并依法承担相应责任；</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（四）自觉接受行政管理部门、行业组织、社会公众、新闻舆论的监督；</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（五）自觉做到自我约束、自我管理，不制假售假、商标侵权、虚假宣传、违约毁约、恶意逃债、偷税漏税、垄断和不正当竞争，维护经营者、消费者的合法权益；</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（六）提出政府采购质疑和投诉坚持依法依规、诚实信用原则，在全国范围12个月内没有三次以上查无实据的政府采购投诉；</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（七）严格遵守信用信息公示相关规定；</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（八）同意将承诺内容在“信用海口”网站公示，接受社会监督；</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（九）如违反承诺，将依法依规承担相应责任，并自愿接受部门联合惩戒，纳入行业失信重点关注名单，由财政部门负责管理；</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（十）本承诺书自签订之日起生效。</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供应商（填写名称并盖章）：                   法定代表人</w:t>
      </w:r>
      <w:r>
        <w:rPr>
          <w:rFonts w:hint="eastAsia" w:ascii="宋体" w:hAnsi="宋体" w:cs="宋体"/>
          <w:iCs/>
          <w:color w:val="auto"/>
          <w:sz w:val="24"/>
          <w:szCs w:val="21"/>
          <w:highlight w:val="none"/>
        </w:rPr>
        <w:t>（签字或盖章）</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年    月    日</w:t>
      </w:r>
      <w:bookmarkEnd w:id="692"/>
      <w:bookmarkEnd w:id="731"/>
    </w:p>
    <w:p>
      <w:pPr>
        <w:rPr>
          <w:rFonts w:ascii="宋体" w:hAnsi="宋体" w:cs="宋体"/>
          <w:color w:val="auto"/>
          <w:highlight w:val="none"/>
        </w:rPr>
      </w:pPr>
    </w:p>
    <w:p>
      <w:pPr>
        <w:pStyle w:val="4"/>
        <w:keepNext w:val="0"/>
        <w:keepLines w:val="0"/>
        <w:spacing w:before="156" w:beforeLines="50" w:after="156" w:afterLines="50"/>
        <w:rPr>
          <w:rFonts w:cs="宋体"/>
          <w:color w:val="auto"/>
          <w:highlight w:val="none"/>
        </w:rPr>
        <w:sectPr>
          <w:footerReference r:id="rId14" w:type="default"/>
          <w:pgSz w:w="11906" w:h="16838"/>
          <w:pgMar w:top="1247" w:right="1247" w:bottom="1134" w:left="1644" w:header="851" w:footer="992" w:gutter="0"/>
          <w:pgNumType w:fmt="decimal"/>
          <w:cols w:space="720" w:num="1"/>
          <w:docGrid w:type="lines" w:linePitch="312" w:charSpace="0"/>
        </w:sectPr>
      </w:pPr>
    </w:p>
    <w:p>
      <w:pPr>
        <w:pStyle w:val="4"/>
        <w:keepNext w:val="0"/>
        <w:keepLines w:val="0"/>
        <w:spacing w:before="156" w:beforeLines="50" w:after="156" w:afterLines="50"/>
        <w:jc w:val="center"/>
        <w:rPr>
          <w:rFonts w:cs="宋体"/>
          <w:color w:val="auto"/>
          <w:sz w:val="28"/>
          <w:szCs w:val="28"/>
          <w:highlight w:val="none"/>
        </w:rPr>
      </w:pPr>
      <w:bookmarkStart w:id="732" w:name="_Toc5175"/>
      <w:bookmarkStart w:id="733" w:name="_Toc317237647"/>
      <w:bookmarkStart w:id="734" w:name="_Toc28270"/>
      <w:bookmarkStart w:id="735" w:name="_Toc7789"/>
      <w:bookmarkStart w:id="736" w:name="_Toc3108"/>
      <w:bookmarkStart w:id="737" w:name="_Toc29149"/>
      <w:bookmarkStart w:id="738" w:name="_Toc11336"/>
      <w:bookmarkStart w:id="739" w:name="_Toc6253"/>
      <w:bookmarkStart w:id="740" w:name="_Toc11168"/>
      <w:r>
        <w:rPr>
          <w:rFonts w:hint="eastAsia" w:cs="宋体"/>
          <w:color w:val="auto"/>
          <w:sz w:val="28"/>
          <w:szCs w:val="28"/>
          <w:highlight w:val="none"/>
          <w:lang w:val="en-US" w:eastAsia="zh-CN"/>
        </w:rPr>
        <w:t>七</w:t>
      </w:r>
      <w:r>
        <w:rPr>
          <w:rFonts w:hint="eastAsia" w:cs="宋体"/>
          <w:color w:val="auto"/>
          <w:sz w:val="28"/>
          <w:szCs w:val="28"/>
          <w:highlight w:val="none"/>
        </w:rPr>
        <w:t>、其它</w:t>
      </w:r>
      <w:bookmarkEnd w:id="732"/>
      <w:bookmarkEnd w:id="733"/>
      <w:bookmarkEnd w:id="734"/>
      <w:bookmarkEnd w:id="735"/>
      <w:bookmarkEnd w:id="736"/>
      <w:bookmarkEnd w:id="737"/>
      <w:r>
        <w:rPr>
          <w:rFonts w:hint="eastAsia" w:cs="宋体"/>
          <w:color w:val="auto"/>
          <w:sz w:val="28"/>
          <w:szCs w:val="28"/>
          <w:highlight w:val="none"/>
        </w:rPr>
        <w:t>资料</w:t>
      </w:r>
      <w:bookmarkEnd w:id="738"/>
      <w:bookmarkEnd w:id="739"/>
      <w:bookmarkEnd w:id="740"/>
    </w:p>
    <w:p>
      <w:pPr>
        <w:pStyle w:val="4"/>
        <w:rPr>
          <w:rFonts w:cs="宋体"/>
          <w:b w:val="0"/>
          <w:bCs w:val="0"/>
          <w:color w:val="auto"/>
          <w:sz w:val="24"/>
          <w:highlight w:val="none"/>
        </w:rPr>
      </w:pPr>
      <w:bookmarkStart w:id="741" w:name="_Toc6609"/>
      <w:bookmarkStart w:id="742" w:name="_Toc14672"/>
      <w:r>
        <w:rPr>
          <w:rFonts w:hint="eastAsia" w:ascii="宋体" w:hAnsi="宋体" w:cs="宋体"/>
          <w:b w:val="0"/>
          <w:bCs w:val="0"/>
          <w:color w:val="auto"/>
          <w:sz w:val="24"/>
          <w:highlight w:val="none"/>
        </w:rPr>
        <w:t>供应商根据磋商文件要求认为需提供的资格要求内容或其他商务技术说明材料，格式自定</w:t>
      </w:r>
      <w:bookmarkEnd w:id="741"/>
      <w:bookmarkEnd w:id="742"/>
    </w:p>
    <w:p>
      <w:pPr>
        <w:rPr>
          <w:rFonts w:ascii="宋体" w:hAnsi="宋体" w:cs="宋体"/>
          <w:bCs/>
          <w:color w:val="auto"/>
          <w:sz w:val="24"/>
          <w:highlight w:val="none"/>
        </w:rPr>
      </w:pPr>
    </w:p>
    <w:p>
      <w:pPr>
        <w:rPr>
          <w:rFonts w:hint="eastAsia" w:cs="宋体"/>
          <w:color w:val="auto"/>
          <w:sz w:val="28"/>
          <w:szCs w:val="28"/>
          <w:highlight w:val="none"/>
          <w:lang w:val="en-US" w:eastAsia="zh-CN"/>
        </w:rPr>
      </w:pPr>
      <w:bookmarkStart w:id="743" w:name="_Toc5712"/>
      <w:r>
        <w:rPr>
          <w:rFonts w:hint="eastAsia" w:cs="宋体"/>
          <w:color w:val="auto"/>
          <w:sz w:val="28"/>
          <w:szCs w:val="28"/>
          <w:highlight w:val="none"/>
          <w:lang w:val="en-US" w:eastAsia="zh-CN"/>
        </w:rPr>
        <w:br w:type="page"/>
      </w:r>
    </w:p>
    <w:bookmarkEnd w:id="743"/>
    <w:p>
      <w:pPr>
        <w:pStyle w:val="4"/>
        <w:keepNext w:val="0"/>
        <w:keepLines w:val="0"/>
        <w:spacing w:before="156" w:beforeLines="50" w:after="156" w:afterLines="50"/>
        <w:jc w:val="center"/>
        <w:rPr>
          <w:rFonts w:cs="宋体"/>
          <w:color w:val="auto"/>
          <w:sz w:val="28"/>
          <w:szCs w:val="28"/>
          <w:highlight w:val="none"/>
        </w:rPr>
      </w:pPr>
      <w:bookmarkStart w:id="744" w:name="_Toc10299"/>
      <w:bookmarkStart w:id="745" w:name="_Toc26717"/>
      <w:r>
        <w:rPr>
          <w:rFonts w:hint="eastAsia" w:cs="宋体"/>
          <w:color w:val="auto"/>
          <w:sz w:val="28"/>
          <w:szCs w:val="28"/>
          <w:highlight w:val="none"/>
          <w:lang w:val="en-US" w:eastAsia="zh-CN"/>
        </w:rPr>
        <w:t>八</w:t>
      </w:r>
      <w:r>
        <w:rPr>
          <w:rFonts w:hint="eastAsia" w:cs="宋体"/>
          <w:color w:val="auto"/>
          <w:sz w:val="28"/>
          <w:szCs w:val="28"/>
          <w:highlight w:val="none"/>
        </w:rPr>
        <w:t>、服务方案</w:t>
      </w:r>
      <w:bookmarkEnd w:id="744"/>
      <w:bookmarkEnd w:id="745"/>
    </w:p>
    <w:p>
      <w:pPr>
        <w:spacing w:line="460" w:lineRule="exact"/>
        <w:jc w:val="center"/>
        <w:outlineLvl w:val="1"/>
        <w:rPr>
          <w:rFonts w:ascii="宋体" w:hAnsi="宋体" w:cs="宋体"/>
          <w:bCs/>
          <w:color w:val="auto"/>
          <w:sz w:val="28"/>
          <w:szCs w:val="28"/>
          <w:highlight w:val="none"/>
        </w:rPr>
      </w:pPr>
      <w:bookmarkStart w:id="746" w:name="_Toc26016"/>
      <w:bookmarkStart w:id="747" w:name="_Toc30416"/>
      <w:r>
        <w:rPr>
          <w:rFonts w:hint="eastAsia" w:ascii="宋体" w:hAnsi="宋体" w:cs="宋体"/>
          <w:bCs/>
          <w:color w:val="auto"/>
          <w:sz w:val="28"/>
          <w:szCs w:val="28"/>
          <w:highlight w:val="none"/>
        </w:rPr>
        <w:t>格式自定</w:t>
      </w:r>
      <w:bookmarkEnd w:id="746"/>
      <w:bookmarkEnd w:id="747"/>
    </w:p>
    <w:p>
      <w:pPr>
        <w:pStyle w:val="21"/>
        <w:rPr>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200" w:firstLineChars="2000"/>
        <w:textAlignment w:val="auto"/>
        <w:rPr>
          <w:rFonts w:hint="eastAsia" w:ascii="宋体" w:hAnsi="宋体" w:eastAsia="宋体" w:cs="宋体"/>
          <w:color w:val="auto"/>
          <w:sz w:val="24"/>
          <w:szCs w:val="24"/>
          <w:lang w:val="en-US" w:eastAsia="zh-CN"/>
        </w:rPr>
      </w:pPr>
      <w:r>
        <w:rPr>
          <w:rFonts w:hint="eastAsia" w:cs="宋体"/>
          <w:color w:val="auto"/>
          <w:highlight w:val="none"/>
          <w:lang w:eastAsia="zh-CN"/>
        </w:rPr>
        <w:br w:type="page"/>
      </w:r>
    </w:p>
    <w:p>
      <w:pPr>
        <w:pStyle w:val="47"/>
        <w:ind w:left="0" w:firstLine="0"/>
        <w:jc w:val="center"/>
        <w:rPr>
          <w:rFonts w:hint="eastAsia" w:ascii="Calibri" w:hAnsi="宋体" w:eastAsia="宋体" w:cs="宋体"/>
          <w:b/>
          <w:bCs/>
          <w:color w:val="auto"/>
          <w:spacing w:val="0"/>
          <w:kern w:val="2"/>
          <w:sz w:val="28"/>
          <w:szCs w:val="28"/>
          <w:lang w:val="en-US" w:eastAsia="zh-CN" w:bidi="ar-SA"/>
        </w:rPr>
      </w:pPr>
      <w:bookmarkStart w:id="748" w:name="_Toc20950"/>
      <w:r>
        <w:rPr>
          <w:rFonts w:hint="eastAsia" w:ascii="Calibri" w:hAnsi="宋体" w:eastAsia="宋体" w:cs="宋体"/>
          <w:b/>
          <w:bCs/>
          <w:color w:val="auto"/>
          <w:spacing w:val="0"/>
          <w:kern w:val="2"/>
          <w:sz w:val="28"/>
          <w:szCs w:val="28"/>
          <w:lang w:val="en-US" w:eastAsia="zh-CN" w:bidi="ar-SA"/>
        </w:rPr>
        <w:t>附件1：中小企业声明函（如有）</w:t>
      </w:r>
      <w:bookmarkEnd w:id="748"/>
    </w:p>
    <w:p>
      <w:pPr>
        <w:pStyle w:val="4"/>
        <w:keepNext w:val="0"/>
        <w:keepLines w:val="0"/>
        <w:tabs>
          <w:tab w:val="left" w:pos="540"/>
          <w:tab w:val="left" w:pos="720"/>
        </w:tabs>
        <w:spacing w:before="156" w:beforeLines="50" w:beforeAutospacing="0" w:after="156" w:afterLines="50" w:afterAutospacing="0"/>
        <w:jc w:val="center"/>
        <w:rPr>
          <w:rFonts w:hint="eastAsia" w:ascii="Times New Roman" w:hAnsi="Times New Roman" w:eastAsia="宋体"/>
          <w:color w:val="auto"/>
          <w:sz w:val="24"/>
          <w:szCs w:val="24"/>
          <w:lang w:eastAsia="zh-CN"/>
        </w:rPr>
      </w:pPr>
      <w:bookmarkStart w:id="749" w:name="_Toc3508"/>
      <w:bookmarkStart w:id="750" w:name="_Toc112268544"/>
      <w:bookmarkStart w:id="751" w:name="_Toc112278813"/>
      <w:bookmarkStart w:id="752" w:name="_Toc15647"/>
      <w:bookmarkStart w:id="753" w:name="_Toc7956"/>
      <w:bookmarkStart w:id="754" w:name="_Toc1142"/>
      <w:r>
        <w:rPr>
          <w:rFonts w:ascii="Times New Roman" w:hAnsi="Times New Roman" w:eastAsia="宋体"/>
          <w:color w:val="auto"/>
          <w:sz w:val="24"/>
          <w:szCs w:val="24"/>
        </w:rPr>
        <w:t>中小企业声明函</w:t>
      </w:r>
      <w:r>
        <w:rPr>
          <w:rFonts w:hint="eastAsia" w:ascii="Times New Roman" w:hAnsi="Times New Roman" w:eastAsia="宋体"/>
          <w:color w:val="auto"/>
          <w:sz w:val="24"/>
          <w:szCs w:val="24"/>
          <w:lang w:eastAsia="zh-CN"/>
        </w:rPr>
        <w:t>（货物）</w:t>
      </w:r>
      <w:bookmarkEnd w:id="749"/>
      <w:bookmarkEnd w:id="750"/>
      <w:bookmarkEnd w:id="751"/>
      <w:bookmarkEnd w:id="752"/>
      <w:bookmarkEnd w:id="753"/>
      <w:bookmarkEnd w:id="754"/>
    </w:p>
    <w:p>
      <w:pPr>
        <w:adjustRightInd w:val="0"/>
        <w:spacing w:after="312" w:afterLines="100" w:line="360" w:lineRule="auto"/>
        <w:jc w:val="center"/>
        <w:rPr>
          <w:rFonts w:hint="eastAsia"/>
          <w:b/>
          <w:bCs/>
          <w:color w:val="auto"/>
          <w:sz w:val="24"/>
          <w:szCs w:val="32"/>
        </w:rPr>
      </w:pPr>
      <w:r>
        <w:rPr>
          <w:rFonts w:hint="eastAsia"/>
          <w:b/>
          <w:bCs/>
          <w:color w:val="auto"/>
          <w:sz w:val="24"/>
          <w:szCs w:val="32"/>
        </w:rPr>
        <w:t>中小企业声明函</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rPr>
        <w:t>本公司（联合体）郑重声明，根据《政府采购促进中小企业发展管理办法》（财库﹝2020﹞46 号）的规定，本公司（联合体）参加</w:t>
      </w:r>
      <w:r>
        <w:rPr>
          <w:rFonts w:hint="eastAsia" w:ascii="宋体" w:hAnsi="宋体" w:cs="宋体"/>
          <w:color w:val="auto"/>
          <w:sz w:val="24"/>
          <w:szCs w:val="32"/>
          <w:u w:val="single"/>
        </w:rPr>
        <w:t xml:space="preserve">   （单位名称）</w:t>
      </w:r>
      <w:r>
        <w:rPr>
          <w:rFonts w:hint="eastAsia" w:ascii="宋体" w:hAnsi="宋体" w:cs="宋体"/>
          <w:color w:val="auto"/>
          <w:sz w:val="24"/>
          <w:szCs w:val="32"/>
        </w:rPr>
        <w:t>的</w:t>
      </w:r>
      <w:r>
        <w:rPr>
          <w:rFonts w:hint="eastAsia" w:ascii="宋体" w:hAnsi="宋体" w:cs="宋体"/>
          <w:color w:val="auto"/>
          <w:sz w:val="24"/>
          <w:szCs w:val="32"/>
          <w:u w:val="single"/>
        </w:rPr>
        <w:t xml:space="preserve">  （项目名称、项目编号及包号）</w:t>
      </w:r>
      <w:r>
        <w:rPr>
          <w:rFonts w:hint="eastAsia" w:ascii="宋体" w:hAnsi="宋体" w:cs="宋体"/>
          <w:color w:val="auto"/>
          <w:sz w:val="24"/>
          <w:szCs w:val="32"/>
        </w:rPr>
        <w:t>采购活动，</w:t>
      </w:r>
      <w:r>
        <w:rPr>
          <w:rFonts w:hint="eastAsia"/>
          <w:color w:val="auto"/>
          <w:sz w:val="24"/>
        </w:rPr>
        <w:t>提供的货物全部由符合政策要求的中小企业制造</w:t>
      </w:r>
      <w:r>
        <w:rPr>
          <w:rFonts w:hint="eastAsia" w:ascii="宋体" w:hAnsi="宋体" w:cs="宋体"/>
          <w:color w:val="auto"/>
          <w:sz w:val="24"/>
          <w:szCs w:val="32"/>
        </w:rPr>
        <w:t>。相关企业（含联合体中的中小企业、签订分包意向协议的中小企业）的具体情况如下：</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rPr>
        <w:t>1.</w:t>
      </w:r>
      <w:r>
        <w:rPr>
          <w:rFonts w:hint="eastAsia" w:ascii="宋体" w:hAnsi="宋体" w:cs="宋体"/>
          <w:color w:val="auto"/>
          <w:sz w:val="24"/>
          <w:szCs w:val="32"/>
          <w:u w:val="single"/>
        </w:rPr>
        <w:t xml:space="preserve">   （标的名称） </w:t>
      </w:r>
      <w:r>
        <w:rPr>
          <w:rFonts w:hint="eastAsia" w:ascii="宋体" w:hAnsi="宋体" w:cs="宋体"/>
          <w:color w:val="auto"/>
          <w:sz w:val="24"/>
          <w:szCs w:val="32"/>
        </w:rPr>
        <w:t>，属于</w:t>
      </w:r>
      <w:r>
        <w:rPr>
          <w:rFonts w:hint="eastAsia" w:ascii="宋体" w:hAnsi="宋体" w:cs="宋体"/>
          <w:color w:val="auto"/>
          <w:sz w:val="24"/>
          <w:szCs w:val="32"/>
          <w:u w:val="single"/>
        </w:rPr>
        <w:t>（采购文件中明确的所属行业）</w:t>
      </w:r>
      <w:r>
        <w:rPr>
          <w:rFonts w:hint="eastAsia" w:ascii="宋体" w:hAnsi="宋体" w:cs="宋体"/>
          <w:color w:val="auto"/>
          <w:sz w:val="24"/>
          <w:szCs w:val="32"/>
        </w:rPr>
        <w:t>；制造商为</w:t>
      </w:r>
      <w:r>
        <w:rPr>
          <w:rFonts w:hint="eastAsia" w:ascii="宋体" w:hAnsi="宋体" w:cs="宋体"/>
          <w:color w:val="auto"/>
          <w:sz w:val="24"/>
          <w:szCs w:val="32"/>
          <w:u w:val="single"/>
        </w:rPr>
        <w:t xml:space="preserve">  （企业名称）</w:t>
      </w:r>
      <w:r>
        <w:rPr>
          <w:rFonts w:hint="eastAsia" w:ascii="宋体" w:hAnsi="宋体" w:cs="宋体"/>
          <w:color w:val="auto"/>
          <w:sz w:val="24"/>
          <w:szCs w:val="32"/>
        </w:rPr>
        <w:t>，从业人员</w:t>
      </w:r>
      <w:r>
        <w:rPr>
          <w:rFonts w:hint="eastAsia" w:ascii="宋体" w:hAnsi="宋体" w:cs="宋体"/>
          <w:color w:val="auto"/>
          <w:sz w:val="24"/>
          <w:szCs w:val="32"/>
          <w:u w:val="single"/>
        </w:rPr>
        <w:t xml:space="preserve">        </w:t>
      </w:r>
      <w:r>
        <w:rPr>
          <w:rFonts w:hint="eastAsia" w:ascii="宋体" w:hAnsi="宋体" w:cs="宋体"/>
          <w:color w:val="auto"/>
          <w:sz w:val="24"/>
          <w:szCs w:val="32"/>
        </w:rPr>
        <w:t>人，营业收入为</w:t>
      </w:r>
      <w:r>
        <w:rPr>
          <w:rFonts w:hint="eastAsia" w:ascii="宋体" w:hAnsi="宋体" w:cs="宋体"/>
          <w:color w:val="auto"/>
          <w:sz w:val="24"/>
          <w:szCs w:val="32"/>
          <w:u w:val="single"/>
        </w:rPr>
        <w:t xml:space="preserve">     </w:t>
      </w:r>
      <w:r>
        <w:rPr>
          <w:rFonts w:hint="eastAsia" w:ascii="宋体" w:hAnsi="宋体" w:cs="宋体"/>
          <w:color w:val="auto"/>
          <w:sz w:val="24"/>
          <w:szCs w:val="32"/>
        </w:rPr>
        <w:t>万元</w:t>
      </w:r>
      <w:r>
        <w:rPr>
          <w:rFonts w:hint="eastAsia" w:ascii="宋体" w:hAnsi="宋体" w:cs="宋体"/>
          <w:color w:val="auto"/>
          <w:sz w:val="24"/>
          <w:szCs w:val="32"/>
          <w:vertAlign w:val="superscript"/>
        </w:rPr>
        <w:t>1</w:t>
      </w:r>
      <w:r>
        <w:rPr>
          <w:rFonts w:hint="eastAsia" w:ascii="宋体" w:hAnsi="宋体" w:cs="宋体"/>
          <w:color w:val="auto"/>
          <w:sz w:val="24"/>
          <w:szCs w:val="32"/>
        </w:rPr>
        <w:t>，资产总额为</w:t>
      </w:r>
      <w:r>
        <w:rPr>
          <w:rFonts w:hint="eastAsia" w:ascii="宋体" w:hAnsi="宋体" w:cs="宋体"/>
          <w:color w:val="auto"/>
          <w:sz w:val="24"/>
          <w:szCs w:val="32"/>
          <w:u w:val="single"/>
        </w:rPr>
        <w:t xml:space="preserve">     </w:t>
      </w:r>
      <w:r>
        <w:rPr>
          <w:rFonts w:hint="eastAsia" w:ascii="宋体" w:hAnsi="宋体" w:cs="宋体"/>
          <w:color w:val="auto"/>
          <w:sz w:val="24"/>
          <w:szCs w:val="32"/>
        </w:rPr>
        <w:t>万元</w:t>
      </w:r>
      <w:r>
        <w:rPr>
          <w:rFonts w:hint="eastAsia" w:ascii="宋体" w:hAnsi="宋体" w:cs="宋体"/>
          <w:color w:val="auto"/>
          <w:sz w:val="24"/>
          <w:szCs w:val="32"/>
          <w:vertAlign w:val="superscript"/>
        </w:rPr>
        <w:t>1</w:t>
      </w:r>
      <w:r>
        <w:rPr>
          <w:rFonts w:hint="eastAsia" w:ascii="宋体" w:hAnsi="宋体" w:cs="宋体"/>
          <w:color w:val="auto"/>
          <w:sz w:val="24"/>
          <w:szCs w:val="32"/>
        </w:rPr>
        <w:t>，属于</w:t>
      </w:r>
      <w:r>
        <w:rPr>
          <w:rFonts w:hint="eastAsia" w:ascii="宋体" w:hAnsi="宋体" w:cs="宋体"/>
          <w:color w:val="auto"/>
          <w:sz w:val="24"/>
          <w:szCs w:val="32"/>
          <w:u w:val="single"/>
        </w:rPr>
        <w:t>（中型企业、小型企业、微型企业）</w:t>
      </w:r>
      <w:r>
        <w:rPr>
          <w:rFonts w:hint="eastAsia" w:ascii="宋体" w:hAnsi="宋体" w:cs="宋体"/>
          <w:color w:val="auto"/>
          <w:sz w:val="24"/>
          <w:szCs w:val="32"/>
        </w:rPr>
        <w:t>；</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rPr>
        <w:t xml:space="preserve">2. </w:t>
      </w:r>
      <w:r>
        <w:rPr>
          <w:rFonts w:hint="eastAsia" w:ascii="宋体" w:hAnsi="宋体" w:cs="宋体"/>
          <w:color w:val="auto"/>
          <w:sz w:val="24"/>
          <w:szCs w:val="32"/>
          <w:u w:val="single"/>
        </w:rPr>
        <w:t xml:space="preserve">  （标的名称） </w:t>
      </w:r>
      <w:r>
        <w:rPr>
          <w:rFonts w:hint="eastAsia" w:ascii="宋体" w:hAnsi="宋体" w:cs="宋体"/>
          <w:color w:val="auto"/>
          <w:sz w:val="24"/>
          <w:szCs w:val="32"/>
        </w:rPr>
        <w:t>，属于</w:t>
      </w:r>
      <w:r>
        <w:rPr>
          <w:rFonts w:hint="eastAsia" w:ascii="宋体" w:hAnsi="宋体" w:cs="宋体"/>
          <w:color w:val="auto"/>
          <w:sz w:val="24"/>
          <w:szCs w:val="32"/>
          <w:u w:val="single"/>
        </w:rPr>
        <w:t>（采购文件中明确的所属行业）</w:t>
      </w:r>
      <w:r>
        <w:rPr>
          <w:rFonts w:hint="eastAsia" w:ascii="宋体" w:hAnsi="宋体" w:cs="宋体"/>
          <w:color w:val="auto"/>
          <w:sz w:val="24"/>
          <w:szCs w:val="32"/>
        </w:rPr>
        <w:t>；制造商为</w:t>
      </w:r>
      <w:r>
        <w:rPr>
          <w:rFonts w:hint="eastAsia" w:ascii="宋体" w:hAnsi="宋体" w:cs="宋体"/>
          <w:color w:val="auto"/>
          <w:sz w:val="24"/>
          <w:szCs w:val="32"/>
          <w:u w:val="single"/>
        </w:rPr>
        <w:t xml:space="preserve">  （企业名称）</w:t>
      </w:r>
      <w:r>
        <w:rPr>
          <w:rFonts w:hint="eastAsia" w:ascii="宋体" w:hAnsi="宋体" w:cs="宋体"/>
          <w:color w:val="auto"/>
          <w:sz w:val="24"/>
          <w:szCs w:val="32"/>
        </w:rPr>
        <w:t>，从业人员</w:t>
      </w:r>
      <w:r>
        <w:rPr>
          <w:rFonts w:hint="eastAsia" w:ascii="宋体" w:hAnsi="宋体" w:cs="宋体"/>
          <w:color w:val="auto"/>
          <w:sz w:val="24"/>
          <w:szCs w:val="32"/>
          <w:u w:val="single"/>
        </w:rPr>
        <w:t xml:space="preserve">        </w:t>
      </w:r>
      <w:r>
        <w:rPr>
          <w:rFonts w:hint="eastAsia" w:ascii="宋体" w:hAnsi="宋体" w:cs="宋体"/>
          <w:color w:val="auto"/>
          <w:sz w:val="24"/>
          <w:szCs w:val="32"/>
        </w:rPr>
        <w:t>人，营业收入为</w:t>
      </w:r>
      <w:r>
        <w:rPr>
          <w:rFonts w:hint="eastAsia" w:ascii="宋体" w:hAnsi="宋体" w:cs="宋体"/>
          <w:color w:val="auto"/>
          <w:sz w:val="24"/>
          <w:szCs w:val="32"/>
          <w:u w:val="single"/>
        </w:rPr>
        <w:t xml:space="preserve">     </w:t>
      </w:r>
      <w:r>
        <w:rPr>
          <w:rFonts w:hint="eastAsia" w:ascii="宋体" w:hAnsi="宋体" w:cs="宋体"/>
          <w:color w:val="auto"/>
          <w:sz w:val="24"/>
          <w:szCs w:val="32"/>
        </w:rPr>
        <w:t>万元</w:t>
      </w:r>
      <w:r>
        <w:rPr>
          <w:rFonts w:hint="eastAsia" w:ascii="宋体" w:hAnsi="宋体" w:cs="宋体"/>
          <w:color w:val="auto"/>
          <w:sz w:val="24"/>
          <w:szCs w:val="32"/>
          <w:vertAlign w:val="superscript"/>
        </w:rPr>
        <w:t>1</w:t>
      </w:r>
      <w:r>
        <w:rPr>
          <w:rFonts w:hint="eastAsia" w:ascii="宋体" w:hAnsi="宋体" w:cs="宋体"/>
          <w:color w:val="auto"/>
          <w:sz w:val="24"/>
          <w:szCs w:val="32"/>
        </w:rPr>
        <w:t>，资产总额为</w:t>
      </w:r>
      <w:r>
        <w:rPr>
          <w:rFonts w:hint="eastAsia" w:ascii="宋体" w:hAnsi="宋体" w:cs="宋体"/>
          <w:color w:val="auto"/>
          <w:sz w:val="24"/>
          <w:szCs w:val="32"/>
          <w:u w:val="single"/>
        </w:rPr>
        <w:t xml:space="preserve">     </w:t>
      </w:r>
      <w:r>
        <w:rPr>
          <w:rFonts w:hint="eastAsia" w:ascii="宋体" w:hAnsi="宋体" w:cs="宋体"/>
          <w:color w:val="auto"/>
          <w:sz w:val="24"/>
          <w:szCs w:val="32"/>
        </w:rPr>
        <w:t>万元，属于</w:t>
      </w:r>
      <w:r>
        <w:rPr>
          <w:rFonts w:hint="eastAsia" w:ascii="宋体" w:hAnsi="宋体" w:cs="宋体"/>
          <w:color w:val="auto"/>
          <w:sz w:val="24"/>
          <w:szCs w:val="32"/>
          <w:u w:val="single"/>
        </w:rPr>
        <w:t>（中型企业、小型企业、微型企业）</w:t>
      </w:r>
      <w:r>
        <w:rPr>
          <w:rFonts w:hint="eastAsia" w:ascii="宋体" w:hAnsi="宋体" w:cs="宋体"/>
          <w:color w:val="auto"/>
          <w:sz w:val="24"/>
          <w:szCs w:val="32"/>
        </w:rPr>
        <w:t>；</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rPr>
        <w:t>……</w:t>
      </w: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before="156" w:beforeLines="50" w:line="360" w:lineRule="auto"/>
        <w:ind w:firstLine="480" w:firstLineChars="200"/>
        <w:rPr>
          <w:rFonts w:hint="eastAsia" w:ascii="宋体" w:hAnsi="宋体" w:cs="宋体"/>
          <w:color w:val="auto"/>
          <w:sz w:val="24"/>
        </w:rPr>
      </w:pPr>
      <w:r>
        <w:rPr>
          <w:rFonts w:hint="eastAsia" w:ascii="宋体" w:hAnsi="宋体" w:cs="宋体"/>
          <w:color w:val="auto"/>
          <w:sz w:val="24"/>
        </w:rPr>
        <w:t>企业名称（盖章）：</w:t>
      </w:r>
    </w:p>
    <w:p>
      <w:pPr>
        <w:spacing w:before="156" w:beforeLines="50" w:line="360" w:lineRule="auto"/>
        <w:ind w:firstLine="480" w:firstLineChars="200"/>
        <w:rPr>
          <w:rFonts w:hint="eastAsia" w:ascii="宋体" w:hAnsi="宋体" w:cs="宋体"/>
          <w:color w:val="auto"/>
          <w:sz w:val="24"/>
          <w:vertAlign w:val="superscript"/>
        </w:rPr>
      </w:pPr>
      <w:r>
        <w:rPr>
          <w:rFonts w:hint="eastAsia" w:ascii="宋体" w:hAnsi="宋体" w:cs="宋体"/>
          <w:color w:val="auto"/>
          <w:sz w:val="24"/>
        </w:rPr>
        <w:t>日   期：   年   月   日</w:t>
      </w:r>
    </w:p>
    <w:p>
      <w:pPr>
        <w:spacing w:line="360" w:lineRule="auto"/>
        <w:ind w:firstLine="480" w:firstLineChars="200"/>
        <w:rPr>
          <w:rFonts w:hint="eastAsia" w:ascii="宋体" w:hAnsi="宋体" w:cs="宋体"/>
          <w:color w:val="auto"/>
          <w:sz w:val="24"/>
          <w:szCs w:val="32"/>
        </w:rPr>
      </w:pPr>
    </w:p>
    <w:p>
      <w:pPr>
        <w:spacing w:line="360" w:lineRule="auto"/>
        <w:ind w:firstLine="480" w:firstLineChars="200"/>
        <w:rPr>
          <w:rFonts w:hint="eastAsia" w:ascii="宋体" w:hAnsi="宋体" w:cs="宋体"/>
          <w:color w:val="auto"/>
          <w:sz w:val="24"/>
          <w:szCs w:val="32"/>
        </w:rPr>
      </w:pPr>
    </w:p>
    <w:p>
      <w:pPr>
        <w:spacing w:line="360" w:lineRule="auto"/>
        <w:ind w:firstLine="480" w:firstLineChars="200"/>
        <w:rPr>
          <w:rFonts w:hint="eastAsia" w:ascii="宋体" w:hAnsi="宋体" w:cs="宋体"/>
          <w:color w:val="auto"/>
          <w:sz w:val="24"/>
          <w:szCs w:val="32"/>
        </w:rPr>
      </w:pPr>
    </w:p>
    <w:p>
      <w:pPr>
        <w:spacing w:line="360" w:lineRule="auto"/>
        <w:ind w:firstLine="480" w:firstLineChars="200"/>
        <w:rPr>
          <w:rFonts w:hint="eastAsia" w:ascii="宋体" w:hAnsi="宋体" w:cs="宋体"/>
          <w:color w:val="auto"/>
          <w:sz w:val="24"/>
          <w:szCs w:val="32"/>
        </w:rPr>
      </w:pPr>
      <w:r>
        <w:rPr>
          <w:rFonts w:hint="eastAsia" w:ascii="宋体" w:hAnsi="宋体" w:cs="宋体"/>
          <w:color w:val="auto"/>
          <w:sz w:val="24"/>
          <w:szCs w:val="32"/>
        </w:rPr>
        <w:t>1 从业人员、营业收入、资产总额填报上一年度数据，无上一年度数据的新成立企业可不填报。</w:t>
      </w:r>
    </w:p>
    <w:p>
      <w:pPr>
        <w:spacing w:line="360" w:lineRule="auto"/>
        <w:ind w:firstLine="480" w:firstLineChars="200"/>
        <w:rPr>
          <w:color w:val="auto"/>
          <w:sz w:val="24"/>
          <w:szCs w:val="32"/>
        </w:rPr>
      </w:pPr>
    </w:p>
    <w:p>
      <w:pPr>
        <w:spacing w:line="360" w:lineRule="auto"/>
        <w:ind w:firstLine="480" w:firstLineChars="200"/>
        <w:rPr>
          <w:rFonts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5"/>
          <w:szCs w:val="15"/>
          <w:vertAlign w:val="superscript"/>
          <w:lang w:val="en-US" w:eastAsia="zh-CN"/>
        </w:rPr>
      </w:pPr>
    </w:p>
    <w:p>
      <w:pPr>
        <w:pageBreakBefore w:val="0"/>
        <w:kinsoku/>
        <w:wordWrap w:val="0"/>
        <w:overflowPunct/>
        <w:bidi w:val="0"/>
        <w:snapToGrid/>
        <w:spacing w:line="360" w:lineRule="auto"/>
        <w:rPr>
          <w:b/>
          <w:bCs/>
          <w:color w:val="auto"/>
          <w:szCs w:val="21"/>
        </w:rPr>
      </w:pPr>
    </w:p>
    <w:p>
      <w:pPr>
        <w:pStyle w:val="4"/>
        <w:keepNext w:val="0"/>
        <w:keepLines w:val="0"/>
        <w:pageBreakBefore w:val="0"/>
        <w:tabs>
          <w:tab w:val="left" w:pos="540"/>
          <w:tab w:val="left" w:pos="720"/>
        </w:tabs>
        <w:kinsoku/>
        <w:wordWrap w:val="0"/>
        <w:overflowPunct/>
        <w:bidi w:val="0"/>
        <w:snapToGrid/>
        <w:spacing w:before="120" w:beforeLines="50" w:after="120" w:afterLines="50" w:line="360" w:lineRule="auto"/>
        <w:jc w:val="center"/>
        <w:rPr>
          <w:rFonts w:hint="eastAsia" w:ascii="Times New Roman" w:hAnsi="Times New Roman"/>
          <w:color w:val="auto"/>
          <w:sz w:val="24"/>
          <w:szCs w:val="24"/>
        </w:rPr>
      </w:pPr>
      <w:bookmarkStart w:id="755" w:name="_Toc28260"/>
      <w:bookmarkStart w:id="756" w:name="_Toc16393"/>
      <w:bookmarkStart w:id="757" w:name="_Toc30862"/>
      <w:bookmarkStart w:id="758" w:name="_Toc18396"/>
      <w:bookmarkStart w:id="759" w:name="_Toc10879"/>
      <w:bookmarkStart w:id="760" w:name="_Toc17852"/>
      <w:bookmarkStart w:id="761" w:name="_Toc27846"/>
      <w:bookmarkStart w:id="762" w:name="_Toc19540"/>
      <w:bookmarkStart w:id="763" w:name="_Toc10874"/>
      <w:bookmarkStart w:id="764" w:name="_Toc871"/>
      <w:bookmarkStart w:id="765" w:name="_Toc4595"/>
      <w:bookmarkStart w:id="766" w:name="_Toc22686"/>
      <w:r>
        <w:rPr>
          <w:rFonts w:hint="eastAsia" w:ascii="Calibri" w:hAnsi="宋体" w:eastAsia="宋体" w:cs="宋体"/>
          <w:b/>
          <w:bCs/>
          <w:color w:val="auto"/>
          <w:kern w:val="2"/>
          <w:sz w:val="28"/>
          <w:szCs w:val="28"/>
          <w:lang w:val="en-US" w:eastAsia="zh-CN" w:bidi="ar-SA"/>
        </w:rPr>
        <w:t>附件2：监狱企业证明（如有）</w:t>
      </w:r>
      <w:bookmarkEnd w:id="755"/>
      <w:bookmarkEnd w:id="756"/>
      <w:bookmarkEnd w:id="757"/>
      <w:bookmarkEnd w:id="758"/>
      <w:bookmarkEnd w:id="759"/>
      <w:bookmarkEnd w:id="760"/>
      <w:bookmarkEnd w:id="761"/>
    </w:p>
    <w:p>
      <w:pPr>
        <w:pStyle w:val="4"/>
        <w:keepNext w:val="0"/>
        <w:keepLines w:val="0"/>
        <w:pageBreakBefore w:val="0"/>
        <w:tabs>
          <w:tab w:val="left" w:pos="540"/>
          <w:tab w:val="left" w:pos="720"/>
        </w:tabs>
        <w:kinsoku/>
        <w:wordWrap w:val="0"/>
        <w:overflowPunct/>
        <w:bidi w:val="0"/>
        <w:snapToGrid/>
        <w:spacing w:before="120" w:beforeLines="50" w:after="120" w:afterLines="50" w:line="360" w:lineRule="auto"/>
        <w:jc w:val="center"/>
        <w:rPr>
          <w:rFonts w:ascii="Times New Roman" w:hAnsi="Times New Roman"/>
          <w:color w:val="auto"/>
        </w:rPr>
      </w:pPr>
      <w:bookmarkStart w:id="767" w:name="_Toc13985"/>
      <w:bookmarkStart w:id="768" w:name="_Toc31198"/>
      <w:bookmarkStart w:id="769" w:name="_Toc31821"/>
      <w:bookmarkStart w:id="770" w:name="_Toc27328"/>
      <w:bookmarkStart w:id="771" w:name="_Toc26622"/>
      <w:bookmarkStart w:id="772" w:name="_Toc9674"/>
      <w:bookmarkStart w:id="773" w:name="_Toc32415"/>
      <w:r>
        <w:rPr>
          <w:rFonts w:ascii="Times New Roman" w:hAnsi="Times New Roman"/>
          <w:color w:val="auto"/>
          <w:sz w:val="24"/>
          <w:szCs w:val="24"/>
        </w:rPr>
        <w:t>监狱企业</w:t>
      </w:r>
      <w:r>
        <w:rPr>
          <w:rFonts w:hint="eastAsia" w:ascii="Times New Roman" w:hAnsi="Times New Roman"/>
          <w:color w:val="auto"/>
          <w:sz w:val="24"/>
          <w:szCs w:val="24"/>
        </w:rPr>
        <w:t>证明文件</w:t>
      </w:r>
      <w:bookmarkEnd w:id="762"/>
      <w:bookmarkEnd w:id="763"/>
      <w:bookmarkEnd w:id="764"/>
      <w:bookmarkEnd w:id="765"/>
      <w:bookmarkEnd w:id="766"/>
      <w:bookmarkEnd w:id="767"/>
      <w:bookmarkEnd w:id="768"/>
      <w:bookmarkEnd w:id="769"/>
      <w:bookmarkEnd w:id="770"/>
      <w:bookmarkEnd w:id="771"/>
      <w:bookmarkEnd w:id="772"/>
      <w:bookmarkEnd w:id="773"/>
    </w:p>
    <w:p>
      <w:pPr>
        <w:pageBreakBefore w:val="0"/>
        <w:kinsoku/>
        <w:wordWrap w:val="0"/>
        <w:overflowPunct/>
        <w:bidi w:val="0"/>
        <w:snapToGrid/>
        <w:spacing w:before="120" w:beforeLines="50" w:line="360" w:lineRule="auto"/>
        <w:ind w:firstLine="482" w:firstLineChars="200"/>
        <w:rPr>
          <w:b/>
          <w:bCs/>
          <w:color w:val="auto"/>
          <w:sz w:val="24"/>
        </w:rPr>
      </w:pPr>
    </w:p>
    <w:p>
      <w:pPr>
        <w:pageBreakBefore w:val="0"/>
        <w:kinsoku/>
        <w:wordWrap w:val="0"/>
        <w:overflowPunct/>
        <w:bidi w:val="0"/>
        <w:snapToGrid/>
        <w:spacing w:before="120" w:beforeLines="50" w:line="360" w:lineRule="auto"/>
        <w:ind w:firstLine="482" w:firstLineChars="200"/>
        <w:rPr>
          <w:b/>
          <w:bCs/>
          <w:color w:val="auto"/>
          <w:sz w:val="24"/>
        </w:rPr>
      </w:pPr>
    </w:p>
    <w:p>
      <w:pPr>
        <w:pageBreakBefore w:val="0"/>
        <w:kinsoku/>
        <w:wordWrap w:val="0"/>
        <w:overflowPunct/>
        <w:bidi w:val="0"/>
        <w:snapToGrid/>
        <w:spacing w:before="120" w:beforeLines="50" w:line="360" w:lineRule="auto"/>
        <w:ind w:firstLine="420" w:firstLineChars="200"/>
        <w:rPr>
          <w:color w:val="auto"/>
          <w:szCs w:val="21"/>
        </w:rPr>
      </w:pPr>
      <w:r>
        <w:rPr>
          <w:color w:val="auto"/>
          <w:szCs w:val="21"/>
        </w:rPr>
        <w:t>监狱企业参加政府采购活动时，应当提供由省级以上监狱管理局、戒毒管理局（含新疆生产建设兵团）出具的属于监狱企业的证明文件。</w:t>
      </w:r>
    </w:p>
    <w:p>
      <w:pPr>
        <w:pageBreakBefore w:val="0"/>
        <w:kinsoku/>
        <w:wordWrap w:val="0"/>
        <w:overflowPunct/>
        <w:bidi w:val="0"/>
        <w:snapToGrid/>
        <w:spacing w:before="120" w:beforeLines="50" w:line="360" w:lineRule="auto"/>
        <w:ind w:firstLine="420" w:firstLineChars="200"/>
        <w:rPr>
          <w:rFonts w:hint="eastAsia"/>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r>
        <w:rPr>
          <w:rFonts w:hint="eastAsia"/>
          <w:b/>
          <w:bCs/>
          <w:color w:val="auto"/>
          <w:szCs w:val="21"/>
        </w:rPr>
        <w:t>注：</w:t>
      </w:r>
    </w:p>
    <w:p>
      <w:pPr>
        <w:pageBreakBefore w:val="0"/>
        <w:kinsoku/>
        <w:wordWrap w:val="0"/>
        <w:overflowPunct/>
        <w:bidi w:val="0"/>
        <w:snapToGrid/>
        <w:spacing w:line="360" w:lineRule="auto"/>
        <w:ind w:firstLine="422" w:firstLineChars="200"/>
        <w:rPr>
          <w:b/>
          <w:bCs/>
          <w:color w:val="auto"/>
          <w:szCs w:val="21"/>
        </w:rPr>
      </w:pPr>
      <w:r>
        <w:rPr>
          <w:rFonts w:hint="eastAsia"/>
          <w:b/>
          <w:bCs/>
          <w:color w:val="auto"/>
          <w:szCs w:val="21"/>
        </w:rPr>
        <w:t>1、</w:t>
      </w:r>
      <w:r>
        <w:rPr>
          <w:b/>
          <w:bCs/>
          <w:color w:val="auto"/>
          <w:szCs w:val="21"/>
        </w:rPr>
        <w:t>在政府采购活动中，监狱企业视同小型、微型企业，享受预留份额、评审中价格扣除等政府采购促进中小企业发展的政府采购政策。</w:t>
      </w:r>
    </w:p>
    <w:p>
      <w:pPr>
        <w:spacing w:line="360" w:lineRule="auto"/>
        <w:rPr>
          <w:rFonts w:ascii="宋体" w:hAnsi="宋体" w:cs="宋体"/>
          <w:color w:val="auto"/>
          <w:sz w:val="24"/>
          <w:highlight w:val="none"/>
        </w:rPr>
      </w:pPr>
      <w:r>
        <w:rPr>
          <w:rFonts w:hint="eastAsia"/>
          <w:b/>
          <w:bCs/>
          <w:color w:val="auto"/>
          <w:szCs w:val="21"/>
        </w:rPr>
        <w:t>2、供应商为非监狱企业的，可不提供此项证明文件。</w:t>
      </w:r>
    </w:p>
    <w:p>
      <w:pPr>
        <w:spacing w:line="360" w:lineRule="auto"/>
        <w:rPr>
          <w:rFonts w:ascii="宋体" w:hAnsi="宋体" w:cs="宋体"/>
          <w:color w:val="auto"/>
          <w:sz w:val="28"/>
          <w:highlight w:val="none"/>
        </w:rPr>
      </w:pPr>
    </w:p>
    <w:p>
      <w:pPr>
        <w:rPr>
          <w:rFonts w:ascii="宋体" w:cs="宋体"/>
          <w:color w:val="auto"/>
          <w:sz w:val="32"/>
          <w:highlight w:val="none"/>
        </w:rPr>
      </w:pPr>
      <w:bookmarkStart w:id="774" w:name="_Toc20967"/>
      <w:bookmarkStart w:id="775" w:name="_Toc39873593"/>
      <w:bookmarkStart w:id="776" w:name="_Toc5545_WPSOffice_Level1"/>
      <w:bookmarkStart w:id="777" w:name="_Toc22767"/>
      <w:bookmarkStart w:id="778" w:name="_Toc11586_WPSOffice_Level1"/>
      <w:bookmarkStart w:id="779" w:name="_Toc8475_WPSOffice_Level2"/>
      <w:bookmarkStart w:id="780" w:name="_Toc524938918"/>
      <w:bookmarkStart w:id="781" w:name="_Toc6245"/>
      <w:bookmarkStart w:id="782" w:name="_Toc634"/>
      <w:bookmarkStart w:id="783" w:name="_Toc12099"/>
      <w:bookmarkStart w:id="784" w:name="_Toc38219036"/>
      <w:bookmarkStart w:id="785" w:name="_Toc13860"/>
      <w:bookmarkStart w:id="786" w:name="_Toc21061_WPSOffice_Level1"/>
      <w:r>
        <w:rPr>
          <w:rFonts w:hint="eastAsia" w:ascii="宋体" w:cs="宋体"/>
          <w:color w:val="auto"/>
          <w:sz w:val="32"/>
          <w:highlight w:val="none"/>
        </w:rPr>
        <w:br w:type="page"/>
      </w:r>
    </w:p>
    <w:bookmarkEnd w:id="774"/>
    <w:bookmarkEnd w:id="775"/>
    <w:bookmarkEnd w:id="776"/>
    <w:bookmarkEnd w:id="777"/>
    <w:bookmarkEnd w:id="778"/>
    <w:bookmarkEnd w:id="779"/>
    <w:bookmarkEnd w:id="780"/>
    <w:bookmarkEnd w:id="781"/>
    <w:bookmarkEnd w:id="782"/>
    <w:bookmarkEnd w:id="783"/>
    <w:bookmarkEnd w:id="784"/>
    <w:bookmarkEnd w:id="785"/>
    <w:bookmarkEnd w:id="786"/>
    <w:p>
      <w:pPr>
        <w:pStyle w:val="4"/>
        <w:keepNext w:val="0"/>
        <w:keepLines w:val="0"/>
        <w:pageBreakBefore w:val="0"/>
        <w:tabs>
          <w:tab w:val="left" w:pos="540"/>
          <w:tab w:val="left" w:pos="720"/>
        </w:tabs>
        <w:kinsoku/>
        <w:wordWrap w:val="0"/>
        <w:overflowPunct/>
        <w:bidi w:val="0"/>
        <w:snapToGrid/>
        <w:spacing w:before="120" w:beforeLines="50" w:after="120" w:afterLines="50" w:line="360" w:lineRule="auto"/>
        <w:jc w:val="center"/>
        <w:rPr>
          <w:rFonts w:ascii="Times New Roman" w:hAnsi="Times New Roman"/>
          <w:color w:val="auto"/>
          <w:sz w:val="24"/>
          <w:szCs w:val="24"/>
        </w:rPr>
      </w:pPr>
      <w:bookmarkStart w:id="787" w:name="_Toc5578"/>
      <w:bookmarkStart w:id="788" w:name="_Toc1549"/>
      <w:bookmarkStart w:id="789" w:name="_Toc17980"/>
      <w:bookmarkStart w:id="790" w:name="_Toc19324"/>
      <w:bookmarkStart w:id="791" w:name="_Toc29909"/>
      <w:bookmarkStart w:id="792" w:name="_Toc7026"/>
      <w:bookmarkStart w:id="793" w:name="_Toc11652"/>
      <w:r>
        <w:rPr>
          <w:rFonts w:hint="eastAsia" w:ascii="Calibri" w:hAnsi="宋体" w:eastAsia="宋体" w:cs="宋体"/>
          <w:b/>
          <w:bCs/>
          <w:color w:val="auto"/>
          <w:kern w:val="2"/>
          <w:sz w:val="28"/>
          <w:szCs w:val="28"/>
          <w:lang w:val="en-US" w:eastAsia="zh-CN" w:bidi="ar-SA"/>
        </w:rPr>
        <w:t>附件</w:t>
      </w:r>
      <w:r>
        <w:rPr>
          <w:rFonts w:hint="eastAsia" w:cs="宋体"/>
          <w:b/>
          <w:bCs/>
          <w:color w:val="auto"/>
          <w:kern w:val="2"/>
          <w:sz w:val="28"/>
          <w:szCs w:val="28"/>
          <w:lang w:val="en-US" w:eastAsia="zh-CN" w:bidi="ar-SA"/>
        </w:rPr>
        <w:t>3</w:t>
      </w:r>
      <w:r>
        <w:rPr>
          <w:rFonts w:hint="eastAsia" w:ascii="Calibri" w:hAnsi="宋体" w:eastAsia="宋体" w:cs="宋体"/>
          <w:b/>
          <w:bCs/>
          <w:color w:val="auto"/>
          <w:kern w:val="2"/>
          <w:sz w:val="28"/>
          <w:szCs w:val="28"/>
          <w:lang w:val="en-US" w:eastAsia="zh-CN" w:bidi="ar-SA"/>
        </w:rPr>
        <w:t>：残疾人福利性单位声明函（如有）</w:t>
      </w:r>
      <w:bookmarkEnd w:id="787"/>
      <w:bookmarkEnd w:id="788"/>
      <w:bookmarkEnd w:id="789"/>
      <w:bookmarkEnd w:id="790"/>
      <w:bookmarkEnd w:id="791"/>
      <w:bookmarkEnd w:id="792"/>
      <w:bookmarkEnd w:id="793"/>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ind w:firstLine="482" w:firstLineChars="200"/>
        <w:jc w:val="center"/>
        <w:rPr>
          <w:rFonts w:hint="eastAsia"/>
          <w:b/>
          <w:bCs/>
          <w:color w:val="auto"/>
          <w:sz w:val="24"/>
        </w:rPr>
      </w:pPr>
      <w:r>
        <w:rPr>
          <w:rFonts w:hint="eastAsia"/>
          <w:b/>
          <w:bCs/>
          <w:color w:val="auto"/>
          <w:sz w:val="24"/>
        </w:rPr>
        <w:t>残疾人福利性单位声明函</w:t>
      </w: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ind w:firstLine="444" w:firstLineChars="200"/>
        <w:rPr>
          <w:color w:val="auto"/>
          <w:spacing w:val="6"/>
          <w:szCs w:val="21"/>
        </w:rPr>
      </w:pPr>
      <w:r>
        <w:rPr>
          <w:color w:val="auto"/>
          <w:spacing w:val="6"/>
          <w:szCs w:val="21"/>
        </w:rPr>
        <w:t>本单位郑重声明，根据《财政部 民政部 中国残疾人联合会关于促进残疾人就业政府采购政策的通知》（财库</w:t>
      </w:r>
      <w:r>
        <w:rPr>
          <w:color w:val="auto"/>
          <w:szCs w:val="21"/>
        </w:rPr>
        <w:t>〔2017〕 141</w:t>
      </w:r>
      <w:r>
        <w:rPr>
          <w:color w:val="auto"/>
          <w:spacing w:val="6"/>
          <w:szCs w:val="21"/>
        </w:rPr>
        <w:t>号）的规定，本单位为符合条件的残疾人福利性单位，且本单位参加______________单位的______________项目采购活动提供本单位制造的货物（由本单位承担工程/提供服务），或者提供其他残疾人福利性单位制造的货物（不包括使用非残疾人福利性单位注册商标的货物）。</w:t>
      </w:r>
    </w:p>
    <w:p>
      <w:pPr>
        <w:pageBreakBefore w:val="0"/>
        <w:kinsoku/>
        <w:wordWrap w:val="0"/>
        <w:overflowPunct/>
        <w:bidi w:val="0"/>
        <w:snapToGrid/>
        <w:spacing w:line="360" w:lineRule="auto"/>
        <w:ind w:firstLine="444" w:firstLineChars="200"/>
        <w:rPr>
          <w:color w:val="auto"/>
          <w:spacing w:val="6"/>
          <w:szCs w:val="21"/>
        </w:rPr>
      </w:pPr>
      <w:r>
        <w:rPr>
          <w:color w:val="auto"/>
          <w:spacing w:val="6"/>
          <w:szCs w:val="21"/>
        </w:rPr>
        <w:t>本单位对上述声明的真实性负责。如有虚假，将依法承担相应责任。</w:t>
      </w:r>
    </w:p>
    <w:p>
      <w:pPr>
        <w:pageBreakBefore w:val="0"/>
        <w:kinsoku/>
        <w:wordWrap w:val="0"/>
        <w:overflowPunct/>
        <w:bidi w:val="0"/>
        <w:snapToGrid/>
        <w:spacing w:line="360" w:lineRule="auto"/>
        <w:ind w:firstLine="444" w:firstLineChars="200"/>
        <w:rPr>
          <w:color w:val="auto"/>
          <w:spacing w:val="6"/>
          <w:szCs w:val="21"/>
        </w:rPr>
      </w:pPr>
    </w:p>
    <w:p>
      <w:pPr>
        <w:pageBreakBefore w:val="0"/>
        <w:kinsoku/>
        <w:wordWrap w:val="0"/>
        <w:overflowPunct/>
        <w:bidi w:val="0"/>
        <w:snapToGrid/>
        <w:spacing w:line="360" w:lineRule="auto"/>
        <w:ind w:firstLine="444" w:firstLineChars="200"/>
        <w:rPr>
          <w:color w:val="auto"/>
          <w:spacing w:val="6"/>
          <w:szCs w:val="21"/>
        </w:rPr>
      </w:pPr>
    </w:p>
    <w:p>
      <w:pPr>
        <w:pageBreakBefore w:val="0"/>
        <w:tabs>
          <w:tab w:val="left" w:pos="4860"/>
        </w:tabs>
        <w:kinsoku/>
        <w:wordWrap w:val="0"/>
        <w:overflowPunct/>
        <w:bidi w:val="0"/>
        <w:snapToGrid/>
        <w:spacing w:line="360" w:lineRule="auto"/>
        <w:ind w:right="1560" w:firstLine="444" w:firstLineChars="200"/>
        <w:rPr>
          <w:color w:val="auto"/>
          <w:spacing w:val="6"/>
          <w:szCs w:val="21"/>
        </w:rPr>
      </w:pPr>
      <w:r>
        <w:rPr>
          <w:color w:val="auto"/>
          <w:spacing w:val="6"/>
          <w:szCs w:val="21"/>
        </w:rPr>
        <w:t>单位名称（盖章）：</w:t>
      </w:r>
    </w:p>
    <w:p>
      <w:pPr>
        <w:pageBreakBefore w:val="0"/>
        <w:tabs>
          <w:tab w:val="left" w:pos="4860"/>
        </w:tabs>
        <w:kinsoku/>
        <w:wordWrap w:val="0"/>
        <w:overflowPunct/>
        <w:bidi w:val="0"/>
        <w:snapToGrid/>
        <w:spacing w:line="360" w:lineRule="auto"/>
        <w:ind w:right="1560" w:firstLine="444" w:firstLineChars="200"/>
        <w:rPr>
          <w:color w:val="auto"/>
          <w:spacing w:val="6"/>
          <w:szCs w:val="21"/>
        </w:rPr>
      </w:pPr>
    </w:p>
    <w:p>
      <w:pPr>
        <w:pageBreakBefore w:val="0"/>
        <w:tabs>
          <w:tab w:val="left" w:pos="4860"/>
        </w:tabs>
        <w:kinsoku/>
        <w:wordWrap w:val="0"/>
        <w:overflowPunct/>
        <w:bidi w:val="0"/>
        <w:snapToGrid/>
        <w:spacing w:line="360" w:lineRule="auto"/>
        <w:ind w:right="1560" w:firstLine="444" w:firstLineChars="200"/>
        <w:rPr>
          <w:color w:val="auto"/>
          <w:spacing w:val="6"/>
          <w:szCs w:val="21"/>
        </w:rPr>
      </w:pPr>
      <w:r>
        <w:rPr>
          <w:color w:val="auto"/>
          <w:spacing w:val="6"/>
          <w:szCs w:val="21"/>
        </w:rPr>
        <w:t>日  期：</w:t>
      </w:r>
      <w:r>
        <w:rPr>
          <w:rFonts w:hint="eastAsia"/>
          <w:color w:val="auto"/>
          <w:szCs w:val="21"/>
          <w:lang w:val="en-US" w:eastAsia="zh-CN"/>
        </w:rPr>
        <w:t xml:space="preserve">   </w:t>
      </w:r>
      <w:r>
        <w:rPr>
          <w:color w:val="auto"/>
          <w:szCs w:val="21"/>
        </w:rPr>
        <w:t>年   月   日</w:t>
      </w:r>
    </w:p>
    <w:p>
      <w:pPr>
        <w:pageBreakBefore w:val="0"/>
        <w:kinsoku/>
        <w:wordWrap w:val="0"/>
        <w:overflowPunct/>
        <w:bidi w:val="0"/>
        <w:snapToGrid/>
        <w:spacing w:line="360" w:lineRule="auto"/>
        <w:ind w:firstLine="444" w:firstLineChars="200"/>
        <w:rPr>
          <w:color w:val="auto"/>
          <w:spacing w:val="6"/>
          <w:szCs w:val="21"/>
        </w:rPr>
      </w:pPr>
    </w:p>
    <w:p>
      <w:pPr>
        <w:pageBreakBefore w:val="0"/>
        <w:kinsoku/>
        <w:wordWrap w:val="0"/>
        <w:overflowPunct/>
        <w:bidi w:val="0"/>
        <w:snapToGrid/>
        <w:spacing w:before="120" w:beforeLines="50" w:line="360" w:lineRule="auto"/>
        <w:ind w:firstLine="422" w:firstLineChars="200"/>
        <w:rPr>
          <w:b/>
          <w:bCs/>
          <w:color w:val="auto"/>
          <w:szCs w:val="21"/>
        </w:rPr>
      </w:pPr>
    </w:p>
    <w:p>
      <w:pPr>
        <w:pageBreakBefore w:val="0"/>
        <w:kinsoku/>
        <w:wordWrap w:val="0"/>
        <w:overflowPunct/>
        <w:bidi w:val="0"/>
        <w:snapToGrid/>
        <w:spacing w:before="120" w:beforeLines="50" w:line="360" w:lineRule="auto"/>
        <w:ind w:firstLine="422" w:firstLineChars="200"/>
        <w:rPr>
          <w:b/>
          <w:bCs/>
          <w:color w:val="auto"/>
          <w:szCs w:val="21"/>
        </w:rPr>
      </w:pPr>
      <w:r>
        <w:rPr>
          <w:rFonts w:hint="eastAsia"/>
          <w:b/>
          <w:bCs/>
          <w:color w:val="auto"/>
          <w:szCs w:val="21"/>
        </w:rPr>
        <w:t>注：</w:t>
      </w:r>
    </w:p>
    <w:p>
      <w:pPr>
        <w:pageBreakBefore w:val="0"/>
        <w:kinsoku/>
        <w:wordWrap w:val="0"/>
        <w:overflowPunct/>
        <w:bidi w:val="0"/>
        <w:snapToGrid/>
        <w:spacing w:before="120" w:beforeLines="50" w:line="360" w:lineRule="auto"/>
        <w:ind w:firstLine="422" w:firstLineChars="200"/>
        <w:rPr>
          <w:b/>
          <w:bCs/>
          <w:color w:val="auto"/>
          <w:szCs w:val="21"/>
        </w:rPr>
      </w:pPr>
      <w:r>
        <w:rPr>
          <w:rFonts w:hint="eastAsia"/>
          <w:b/>
          <w:bCs/>
          <w:color w:val="auto"/>
          <w:szCs w:val="21"/>
        </w:rPr>
        <w:t>1、</w:t>
      </w:r>
      <w:r>
        <w:rPr>
          <w:b/>
          <w:bCs/>
          <w:color w:val="auto"/>
          <w:szCs w:val="21"/>
        </w:rPr>
        <w:t>残疾人福利性单位视同小型、微型企业，享受预留份额、评审中价格扣除等促进中小企业发展的政府采购政策。残疾人福利性单位属于小型、微型企业的，不重复享受政策。</w:t>
      </w:r>
    </w:p>
    <w:p>
      <w:pPr>
        <w:pageBreakBefore w:val="0"/>
        <w:kinsoku/>
        <w:wordWrap w:val="0"/>
        <w:overflowPunct/>
        <w:bidi w:val="0"/>
        <w:snapToGrid/>
        <w:spacing w:before="120" w:beforeLines="50" w:line="360" w:lineRule="auto"/>
        <w:ind w:firstLine="422" w:firstLineChars="200"/>
        <w:rPr>
          <w:rFonts w:hint="eastAsia"/>
          <w:b/>
          <w:bCs/>
          <w:color w:val="auto"/>
          <w:szCs w:val="21"/>
        </w:rPr>
      </w:pPr>
      <w:r>
        <w:rPr>
          <w:rFonts w:hint="eastAsia"/>
          <w:b/>
          <w:bCs/>
          <w:color w:val="auto"/>
          <w:szCs w:val="21"/>
        </w:rPr>
        <w:t>2、中标、成交供应商为残疾人福利性单位的，采购代理机构将随中标、成交结果同时公告其《残疾人福利性单位声明函》，接受社会监督。</w:t>
      </w:r>
    </w:p>
    <w:p>
      <w:pPr>
        <w:spacing w:line="360" w:lineRule="auto"/>
        <w:ind w:firstLine="422" w:firstLineChars="200"/>
        <w:jc w:val="left"/>
        <w:rPr>
          <w:rFonts w:hint="eastAsia"/>
          <w:b/>
          <w:bCs/>
          <w:color w:val="auto"/>
          <w:szCs w:val="21"/>
        </w:rPr>
      </w:pPr>
      <w:r>
        <w:rPr>
          <w:rFonts w:hint="eastAsia"/>
          <w:b/>
          <w:bCs/>
          <w:color w:val="auto"/>
          <w:szCs w:val="21"/>
        </w:rPr>
        <w:t>3、供应商为非</w:t>
      </w:r>
      <w:r>
        <w:rPr>
          <w:b/>
          <w:bCs/>
          <w:color w:val="auto"/>
          <w:szCs w:val="21"/>
        </w:rPr>
        <w:t>残疾人福利性单位</w:t>
      </w:r>
      <w:r>
        <w:rPr>
          <w:rFonts w:hint="eastAsia"/>
          <w:b/>
          <w:bCs/>
          <w:color w:val="auto"/>
          <w:szCs w:val="21"/>
        </w:rPr>
        <w:t>的，可不提供此声明。</w:t>
      </w:r>
    </w:p>
    <w:p>
      <w:pPr>
        <w:rPr>
          <w:rFonts w:hint="eastAsia"/>
          <w:b/>
          <w:bCs/>
          <w:color w:val="auto"/>
          <w:szCs w:val="21"/>
        </w:rPr>
      </w:pPr>
      <w:r>
        <w:rPr>
          <w:rFonts w:hint="eastAsia"/>
          <w:b/>
          <w:bCs/>
          <w:color w:val="auto"/>
          <w:szCs w:val="21"/>
        </w:rPr>
        <w:br w:type="page"/>
      </w:r>
    </w:p>
    <w:p>
      <w:pPr>
        <w:bidi w:val="0"/>
        <w:jc w:val="center"/>
        <w:rPr>
          <w:rFonts w:hint="eastAsia" w:ascii="宋体" w:hAnsi="宋体" w:cs="宋体"/>
          <w:color w:val="auto"/>
          <w:highlight w:val="none"/>
        </w:rPr>
      </w:pPr>
      <w:r>
        <w:rPr>
          <w:rFonts w:hint="eastAsia" w:ascii="宋体" w:hAnsi="宋体" w:cs="宋体"/>
          <w:b/>
          <w:bCs/>
          <w:color w:val="auto"/>
          <w:sz w:val="32"/>
          <w:szCs w:val="32"/>
          <w:lang w:val="en-US" w:eastAsia="zh-CN"/>
        </w:rPr>
        <w:t>B包</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响应文件格式</w:t>
      </w:r>
    </w:p>
    <w:p>
      <w:pPr>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（正本/副本）</w:t>
      </w:r>
    </w:p>
    <w:p>
      <w:pPr>
        <w:rPr>
          <w:rFonts w:ascii="宋体" w:hAnsi="宋体" w:cs="宋体"/>
          <w:color w:val="auto"/>
          <w:highlight w:val="none"/>
        </w:rPr>
      </w:pPr>
    </w:p>
    <w:p>
      <w:pPr>
        <w:rPr>
          <w:rFonts w:ascii="宋体" w:hAnsi="宋体" w:cs="宋体"/>
          <w:color w:val="auto"/>
          <w:highlight w:val="none"/>
        </w:rPr>
      </w:pPr>
    </w:p>
    <w:p>
      <w:pPr>
        <w:jc w:val="center"/>
        <w:rPr>
          <w:rFonts w:hint="eastAsia" w:ascii="宋体" w:hAnsi="宋体" w:cs="宋体"/>
          <w:b/>
          <w:color w:val="auto"/>
          <w:sz w:val="30"/>
          <w:szCs w:val="30"/>
          <w:highlight w:val="none"/>
        </w:rPr>
      </w:pPr>
      <w:r>
        <w:rPr>
          <w:rFonts w:hint="eastAsia" w:ascii="宋体" w:hAnsi="宋体" w:cs="宋体"/>
          <w:b/>
          <w:bCs/>
          <w:color w:val="auto"/>
          <w:sz w:val="48"/>
          <w:szCs w:val="48"/>
          <w:highlight w:val="none"/>
          <w:lang w:eastAsia="zh-CN"/>
        </w:rPr>
        <w:t>保亭县响水镇金江居大社区综合服务中心文化配套采购项目</w:t>
      </w:r>
    </w:p>
    <w:p>
      <w:pPr>
        <w:jc w:val="center"/>
        <w:rPr>
          <w:rFonts w:hint="eastAsia" w:ascii="宋体" w:hAnsi="宋体" w:cs="宋体"/>
          <w:b/>
          <w:color w:val="auto"/>
          <w:sz w:val="30"/>
          <w:szCs w:val="30"/>
          <w:highlight w:val="none"/>
          <w:lang w:eastAsia="zh-CN"/>
        </w:rPr>
      </w:pPr>
      <w:r>
        <w:rPr>
          <w:rFonts w:hint="eastAsia" w:ascii="宋体" w:hAnsi="宋体" w:cs="宋体"/>
          <w:b/>
          <w:color w:val="auto"/>
          <w:sz w:val="30"/>
          <w:szCs w:val="30"/>
          <w:highlight w:val="none"/>
        </w:rPr>
        <w:t>编号：</w:t>
      </w:r>
      <w:r>
        <w:rPr>
          <w:rFonts w:hint="eastAsia" w:ascii="宋体" w:hAnsi="宋体" w:cs="宋体"/>
          <w:b/>
          <w:color w:val="auto"/>
          <w:sz w:val="30"/>
          <w:szCs w:val="30"/>
          <w:highlight w:val="none"/>
          <w:lang w:eastAsia="zh-CN"/>
        </w:rPr>
        <w:t>HNJY2024【52】</w:t>
      </w:r>
    </w:p>
    <w:p>
      <w:pPr>
        <w:pStyle w:val="4"/>
        <w:rPr>
          <w:rFonts w:hint="default" w:cs="宋体"/>
          <w:color w:val="auto"/>
          <w:highlight w:val="none"/>
          <w:lang w:val="en-US"/>
        </w:rPr>
      </w:pPr>
      <w:r>
        <w:rPr>
          <w:rFonts w:hint="eastAsia" w:ascii="宋体" w:cs="宋体"/>
          <w:b/>
          <w:color w:val="auto"/>
          <w:sz w:val="30"/>
          <w:szCs w:val="30"/>
          <w:highlight w:val="none"/>
          <w:lang w:val="en-US" w:eastAsia="zh-CN"/>
        </w:rPr>
        <w:t xml:space="preserve">                    包号：B包</w:t>
      </w:r>
    </w:p>
    <w:p>
      <w:pPr>
        <w:rPr>
          <w:rFonts w:ascii="宋体" w:hAnsi="宋体" w:cs="宋体"/>
          <w:color w:val="auto"/>
          <w:highlight w:val="none"/>
        </w:rPr>
      </w:pPr>
    </w:p>
    <w:p>
      <w:pPr>
        <w:rPr>
          <w:rFonts w:ascii="宋体" w:hAnsi="宋体" w:cs="宋体"/>
          <w:color w:val="auto"/>
          <w:highlight w:val="none"/>
        </w:rPr>
      </w:pPr>
    </w:p>
    <w:p>
      <w:pPr>
        <w:jc w:val="center"/>
        <w:rPr>
          <w:rFonts w:hint="eastAsia" w:ascii="宋体" w:hAnsi="宋体" w:cs="宋体"/>
          <w:b/>
          <w:color w:val="auto"/>
          <w:spacing w:val="120"/>
          <w:sz w:val="72"/>
          <w:szCs w:val="72"/>
          <w:highlight w:val="none"/>
        </w:rPr>
      </w:pPr>
    </w:p>
    <w:p>
      <w:pPr>
        <w:jc w:val="center"/>
        <w:rPr>
          <w:rFonts w:ascii="宋体" w:hAnsi="宋体" w:cs="宋体"/>
          <w:color w:val="auto"/>
          <w:sz w:val="72"/>
          <w:szCs w:val="72"/>
          <w:highlight w:val="none"/>
        </w:rPr>
      </w:pPr>
      <w:r>
        <w:rPr>
          <w:rFonts w:hint="eastAsia" w:ascii="宋体" w:hAnsi="宋体" w:cs="宋体"/>
          <w:b/>
          <w:color w:val="auto"/>
          <w:spacing w:val="120"/>
          <w:sz w:val="72"/>
          <w:szCs w:val="72"/>
          <w:highlight w:val="none"/>
        </w:rPr>
        <w:t>竞争性磋商</w:t>
      </w:r>
    </w:p>
    <w:p>
      <w:pPr>
        <w:rPr>
          <w:rFonts w:ascii="宋体" w:hAnsi="宋体" w:cs="宋体"/>
          <w:color w:val="auto"/>
          <w:highlight w:val="none"/>
        </w:rPr>
      </w:pPr>
    </w:p>
    <w:p>
      <w:pPr>
        <w:pStyle w:val="4"/>
        <w:rPr>
          <w:rFonts w:cs="宋体"/>
          <w:color w:val="auto"/>
          <w:highlight w:val="none"/>
        </w:rPr>
      </w:pPr>
    </w:p>
    <w:p>
      <w:pPr>
        <w:jc w:val="center"/>
        <w:rPr>
          <w:rFonts w:ascii="宋体" w:hAnsi="宋体" w:cs="宋体"/>
          <w:b/>
          <w:color w:val="auto"/>
          <w:sz w:val="116"/>
          <w:szCs w:val="116"/>
          <w:highlight w:val="none"/>
        </w:rPr>
      </w:pPr>
      <w:r>
        <w:rPr>
          <w:rFonts w:hint="eastAsia" w:ascii="宋体" w:hAnsi="宋体" w:cs="宋体"/>
          <w:b/>
          <w:color w:val="auto"/>
          <w:spacing w:val="120"/>
          <w:sz w:val="116"/>
          <w:szCs w:val="116"/>
          <w:highlight w:val="none"/>
        </w:rPr>
        <w:t>响应文</w:t>
      </w:r>
      <w:r>
        <w:rPr>
          <w:rFonts w:hint="eastAsia" w:ascii="宋体" w:hAnsi="宋体" w:cs="宋体"/>
          <w:b/>
          <w:color w:val="auto"/>
          <w:sz w:val="116"/>
          <w:szCs w:val="116"/>
          <w:highlight w:val="none"/>
        </w:rPr>
        <w:t>件</w:t>
      </w:r>
    </w:p>
    <w:p>
      <w:pPr>
        <w:rPr>
          <w:rFonts w:ascii="宋体" w:hAnsi="宋体" w:cs="宋体"/>
          <w:b/>
          <w:color w:val="auto"/>
          <w:sz w:val="28"/>
          <w:szCs w:val="28"/>
          <w:highlight w:val="none"/>
        </w:rPr>
      </w:pP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p>
    <w:p>
      <w:pPr>
        <w:ind w:firstLine="1684" w:firstLineChars="559"/>
        <w:jc w:val="left"/>
        <w:rPr>
          <w:rFonts w:ascii="宋体" w:hAnsi="宋体" w:cs="宋体"/>
          <w:b/>
          <w:color w:val="auto"/>
          <w:sz w:val="30"/>
          <w:szCs w:val="30"/>
          <w:highlight w:val="none"/>
        </w:rPr>
      </w:pPr>
      <w:r>
        <w:rPr>
          <w:rFonts w:hint="eastAsia" w:ascii="宋体" w:hAnsi="宋体" w:cs="宋体"/>
          <w:b/>
          <w:color w:val="auto"/>
          <w:sz w:val="30"/>
          <w:szCs w:val="30"/>
          <w:highlight w:val="none"/>
        </w:rPr>
        <w:t>供应商</w:t>
      </w:r>
      <w:r>
        <w:rPr>
          <w:rFonts w:hint="eastAsia" w:ascii="宋体" w:hAnsi="宋体" w:cs="宋体"/>
          <w:b/>
          <w:color w:val="auto"/>
          <w:sz w:val="30"/>
          <w:szCs w:val="30"/>
          <w:highlight w:val="none"/>
          <w:lang w:val="en-US" w:eastAsia="zh-CN"/>
        </w:rPr>
        <w:t>名称</w:t>
      </w:r>
      <w:r>
        <w:rPr>
          <w:rFonts w:hint="eastAsia" w:ascii="宋体" w:hAnsi="宋体" w:cs="宋体"/>
          <w:b/>
          <w:color w:val="auto"/>
          <w:sz w:val="30"/>
          <w:szCs w:val="30"/>
          <w:highlight w:val="none"/>
        </w:rPr>
        <w:t>：（盖章）</w:t>
      </w:r>
    </w:p>
    <w:p>
      <w:pPr>
        <w:ind w:firstLine="1687" w:firstLineChars="600"/>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法定代表人或被授权</w:t>
      </w:r>
      <w:r>
        <w:rPr>
          <w:rFonts w:hint="eastAsia" w:ascii="宋体" w:hAnsi="宋体" w:cs="宋体"/>
          <w:b/>
          <w:bCs/>
          <w:color w:val="auto"/>
          <w:sz w:val="28"/>
          <w:szCs w:val="28"/>
          <w:highlight w:val="none"/>
          <w:lang w:val="en-US" w:eastAsia="zh-CN"/>
        </w:rPr>
        <w:t>人</w:t>
      </w:r>
      <w:r>
        <w:rPr>
          <w:rFonts w:hint="eastAsia" w:ascii="宋体" w:hAnsi="宋体" w:cs="宋体"/>
          <w:b/>
          <w:bCs/>
          <w:color w:val="auto"/>
          <w:sz w:val="28"/>
          <w:szCs w:val="28"/>
          <w:highlight w:val="none"/>
        </w:rPr>
        <w:t>：（签字或签章）</w:t>
      </w:r>
    </w:p>
    <w:p>
      <w:pPr>
        <w:ind w:firstLine="1684" w:firstLineChars="559"/>
        <w:jc w:val="left"/>
        <w:rPr>
          <w:rFonts w:ascii="宋体" w:hAnsi="宋体" w:cs="宋体"/>
          <w:b/>
          <w:color w:val="auto"/>
          <w:sz w:val="30"/>
          <w:szCs w:val="30"/>
          <w:highlight w:val="none"/>
        </w:rPr>
      </w:pPr>
      <w:r>
        <w:rPr>
          <w:rFonts w:hint="eastAsia" w:ascii="宋体" w:hAnsi="宋体" w:cs="宋体"/>
          <w:b/>
          <w:color w:val="auto"/>
          <w:sz w:val="30"/>
          <w:szCs w:val="30"/>
          <w:highlight w:val="none"/>
        </w:rPr>
        <w:t>日  期：   年    月   日</w:t>
      </w:r>
    </w:p>
    <w:p>
      <w:pPr>
        <w:jc w:val="left"/>
        <w:rPr>
          <w:rFonts w:ascii="宋体" w:hAnsi="宋体" w:cs="宋体"/>
          <w:b/>
          <w:color w:val="auto"/>
          <w:highlight w:val="none"/>
        </w:rPr>
      </w:pPr>
      <w:r>
        <w:rPr>
          <w:rFonts w:hint="eastAsia" w:ascii="宋体" w:hAnsi="宋体" w:cs="宋体"/>
          <w:b/>
          <w:color w:val="auto"/>
          <w:highlight w:val="none"/>
        </w:rPr>
        <w:br w:type="page"/>
      </w: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目录</w:t>
      </w:r>
    </w:p>
    <w:p>
      <w:pPr>
        <w:pStyle w:val="6"/>
        <w:overflowPunct w:val="0"/>
        <w:spacing w:line="560" w:lineRule="exact"/>
        <w:ind w:firstLine="0"/>
        <w:jc w:val="center"/>
        <w:rPr>
          <w:rFonts w:hint="eastAsia" w:ascii="宋体" w:hAnsi="宋体" w:eastAsia="宋体" w:cs="宋体"/>
          <w:b/>
          <w:color w:val="auto"/>
          <w:sz w:val="36"/>
          <w:szCs w:val="36"/>
          <w:highlight w:val="none"/>
          <w:lang w:val="en-US" w:eastAsia="zh-CN"/>
        </w:rPr>
      </w:pPr>
    </w:p>
    <w:p>
      <w:pPr>
        <w:ind w:firstLine="2530" w:firstLineChars="1200"/>
        <w:rPr>
          <w:rFonts w:ascii="宋体" w:hAnsi="宋体" w:cs="宋体"/>
          <w:b/>
          <w:color w:val="auto"/>
          <w:highlight w:val="none"/>
        </w:rPr>
      </w:pPr>
      <w:r>
        <w:rPr>
          <w:rFonts w:hint="eastAsia" w:ascii="宋体" w:hAnsi="宋体" w:eastAsia="宋体" w:cs="宋体"/>
          <w:b/>
          <w:color w:val="auto"/>
          <w:sz w:val="21"/>
          <w:szCs w:val="21"/>
          <w:highlight w:val="none"/>
          <w:lang w:val="en-US" w:eastAsia="zh-CN"/>
        </w:rPr>
        <w:t>（注：按以下格式顺序自行编辑目录）</w:t>
      </w:r>
      <w:r>
        <w:rPr>
          <w:rFonts w:hint="eastAsia" w:ascii="宋体" w:hAnsi="宋体" w:eastAsia="宋体" w:cs="宋体"/>
          <w:b/>
          <w:color w:val="auto"/>
          <w:sz w:val="36"/>
          <w:szCs w:val="36"/>
          <w:highlight w:val="none"/>
        </w:rPr>
        <w:br w:type="page"/>
      </w:r>
      <w:r>
        <w:rPr>
          <w:rFonts w:hint="eastAsia" w:ascii="宋体" w:hAnsi="宋体" w:cs="宋体"/>
          <w:b/>
          <w:color w:val="auto"/>
          <w:sz w:val="36"/>
          <w:szCs w:val="36"/>
          <w:highlight w:val="none"/>
          <w:lang w:val="en-US" w:eastAsia="zh-CN"/>
        </w:rPr>
        <w:t xml:space="preserve">                 </w:t>
      </w:r>
      <w:r>
        <w:rPr>
          <w:rFonts w:hint="eastAsia" w:ascii="Calibri" w:hAnsi="Calibri" w:eastAsia="宋体" w:cs="Times New Roman"/>
          <w:b/>
          <w:bCs/>
          <w:color w:val="auto"/>
          <w:kern w:val="2"/>
          <w:sz w:val="28"/>
          <w:szCs w:val="28"/>
          <w:highlight w:val="none"/>
          <w:lang w:val="en-US" w:eastAsia="zh-CN" w:bidi="ar-SA"/>
        </w:rPr>
        <w:t>一</w:t>
      </w:r>
      <w:r>
        <w:rPr>
          <w:rFonts w:hint="eastAsia"/>
          <w:b/>
          <w:bCs/>
          <w:color w:val="auto"/>
          <w:sz w:val="28"/>
          <w:szCs w:val="28"/>
          <w:highlight w:val="none"/>
          <w:lang w:val="en-US" w:eastAsia="zh-CN"/>
        </w:rPr>
        <w:t>、响 应 函</w:t>
      </w:r>
    </w:p>
    <w:p>
      <w:pPr>
        <w:pStyle w:val="39"/>
        <w:spacing w:line="560" w:lineRule="exact"/>
        <w:rPr>
          <w:rFonts w:hAnsi="宋体" w:eastAsia="宋体" w:cs="宋体"/>
          <w:color w:val="auto"/>
          <w:sz w:val="24"/>
          <w:szCs w:val="24"/>
        </w:rPr>
      </w:pPr>
      <w:r>
        <w:rPr>
          <w:rFonts w:hint="eastAsia" w:hAnsi="宋体" w:eastAsia="宋体" w:cs="宋体"/>
          <w:color w:val="auto"/>
          <w:sz w:val="24"/>
          <w:szCs w:val="24"/>
          <w:u w:val="single"/>
        </w:rPr>
        <w:t>海南建云项目管理有限公司</w:t>
      </w:r>
      <w:r>
        <w:rPr>
          <w:rFonts w:hint="eastAsia" w:hAnsi="宋体" w:eastAsia="宋体" w:cs="宋体"/>
          <w:color w:val="auto"/>
          <w:sz w:val="24"/>
          <w:szCs w:val="24"/>
        </w:rPr>
        <w:t>：</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我们仔细阅读并全面研究了</w:t>
      </w:r>
      <w:r>
        <w:rPr>
          <w:rFonts w:hint="eastAsia" w:hAnsi="宋体" w:eastAsia="宋体" w:cs="宋体"/>
          <w:color w:val="auto"/>
          <w:sz w:val="24"/>
          <w:szCs w:val="24"/>
          <w:u w:val="single"/>
          <w:lang w:eastAsia="zh-CN"/>
        </w:rPr>
        <w:t>保亭县响水镇金江居大社区综合服务中心文化配套采购项目</w:t>
      </w:r>
      <w:r>
        <w:rPr>
          <w:rFonts w:hint="eastAsia" w:hAnsi="宋体" w:eastAsia="宋体" w:cs="宋体"/>
          <w:iCs/>
          <w:color w:val="auto"/>
          <w:sz w:val="24"/>
          <w:szCs w:val="21"/>
        </w:rPr>
        <w:t>（项目编号</w:t>
      </w:r>
      <w:r>
        <w:rPr>
          <w:rFonts w:hint="eastAsia" w:hAnsi="宋体" w:eastAsia="宋体" w:cs="宋体"/>
          <w:iCs/>
          <w:color w:val="auto"/>
          <w:sz w:val="24"/>
          <w:szCs w:val="21"/>
          <w:lang w:val="en-US" w:eastAsia="zh-CN"/>
        </w:rPr>
        <w:t>及包号为</w:t>
      </w:r>
      <w:r>
        <w:rPr>
          <w:rFonts w:hint="eastAsia" w:hAnsi="宋体" w:eastAsia="宋体" w:cs="宋体"/>
          <w:iCs/>
          <w:color w:val="auto"/>
          <w:sz w:val="24"/>
          <w:szCs w:val="21"/>
          <w:u w:val="single"/>
          <w:lang w:val="en-US" w:eastAsia="zh-CN"/>
        </w:rPr>
        <w:t xml:space="preserve">        </w:t>
      </w:r>
      <w:r>
        <w:rPr>
          <w:rFonts w:hint="eastAsia" w:hAnsi="宋体" w:eastAsia="宋体" w:cs="宋体"/>
          <w:iCs/>
          <w:color w:val="auto"/>
          <w:sz w:val="24"/>
          <w:szCs w:val="21"/>
        </w:rPr>
        <w:t>）</w:t>
      </w:r>
      <w:r>
        <w:rPr>
          <w:rFonts w:hint="eastAsia" w:hAnsi="宋体" w:eastAsia="宋体" w:cs="宋体"/>
          <w:color w:val="auto"/>
          <w:sz w:val="24"/>
          <w:szCs w:val="24"/>
        </w:rPr>
        <w:t>磋商文件（包括更正公告，如果有的话）收悉，决定响应磋商文件的邀请，参与本项目。</w:t>
      </w:r>
    </w:p>
    <w:p>
      <w:pPr>
        <w:spacing w:line="360" w:lineRule="auto"/>
        <w:ind w:firstLine="480" w:firstLineChars="200"/>
        <w:rPr>
          <w:rFonts w:ascii="宋体" w:hAnsi="宋体" w:cs="宋体"/>
          <w:color w:val="auto"/>
          <w:sz w:val="24"/>
        </w:rPr>
      </w:pPr>
      <w:r>
        <w:rPr>
          <w:rFonts w:hint="eastAsia" w:ascii="宋体" w:hAnsi="宋体" w:cs="宋体"/>
          <w:color w:val="auto"/>
          <w:sz w:val="24"/>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hint="eastAsia" w:ascii="宋体" w:hAnsi="宋体" w:cs="宋体"/>
          <w:color w:val="auto"/>
          <w:sz w:val="24"/>
          <w:u w:val="single"/>
        </w:rPr>
        <w:t xml:space="preserve">                 </w:t>
      </w:r>
      <w:r>
        <w:rPr>
          <w:rFonts w:hint="eastAsia" w:ascii="宋体" w:hAnsi="宋体" w:cs="宋体"/>
          <w:color w:val="auto"/>
          <w:sz w:val="24"/>
          <w:u w:val="none"/>
        </w:rPr>
        <w:t>(</w:t>
      </w:r>
      <w:r>
        <w:rPr>
          <w:rFonts w:hint="eastAsia" w:ascii="宋体" w:hAnsi="宋体" w:eastAsia="宋体" w:cs="宋体"/>
          <w:color w:val="auto"/>
          <w:sz w:val="24"/>
          <w:u w:val="none"/>
        </w:rPr>
        <w:t>¥</w:t>
      </w:r>
      <w:r>
        <w:rPr>
          <w:rFonts w:hint="eastAsia" w:ascii="宋体" w:hAnsi="宋体" w:cs="宋体"/>
          <w:color w:val="auto"/>
          <w:sz w:val="24"/>
        </w:rPr>
        <w:t xml:space="preserve">        ）。</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2、如果我们被授予合同，我们将严格履行合同规定的责任和义务，保证按期、按质、按量完成合同义务。</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3、我们承诺</w:t>
      </w:r>
      <w:r>
        <w:rPr>
          <w:rFonts w:hint="eastAsia" w:hAnsi="宋体" w:eastAsia="宋体" w:cs="宋体"/>
          <w:color w:val="auto"/>
          <w:sz w:val="24"/>
          <w:szCs w:val="24"/>
          <w:lang w:val="en-US" w:eastAsia="zh-CN"/>
        </w:rPr>
        <w:t>我司不会</w:t>
      </w:r>
      <w:r>
        <w:rPr>
          <w:rFonts w:hint="eastAsia" w:hAnsi="宋体" w:eastAsia="宋体" w:cs="宋体"/>
          <w:color w:val="auto"/>
          <w:sz w:val="24"/>
          <w:szCs w:val="24"/>
        </w:rPr>
        <w:t>发生下列情况：</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（1）我方在磋商有效期内撤回响应文件；</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（2）我方提供了虚假响应磋商文件的响应文件；</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（3）在磋商过程中有违反法律法规和相关纪律的行为；</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（4）在收到成交通知书后并在磋商有效期内，由于我方原因未能按照磋商文件要求提交履约保证金或与采购人签订并履行合同。</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4、我们同意按磋商文件中的规定，本响应文件的有效期限为开启响应文件</w:t>
      </w:r>
      <w:r>
        <w:rPr>
          <w:rFonts w:hint="eastAsia" w:hAnsi="宋体" w:eastAsia="宋体" w:cs="宋体"/>
          <w:color w:val="auto"/>
          <w:sz w:val="24"/>
          <w:szCs w:val="24"/>
          <w:u w:val="single"/>
          <w:lang w:val="en-US" w:eastAsia="zh-CN"/>
        </w:rPr>
        <w:t xml:space="preserve"> </w:t>
      </w:r>
      <w:r>
        <w:rPr>
          <w:rFonts w:hint="eastAsia" w:hAnsi="宋体" w:eastAsia="宋体" w:cs="宋体"/>
          <w:color w:val="auto"/>
          <w:sz w:val="24"/>
          <w:szCs w:val="24"/>
          <w:u w:val="single"/>
        </w:rPr>
        <w:t xml:space="preserve"> </w:t>
      </w:r>
      <w:r>
        <w:rPr>
          <w:rFonts w:hint="eastAsia" w:hAnsi="宋体" w:eastAsia="宋体" w:cs="宋体"/>
          <w:color w:val="auto"/>
          <w:sz w:val="24"/>
          <w:szCs w:val="24"/>
          <w:u w:val="single"/>
          <w:lang w:val="en-US" w:eastAsia="zh-CN"/>
        </w:rPr>
        <w:t xml:space="preserve"> </w:t>
      </w:r>
      <w:r>
        <w:rPr>
          <w:rFonts w:hint="eastAsia" w:hAnsi="宋体" w:eastAsia="宋体" w:cs="宋体"/>
          <w:color w:val="auto"/>
          <w:sz w:val="24"/>
          <w:szCs w:val="24"/>
        </w:rPr>
        <w:t>天。</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5、我们愿意提供采购方在磋商文件中要求的所有资料。</w:t>
      </w:r>
    </w:p>
    <w:p>
      <w:pPr>
        <w:pStyle w:val="39"/>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6、我们愿意遵守采购公告及磋商文件中明示的收费标准。</w:t>
      </w:r>
    </w:p>
    <w:p>
      <w:pPr>
        <w:pStyle w:val="39"/>
        <w:spacing w:line="360" w:lineRule="auto"/>
        <w:ind w:firstLine="480" w:firstLineChars="200"/>
        <w:rPr>
          <w:rFonts w:hint="eastAsia" w:hAnsi="宋体" w:eastAsia="宋体" w:cs="宋体"/>
          <w:color w:val="auto"/>
          <w:sz w:val="24"/>
          <w:szCs w:val="24"/>
        </w:rPr>
      </w:pPr>
      <w:r>
        <w:rPr>
          <w:rFonts w:hint="eastAsia" w:hAnsi="宋体" w:eastAsia="宋体" w:cs="宋体"/>
          <w:color w:val="auto"/>
          <w:sz w:val="24"/>
          <w:szCs w:val="24"/>
        </w:rPr>
        <w:t>7、我们承诺响应文件在提交响应文件截止时间后至磋商有效期截止前保持有效，不作任何更改和变动。</w:t>
      </w:r>
    </w:p>
    <w:p>
      <w:pPr>
        <w:pStyle w:val="39"/>
        <w:spacing w:line="360" w:lineRule="auto"/>
        <w:ind w:firstLine="480" w:firstLineChars="200"/>
        <w:rPr>
          <w:rFonts w:hint="eastAsia" w:hAnsi="宋体" w:eastAsia="宋体" w:cs="宋体"/>
          <w:color w:val="auto"/>
          <w:sz w:val="24"/>
          <w:szCs w:val="24"/>
          <w:lang w:val="en-US" w:eastAsia="zh-CN"/>
        </w:rPr>
      </w:pPr>
      <w:r>
        <w:rPr>
          <w:rFonts w:hint="eastAsia" w:hAnsi="宋体" w:eastAsia="宋体" w:cs="宋体"/>
          <w:color w:val="auto"/>
          <w:sz w:val="24"/>
          <w:szCs w:val="24"/>
          <w:lang w:val="en-US" w:eastAsia="zh-CN"/>
        </w:rPr>
        <w:t>8、我方承诺遵守《中华人民共和国劳动法》关于性别平等的相关规定和《中华人民共和国妇女权益保障法》中关于“劳动和社会保障权益”的有关要求。</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供应商全称（公章）：</w:t>
      </w:r>
    </w:p>
    <w:p>
      <w:pPr>
        <w:pStyle w:val="39"/>
        <w:spacing w:line="360" w:lineRule="auto"/>
        <w:rPr>
          <w:rFonts w:hAnsi="宋体" w:eastAsia="宋体" w:cs="宋体"/>
          <w:iCs/>
          <w:color w:val="auto"/>
          <w:sz w:val="24"/>
          <w:szCs w:val="21"/>
        </w:rPr>
      </w:pPr>
      <w:r>
        <w:rPr>
          <w:rFonts w:hint="eastAsia" w:hAnsi="宋体" w:eastAsia="宋体" w:cs="宋体"/>
          <w:color w:val="auto"/>
          <w:sz w:val="24"/>
          <w:szCs w:val="24"/>
        </w:rPr>
        <w:t>法定代表人或被授权代表：</w:t>
      </w:r>
      <w:r>
        <w:rPr>
          <w:rFonts w:hint="eastAsia" w:hAnsi="宋体" w:eastAsia="宋体" w:cs="宋体"/>
          <w:iCs/>
          <w:color w:val="auto"/>
          <w:sz w:val="24"/>
          <w:szCs w:val="21"/>
        </w:rPr>
        <w:t>（签字或盖章）</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地址：邮政编码：</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联系人：联系电话：</w:t>
      </w:r>
    </w:p>
    <w:p>
      <w:pPr>
        <w:pStyle w:val="39"/>
        <w:spacing w:line="360" w:lineRule="auto"/>
        <w:rPr>
          <w:rFonts w:hAnsi="宋体" w:eastAsia="宋体" w:cs="宋体"/>
          <w:color w:val="auto"/>
          <w:sz w:val="24"/>
          <w:szCs w:val="24"/>
        </w:rPr>
      </w:pPr>
      <w:r>
        <w:rPr>
          <w:rFonts w:hint="eastAsia" w:hAnsi="宋体" w:eastAsia="宋体" w:cs="宋体"/>
          <w:color w:val="auto"/>
          <w:sz w:val="24"/>
          <w:szCs w:val="24"/>
        </w:rPr>
        <w:t>电子邮件：</w:t>
      </w:r>
      <w:r>
        <w:rPr>
          <w:rFonts w:hint="eastAsia" w:hAnsi="宋体" w:eastAsia="宋体" w:cs="宋体"/>
          <w:color w:val="auto"/>
          <w:sz w:val="24"/>
          <w:szCs w:val="24"/>
        </w:rPr>
        <w:tab/>
      </w:r>
      <w:r>
        <w:rPr>
          <w:rFonts w:hint="eastAsia" w:hAnsi="宋体" w:eastAsia="宋体" w:cs="宋体"/>
          <w:color w:val="auto"/>
          <w:sz w:val="24"/>
          <w:szCs w:val="24"/>
        </w:rPr>
        <w:t>传真：</w:t>
      </w:r>
    </w:p>
    <w:p>
      <w:pPr>
        <w:pStyle w:val="39"/>
        <w:jc w:val="right"/>
        <w:rPr>
          <w:rFonts w:hAnsi="宋体" w:eastAsia="宋体" w:cs="宋体"/>
          <w:color w:val="auto"/>
          <w:sz w:val="24"/>
          <w:szCs w:val="24"/>
          <w:highlight w:val="none"/>
        </w:rPr>
        <w:sectPr>
          <w:footerReference r:id="rId16" w:type="first"/>
          <w:footerReference r:id="rId15" w:type="default"/>
          <w:pgSz w:w="11906" w:h="16838"/>
          <w:pgMar w:top="1247" w:right="1247" w:bottom="1134" w:left="1644" w:header="851" w:footer="851" w:gutter="0"/>
          <w:pgNumType w:fmt="decimal"/>
          <w:cols w:space="720" w:num="1"/>
          <w:titlePg/>
          <w:docGrid w:type="lines" w:linePitch="312" w:charSpace="0"/>
        </w:sectPr>
      </w:pPr>
      <w:r>
        <w:rPr>
          <w:rFonts w:hint="eastAsia" w:hAnsi="宋体" w:eastAsia="宋体" w:cs="宋体"/>
          <w:color w:val="auto"/>
          <w:sz w:val="24"/>
          <w:szCs w:val="24"/>
        </w:rPr>
        <w:t>日期：</w:t>
      </w:r>
      <w:r>
        <w:rPr>
          <w:rFonts w:hint="eastAsia" w:hAnsi="宋体" w:eastAsia="宋体" w:cs="宋体"/>
          <w:color w:val="auto"/>
          <w:sz w:val="24"/>
          <w:szCs w:val="24"/>
          <w:lang w:val="en-US" w:eastAsia="zh-CN"/>
        </w:rPr>
        <w:t xml:space="preserve">   </w:t>
      </w:r>
      <w:r>
        <w:rPr>
          <w:rFonts w:hint="eastAsia" w:hAnsi="宋体" w:eastAsia="宋体" w:cs="宋体"/>
          <w:color w:val="auto"/>
          <w:sz w:val="24"/>
          <w:szCs w:val="24"/>
        </w:rPr>
        <w:t>年     月     日</w:t>
      </w:r>
    </w:p>
    <w:p>
      <w:pPr>
        <w:jc w:val="center"/>
        <w:rPr>
          <w:b/>
          <w:bCs/>
          <w:color w:val="auto"/>
          <w:sz w:val="28"/>
          <w:szCs w:val="28"/>
          <w:highlight w:val="none"/>
        </w:rPr>
      </w:pPr>
      <w:r>
        <w:rPr>
          <w:rFonts w:hint="eastAsia"/>
          <w:b/>
          <w:bCs/>
          <w:color w:val="auto"/>
          <w:sz w:val="28"/>
          <w:szCs w:val="28"/>
          <w:highlight w:val="none"/>
        </w:rPr>
        <w:t>二、法定代表人身份证明和授权委托书格式</w:t>
      </w:r>
    </w:p>
    <w:p>
      <w:pPr>
        <w:pStyle w:val="6"/>
        <w:overflowPunct w:val="0"/>
        <w:spacing w:line="560" w:lineRule="exact"/>
        <w:ind w:firstLine="0"/>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1、法定代表人身份证明</w:t>
      </w:r>
    </w:p>
    <w:p>
      <w:pPr>
        <w:spacing w:line="440" w:lineRule="exact"/>
        <w:rPr>
          <w:rFonts w:ascii="宋体" w:hAnsi="宋体" w:cs="宋体"/>
          <w:color w:val="auto"/>
          <w:szCs w:val="21"/>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供应商名称：</w:t>
      </w:r>
    </w:p>
    <w:p>
      <w:pPr>
        <w:spacing w:line="480" w:lineRule="auto"/>
        <w:rPr>
          <w:rFonts w:ascii="宋体" w:hAnsi="宋体" w:cs="宋体"/>
          <w:color w:val="auto"/>
          <w:sz w:val="24"/>
          <w:highlight w:val="none"/>
        </w:rPr>
      </w:pPr>
      <w:r>
        <w:rPr>
          <w:rFonts w:hint="eastAsia" w:ascii="宋体" w:hAnsi="宋体" w:cs="宋体"/>
          <w:color w:val="auto"/>
          <w:sz w:val="24"/>
          <w:highlight w:val="none"/>
        </w:rPr>
        <w:t>单位性质：</w:t>
      </w:r>
    </w:p>
    <w:p>
      <w:pPr>
        <w:spacing w:line="480" w:lineRule="auto"/>
        <w:rPr>
          <w:rFonts w:ascii="宋体" w:hAnsi="宋体" w:cs="宋体"/>
          <w:color w:val="auto"/>
          <w:sz w:val="24"/>
          <w:highlight w:val="none"/>
        </w:rPr>
      </w:pPr>
      <w:r>
        <w:rPr>
          <w:rFonts w:hint="eastAsia" w:ascii="宋体" w:hAnsi="宋体" w:cs="宋体"/>
          <w:color w:val="auto"/>
          <w:sz w:val="24"/>
          <w:highlight w:val="none"/>
        </w:rPr>
        <w:t>地址：</w:t>
      </w:r>
    </w:p>
    <w:p>
      <w:pPr>
        <w:spacing w:line="480" w:lineRule="auto"/>
        <w:rPr>
          <w:rFonts w:ascii="宋体" w:hAnsi="宋体" w:cs="宋体"/>
          <w:color w:val="auto"/>
          <w:sz w:val="24"/>
          <w:highlight w:val="none"/>
        </w:rPr>
      </w:pPr>
      <w:r>
        <w:rPr>
          <w:rFonts w:hint="eastAsia" w:ascii="宋体" w:hAnsi="宋体" w:cs="宋体"/>
          <w:color w:val="auto"/>
          <w:sz w:val="24"/>
          <w:highlight w:val="none"/>
        </w:rPr>
        <w:t>成立时间：年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spacing w:line="480" w:lineRule="auto"/>
        <w:rPr>
          <w:rFonts w:ascii="宋体" w:hAnsi="宋体" w:cs="宋体"/>
          <w:color w:val="auto"/>
          <w:sz w:val="24"/>
          <w:highlight w:val="none"/>
        </w:rPr>
      </w:pPr>
      <w:r>
        <w:rPr>
          <w:rFonts w:hint="eastAsia" w:ascii="宋体" w:hAnsi="宋体" w:cs="宋体"/>
          <w:color w:val="auto"/>
          <w:sz w:val="24"/>
          <w:highlight w:val="none"/>
        </w:rPr>
        <w:t>经营期限：</w:t>
      </w:r>
    </w:p>
    <w:p>
      <w:pPr>
        <w:spacing w:line="480" w:lineRule="auto"/>
        <w:rPr>
          <w:rFonts w:ascii="宋体" w:hAnsi="宋体" w:cs="宋体"/>
          <w:color w:val="auto"/>
          <w:sz w:val="24"/>
          <w:highlight w:val="none"/>
        </w:rPr>
      </w:pPr>
      <w:r>
        <w:rPr>
          <w:rFonts w:hint="eastAsia" w:ascii="宋体" w:hAnsi="宋体" w:cs="宋体"/>
          <w:color w:val="auto"/>
          <w:sz w:val="24"/>
          <w:highlight w:val="none"/>
        </w:rPr>
        <w:t>姓名： 性别：年龄：职务：</w:t>
      </w:r>
    </w:p>
    <w:p>
      <w:pPr>
        <w:spacing w:line="480" w:lineRule="auto"/>
        <w:rPr>
          <w:rFonts w:ascii="宋体" w:hAnsi="宋体" w:cs="宋体"/>
          <w:color w:val="auto"/>
          <w:sz w:val="24"/>
          <w:highlight w:val="none"/>
        </w:rPr>
      </w:pPr>
      <w:r>
        <w:rPr>
          <w:rFonts w:hint="eastAsia" w:ascii="宋体" w:hAnsi="宋体" w:cs="宋体"/>
          <w:color w:val="auto"/>
          <w:sz w:val="24"/>
          <w:highlight w:val="none"/>
        </w:rPr>
        <w:t xml:space="preserve">系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（供应商名称）的法定代表人。</w:t>
      </w:r>
    </w:p>
    <w:p>
      <w:pPr>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特此证明。</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 xml:space="preserve">                               供应商</w:t>
      </w:r>
      <w:r>
        <w:rPr>
          <w:rFonts w:hint="eastAsia" w:ascii="宋体" w:hAnsi="宋体" w:cs="宋体"/>
          <w:color w:val="auto"/>
          <w:sz w:val="24"/>
          <w:highlight w:val="none"/>
          <w:lang w:val="en-US" w:eastAsia="zh-CN"/>
        </w:rPr>
        <w:t>名称</w:t>
      </w:r>
      <w:r>
        <w:rPr>
          <w:rFonts w:hint="eastAsia" w:ascii="宋体" w:hAnsi="宋体" w:cs="宋体"/>
          <w:color w:val="auto"/>
          <w:sz w:val="24"/>
          <w:highlight w:val="none"/>
        </w:rPr>
        <w:t>：（盖单位章）</w:t>
      </w:r>
    </w:p>
    <w:p>
      <w:pPr>
        <w:pStyle w:val="6"/>
        <w:overflowPunct w:val="0"/>
        <w:spacing w:line="360" w:lineRule="auto"/>
        <w:jc w:val="right"/>
        <w:rPr>
          <w:rFonts w:ascii="宋体" w:hAnsi="宋体" w:eastAsia="宋体" w:cs="宋体"/>
          <w:color w:val="auto"/>
          <w:szCs w:val="24"/>
          <w:highlight w:val="none"/>
        </w:rPr>
      </w:pP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lang w:val="en-US" w:eastAsia="zh-CN"/>
        </w:rPr>
        <w:t xml:space="preserve">   </w:t>
      </w:r>
      <w:r>
        <w:rPr>
          <w:rFonts w:hint="eastAsia" w:ascii="宋体" w:hAnsi="宋体" w:eastAsia="宋体" w:cs="宋体"/>
          <w:color w:val="auto"/>
          <w:szCs w:val="24"/>
          <w:highlight w:val="none"/>
        </w:rPr>
        <w:t>日</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p>
    <w:p>
      <w:pPr>
        <w:spacing w:line="460" w:lineRule="exact"/>
        <w:ind w:firstLine="561"/>
        <w:outlineLvl w:val="1"/>
        <w:rPr>
          <w:rFonts w:ascii="宋体" w:hAnsi="宋体" w:cs="宋体"/>
          <w:b/>
          <w:color w:val="auto"/>
          <w:highlight w:val="none"/>
        </w:rPr>
      </w:pPr>
      <w:r>
        <w:rPr>
          <w:rFonts w:hint="eastAsia" w:ascii="宋体" w:hAnsi="宋体" w:cs="宋体"/>
          <w:bCs/>
          <w:color w:val="auto"/>
          <w:sz w:val="24"/>
          <w:highlight w:val="none"/>
        </w:rPr>
        <w:t>附：法定代表人身份证正反面复印件。</w:t>
      </w:r>
    </w:p>
    <w:p>
      <w:pPr>
        <w:pStyle w:val="6"/>
        <w:overflowPunct w:val="0"/>
        <w:spacing w:line="560" w:lineRule="exact"/>
        <w:ind w:firstLine="0"/>
        <w:jc w:val="center"/>
        <w:rPr>
          <w:rFonts w:ascii="宋体" w:hAnsi="宋体" w:eastAsia="宋体" w:cs="宋体"/>
          <w:b/>
          <w:color w:val="auto"/>
          <w:sz w:val="28"/>
          <w:szCs w:val="28"/>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28"/>
          <w:szCs w:val="28"/>
          <w:highlight w:val="none"/>
        </w:rPr>
        <w:t>2、授权委托书</w:t>
      </w:r>
    </w:p>
    <w:p>
      <w:pPr>
        <w:pStyle w:val="6"/>
        <w:overflowPunct w:val="0"/>
        <w:spacing w:line="360" w:lineRule="auto"/>
        <w:jc w:val="center"/>
        <w:rPr>
          <w:rFonts w:ascii="宋体" w:hAnsi="宋体" w:eastAsia="宋体" w:cs="宋体"/>
          <w:b/>
          <w:color w:val="auto"/>
          <w:szCs w:val="24"/>
          <w:highlight w:val="none"/>
        </w:rPr>
      </w:pP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本授权委托书声明：我 </w:t>
      </w:r>
      <w:r>
        <w:rPr>
          <w:rFonts w:hint="eastAsia" w:ascii="宋体" w:hAnsi="宋体" w:eastAsia="宋体" w:cs="宋体"/>
          <w:iCs/>
          <w:color w:val="auto"/>
          <w:szCs w:val="21"/>
          <w:highlight w:val="none"/>
          <w:u w:val="single"/>
        </w:rPr>
        <w:t xml:space="preserve">  （姓名）  </w:t>
      </w:r>
      <w:r>
        <w:rPr>
          <w:rFonts w:hint="eastAsia" w:ascii="宋体" w:hAnsi="宋体" w:eastAsia="宋体" w:cs="宋体"/>
          <w:color w:val="auto"/>
          <w:szCs w:val="24"/>
          <w:highlight w:val="none"/>
        </w:rPr>
        <w:t>系</w:t>
      </w:r>
      <w:r>
        <w:rPr>
          <w:rFonts w:hint="eastAsia" w:ascii="宋体" w:hAnsi="宋体" w:eastAsia="宋体" w:cs="宋体"/>
          <w:iCs/>
          <w:color w:val="auto"/>
          <w:szCs w:val="21"/>
          <w:highlight w:val="none"/>
          <w:u w:val="single"/>
        </w:rPr>
        <w:t xml:space="preserve">   （</w:t>
      </w:r>
      <w:r>
        <w:rPr>
          <w:rFonts w:hint="eastAsia" w:ascii="宋体" w:hAnsi="宋体" w:eastAsia="宋体" w:cs="宋体"/>
          <w:iCs/>
          <w:color w:val="auto"/>
          <w:szCs w:val="21"/>
          <w:highlight w:val="none"/>
          <w:u w:val="single"/>
          <w:lang w:val="en-US" w:eastAsia="zh-CN"/>
        </w:rPr>
        <w:t>供应商</w:t>
      </w:r>
      <w:r>
        <w:rPr>
          <w:rFonts w:hint="eastAsia" w:ascii="宋体" w:hAnsi="宋体" w:eastAsia="宋体" w:cs="宋体"/>
          <w:iCs/>
          <w:color w:val="auto"/>
          <w:szCs w:val="21"/>
          <w:highlight w:val="none"/>
          <w:u w:val="single"/>
        </w:rPr>
        <w:t xml:space="preserve">名称）  </w:t>
      </w:r>
      <w:r>
        <w:rPr>
          <w:rFonts w:hint="eastAsia" w:ascii="宋体" w:hAnsi="宋体" w:eastAsia="宋体" w:cs="宋体"/>
          <w:color w:val="auto"/>
          <w:szCs w:val="24"/>
          <w:highlight w:val="none"/>
        </w:rPr>
        <w:t>的法定代表人，现授权委托</w:t>
      </w:r>
      <w:r>
        <w:rPr>
          <w:rFonts w:hint="eastAsia" w:ascii="宋体" w:hAnsi="宋体" w:eastAsia="宋体" w:cs="宋体"/>
          <w:iCs/>
          <w:color w:val="auto"/>
          <w:szCs w:val="21"/>
          <w:highlight w:val="none"/>
          <w:u w:val="single"/>
        </w:rPr>
        <w:t xml:space="preserve">  （被授权人姓名及身份证号码）  </w:t>
      </w:r>
      <w:r>
        <w:rPr>
          <w:rFonts w:hint="eastAsia" w:ascii="宋体" w:hAnsi="宋体" w:eastAsia="宋体" w:cs="宋体"/>
          <w:color w:val="auto"/>
          <w:szCs w:val="24"/>
          <w:highlight w:val="none"/>
        </w:rPr>
        <w:t>为我公司的代理人，以本公司的名义参加海南建云项目管理有限公司组织的</w:t>
      </w:r>
      <w:r>
        <w:rPr>
          <w:rFonts w:hint="eastAsia" w:ascii="宋体" w:hAnsi="宋体" w:eastAsia="宋体" w:cs="宋体"/>
          <w:color w:val="auto"/>
          <w:szCs w:val="24"/>
          <w:highlight w:val="none"/>
          <w:lang w:val="en-US" w:eastAsia="zh-CN"/>
        </w:rPr>
        <w:t>项目</w:t>
      </w:r>
      <w:r>
        <w:rPr>
          <w:rFonts w:hint="eastAsia" w:ascii="宋体" w:hAnsi="宋体" w:eastAsia="宋体" w:cs="宋体"/>
          <w:color w:val="auto"/>
          <w:szCs w:val="24"/>
          <w:highlight w:val="none"/>
        </w:rPr>
        <w:t>编号</w:t>
      </w:r>
      <w:r>
        <w:rPr>
          <w:rFonts w:hint="eastAsia" w:ascii="宋体" w:hAnsi="宋体" w:eastAsia="宋体" w:cs="宋体"/>
          <w:color w:val="auto"/>
          <w:szCs w:val="24"/>
          <w:highlight w:val="none"/>
          <w:lang w:val="en-US" w:eastAsia="zh-CN"/>
        </w:rPr>
        <w:t>及包号</w:t>
      </w:r>
      <w:r>
        <w:rPr>
          <w:rFonts w:hint="eastAsia" w:ascii="宋体" w:hAnsi="宋体" w:eastAsia="宋体" w:cs="宋体"/>
          <w:color w:val="auto"/>
          <w:szCs w:val="24"/>
          <w:highlight w:val="none"/>
        </w:rPr>
        <w:t>为</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的采购活动，处理与本招标活动有关的一切事务。被授权人在开标、评标、合同签订过程中所签署的一切文件，我均予以承认。</w:t>
      </w: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与本项目有关的质疑、投诉事项，我将亲自处理或另行特别授权。</w:t>
      </w: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本授权委托书的效力自签署日起至合同履行完毕止。</w:t>
      </w:r>
    </w:p>
    <w:p>
      <w:pPr>
        <w:pStyle w:val="6"/>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被授权人无转委托权。特此委托。</w:t>
      </w:r>
    </w:p>
    <w:p>
      <w:pPr>
        <w:pStyle w:val="6"/>
        <w:overflowPunct w:val="0"/>
        <w:spacing w:line="360" w:lineRule="auto"/>
        <w:ind w:firstLine="480" w:firstLineChars="200"/>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本授权书于</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rPr>
        <w:t>日签字生效，特此证明。</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highlight w:val="none"/>
        </w:rPr>
        <w:t>供应商名称：（填写名称并盖章）</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法定代表人：</w:t>
      </w:r>
      <w:r>
        <w:rPr>
          <w:rFonts w:hint="eastAsia" w:ascii="宋体" w:hAnsi="宋体" w:eastAsia="宋体" w:cs="宋体"/>
          <w:iCs/>
          <w:color w:val="auto"/>
          <w:szCs w:val="21"/>
          <w:highlight w:val="none"/>
        </w:rPr>
        <w:t>（签字或盖章）</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被授权代表：</w:t>
      </w:r>
      <w:r>
        <w:rPr>
          <w:rFonts w:hint="eastAsia" w:ascii="宋体" w:hAnsi="宋体" w:eastAsia="宋体" w:cs="宋体"/>
          <w:iCs/>
          <w:color w:val="auto"/>
          <w:szCs w:val="21"/>
          <w:highlight w:val="none"/>
        </w:rPr>
        <w:t>（签字或盖章）</w:t>
      </w: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p>
    <w:p>
      <w:pPr>
        <w:pStyle w:val="6"/>
        <w:overflowPunct w:val="0"/>
        <w:spacing w:line="460" w:lineRule="exact"/>
        <w:jc w:val="both"/>
        <w:rPr>
          <w:rFonts w:ascii="宋体" w:hAnsi="宋体" w:eastAsia="宋体" w:cs="宋体"/>
          <w:color w:val="auto"/>
          <w:szCs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附 ：被授权代表身份证</w:t>
      </w:r>
      <w:r>
        <w:rPr>
          <w:rFonts w:hint="eastAsia" w:ascii="宋体" w:hAnsi="宋体" w:cs="宋体"/>
          <w:bCs/>
          <w:color w:val="auto"/>
          <w:sz w:val="24"/>
          <w:highlight w:val="none"/>
        </w:rPr>
        <w:t>正反面</w:t>
      </w:r>
      <w:r>
        <w:rPr>
          <w:rFonts w:hint="eastAsia" w:ascii="宋体" w:hAnsi="宋体" w:cs="宋体"/>
          <w:color w:val="auto"/>
          <w:sz w:val="24"/>
          <w:highlight w:val="none"/>
        </w:rPr>
        <w:t>复印件。</w:t>
      </w:r>
    </w:p>
    <w:p>
      <w:pPr>
        <w:pStyle w:val="4"/>
        <w:keepNext w:val="0"/>
        <w:keepLines w:val="0"/>
        <w:tabs>
          <w:tab w:val="left" w:pos="540"/>
          <w:tab w:val="left" w:pos="720"/>
        </w:tabs>
        <w:spacing w:before="156" w:beforeLines="50" w:after="156" w:afterLines="50"/>
        <w:rPr>
          <w:rFonts w:cs="宋体"/>
          <w:color w:val="auto"/>
          <w:highlight w:val="none"/>
        </w:rPr>
      </w:pPr>
    </w:p>
    <w:p>
      <w:pPr>
        <w:rPr>
          <w:rFonts w:ascii="宋体" w:hAnsi="宋体" w:cs="宋体"/>
          <w:color w:val="auto"/>
          <w:highlight w:val="none"/>
        </w:rPr>
      </w:pPr>
    </w:p>
    <w:p>
      <w:pPr>
        <w:pStyle w:val="6"/>
        <w:overflowPunct w:val="0"/>
        <w:spacing w:line="560" w:lineRule="exact"/>
        <w:ind w:firstLine="0"/>
        <w:jc w:val="center"/>
        <w:rPr>
          <w:rFonts w:ascii="宋体" w:hAnsi="宋体" w:eastAsia="宋体" w:cs="宋体"/>
          <w:b/>
          <w:color w:val="auto"/>
          <w:sz w:val="28"/>
          <w:szCs w:val="28"/>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28"/>
          <w:szCs w:val="28"/>
          <w:highlight w:val="none"/>
        </w:rPr>
        <w:t>三、报价一览表</w:t>
      </w:r>
    </w:p>
    <w:p>
      <w:pPr>
        <w:pStyle w:val="39"/>
        <w:rPr>
          <w:rFonts w:hAnsi="宋体" w:eastAsia="宋体" w:cs="宋体"/>
          <w:color w:val="auto"/>
          <w:sz w:val="21"/>
          <w:szCs w:val="21"/>
          <w:highlight w:val="none"/>
        </w:rPr>
      </w:pPr>
    </w:p>
    <w:tbl>
      <w:tblPr>
        <w:tblStyle w:val="25"/>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项目名称</w:t>
            </w:r>
          </w:p>
        </w:tc>
        <w:tc>
          <w:tcPr>
            <w:tcW w:w="7036" w:type="dxa"/>
            <w:noWrap/>
          </w:tcPr>
          <w:p>
            <w:pPr>
              <w:keepNext w:val="0"/>
              <w:keepLines w:val="0"/>
              <w:suppressLineNumbers w:val="0"/>
              <w:spacing w:before="156" w:beforeLines="50" w:beforeAutospacing="0" w:after="156" w:afterLines="50" w:afterAutospacing="0" w:line="440" w:lineRule="exact"/>
              <w:ind w:left="0" w:right="0"/>
              <w:jc w:val="center"/>
              <w:rPr>
                <w:rFonts w:hint="default"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项目编号及包号</w:t>
            </w:r>
          </w:p>
        </w:tc>
        <w:tc>
          <w:tcPr>
            <w:tcW w:w="7036" w:type="dxa"/>
            <w:noWrap/>
          </w:tcPr>
          <w:p>
            <w:pPr>
              <w:keepNext w:val="0"/>
              <w:keepLines w:val="0"/>
              <w:suppressLineNumbers w:val="0"/>
              <w:spacing w:before="156" w:beforeLines="50" w:beforeAutospacing="0" w:after="156" w:afterLines="50" w:afterAutospacing="0" w:line="440" w:lineRule="exact"/>
              <w:ind w:left="0" w:right="0"/>
              <w:jc w:val="center"/>
              <w:rPr>
                <w:rFonts w:hint="default"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ign w:val="center"/>
          </w:tcPr>
          <w:p>
            <w:pPr>
              <w:keepNext w:val="0"/>
              <w:keepLines w:val="0"/>
              <w:suppressLineNumbers w:val="0"/>
              <w:spacing w:before="312" w:beforeLines="100" w:beforeAutospacing="0" w:after="312" w:afterLines="10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报价总计</w:t>
            </w:r>
          </w:p>
        </w:tc>
        <w:tc>
          <w:tcPr>
            <w:tcW w:w="7036" w:type="dxa"/>
            <w:noWrap/>
          </w:tcPr>
          <w:p>
            <w:pPr>
              <w:keepNext w:val="0"/>
              <w:keepLines w:val="0"/>
              <w:suppressLineNumbers w:val="0"/>
              <w:spacing w:before="312" w:beforeLines="100" w:beforeAutospacing="0" w:after="312" w:afterLines="100" w:afterAutospacing="0" w:line="440" w:lineRule="exact"/>
              <w:ind w:left="0" w:right="0"/>
              <w:rPr>
                <w:rFonts w:hint="default" w:ascii="宋体" w:hAnsi="宋体" w:cs="宋体"/>
                <w:color w:val="auto"/>
                <w:sz w:val="24"/>
                <w:highlight w:val="none"/>
                <w:u w:val="single"/>
                <w:lang w:val="en-GB"/>
              </w:rPr>
            </w:pPr>
            <w:r>
              <w:rPr>
                <w:rFonts w:hint="eastAsia" w:ascii="宋体" w:hAnsi="宋体" w:cs="宋体"/>
                <w:color w:val="auto"/>
                <w:sz w:val="24"/>
                <w:highlight w:val="none"/>
                <w:lang w:val="en-US" w:eastAsia="zh-CN"/>
              </w:rPr>
              <w:t>人民币</w:t>
            </w:r>
            <w:r>
              <w:rPr>
                <w:rFonts w:hint="eastAsia" w:ascii="宋体" w:hAnsi="宋体" w:cs="宋体"/>
                <w:color w:val="auto"/>
                <w:sz w:val="24"/>
                <w:highlight w:val="none"/>
                <w:lang w:val="en-GB"/>
              </w:rPr>
              <w:t>（大写）：</w:t>
            </w:r>
          </w:p>
          <w:p>
            <w:pPr>
              <w:keepNext w:val="0"/>
              <w:keepLines w:val="0"/>
              <w:suppressLineNumbers w:val="0"/>
              <w:spacing w:before="312" w:beforeLines="100" w:beforeAutospacing="0" w:after="312" w:afterLines="100" w:afterAutospacing="0" w:line="440" w:lineRule="exact"/>
              <w:ind w:left="0" w:right="0" w:firstLine="720" w:firstLineChars="300"/>
              <w:rPr>
                <w:rFonts w:hint="default" w:ascii="宋体" w:hAnsi="宋体" w:cs="宋体"/>
                <w:color w:val="auto"/>
                <w:sz w:val="24"/>
                <w:highlight w:val="none"/>
                <w:lang w:val="en-GB"/>
              </w:rPr>
            </w:pPr>
            <w:r>
              <w:rPr>
                <w:rFonts w:hint="eastAsia" w:ascii="宋体" w:hAnsi="宋体" w:cs="宋体"/>
                <w:color w:val="auto"/>
                <w:sz w:val="24"/>
                <w:highlight w:val="none"/>
                <w:lang w:val="en-GB"/>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rPr>
            </w:pPr>
            <w:r>
              <w:rPr>
                <w:rFonts w:hint="eastAsia" w:ascii="宋体" w:hAnsi="宋体" w:cs="宋体"/>
                <w:b/>
                <w:bCs/>
                <w:color w:val="auto"/>
                <w:sz w:val="24"/>
                <w:highlight w:val="none"/>
              </w:rPr>
              <w:t>合同履行期限</w:t>
            </w:r>
          </w:p>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w:t>
            </w:r>
            <w:r>
              <w:rPr>
                <w:rFonts w:hint="eastAsia" w:ascii="宋体" w:hAnsi="宋体" w:cs="宋体"/>
                <w:b/>
                <w:bCs/>
                <w:color w:val="auto"/>
                <w:sz w:val="24"/>
                <w:highlight w:val="none"/>
                <w:lang w:val="en-US" w:eastAsia="zh-CN"/>
              </w:rPr>
              <w:t>工期</w:t>
            </w:r>
            <w:r>
              <w:rPr>
                <w:rFonts w:hint="eastAsia" w:ascii="宋体" w:hAnsi="宋体" w:cs="宋体"/>
                <w:b/>
                <w:bCs/>
                <w:color w:val="auto"/>
                <w:sz w:val="24"/>
                <w:highlight w:val="none"/>
                <w:lang w:val="en-GB"/>
              </w:rPr>
              <w:t>）</w:t>
            </w:r>
          </w:p>
        </w:tc>
        <w:tc>
          <w:tcPr>
            <w:tcW w:w="7036" w:type="dxa"/>
            <w:noWrap/>
          </w:tcPr>
          <w:p>
            <w:pPr>
              <w:keepNext w:val="0"/>
              <w:keepLines w:val="0"/>
              <w:suppressLineNumbers w:val="0"/>
              <w:spacing w:before="156" w:beforeLines="50" w:beforeAutospacing="0" w:after="156" w:afterLines="50" w:afterAutospacing="0" w:line="440" w:lineRule="exact"/>
              <w:ind w:left="0" w:right="0"/>
              <w:rPr>
                <w:rFonts w:hint="default"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025" w:type="dxa"/>
            <w:noWrap/>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b/>
                <w:bCs/>
                <w:color w:val="auto"/>
                <w:sz w:val="24"/>
                <w:highlight w:val="none"/>
                <w:lang w:val="en-GB"/>
              </w:rPr>
            </w:pPr>
            <w:r>
              <w:rPr>
                <w:rFonts w:hint="eastAsia" w:ascii="宋体" w:hAnsi="宋体" w:cs="宋体"/>
                <w:b/>
                <w:bCs/>
                <w:color w:val="auto"/>
                <w:sz w:val="24"/>
                <w:highlight w:val="none"/>
                <w:lang w:val="en-GB"/>
              </w:rPr>
              <w:t>备注</w:t>
            </w:r>
          </w:p>
        </w:tc>
        <w:tc>
          <w:tcPr>
            <w:tcW w:w="7036" w:type="dxa"/>
            <w:noWrap/>
          </w:tcPr>
          <w:p>
            <w:pPr>
              <w:keepNext w:val="0"/>
              <w:keepLines w:val="0"/>
              <w:suppressLineNumbers w:val="0"/>
              <w:spacing w:before="156" w:beforeLines="50" w:beforeAutospacing="0" w:after="156" w:afterLines="50" w:afterAutospacing="0" w:line="440" w:lineRule="exact"/>
              <w:ind w:left="0" w:right="0"/>
              <w:rPr>
                <w:rFonts w:hint="default"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9061" w:type="dxa"/>
            <w:gridSpan w:val="2"/>
            <w:noWrap/>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1、供应商企业类型：大型（   ） 中型（   ） 小型（   ） 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9061" w:type="dxa"/>
            <w:gridSpan w:val="2"/>
            <w:noWrap/>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9061" w:type="dxa"/>
            <w:gridSpan w:val="2"/>
            <w:noWrap/>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3、供应商是否为残疾人福利性单位：是（    ）    否（    ）</w:t>
            </w:r>
          </w:p>
        </w:tc>
      </w:tr>
    </w:tbl>
    <w:p>
      <w:pPr>
        <w:topLinePunct/>
        <w:snapToGrid w:val="0"/>
        <w:spacing w:before="4" w:line="360" w:lineRule="auto"/>
        <w:ind w:firstLine="240" w:firstLineChars="100"/>
        <w:rPr>
          <w:rFonts w:hint="eastAsia" w:ascii="宋体" w:hAnsi="宋体" w:cs="宋体"/>
          <w:color w:val="auto"/>
          <w:sz w:val="24"/>
          <w:szCs w:val="24"/>
          <w:lang w:val="en-US" w:eastAsia="zh-CN"/>
        </w:rPr>
      </w:pPr>
    </w:p>
    <w:p>
      <w:pPr>
        <w:spacing w:line="360" w:lineRule="auto"/>
        <w:rPr>
          <w:rFonts w:ascii="宋体" w:hAnsi="宋体" w:cs="宋体"/>
          <w:bCs/>
          <w:color w:val="auto"/>
          <w:sz w:val="24"/>
        </w:rPr>
      </w:pPr>
      <w:r>
        <w:rPr>
          <w:rFonts w:hint="eastAsia" w:ascii="宋体" w:hAnsi="宋体" w:cs="宋体"/>
          <w:bCs/>
          <w:color w:val="auto"/>
          <w:sz w:val="24"/>
        </w:rPr>
        <w:t>供应商全称（公章）：</w:t>
      </w:r>
    </w:p>
    <w:p>
      <w:pPr>
        <w:spacing w:line="360" w:lineRule="auto"/>
        <w:rPr>
          <w:rFonts w:ascii="宋体" w:hAnsi="宋体" w:cs="宋体"/>
          <w:color w:val="auto"/>
          <w:sz w:val="24"/>
        </w:rPr>
      </w:pPr>
      <w:r>
        <w:rPr>
          <w:rFonts w:hint="eastAsia" w:ascii="宋体" w:hAnsi="宋体" w:cs="宋体"/>
          <w:color w:val="auto"/>
          <w:sz w:val="24"/>
        </w:rPr>
        <w:t>法定代表人或被授权代表：</w:t>
      </w:r>
      <w:r>
        <w:rPr>
          <w:rFonts w:hint="eastAsia" w:ascii="宋体" w:hAnsi="宋体" w:cs="宋体"/>
          <w:iCs/>
          <w:color w:val="auto"/>
          <w:sz w:val="24"/>
          <w:szCs w:val="21"/>
        </w:rPr>
        <w:t>（签字或盖章）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注: </w:t>
      </w:r>
    </w:p>
    <w:p>
      <w:pPr>
        <w:spacing w:line="360" w:lineRule="auto"/>
        <w:ind w:firstLine="240" w:firstLineChars="100"/>
        <w:rPr>
          <w:rFonts w:ascii="宋体" w:hAnsi="宋体" w:cs="宋体"/>
          <w:color w:val="auto"/>
          <w:sz w:val="24"/>
        </w:rPr>
      </w:pPr>
      <w:r>
        <w:rPr>
          <w:rFonts w:hint="eastAsia" w:ascii="宋体" w:hAnsi="宋体" w:cs="宋体"/>
          <w:color w:val="auto"/>
          <w:sz w:val="24"/>
        </w:rPr>
        <w:t>1、报价一览表应准确填写，若报价一览表与响应文件不符时，以报价一览表为准；</w:t>
      </w:r>
    </w:p>
    <w:p>
      <w:pPr>
        <w:spacing w:line="360" w:lineRule="auto"/>
        <w:ind w:firstLine="240" w:firstLineChars="100"/>
        <w:rPr>
          <w:rFonts w:ascii="宋体" w:hAnsi="宋体" w:cs="宋体"/>
          <w:color w:val="auto"/>
          <w:sz w:val="24"/>
        </w:rPr>
      </w:pPr>
      <w:r>
        <w:rPr>
          <w:rFonts w:hint="eastAsia" w:ascii="宋体" w:hAnsi="宋体" w:cs="宋体"/>
          <w:color w:val="auto"/>
          <w:sz w:val="24"/>
        </w:rPr>
        <w:t>2、报价中必须包含相关</w:t>
      </w:r>
      <w:r>
        <w:rPr>
          <w:rFonts w:hint="eastAsia" w:ascii="宋体" w:hAnsi="宋体" w:cs="宋体"/>
          <w:color w:val="auto"/>
          <w:sz w:val="24"/>
          <w:lang w:val="en-US" w:eastAsia="zh-CN"/>
        </w:rPr>
        <w:t>配送</w:t>
      </w:r>
      <w:r>
        <w:rPr>
          <w:rFonts w:hint="eastAsia" w:ascii="宋体" w:hAnsi="宋体" w:cs="宋体"/>
          <w:color w:val="auto"/>
          <w:sz w:val="24"/>
        </w:rPr>
        <w:t>费用、质保、后续服务及其他所有费用等完成该项目全部内容的一切费用。所有价格均应以人民币报价，金额单位为元。</w:t>
      </w:r>
    </w:p>
    <w:p>
      <w:pPr>
        <w:spacing w:line="360" w:lineRule="auto"/>
        <w:ind w:firstLine="240" w:firstLineChars="100"/>
        <w:rPr>
          <w:rFonts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spacing w:line="360" w:lineRule="auto"/>
        <w:ind w:firstLine="240" w:firstLineChars="100"/>
        <w:rPr>
          <w:rFonts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GB"/>
        </w:rPr>
        <w:t>此表是响应文件的必要文件，是响应文件的组成部分。</w:t>
      </w:r>
    </w:p>
    <w:p>
      <w:pPr>
        <w:spacing w:line="360" w:lineRule="auto"/>
        <w:ind w:firstLine="240" w:firstLineChars="100"/>
        <w:rPr>
          <w:rFonts w:hint="eastAsia" w:ascii="宋体" w:hAnsi="宋体" w:cs="宋体"/>
          <w:iCs/>
          <w:color w:val="auto"/>
          <w:sz w:val="24"/>
          <w:szCs w:val="21"/>
        </w:rPr>
      </w:pPr>
      <w:r>
        <w:rPr>
          <w:rFonts w:hint="eastAsia" w:ascii="宋体" w:hAnsi="宋体" w:cs="宋体"/>
          <w:color w:val="auto"/>
          <w:sz w:val="24"/>
        </w:rPr>
        <w:t>5、此表为表样，行数可自行添加，但表式不变。</w:t>
      </w:r>
    </w:p>
    <w:p>
      <w:pPr>
        <w:jc w:val="center"/>
        <w:rPr>
          <w:rFonts w:hint="eastAsia" w:ascii="宋体" w:hAnsi="宋体" w:eastAsia="宋体" w:cs="宋体"/>
          <w:b/>
          <w:color w:val="auto"/>
          <w:kern w:val="2"/>
          <w:sz w:val="28"/>
          <w:szCs w:val="28"/>
          <w:highlight w:val="none"/>
          <w:lang w:val="en-US" w:eastAsia="zh-CN" w:bidi="ar-SA"/>
        </w:rPr>
      </w:pPr>
    </w:p>
    <w:p>
      <w:pPr>
        <w:rPr>
          <w:rFonts w:hint="eastAsia" w:ascii="宋体" w:hAnsi="宋体" w:cs="宋体"/>
          <w:b/>
          <w:color w:val="auto"/>
          <w:kern w:val="2"/>
          <w:sz w:val="28"/>
          <w:szCs w:val="28"/>
          <w:highlight w:val="none"/>
          <w:lang w:val="en-US" w:eastAsia="zh-CN" w:bidi="ar-SA"/>
        </w:rPr>
      </w:pPr>
      <w:r>
        <w:rPr>
          <w:rFonts w:hint="eastAsia" w:ascii="宋体" w:hAnsi="宋体" w:cs="宋体"/>
          <w:b/>
          <w:color w:val="auto"/>
          <w:kern w:val="2"/>
          <w:sz w:val="28"/>
          <w:szCs w:val="28"/>
          <w:highlight w:val="none"/>
          <w:lang w:val="en-US" w:eastAsia="zh-CN" w:bidi="ar-SA"/>
        </w:rPr>
        <w:br w:type="page"/>
      </w:r>
    </w:p>
    <w:p>
      <w:pPr>
        <w:pStyle w:val="4"/>
        <w:snapToGrid w:val="0"/>
        <w:jc w:val="center"/>
        <w:rPr>
          <w:rFonts w:hint="eastAsia" w:ascii="宋体" w:hAnsi="宋体" w:cs="宋体"/>
          <w:color w:val="auto"/>
          <w:sz w:val="28"/>
          <w:szCs w:val="28"/>
        </w:rPr>
      </w:pPr>
      <w:r>
        <w:rPr>
          <w:rFonts w:hint="eastAsia" w:ascii="宋体" w:cs="宋体"/>
          <w:b/>
          <w:color w:val="auto"/>
          <w:kern w:val="2"/>
          <w:sz w:val="28"/>
          <w:szCs w:val="28"/>
          <w:highlight w:val="none"/>
          <w:lang w:val="en-US" w:eastAsia="zh-CN" w:bidi="ar-SA"/>
        </w:rPr>
        <w:t>四</w:t>
      </w:r>
      <w:r>
        <w:rPr>
          <w:rFonts w:hint="eastAsia" w:ascii="宋体" w:hAnsi="宋体" w:cs="宋体"/>
          <w:b/>
          <w:bCs/>
          <w:iCs/>
          <w:color w:val="auto"/>
          <w:sz w:val="28"/>
          <w:szCs w:val="28"/>
        </w:rPr>
        <w:t>、</w:t>
      </w:r>
      <w:r>
        <w:rPr>
          <w:rFonts w:hint="eastAsia" w:ascii="宋体" w:hAnsi="宋体" w:cs="宋体"/>
          <w:color w:val="auto"/>
          <w:sz w:val="28"/>
          <w:szCs w:val="28"/>
        </w:rPr>
        <w:t>类似业绩</w:t>
      </w:r>
    </w:p>
    <w:tbl>
      <w:tblPr>
        <w:tblStyle w:val="25"/>
        <w:tblW w:w="0" w:type="auto"/>
        <w:jc w:val="center"/>
        <w:tblLayout w:type="fixed"/>
        <w:tblCellMar>
          <w:top w:w="0" w:type="dxa"/>
          <w:left w:w="0" w:type="dxa"/>
          <w:bottom w:w="0" w:type="dxa"/>
          <w:right w:w="0" w:type="dxa"/>
        </w:tblCellMar>
      </w:tblPr>
      <w:tblGrid>
        <w:gridCol w:w="447"/>
        <w:gridCol w:w="2016"/>
        <w:gridCol w:w="2467"/>
        <w:gridCol w:w="1090"/>
        <w:gridCol w:w="1083"/>
        <w:gridCol w:w="873"/>
      </w:tblGrid>
      <w:tr>
        <w:tblPrEx>
          <w:tblCellMar>
            <w:top w:w="0" w:type="dxa"/>
            <w:left w:w="0" w:type="dxa"/>
            <w:bottom w:w="0" w:type="dxa"/>
            <w:right w:w="0" w:type="dxa"/>
          </w:tblCellMar>
        </w:tblPrEx>
        <w:trPr>
          <w:trHeight w:val="626" w:hRule="atLeast"/>
          <w:jc w:val="center"/>
        </w:trPr>
        <w:tc>
          <w:tcPr>
            <w:tcW w:w="4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序号</w:t>
            </w:r>
          </w:p>
        </w:tc>
        <w:tc>
          <w:tcPr>
            <w:tcW w:w="20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甲方名称</w:t>
            </w:r>
          </w:p>
        </w:tc>
        <w:tc>
          <w:tcPr>
            <w:tcW w:w="2467"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项目名称</w:t>
            </w:r>
          </w:p>
        </w:tc>
        <w:tc>
          <w:tcPr>
            <w:tcW w:w="109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合同金额</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（万元）</w:t>
            </w:r>
          </w:p>
        </w:tc>
        <w:tc>
          <w:tcPr>
            <w:tcW w:w="10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签订</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时间</w:t>
            </w:r>
          </w:p>
        </w:tc>
        <w:tc>
          <w:tcPr>
            <w:tcW w:w="8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备注</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r>
        <w:tblPrEx>
          <w:tblCellMar>
            <w:top w:w="0" w:type="dxa"/>
            <w:left w:w="0" w:type="dxa"/>
            <w:bottom w:w="0" w:type="dxa"/>
            <w:right w:w="0" w:type="dxa"/>
          </w:tblCellMar>
        </w:tblPrEx>
        <w:trPr>
          <w:trHeight w:val="704" w:hRule="atLeast"/>
          <w:jc w:val="center"/>
        </w:trPr>
        <w:tc>
          <w:tcPr>
            <w:tcW w:w="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01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2467" w:type="dxa"/>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109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c>
          <w:tcPr>
            <w:tcW w:w="8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s="宋体"/>
                <w:color w:val="auto"/>
                <w:szCs w:val="21"/>
              </w:rPr>
            </w:pPr>
            <w:r>
              <w:rPr>
                <w:rFonts w:hint="eastAsia" w:ascii="宋体" w:hAnsi="宋体" w:cs="宋体"/>
                <w:color w:val="auto"/>
                <w:szCs w:val="21"/>
              </w:rPr>
              <w:t> </w:t>
            </w:r>
          </w:p>
        </w:tc>
      </w:tr>
    </w:tbl>
    <w:p>
      <w:pPr>
        <w:snapToGrid w:val="0"/>
        <w:spacing w:line="360" w:lineRule="auto"/>
        <w:textAlignment w:val="baseline"/>
        <w:rPr>
          <w:rFonts w:hint="eastAsia" w:ascii="宋体" w:hAnsi="宋体" w:cs="宋体"/>
          <w:color w:val="auto"/>
          <w:sz w:val="24"/>
        </w:rPr>
      </w:pPr>
    </w:p>
    <w:p>
      <w:pPr>
        <w:snapToGrid w:val="0"/>
        <w:spacing w:line="360" w:lineRule="auto"/>
        <w:ind w:firstLine="723" w:firstLineChars="300"/>
        <w:textAlignment w:val="baseline"/>
        <w:rPr>
          <w:rFonts w:hint="eastAsia" w:ascii="宋体" w:hAnsi="宋体" w:cs="宋体"/>
          <w:b/>
          <w:bCs/>
          <w:color w:val="auto"/>
          <w:szCs w:val="21"/>
        </w:rPr>
      </w:pPr>
      <w:r>
        <w:rPr>
          <w:rFonts w:hint="eastAsia" w:cs="Times New Roman"/>
          <w:b/>
          <w:bCs/>
          <w:color w:val="auto"/>
          <w:sz w:val="24"/>
          <w:szCs w:val="24"/>
          <w:highlight w:val="none"/>
        </w:rPr>
        <w:t>附：合同复印件</w:t>
      </w:r>
      <w:r>
        <w:rPr>
          <w:rFonts w:hint="eastAsia"/>
          <w:b/>
          <w:bCs/>
          <w:color w:val="auto"/>
          <w:sz w:val="24"/>
          <w:szCs w:val="24"/>
          <w:highlight w:val="none"/>
        </w:rPr>
        <w:t>加盖公章</w:t>
      </w:r>
      <w:r>
        <w:rPr>
          <w:rFonts w:hint="eastAsia" w:ascii="宋体" w:hAnsi="宋体" w:cs="宋体"/>
          <w:b/>
          <w:bCs/>
          <w:color w:val="auto"/>
          <w:szCs w:val="21"/>
        </w:rPr>
        <w:t>。</w:t>
      </w:r>
    </w:p>
    <w:p>
      <w:pPr>
        <w:pStyle w:val="4"/>
        <w:keepNext w:val="0"/>
        <w:keepLines w:val="0"/>
        <w:tabs>
          <w:tab w:val="left" w:pos="360"/>
          <w:tab w:val="left" w:pos="540"/>
        </w:tabs>
        <w:spacing w:before="156" w:beforeLines="50" w:after="156" w:afterLines="50"/>
        <w:jc w:val="center"/>
        <w:rPr>
          <w:rFonts w:cs="宋体"/>
          <w:color w:val="auto"/>
          <w:sz w:val="28"/>
          <w:szCs w:val="28"/>
          <w:highlight w:val="none"/>
        </w:rPr>
      </w:pPr>
    </w:p>
    <w:p>
      <w:pPr>
        <w:pStyle w:val="17"/>
        <w:rPr>
          <w:color w:val="auto"/>
          <w:highlight w:val="none"/>
        </w:rPr>
      </w:pPr>
    </w:p>
    <w:p>
      <w:pPr>
        <w:adjustRightInd w:val="0"/>
        <w:snapToGrid w:val="0"/>
        <w:spacing w:line="360" w:lineRule="auto"/>
        <w:jc w:val="center"/>
        <w:rPr>
          <w:rFonts w:ascii="宋体" w:hAnsi="宋体" w:cs="宋体"/>
          <w:b/>
          <w:color w:val="auto"/>
          <w:sz w:val="28"/>
          <w:szCs w:val="28"/>
          <w:highlight w:val="none"/>
        </w:rPr>
      </w:pPr>
    </w:p>
    <w:p>
      <w:pPr>
        <w:pStyle w:val="4"/>
        <w:rPr>
          <w:rFonts w:cs="宋体"/>
          <w:color w:val="auto"/>
          <w:highlight w:val="none"/>
        </w:rPr>
      </w:pPr>
    </w:p>
    <w:p>
      <w:pPr>
        <w:pStyle w:val="40"/>
        <w:spacing w:before="156" w:after="156"/>
        <w:jc w:val="both"/>
        <w:rPr>
          <w:rFonts w:hint="eastAsia"/>
          <w:color w:val="auto"/>
          <w:sz w:val="28"/>
          <w:szCs w:val="40"/>
          <w:lang w:val="en-US" w:eastAsia="zh-CN"/>
        </w:rPr>
      </w:pPr>
    </w:p>
    <w:p>
      <w:pPr>
        <w:pStyle w:val="40"/>
        <w:spacing w:before="156" w:after="156"/>
        <w:jc w:val="both"/>
        <w:rPr>
          <w:rFonts w:hint="eastAsia"/>
          <w:color w:val="auto"/>
          <w:sz w:val="28"/>
          <w:szCs w:val="40"/>
          <w:lang w:val="en-US" w:eastAsia="zh-CN"/>
        </w:rPr>
      </w:pPr>
    </w:p>
    <w:p>
      <w:pPr>
        <w:rPr>
          <w:color w:val="auto"/>
          <w:highlight w:val="none"/>
        </w:rPr>
      </w:pPr>
      <w:r>
        <w:rPr>
          <w:rFonts w:hint="eastAsia"/>
          <w:color w:val="auto"/>
          <w:sz w:val="28"/>
          <w:szCs w:val="40"/>
          <w:lang w:val="en-US" w:eastAsia="zh-CN"/>
        </w:rPr>
        <w:br w:type="page"/>
      </w:r>
    </w:p>
    <w:p>
      <w:pPr>
        <w:jc w:val="center"/>
        <w:rPr>
          <w:rFonts w:hint="eastAsia" w:ascii="Arial" w:hAnsi="Arial"/>
          <w:b/>
          <w:color w:val="auto"/>
          <w:sz w:val="28"/>
          <w:szCs w:val="28"/>
          <w:highlight w:val="none"/>
          <w:lang w:val="en-US" w:eastAsia="zh-CN"/>
        </w:rPr>
      </w:pPr>
      <w:r>
        <w:rPr>
          <w:rFonts w:hint="eastAsia" w:ascii="Arial" w:hAnsi="Arial"/>
          <w:b/>
          <w:color w:val="auto"/>
          <w:sz w:val="28"/>
          <w:szCs w:val="28"/>
          <w:highlight w:val="none"/>
          <w:lang w:val="en-US" w:eastAsia="zh-CN"/>
        </w:rPr>
        <w:t>五、已标价的工程量清单</w:t>
      </w: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color w:val="auto"/>
          <w:kern w:val="2"/>
          <w:sz w:val="24"/>
          <w:szCs w:val="24"/>
          <w:shd w:val="clear" w:fill="FFFFFF"/>
          <w:lang w:val="en-US" w:eastAsia="zh-CN" w:bidi="ar"/>
        </w:rPr>
      </w:pP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color w:val="auto"/>
          <w:kern w:val="2"/>
          <w:sz w:val="24"/>
          <w:szCs w:val="24"/>
          <w:shd w:val="clear" w:fill="FFFFFF"/>
          <w:lang w:val="en-US" w:eastAsia="zh-CN" w:bidi="ar"/>
        </w:rPr>
      </w:pP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color w:val="auto"/>
          <w:kern w:val="2"/>
          <w:sz w:val="24"/>
          <w:szCs w:val="24"/>
          <w:shd w:val="clear" w:fill="FFFFFF"/>
          <w:lang w:val="en-US" w:eastAsia="zh-CN" w:bidi="ar"/>
        </w:rPr>
      </w:pP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color w:val="auto"/>
          <w:kern w:val="2"/>
          <w:sz w:val="24"/>
          <w:szCs w:val="24"/>
          <w:shd w:val="clear" w:fill="FFFFFF"/>
          <w:lang w:val="en-US" w:eastAsia="zh-CN" w:bidi="ar"/>
        </w:rPr>
      </w:pP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color w:val="auto"/>
          <w:kern w:val="2"/>
          <w:sz w:val="24"/>
          <w:szCs w:val="24"/>
          <w:shd w:val="clear" w:fill="FFFFFF"/>
          <w:lang w:val="en-US" w:eastAsia="zh-CN" w:bidi="ar"/>
        </w:rPr>
      </w:pP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color w:val="auto"/>
          <w:kern w:val="2"/>
          <w:sz w:val="24"/>
          <w:szCs w:val="24"/>
          <w:shd w:val="clear" w:fill="FFFFFF"/>
          <w:lang w:val="en-US" w:eastAsia="zh-CN" w:bidi="ar"/>
        </w:rPr>
      </w:pPr>
    </w:p>
    <w:p>
      <w:pPr>
        <w:keepNext w:val="0"/>
        <w:keepLines w:val="0"/>
        <w:widowControl w:val="0"/>
        <w:suppressLineNumbers w:val="0"/>
        <w:shd w:val="clear" w:fill="FFFFFF"/>
        <w:snapToGrid w:val="0"/>
        <w:spacing w:before="0" w:beforeAutospacing="0" w:after="0" w:afterAutospacing="0" w:line="360" w:lineRule="auto"/>
        <w:ind w:left="0" w:right="0" w:firstLine="960" w:firstLineChars="400"/>
        <w:jc w:val="both"/>
        <w:rPr>
          <w:rFonts w:hint="eastAsia" w:ascii="宋体" w:hAnsi="宋体" w:eastAsia="宋体" w:cs="宋体"/>
          <w:bCs/>
          <w:color w:val="auto"/>
          <w:kern w:val="2"/>
          <w:sz w:val="24"/>
          <w:szCs w:val="24"/>
          <w:shd w:val="clear" w:fill="FFFFFF"/>
        </w:rPr>
      </w:pPr>
      <w:r>
        <w:rPr>
          <w:rFonts w:hint="eastAsia" w:ascii="宋体" w:hAnsi="宋体" w:eastAsia="宋体" w:cs="宋体"/>
          <w:color w:val="auto"/>
          <w:kern w:val="2"/>
          <w:sz w:val="24"/>
          <w:szCs w:val="24"/>
          <w:shd w:val="clear" w:fill="FFFFFF"/>
          <w:lang w:val="en-US" w:eastAsia="zh-CN" w:bidi="ar"/>
        </w:rPr>
        <w:t>注：在中标/成交后，中标/成交人</w:t>
      </w:r>
      <w:r>
        <w:rPr>
          <w:rFonts w:hint="eastAsia" w:ascii="宋体" w:hAnsi="宋体" w:cs="宋体"/>
          <w:color w:val="auto"/>
          <w:kern w:val="2"/>
          <w:sz w:val="24"/>
          <w:szCs w:val="24"/>
          <w:shd w:val="clear" w:fill="FFFFFF"/>
          <w:lang w:val="en-US" w:eastAsia="zh-CN" w:bidi="ar"/>
        </w:rPr>
        <w:t>还需</w:t>
      </w:r>
      <w:r>
        <w:rPr>
          <w:rFonts w:hint="eastAsia" w:ascii="宋体" w:hAnsi="宋体" w:eastAsia="宋体" w:cs="宋体"/>
          <w:color w:val="auto"/>
          <w:kern w:val="2"/>
          <w:sz w:val="24"/>
          <w:szCs w:val="24"/>
          <w:shd w:val="clear" w:fill="FFFFFF"/>
          <w:lang w:val="en-US" w:eastAsia="zh-CN" w:bidi="ar"/>
        </w:rPr>
        <w:t>向采购人提供二次报价的已标价的工程量清单作为签订合同的依据。</w:t>
      </w:r>
    </w:p>
    <w:p>
      <w:pPr>
        <w:rPr>
          <w:rFonts w:hint="eastAsia" w:ascii="Arial" w:hAnsi="Arial"/>
          <w:b/>
          <w:color w:val="auto"/>
          <w:sz w:val="28"/>
          <w:szCs w:val="28"/>
          <w:highlight w:val="none"/>
          <w:lang w:val="en-US" w:eastAsia="zh-CN"/>
        </w:rPr>
      </w:pPr>
    </w:p>
    <w:p>
      <w:pPr>
        <w:rPr>
          <w:rFonts w:hint="eastAsia" w:ascii="Arial" w:hAnsi="Arial"/>
          <w:b/>
          <w:color w:val="auto"/>
          <w:sz w:val="28"/>
          <w:szCs w:val="28"/>
          <w:highlight w:val="none"/>
          <w:lang w:val="en-US" w:eastAsia="zh-CN"/>
        </w:rPr>
      </w:pPr>
      <w:r>
        <w:rPr>
          <w:rFonts w:hint="eastAsia" w:ascii="Arial" w:hAnsi="Arial"/>
          <w:b/>
          <w:color w:val="auto"/>
          <w:sz w:val="28"/>
          <w:szCs w:val="28"/>
          <w:highlight w:val="none"/>
          <w:lang w:val="en-US" w:eastAsia="zh-CN"/>
        </w:rPr>
        <w:br w:type="page"/>
      </w:r>
    </w:p>
    <w:p>
      <w:pPr>
        <w:jc w:val="center"/>
        <w:rPr>
          <w:rFonts w:hint="default" w:ascii="宋体" w:hAnsi="宋体" w:eastAsia="宋体" w:cs="宋体"/>
          <w:color w:val="auto"/>
          <w:szCs w:val="28"/>
          <w:highlight w:val="none"/>
          <w:lang w:val="en-US" w:eastAsia="zh-CN"/>
        </w:rPr>
      </w:pPr>
      <w:r>
        <w:rPr>
          <w:rFonts w:hint="eastAsia" w:ascii="Arial" w:hAnsi="Arial"/>
          <w:b/>
          <w:color w:val="auto"/>
          <w:sz w:val="28"/>
          <w:szCs w:val="28"/>
          <w:highlight w:val="none"/>
          <w:lang w:val="en-US" w:eastAsia="zh-CN"/>
        </w:rPr>
        <w:t>六</w:t>
      </w:r>
      <w:r>
        <w:rPr>
          <w:rFonts w:hint="eastAsia" w:ascii="Arial" w:hAnsi="Arial"/>
          <w:b/>
          <w:color w:val="auto"/>
          <w:sz w:val="28"/>
          <w:szCs w:val="28"/>
          <w:highlight w:val="none"/>
        </w:rPr>
        <w:t>、</w:t>
      </w:r>
      <w:r>
        <w:rPr>
          <w:rFonts w:hint="eastAsia" w:ascii="Arial" w:hAnsi="Arial"/>
          <w:b/>
          <w:color w:val="auto"/>
          <w:sz w:val="28"/>
          <w:szCs w:val="28"/>
          <w:highlight w:val="none"/>
          <w:lang w:val="en-US" w:eastAsia="zh-CN"/>
        </w:rPr>
        <w:t>人员配备表</w:t>
      </w:r>
    </w:p>
    <w:tbl>
      <w:tblPr>
        <w:tblStyle w:val="25"/>
        <w:tblW w:w="8715" w:type="dxa"/>
        <w:jc w:val="center"/>
        <w:tblLayout w:type="fixed"/>
        <w:tblCellMar>
          <w:top w:w="0" w:type="dxa"/>
          <w:left w:w="0" w:type="dxa"/>
          <w:bottom w:w="0" w:type="dxa"/>
          <w:right w:w="0" w:type="dxa"/>
        </w:tblCellMar>
      </w:tblPr>
      <w:tblGrid>
        <w:gridCol w:w="853"/>
        <w:gridCol w:w="1442"/>
        <w:gridCol w:w="898"/>
        <w:gridCol w:w="818"/>
        <w:gridCol w:w="849"/>
        <w:gridCol w:w="742"/>
        <w:gridCol w:w="1250"/>
        <w:gridCol w:w="1863"/>
      </w:tblGrid>
      <w:tr>
        <w:tblPrEx>
          <w:tblCellMar>
            <w:top w:w="0" w:type="dxa"/>
            <w:left w:w="0" w:type="dxa"/>
            <w:bottom w:w="0" w:type="dxa"/>
            <w:right w:w="0" w:type="dxa"/>
          </w:tblCellMar>
        </w:tblPrEx>
        <w:trPr>
          <w:trHeight w:val="563" w:hRule="atLeast"/>
          <w:jc w:val="center"/>
        </w:trPr>
        <w:tc>
          <w:tcPr>
            <w:tcW w:w="8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序号</w:t>
            </w:r>
          </w:p>
        </w:tc>
        <w:tc>
          <w:tcPr>
            <w:tcW w:w="14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姓名</w:t>
            </w:r>
          </w:p>
        </w:tc>
        <w:tc>
          <w:tcPr>
            <w:tcW w:w="8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年龄</w:t>
            </w:r>
          </w:p>
        </w:tc>
        <w:tc>
          <w:tcPr>
            <w:tcW w:w="8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性别</w:t>
            </w:r>
          </w:p>
        </w:tc>
        <w:tc>
          <w:tcPr>
            <w:tcW w:w="8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学历</w:t>
            </w:r>
          </w:p>
        </w:tc>
        <w:tc>
          <w:tcPr>
            <w:tcW w:w="7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专业</w:t>
            </w:r>
          </w:p>
        </w:tc>
        <w:tc>
          <w:tcPr>
            <w:tcW w:w="12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 w:val="24"/>
                <w:szCs w:val="32"/>
                <w:highlight w:val="none"/>
              </w:rPr>
            </w:pPr>
            <w:r>
              <w:rPr>
                <w:rFonts w:hint="eastAsia" w:ascii="宋体" w:hAnsi="宋体" w:cs="宋体"/>
                <w:color w:val="auto"/>
                <w:sz w:val="24"/>
                <w:szCs w:val="32"/>
                <w:highlight w:val="none"/>
              </w:rPr>
              <w:t>职称</w:t>
            </w:r>
          </w:p>
          <w:p>
            <w:pPr>
              <w:keepNext w:val="0"/>
              <w:keepLines w:val="0"/>
              <w:suppressLineNumbers w:val="0"/>
              <w:spacing w:before="0" w:beforeAutospacing="0" w:after="0" w:afterAutospacing="0"/>
              <w:ind w:left="0" w:right="0"/>
              <w:jc w:val="center"/>
              <w:rPr>
                <w:rFonts w:hint="eastAsia" w:eastAsia="宋体"/>
                <w:color w:val="auto"/>
                <w:sz w:val="24"/>
                <w:szCs w:val="32"/>
                <w:highlight w:val="none"/>
                <w:lang w:eastAsia="zh-CN"/>
              </w:rPr>
            </w:pP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如有</w:t>
            </w:r>
            <w:r>
              <w:rPr>
                <w:rFonts w:hint="eastAsia" w:ascii="宋体" w:hAnsi="宋体" w:cs="宋体"/>
                <w:color w:val="auto"/>
                <w:sz w:val="24"/>
                <w:szCs w:val="32"/>
                <w:highlight w:val="none"/>
                <w:lang w:eastAsia="zh-CN"/>
              </w:rPr>
              <w:t>）</w:t>
            </w:r>
          </w:p>
        </w:tc>
        <w:tc>
          <w:tcPr>
            <w:tcW w:w="18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sz w:val="24"/>
                <w:szCs w:val="32"/>
                <w:highlight w:val="none"/>
              </w:rPr>
            </w:pPr>
            <w:r>
              <w:rPr>
                <w:rFonts w:hint="eastAsia" w:ascii="宋体" w:hAnsi="宋体" w:cs="宋体"/>
                <w:color w:val="auto"/>
                <w:sz w:val="24"/>
                <w:szCs w:val="32"/>
                <w:highlight w:val="none"/>
              </w:rPr>
              <w:t>在本项目拟任职务</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r>
        <w:tblPrEx>
          <w:tblCellMar>
            <w:top w:w="0" w:type="dxa"/>
            <w:left w:w="0" w:type="dxa"/>
            <w:bottom w:w="0" w:type="dxa"/>
            <w:right w:w="0" w:type="dxa"/>
          </w:tblCellMar>
        </w:tblPrEx>
        <w:trPr>
          <w:trHeight w:val="563" w:hRule="atLeast"/>
          <w:jc w:val="center"/>
        </w:trPr>
        <w:tc>
          <w:tcPr>
            <w:tcW w:w="8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4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1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74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2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c>
          <w:tcPr>
            <w:tcW w:w="18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default" w:ascii="宋体"/>
                <w:color w:val="auto"/>
                <w:highlight w:val="none"/>
              </w:rPr>
              <w:t> </w:t>
            </w:r>
          </w:p>
        </w:tc>
      </w:tr>
    </w:tbl>
    <w:p>
      <w:pPr>
        <w:snapToGrid w:val="0"/>
        <w:spacing w:line="360" w:lineRule="auto"/>
        <w:ind w:firstLine="206"/>
        <w:textAlignment w:val="baseline"/>
        <w:rPr>
          <w:rFonts w:hint="eastAsia" w:ascii="宋体" w:hAnsi="宋体" w:cs="宋体"/>
          <w:color w:val="auto"/>
          <w:sz w:val="24"/>
          <w:szCs w:val="32"/>
          <w:highlight w:val="none"/>
        </w:rPr>
      </w:pPr>
    </w:p>
    <w:p>
      <w:pPr>
        <w:shd w:val="clear" w:color="auto" w:fill="FFFFFF"/>
        <w:snapToGrid w:val="0"/>
        <w:spacing w:line="360" w:lineRule="auto"/>
        <w:ind w:firstLine="240" w:firstLineChars="100"/>
        <w:rPr>
          <w:rFonts w:cs="宋体"/>
          <w:color w:val="auto"/>
          <w:sz w:val="28"/>
          <w:szCs w:val="28"/>
          <w:highlight w:val="none"/>
        </w:rPr>
      </w:pPr>
      <w:r>
        <w:rPr>
          <w:rFonts w:hint="eastAsia" w:ascii="宋体" w:hAnsi="宋体"/>
          <w:bCs/>
          <w:color w:val="auto"/>
          <w:sz w:val="24"/>
          <w:highlight w:val="none"/>
        </w:rPr>
        <w:t>注：此表为表样，行数可自行添加，但表式不变。</w:t>
      </w:r>
    </w:p>
    <w:p>
      <w:pPr>
        <w:rPr>
          <w:rFonts w:hint="eastAsia"/>
          <w:color w:val="auto"/>
          <w:sz w:val="28"/>
          <w:szCs w:val="40"/>
          <w:lang w:val="en-US" w:eastAsia="zh-CN"/>
        </w:rPr>
      </w:pPr>
    </w:p>
    <w:p>
      <w:pPr>
        <w:rPr>
          <w:rFonts w:hint="eastAsia"/>
          <w:color w:val="auto"/>
          <w:sz w:val="28"/>
          <w:szCs w:val="40"/>
          <w:lang w:val="en-US" w:eastAsia="zh-CN"/>
        </w:rPr>
      </w:pPr>
      <w:r>
        <w:rPr>
          <w:rFonts w:hint="eastAsia"/>
          <w:color w:val="auto"/>
          <w:sz w:val="28"/>
          <w:szCs w:val="40"/>
          <w:lang w:val="en-US" w:eastAsia="zh-CN"/>
        </w:rPr>
        <w:br w:type="page"/>
      </w:r>
    </w:p>
    <w:p>
      <w:pPr>
        <w:pStyle w:val="40"/>
        <w:spacing w:before="156" w:after="156"/>
        <w:jc w:val="center"/>
        <w:rPr>
          <w:rFonts w:cs="宋体"/>
          <w:color w:val="auto"/>
          <w:sz w:val="28"/>
          <w:szCs w:val="28"/>
        </w:rPr>
      </w:pPr>
      <w:r>
        <w:rPr>
          <w:rFonts w:hint="eastAsia"/>
          <w:color w:val="auto"/>
          <w:sz w:val="28"/>
          <w:szCs w:val="40"/>
          <w:lang w:val="en-US" w:eastAsia="zh-CN"/>
        </w:rPr>
        <w:t>七、</w:t>
      </w:r>
      <w:r>
        <w:rPr>
          <w:rFonts w:hint="eastAsia"/>
          <w:color w:val="auto"/>
          <w:sz w:val="28"/>
          <w:szCs w:val="40"/>
        </w:rPr>
        <w:t>供应商资格</w:t>
      </w:r>
    </w:p>
    <w:p>
      <w:pPr>
        <w:pStyle w:val="4"/>
        <w:keepNext w:val="0"/>
        <w:keepLines w:val="0"/>
        <w:tabs>
          <w:tab w:val="left" w:pos="360"/>
          <w:tab w:val="left" w:pos="540"/>
        </w:tabs>
        <w:spacing w:before="156" w:beforeLines="50" w:after="156" w:afterLines="50"/>
        <w:jc w:val="center"/>
        <w:rPr>
          <w:rFonts w:hint="eastAsia" w:cs="宋体"/>
          <w:color w:val="auto"/>
          <w:sz w:val="28"/>
          <w:szCs w:val="28"/>
          <w:highlight w:val="none"/>
        </w:rPr>
      </w:pPr>
      <w:r>
        <w:rPr>
          <w:rFonts w:hint="eastAsia" w:ascii="宋体" w:hAnsi="宋体" w:cs="宋体"/>
          <w:b/>
          <w:color w:val="auto"/>
          <w:sz w:val="28"/>
          <w:szCs w:val="28"/>
        </w:rPr>
        <w:t>1、</w:t>
      </w:r>
      <w:r>
        <w:rPr>
          <w:rFonts w:hint="eastAsia" w:cs="宋体"/>
          <w:color w:val="auto"/>
          <w:sz w:val="28"/>
          <w:szCs w:val="28"/>
          <w:highlight w:val="none"/>
        </w:rPr>
        <w:t>供应商一般情况表</w:t>
      </w:r>
    </w:p>
    <w:tbl>
      <w:tblPr>
        <w:tblStyle w:val="25"/>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169"/>
        <w:gridCol w:w="749"/>
        <w:gridCol w:w="1354"/>
        <w:gridCol w:w="55"/>
        <w:gridCol w:w="1461"/>
        <w:gridCol w:w="260"/>
        <w:gridCol w:w="709"/>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lang w:val="en-US" w:eastAsia="zh-CN"/>
              </w:rPr>
              <w:t>供应商</w:t>
            </w:r>
            <w:r>
              <w:rPr>
                <w:rFonts w:hint="eastAsia" w:ascii="宋体" w:hAnsi="宋体" w:cs="宋体"/>
                <w:color w:val="auto"/>
                <w:sz w:val="24"/>
                <w:szCs w:val="24"/>
              </w:rPr>
              <w:t>名称</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注册地址</w:t>
            </w:r>
          </w:p>
        </w:tc>
        <w:tc>
          <w:tcPr>
            <w:tcW w:w="3272"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516"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邮政编码</w:t>
            </w:r>
          </w:p>
        </w:tc>
        <w:tc>
          <w:tcPr>
            <w:tcW w:w="2444"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076" w:type="dxa"/>
            <w:vMerge w:val="restart"/>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联系方式</w:t>
            </w:r>
          </w:p>
        </w:tc>
        <w:tc>
          <w:tcPr>
            <w:tcW w:w="1169"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联系人</w:t>
            </w:r>
          </w:p>
        </w:tc>
        <w:tc>
          <w:tcPr>
            <w:tcW w:w="2103"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516"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电  话</w:t>
            </w:r>
          </w:p>
        </w:tc>
        <w:tc>
          <w:tcPr>
            <w:tcW w:w="2444"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076" w:type="dxa"/>
            <w:vMerge w:val="continue"/>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169"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传  真</w:t>
            </w:r>
          </w:p>
        </w:tc>
        <w:tc>
          <w:tcPr>
            <w:tcW w:w="2103"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516"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网  址</w:t>
            </w:r>
          </w:p>
        </w:tc>
        <w:tc>
          <w:tcPr>
            <w:tcW w:w="2444" w:type="dxa"/>
            <w:gridSpan w:val="3"/>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组织结构</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法定代表人</w:t>
            </w:r>
          </w:p>
        </w:tc>
        <w:tc>
          <w:tcPr>
            <w:tcW w:w="1918"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1409"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技术职称</w:t>
            </w:r>
          </w:p>
        </w:tc>
        <w:tc>
          <w:tcPr>
            <w:tcW w:w="1721"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709"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电话</w:t>
            </w:r>
          </w:p>
        </w:tc>
        <w:tc>
          <w:tcPr>
            <w:tcW w:w="1475"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成立时间</w:t>
            </w:r>
          </w:p>
        </w:tc>
        <w:tc>
          <w:tcPr>
            <w:tcW w:w="1918" w:type="dxa"/>
            <w:gridSpan w:val="2"/>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c>
          <w:tcPr>
            <w:tcW w:w="5314" w:type="dxa"/>
            <w:gridSpan w:val="6"/>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开户银行</w:t>
            </w:r>
          </w:p>
        </w:tc>
        <w:tc>
          <w:tcPr>
            <w:tcW w:w="7227"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账号</w:t>
            </w:r>
          </w:p>
        </w:tc>
        <w:tc>
          <w:tcPr>
            <w:tcW w:w="7227"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经营范围</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7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r>
              <w:rPr>
                <w:rFonts w:hint="eastAsia" w:ascii="宋体" w:hAnsi="宋体" w:cs="宋体"/>
                <w:color w:val="auto"/>
                <w:sz w:val="24"/>
                <w:szCs w:val="24"/>
              </w:rPr>
              <w:t>备注</w:t>
            </w:r>
          </w:p>
        </w:tc>
        <w:tc>
          <w:tcPr>
            <w:tcW w:w="7232" w:type="dxa"/>
            <w:gridSpan w:val="8"/>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color w:val="auto"/>
                <w:sz w:val="24"/>
                <w:szCs w:val="24"/>
              </w:rPr>
            </w:pPr>
          </w:p>
        </w:tc>
      </w:tr>
    </w:tbl>
    <w:p>
      <w:pPr>
        <w:rPr>
          <w:color w:val="auto"/>
        </w:rPr>
      </w:pPr>
    </w:p>
    <w:p>
      <w:pPr>
        <w:snapToGrid w:val="0"/>
        <w:spacing w:line="360" w:lineRule="auto"/>
        <w:textAlignment w:val="baseline"/>
        <w:rPr>
          <w:rFonts w:ascii="宋体" w:hAnsi="宋体" w:cs="宋体"/>
          <w:color w:val="auto"/>
          <w:sz w:val="24"/>
          <w:highlight w:val="none"/>
        </w:rPr>
      </w:pPr>
      <w:r>
        <w:rPr>
          <w:rFonts w:hint="eastAsia" w:ascii="宋体" w:hAnsi="宋体" w:cs="宋体"/>
          <w:color w:val="auto"/>
          <w:sz w:val="24"/>
          <w:highlight w:val="none"/>
        </w:rPr>
        <w:t>附：营业执照副本等复印件加盖公章。</w:t>
      </w: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lang w:val="en-US" w:eastAsia="zh-CN"/>
        </w:rPr>
        <w:t>2、</w:t>
      </w:r>
      <w:r>
        <w:rPr>
          <w:rFonts w:hint="eastAsia" w:ascii="宋体" w:hAnsi="宋体" w:cs="宋体"/>
          <w:b/>
          <w:color w:val="auto"/>
          <w:sz w:val="28"/>
          <w:szCs w:val="28"/>
        </w:rPr>
        <w:t>附供应商资格要求的资料复印件</w:t>
      </w:r>
    </w:p>
    <w:p>
      <w:pPr>
        <w:pStyle w:val="4"/>
        <w:rPr>
          <w:rFonts w:cs="宋体"/>
          <w:color w:val="auto"/>
        </w:rPr>
      </w:pPr>
    </w:p>
    <w:p>
      <w:pPr>
        <w:pStyle w:val="4"/>
        <w:keepNext w:val="0"/>
        <w:keepLines w:val="0"/>
        <w:tabs>
          <w:tab w:val="left" w:pos="360"/>
          <w:tab w:val="left" w:pos="540"/>
        </w:tabs>
        <w:spacing w:before="156" w:beforeLines="50" w:after="156" w:afterLines="50"/>
        <w:jc w:val="center"/>
        <w:rPr>
          <w:rFonts w:cs="宋体"/>
          <w:color w:val="auto"/>
          <w:sz w:val="28"/>
          <w:szCs w:val="28"/>
          <w:highlight w:val="none"/>
        </w:rPr>
      </w:pPr>
      <w:r>
        <w:rPr>
          <w:rFonts w:hint="eastAsia" w:cs="宋体"/>
          <w:color w:val="auto"/>
          <w:sz w:val="24"/>
        </w:rPr>
        <w:br w:type="page"/>
      </w:r>
      <w:r>
        <w:rPr>
          <w:rFonts w:hint="eastAsia" w:cs="宋体"/>
          <w:color w:val="auto"/>
          <w:sz w:val="28"/>
          <w:szCs w:val="28"/>
          <w:highlight w:val="none"/>
        </w:rPr>
        <w:t>3、反商业贿赂承诺书格式</w:t>
      </w:r>
    </w:p>
    <w:p>
      <w:pPr>
        <w:jc w:val="left"/>
        <w:rPr>
          <w:rFonts w:ascii="宋体" w:hAnsi="宋体" w:cs="宋体"/>
          <w:b/>
          <w:color w:val="auto"/>
          <w:sz w:val="28"/>
          <w:szCs w:val="28"/>
          <w:highlight w:val="none"/>
        </w:rPr>
      </w:pPr>
      <w:r>
        <w:rPr>
          <w:rFonts w:hint="eastAsia" w:ascii="宋体" w:hAnsi="宋体" w:cs="宋体"/>
          <w:b/>
          <w:color w:val="auto"/>
          <w:sz w:val="28"/>
          <w:szCs w:val="28"/>
          <w:highlight w:val="none"/>
        </w:rPr>
        <w:t>我公司郑重承诺：</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在</w:t>
      </w:r>
      <w:r>
        <w:rPr>
          <w:rFonts w:hint="eastAsia" w:ascii="宋体" w:hAnsi="宋体" w:cs="宋体"/>
          <w:color w:val="auto"/>
          <w:sz w:val="24"/>
          <w:highlight w:val="none"/>
          <w:u w:val="single"/>
          <w:lang w:eastAsia="zh-CN"/>
        </w:rPr>
        <w:t>保亭县响水镇金江居大社区综合服务中心文化配套采购项目</w:t>
      </w:r>
      <w:r>
        <w:rPr>
          <w:rFonts w:hint="eastAsia" w:ascii="宋体" w:hAnsi="宋体" w:cs="宋体"/>
          <w:color w:val="auto"/>
          <w:sz w:val="24"/>
          <w:highlight w:val="none"/>
        </w:rPr>
        <w:t>磋商项目采购活动中，我公司保证做到：</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一、公平竞争参加本磋商项目。</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三、若出现上述行为，我公司及参与磋商的工作人员愿意接受按照国家法律法规等有关规定给予的处罚。</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720" w:lineRule="auto"/>
        <w:rPr>
          <w:rFonts w:hint="eastAsia" w:ascii="宋体" w:hAnsi="宋体" w:cs="宋体"/>
          <w:color w:val="auto"/>
          <w:sz w:val="24"/>
          <w:highlight w:val="none"/>
        </w:rPr>
      </w:pPr>
      <w:r>
        <w:rPr>
          <w:rFonts w:hint="eastAsia" w:ascii="宋体" w:hAnsi="宋体" w:cs="宋体"/>
          <w:iCs/>
          <w:color w:val="auto"/>
          <w:sz w:val="24"/>
          <w:highlight w:val="none"/>
        </w:rPr>
        <w:t>供应商</w:t>
      </w:r>
      <w:r>
        <w:rPr>
          <w:rFonts w:hint="eastAsia" w:ascii="宋体" w:hAnsi="宋体" w:cs="宋体"/>
          <w:color w:val="auto"/>
          <w:sz w:val="24"/>
          <w:highlight w:val="none"/>
          <w:lang w:val="en-US" w:eastAsia="zh-CN"/>
        </w:rPr>
        <w:t>名称</w:t>
      </w:r>
      <w:r>
        <w:rPr>
          <w:rFonts w:hint="eastAsia" w:ascii="宋体" w:hAnsi="宋体" w:cs="宋体"/>
          <w:iCs/>
          <w:color w:val="auto"/>
          <w:sz w:val="24"/>
          <w:highlight w:val="none"/>
        </w:rPr>
        <w:t>：</w:t>
      </w:r>
      <w:r>
        <w:rPr>
          <w:rFonts w:hint="eastAsia" w:ascii="宋体" w:hAnsi="宋体" w:cs="宋体"/>
          <w:color w:val="auto"/>
          <w:sz w:val="24"/>
          <w:highlight w:val="none"/>
        </w:rPr>
        <w:t>（填写名称并盖章）</w:t>
      </w:r>
    </w:p>
    <w:p>
      <w:pPr>
        <w:spacing w:line="720" w:lineRule="auto"/>
        <w:rPr>
          <w:rFonts w:ascii="宋体" w:hAnsi="宋体" w:cs="宋体"/>
          <w:color w:val="auto"/>
          <w:sz w:val="24"/>
          <w:highlight w:val="none"/>
        </w:rPr>
      </w:pPr>
      <w:r>
        <w:rPr>
          <w:rFonts w:hint="eastAsia" w:ascii="宋体" w:hAnsi="宋体" w:cs="宋体"/>
          <w:color w:val="auto"/>
          <w:sz w:val="24"/>
          <w:highlight w:val="none"/>
        </w:rPr>
        <w:t>法定代表人或</w:t>
      </w:r>
      <w:r>
        <w:rPr>
          <w:rFonts w:hint="eastAsia" w:ascii="宋体" w:hAnsi="宋体" w:cs="宋体"/>
          <w:color w:val="auto"/>
          <w:sz w:val="24"/>
          <w:highlight w:val="none"/>
          <w:lang w:val="en-US" w:eastAsia="zh-CN"/>
        </w:rPr>
        <w:t>被</w:t>
      </w:r>
      <w:r>
        <w:rPr>
          <w:rFonts w:hint="eastAsia" w:ascii="宋体" w:hAnsi="宋体" w:cs="宋体"/>
          <w:color w:val="auto"/>
          <w:sz w:val="24"/>
          <w:highlight w:val="none"/>
        </w:rPr>
        <w:t>授权</w:t>
      </w:r>
      <w:r>
        <w:rPr>
          <w:rFonts w:hint="eastAsia" w:ascii="宋体" w:hAnsi="宋体" w:cs="宋体"/>
          <w:color w:val="auto"/>
          <w:sz w:val="24"/>
          <w:highlight w:val="none"/>
          <w:lang w:val="en-US" w:eastAsia="zh-CN"/>
        </w:rPr>
        <w:t>人</w:t>
      </w:r>
      <w:r>
        <w:rPr>
          <w:rFonts w:hint="eastAsia" w:ascii="宋体" w:hAnsi="宋体" w:cs="宋体"/>
          <w:color w:val="auto"/>
          <w:sz w:val="24"/>
          <w:highlight w:val="none"/>
        </w:rPr>
        <w:t>：</w:t>
      </w:r>
      <w:r>
        <w:rPr>
          <w:rFonts w:hint="eastAsia" w:ascii="宋体" w:hAnsi="宋体" w:cs="宋体"/>
          <w:iCs/>
          <w:color w:val="auto"/>
          <w:sz w:val="24"/>
          <w:szCs w:val="21"/>
          <w:highlight w:val="none"/>
        </w:rPr>
        <w:t>（签字或盖章）</w:t>
      </w:r>
    </w:p>
    <w:p>
      <w:pPr>
        <w:spacing w:line="360" w:lineRule="auto"/>
        <w:ind w:firstLine="2400" w:firstLineChars="1000"/>
        <w:jc w:val="center"/>
        <w:rPr>
          <w:rFonts w:ascii="宋体" w:hAnsi="宋体" w:cs="宋体"/>
          <w:iCs/>
          <w:color w:val="auto"/>
          <w:sz w:val="24"/>
          <w:highlight w:val="none"/>
        </w:rPr>
      </w:pPr>
    </w:p>
    <w:p>
      <w:pPr>
        <w:spacing w:line="360" w:lineRule="auto"/>
        <w:ind w:firstLine="2400" w:firstLineChars="1000"/>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p>
      <w:pPr>
        <w:jc w:val="center"/>
        <w:rPr>
          <w:rFonts w:ascii="宋体" w:hAnsi="宋体" w:cs="宋体"/>
          <w:b/>
          <w:bCs/>
          <w:color w:val="auto"/>
          <w:sz w:val="28"/>
          <w:szCs w:val="28"/>
          <w:highlight w:val="none"/>
        </w:rPr>
      </w:pPr>
      <w:r>
        <w:rPr>
          <w:rFonts w:hint="eastAsia" w:ascii="宋体" w:hAnsi="宋体" w:cs="宋体"/>
          <w:color w:val="auto"/>
          <w:sz w:val="24"/>
          <w:highlight w:val="none"/>
        </w:rPr>
        <w:br w:type="page"/>
      </w:r>
      <w:r>
        <w:rPr>
          <w:rFonts w:hint="eastAsia" w:ascii="宋体" w:hAnsi="宋体" w:cs="宋体"/>
          <w:b/>
          <w:bCs/>
          <w:color w:val="auto"/>
          <w:sz w:val="28"/>
          <w:szCs w:val="28"/>
          <w:highlight w:val="none"/>
        </w:rPr>
        <w:t>4、</w:t>
      </w:r>
      <w:r>
        <w:rPr>
          <w:rFonts w:hint="eastAsia" w:ascii="宋体" w:hAnsi="宋体" w:cs="宋体"/>
          <w:b/>
          <w:bCs/>
          <w:color w:val="auto"/>
          <w:kern w:val="0"/>
          <w:sz w:val="28"/>
          <w:szCs w:val="28"/>
          <w:highlight w:val="none"/>
        </w:rPr>
        <w:t>诚信投标、诚信履约承诺书</w:t>
      </w:r>
    </w:p>
    <w:p>
      <w:pPr>
        <w:rPr>
          <w:rFonts w:ascii="宋体" w:hAnsi="宋体" w:cs="宋体"/>
          <w:color w:val="auto"/>
          <w:highlight w:val="none"/>
        </w:rPr>
      </w:pPr>
    </w:p>
    <w:p>
      <w:pPr>
        <w:rPr>
          <w:rFonts w:ascii="宋体" w:hAnsi="宋体" w:cs="宋体"/>
          <w:color w:val="auto"/>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保亭黎族苗族自治县民政局</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我方就本磋商采购活动向贵方郑重承诺：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一、我们已经充分理解了磋商文件规定的所有采购要求、成交条件和合同条款，没有任何异议。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以上承诺，能够经受来自任何方面的审查和监督。如有虚假或背离，我方愿承担由此引发的一切不利后果，无条件接受采购人的处置和政府采购监管单位的处罚。</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名称</w:t>
      </w:r>
      <w:r>
        <w:rPr>
          <w:rFonts w:hint="eastAsia" w:ascii="宋体" w:hAnsi="宋体" w:cs="宋体"/>
          <w:color w:val="auto"/>
          <w:sz w:val="24"/>
          <w:highlight w:val="none"/>
        </w:rPr>
        <w:t>：（填写名称并盖章）</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iCs/>
          <w:color w:val="auto"/>
          <w:sz w:val="24"/>
          <w:szCs w:val="21"/>
          <w:highlight w:val="none"/>
        </w:rPr>
        <w:t>（签字或盖章）</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签署日期：</w:t>
      </w:r>
    </w:p>
    <w:p>
      <w:pPr>
        <w:pStyle w:val="4"/>
        <w:keepNext w:val="0"/>
        <w:keepLines w:val="0"/>
        <w:tabs>
          <w:tab w:val="left" w:pos="360"/>
          <w:tab w:val="left" w:pos="540"/>
        </w:tabs>
        <w:spacing w:before="156" w:beforeLines="50" w:after="156" w:afterLines="50"/>
        <w:rPr>
          <w:rFonts w:cs="宋体"/>
          <w:color w:val="auto"/>
          <w:highlight w:val="none"/>
        </w:rPr>
      </w:pPr>
    </w:p>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30"/>
          <w:szCs w:val="30"/>
          <w:highlight w:val="none"/>
        </w:rPr>
        <w:br w:type="page"/>
      </w:r>
      <w:r>
        <w:rPr>
          <w:rFonts w:hint="eastAsia" w:ascii="宋体" w:hAnsi="宋体" w:cs="宋体"/>
          <w:b/>
          <w:bCs/>
          <w:color w:val="auto"/>
          <w:sz w:val="28"/>
          <w:szCs w:val="28"/>
          <w:highlight w:val="none"/>
        </w:rPr>
        <w:t>5、政府采购供应商信用承诺书</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承诺主体名称：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（供应商名称）</w:t>
      </w:r>
    </w:p>
    <w:p>
      <w:pPr>
        <w:snapToGrid w:val="0"/>
        <w:spacing w:line="360" w:lineRule="auto"/>
        <w:ind w:firstLine="480" w:firstLineChars="200"/>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统一社会信用代码：</w:t>
      </w:r>
      <w:r>
        <w:rPr>
          <w:rFonts w:hint="eastAsia" w:ascii="宋体" w:hAnsi="宋体" w:cs="宋体"/>
          <w:color w:val="auto"/>
          <w:sz w:val="24"/>
          <w:highlight w:val="none"/>
          <w:u w:val="single"/>
          <w:lang w:val="en-US" w:eastAsia="zh-CN"/>
        </w:rPr>
        <w:t xml:space="preserve">             </w:t>
      </w:r>
    </w:p>
    <w:p>
      <w:pPr>
        <w:snapToGrid w:val="0"/>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采购项目名称：</w:t>
      </w:r>
      <w:r>
        <w:rPr>
          <w:rFonts w:hint="eastAsia" w:ascii="宋体" w:hAnsi="宋体" w:cs="宋体"/>
          <w:color w:val="auto"/>
          <w:sz w:val="24"/>
          <w:highlight w:val="none"/>
          <w:lang w:eastAsia="zh-CN"/>
        </w:rPr>
        <w:t>保亭县响水镇金江居大社区综合服务中心文化配套采购项目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为维护公平竞争、规范有序的市场秩序,营造诚实守信的信用环境，共同推进社会信用体系建设完善，树立企业诚信守法形象，本企业对本次采购活动郑重承诺如下：</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（一）对提供给注册登记部门、行业管理部门、司法部门、行业组织以及在政府采购活动中提交的所有资料的合法性、真实性、准确性和有效性负责；</w:t>
      </w:r>
    </w:p>
    <w:p>
      <w:pPr>
        <w:snapToGrid w:val="0"/>
        <w:spacing w:line="324"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（二）严格按照国家法律、法规和规章开展采购活动，全面履行应尽的责任和义务，全面做到履约守信，具备《中华人民共和国政府采购法》第二十二条第一款规定的条件；</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（三）严格依法开展生产经营活动，主动接受行业监管，自愿接受依法开展的日常检查；违法失信经营后将自愿接受约束和惩戒，并依法承担相应责任；</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（四）自觉接受行政管理部门、行业组织、社会公众、新闻舆论的监督；</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（五）自觉做到自我约束、自我管理，不制假售假、商标侵权、虚假宣传、违约毁约、恶意逃债、偷税漏税、垄断和不正当竞争，维护经营者、消费者的合法权益；</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（六）提出政府采购质疑和投诉坚持依法依规、诚实信用原则，在全国范围12个月内没有三次以上查无实据的政府采购投诉；</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（七）严格遵守信用信息公示相关规定；</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（八）同意将承诺内容在“信用海口”网站公示，接受社会监督；</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（九）如违反承诺，将依法依规承担相应责任，并自愿接受部门联合惩戒，纳入行业失信重点关注名单，由财政部门负责管理；</w:t>
      </w:r>
    </w:p>
    <w:p>
      <w:pPr>
        <w:snapToGrid w:val="0"/>
        <w:spacing w:line="32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（十）本承诺书自签订之日起生效。</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供应商（填写名称并盖章）：                   法定代表人</w:t>
      </w:r>
      <w:r>
        <w:rPr>
          <w:rFonts w:hint="eastAsia" w:ascii="宋体" w:hAnsi="宋体" w:cs="宋体"/>
          <w:iCs/>
          <w:color w:val="auto"/>
          <w:sz w:val="24"/>
          <w:szCs w:val="21"/>
          <w:highlight w:val="none"/>
        </w:rPr>
        <w:t>（签字或盖章）</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年    月    日</w:t>
      </w:r>
    </w:p>
    <w:p>
      <w:pPr>
        <w:rPr>
          <w:rFonts w:ascii="宋体" w:hAnsi="宋体" w:cs="宋体"/>
          <w:color w:val="auto"/>
          <w:highlight w:val="none"/>
        </w:rPr>
      </w:pPr>
    </w:p>
    <w:p>
      <w:pPr>
        <w:pStyle w:val="4"/>
        <w:keepNext w:val="0"/>
        <w:keepLines w:val="0"/>
        <w:spacing w:before="156" w:beforeLines="50" w:after="156" w:afterLines="50"/>
        <w:rPr>
          <w:rFonts w:cs="宋体"/>
          <w:color w:val="auto"/>
          <w:highlight w:val="none"/>
        </w:rPr>
        <w:sectPr>
          <w:footerReference r:id="rId17" w:type="default"/>
          <w:pgSz w:w="11906" w:h="16838"/>
          <w:pgMar w:top="1247" w:right="1247" w:bottom="1134" w:left="1644" w:header="851" w:footer="992" w:gutter="0"/>
          <w:pgNumType w:fmt="decimal"/>
          <w:cols w:space="720" w:num="1"/>
          <w:docGrid w:type="lines" w:linePitch="312" w:charSpace="0"/>
        </w:sectPr>
      </w:pPr>
    </w:p>
    <w:p>
      <w:pPr>
        <w:pStyle w:val="4"/>
        <w:keepNext w:val="0"/>
        <w:keepLines w:val="0"/>
        <w:spacing w:before="156" w:beforeLines="50" w:after="156" w:afterLines="50"/>
        <w:jc w:val="center"/>
        <w:rPr>
          <w:rFonts w:cs="宋体"/>
          <w:color w:val="auto"/>
          <w:sz w:val="28"/>
          <w:szCs w:val="28"/>
          <w:highlight w:val="none"/>
        </w:rPr>
      </w:pPr>
      <w:r>
        <w:rPr>
          <w:rFonts w:hint="eastAsia" w:cs="宋体"/>
          <w:color w:val="auto"/>
          <w:sz w:val="28"/>
          <w:szCs w:val="28"/>
          <w:highlight w:val="none"/>
          <w:lang w:val="en-US" w:eastAsia="zh-CN"/>
        </w:rPr>
        <w:t>八</w:t>
      </w:r>
      <w:r>
        <w:rPr>
          <w:rFonts w:hint="eastAsia" w:cs="宋体"/>
          <w:color w:val="auto"/>
          <w:sz w:val="28"/>
          <w:szCs w:val="28"/>
          <w:highlight w:val="none"/>
        </w:rPr>
        <w:t>、其它资料</w:t>
      </w:r>
    </w:p>
    <w:p>
      <w:pPr>
        <w:pStyle w:val="4"/>
        <w:rPr>
          <w:rFonts w:cs="宋体"/>
          <w:b w:val="0"/>
          <w:bCs w:val="0"/>
          <w:color w:val="auto"/>
          <w:sz w:val="24"/>
          <w:highlight w:val="none"/>
        </w:rPr>
      </w:pPr>
      <w:r>
        <w:rPr>
          <w:rFonts w:hint="eastAsia" w:ascii="宋体" w:hAnsi="宋体" w:cs="宋体"/>
          <w:b w:val="0"/>
          <w:bCs w:val="0"/>
          <w:color w:val="auto"/>
          <w:sz w:val="24"/>
          <w:highlight w:val="none"/>
        </w:rPr>
        <w:t>供应商根据磋商文件要求认为需提供的资格要求内容或其他商务技术说明材料，格式自定</w:t>
      </w:r>
    </w:p>
    <w:p>
      <w:pPr>
        <w:rPr>
          <w:rFonts w:ascii="宋体" w:hAnsi="宋体" w:cs="宋体"/>
          <w:bCs/>
          <w:color w:val="auto"/>
          <w:sz w:val="24"/>
          <w:highlight w:val="none"/>
        </w:rPr>
      </w:pPr>
    </w:p>
    <w:p>
      <w:pPr>
        <w:rPr>
          <w:rFonts w:hint="eastAsia" w:cs="宋体"/>
          <w:color w:val="auto"/>
          <w:sz w:val="28"/>
          <w:szCs w:val="28"/>
          <w:highlight w:val="none"/>
          <w:lang w:val="en-US" w:eastAsia="zh-CN"/>
        </w:rPr>
      </w:pPr>
      <w:r>
        <w:rPr>
          <w:rFonts w:hint="eastAsia" w:cs="宋体"/>
          <w:color w:val="auto"/>
          <w:sz w:val="28"/>
          <w:szCs w:val="28"/>
          <w:highlight w:val="none"/>
          <w:lang w:val="en-US" w:eastAsia="zh-CN"/>
        </w:rPr>
        <w:br w:type="page"/>
      </w:r>
    </w:p>
    <w:p>
      <w:pPr>
        <w:pStyle w:val="4"/>
        <w:keepNext w:val="0"/>
        <w:keepLines w:val="0"/>
        <w:spacing w:before="156" w:beforeLines="50" w:after="156" w:afterLines="50"/>
        <w:jc w:val="center"/>
        <w:rPr>
          <w:rFonts w:cs="宋体"/>
          <w:color w:val="auto"/>
          <w:sz w:val="28"/>
          <w:szCs w:val="28"/>
          <w:highlight w:val="none"/>
        </w:rPr>
      </w:pPr>
      <w:r>
        <w:rPr>
          <w:rFonts w:hint="eastAsia" w:cs="宋体"/>
          <w:color w:val="auto"/>
          <w:sz w:val="28"/>
          <w:szCs w:val="28"/>
          <w:highlight w:val="none"/>
          <w:lang w:val="en-US" w:eastAsia="zh-CN"/>
        </w:rPr>
        <w:t>九</w:t>
      </w:r>
      <w:r>
        <w:rPr>
          <w:rFonts w:hint="eastAsia" w:cs="宋体"/>
          <w:color w:val="auto"/>
          <w:sz w:val="28"/>
          <w:szCs w:val="28"/>
          <w:highlight w:val="none"/>
        </w:rPr>
        <w:t>、施工组织设计方案</w:t>
      </w:r>
    </w:p>
    <w:p>
      <w:pPr>
        <w:spacing w:line="460" w:lineRule="exact"/>
        <w:jc w:val="center"/>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格式自定</w:t>
      </w:r>
    </w:p>
    <w:p>
      <w:pPr>
        <w:pStyle w:val="21"/>
        <w:rPr>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200" w:firstLineChars="2000"/>
        <w:textAlignment w:val="auto"/>
        <w:rPr>
          <w:rFonts w:hint="eastAsia" w:ascii="宋体" w:hAnsi="宋体" w:eastAsia="宋体" w:cs="宋体"/>
          <w:color w:val="auto"/>
          <w:sz w:val="24"/>
          <w:szCs w:val="24"/>
          <w:lang w:val="en-US" w:eastAsia="zh-CN"/>
        </w:rPr>
      </w:pPr>
      <w:r>
        <w:rPr>
          <w:rFonts w:hint="eastAsia" w:cs="宋体"/>
          <w:color w:val="auto"/>
          <w:highlight w:val="none"/>
          <w:lang w:eastAsia="zh-CN"/>
        </w:rPr>
        <w:br w:type="page"/>
      </w:r>
    </w:p>
    <w:p>
      <w:pPr>
        <w:pStyle w:val="47"/>
        <w:ind w:left="0" w:firstLine="0"/>
        <w:jc w:val="center"/>
        <w:rPr>
          <w:rFonts w:hint="eastAsia" w:ascii="Calibri" w:hAnsi="宋体" w:eastAsia="宋体" w:cs="宋体"/>
          <w:b/>
          <w:bCs/>
          <w:color w:val="auto"/>
          <w:spacing w:val="0"/>
          <w:kern w:val="2"/>
          <w:sz w:val="28"/>
          <w:szCs w:val="28"/>
          <w:lang w:val="en-US" w:eastAsia="zh-CN" w:bidi="ar-SA"/>
        </w:rPr>
      </w:pPr>
      <w:r>
        <w:rPr>
          <w:rFonts w:hint="eastAsia" w:ascii="Calibri" w:hAnsi="宋体" w:eastAsia="宋体" w:cs="宋体"/>
          <w:b/>
          <w:bCs/>
          <w:color w:val="auto"/>
          <w:spacing w:val="0"/>
          <w:kern w:val="2"/>
          <w:sz w:val="28"/>
          <w:szCs w:val="28"/>
          <w:lang w:val="en-US" w:eastAsia="zh-CN" w:bidi="ar-SA"/>
        </w:rPr>
        <w:t>附件1：中小企业声明函（如有）</w:t>
      </w:r>
    </w:p>
    <w:p>
      <w:pPr>
        <w:pStyle w:val="4"/>
        <w:keepNext w:val="0"/>
        <w:keepLines w:val="0"/>
        <w:tabs>
          <w:tab w:val="left" w:pos="540"/>
          <w:tab w:val="left" w:pos="720"/>
        </w:tabs>
        <w:spacing w:beforeLines="50" w:afterLines="50"/>
        <w:jc w:val="center"/>
        <w:rPr>
          <w:rFonts w:ascii="Times New Roman" w:hAnsi="Times New Roman"/>
          <w:color w:val="auto"/>
          <w:sz w:val="24"/>
          <w:szCs w:val="24"/>
        </w:rPr>
      </w:pPr>
      <w:r>
        <w:rPr>
          <w:rFonts w:ascii="Times New Roman" w:hAnsi="Times New Roman"/>
          <w:color w:val="auto"/>
          <w:sz w:val="24"/>
          <w:szCs w:val="24"/>
        </w:rPr>
        <w:t>中小企业声明函</w:t>
      </w:r>
      <w:r>
        <w:rPr>
          <w:rFonts w:hint="eastAsia" w:ascii="Times New Roman" w:hAnsi="Times New Roman"/>
          <w:color w:val="auto"/>
          <w:sz w:val="24"/>
          <w:szCs w:val="24"/>
        </w:rPr>
        <w:t>（工程、服务）</w:t>
      </w:r>
    </w:p>
    <w:p>
      <w:pPr>
        <w:adjustRightInd w:val="0"/>
        <w:spacing w:afterLines="100" w:line="360" w:lineRule="auto"/>
        <w:jc w:val="center"/>
        <w:rPr>
          <w:b/>
          <w:bCs/>
          <w:color w:val="auto"/>
          <w:sz w:val="24"/>
          <w:szCs w:val="32"/>
        </w:rPr>
      </w:pPr>
      <w:r>
        <w:rPr>
          <w:rFonts w:hint="eastAsia"/>
          <w:b/>
          <w:bCs/>
          <w:color w:val="auto"/>
          <w:sz w:val="24"/>
          <w:szCs w:val="32"/>
        </w:rPr>
        <w:t>中小企业声明函</w:t>
      </w:r>
    </w:p>
    <w:p>
      <w:pPr>
        <w:spacing w:line="360" w:lineRule="auto"/>
        <w:ind w:firstLine="480" w:firstLineChars="200"/>
        <w:rPr>
          <w:color w:val="auto"/>
          <w:sz w:val="24"/>
          <w:szCs w:val="32"/>
        </w:rPr>
      </w:pPr>
      <w:r>
        <w:rPr>
          <w:rFonts w:hint="eastAsia"/>
          <w:color w:val="auto"/>
          <w:sz w:val="24"/>
          <w:szCs w:val="32"/>
        </w:rPr>
        <w:t>本公司（联合体）郑重声明，根据《政府采购促进中小企业发展管理办法》（财库﹝2020﹞46 号）的规定，本公司（联合体）参加</w:t>
      </w:r>
      <w:r>
        <w:rPr>
          <w:rFonts w:hint="eastAsia"/>
          <w:color w:val="auto"/>
          <w:sz w:val="24"/>
          <w:szCs w:val="32"/>
          <w:u w:val="single"/>
        </w:rPr>
        <w:t xml:space="preserve">   （单位名称）</w:t>
      </w:r>
      <w:r>
        <w:rPr>
          <w:rFonts w:hint="eastAsia"/>
          <w:color w:val="auto"/>
          <w:sz w:val="24"/>
          <w:szCs w:val="32"/>
        </w:rPr>
        <w:t>的</w:t>
      </w:r>
      <w:r>
        <w:rPr>
          <w:rFonts w:hint="eastAsia"/>
          <w:color w:val="auto"/>
          <w:sz w:val="24"/>
          <w:szCs w:val="32"/>
          <w:u w:val="single"/>
        </w:rPr>
        <w:t xml:space="preserve">  （项目名称、项目编号及包号）</w:t>
      </w:r>
      <w:r>
        <w:rPr>
          <w:rFonts w:hint="eastAsia"/>
          <w:color w:val="auto"/>
          <w:sz w:val="24"/>
          <w:szCs w:val="3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color w:val="auto"/>
          <w:sz w:val="24"/>
          <w:szCs w:val="32"/>
        </w:rPr>
      </w:pPr>
      <w:r>
        <w:rPr>
          <w:rFonts w:hint="eastAsia"/>
          <w:color w:val="auto"/>
          <w:sz w:val="24"/>
          <w:szCs w:val="32"/>
        </w:rPr>
        <w:t>1.</w:t>
      </w:r>
      <w:r>
        <w:rPr>
          <w:rFonts w:hint="eastAsia"/>
          <w:color w:val="auto"/>
          <w:sz w:val="24"/>
          <w:szCs w:val="32"/>
          <w:u w:val="single"/>
        </w:rPr>
        <w:t xml:space="preserve">   （标的名称） </w:t>
      </w:r>
      <w:r>
        <w:rPr>
          <w:rFonts w:hint="eastAsia"/>
          <w:color w:val="auto"/>
          <w:sz w:val="24"/>
          <w:szCs w:val="32"/>
        </w:rPr>
        <w:t>，属于</w:t>
      </w:r>
      <w:r>
        <w:rPr>
          <w:rFonts w:hint="eastAsia"/>
          <w:color w:val="auto"/>
          <w:sz w:val="24"/>
          <w:szCs w:val="32"/>
          <w:u w:val="single"/>
        </w:rPr>
        <w:t>（采购文件中明确的所属行业）</w:t>
      </w:r>
      <w:r>
        <w:rPr>
          <w:rFonts w:hint="eastAsia"/>
          <w:color w:val="auto"/>
          <w:sz w:val="24"/>
          <w:szCs w:val="32"/>
        </w:rPr>
        <w:t>；承建（承接）企业为</w:t>
      </w:r>
      <w:r>
        <w:rPr>
          <w:rFonts w:hint="eastAsia"/>
          <w:color w:val="auto"/>
          <w:sz w:val="24"/>
          <w:szCs w:val="32"/>
          <w:u w:val="single"/>
        </w:rPr>
        <w:t xml:space="preserve">  （企业名称）</w:t>
      </w:r>
      <w:r>
        <w:rPr>
          <w:rFonts w:hint="eastAsia"/>
          <w:color w:val="auto"/>
          <w:sz w:val="24"/>
          <w:szCs w:val="32"/>
        </w:rPr>
        <w:t>，从业人员</w:t>
      </w:r>
      <w:r>
        <w:rPr>
          <w:rFonts w:hint="eastAsia"/>
          <w:color w:val="auto"/>
          <w:sz w:val="24"/>
          <w:szCs w:val="32"/>
          <w:u w:val="single"/>
        </w:rPr>
        <w:t xml:space="preserve">        </w:t>
      </w:r>
      <w:r>
        <w:rPr>
          <w:rFonts w:hint="eastAsia"/>
          <w:color w:val="auto"/>
          <w:sz w:val="24"/>
          <w:szCs w:val="32"/>
        </w:rPr>
        <w:t>人，营业收入为</w:t>
      </w:r>
      <w:r>
        <w:rPr>
          <w:rFonts w:hint="eastAsia"/>
          <w:color w:val="auto"/>
          <w:sz w:val="24"/>
          <w:szCs w:val="32"/>
          <w:u w:val="single"/>
        </w:rPr>
        <w:t xml:space="preserve">     </w:t>
      </w:r>
      <w:r>
        <w:rPr>
          <w:rFonts w:hint="eastAsia"/>
          <w:color w:val="auto"/>
          <w:sz w:val="24"/>
          <w:szCs w:val="32"/>
        </w:rPr>
        <w:t>万元</w:t>
      </w:r>
      <w:r>
        <w:rPr>
          <w:rFonts w:hint="eastAsia"/>
          <w:color w:val="auto"/>
          <w:sz w:val="24"/>
          <w:szCs w:val="32"/>
          <w:vertAlign w:val="superscript"/>
        </w:rPr>
        <w:t>1</w:t>
      </w:r>
      <w:r>
        <w:rPr>
          <w:rFonts w:hint="eastAsia"/>
          <w:color w:val="auto"/>
          <w:sz w:val="24"/>
          <w:szCs w:val="32"/>
        </w:rPr>
        <w:t>，资产总额为</w:t>
      </w:r>
      <w:r>
        <w:rPr>
          <w:rFonts w:hint="eastAsia"/>
          <w:color w:val="auto"/>
          <w:sz w:val="24"/>
          <w:szCs w:val="32"/>
          <w:u w:val="single"/>
        </w:rPr>
        <w:t xml:space="preserve">     </w:t>
      </w:r>
      <w:r>
        <w:rPr>
          <w:rFonts w:hint="eastAsia"/>
          <w:color w:val="auto"/>
          <w:sz w:val="24"/>
          <w:szCs w:val="32"/>
        </w:rPr>
        <w:t>万元</w:t>
      </w:r>
      <w:r>
        <w:rPr>
          <w:rFonts w:hint="eastAsia"/>
          <w:color w:val="auto"/>
          <w:sz w:val="24"/>
          <w:szCs w:val="32"/>
          <w:vertAlign w:val="superscript"/>
        </w:rPr>
        <w:t>1</w:t>
      </w:r>
      <w:r>
        <w:rPr>
          <w:rFonts w:hint="eastAsia"/>
          <w:color w:val="auto"/>
          <w:sz w:val="24"/>
          <w:szCs w:val="32"/>
        </w:rPr>
        <w:t>，属于</w:t>
      </w:r>
      <w:r>
        <w:rPr>
          <w:rFonts w:hint="eastAsia"/>
          <w:color w:val="auto"/>
          <w:sz w:val="24"/>
          <w:szCs w:val="32"/>
          <w:u w:val="single"/>
        </w:rPr>
        <w:t>（中型企业、小型企业、微型企业）</w:t>
      </w:r>
      <w:r>
        <w:rPr>
          <w:rFonts w:hint="eastAsia"/>
          <w:color w:val="auto"/>
          <w:sz w:val="24"/>
          <w:szCs w:val="32"/>
        </w:rPr>
        <w:t>；</w:t>
      </w:r>
    </w:p>
    <w:p>
      <w:pPr>
        <w:spacing w:line="360" w:lineRule="auto"/>
        <w:ind w:firstLine="480" w:firstLineChars="200"/>
        <w:rPr>
          <w:color w:val="auto"/>
          <w:sz w:val="24"/>
          <w:szCs w:val="32"/>
        </w:rPr>
      </w:pPr>
      <w:r>
        <w:rPr>
          <w:rFonts w:hint="eastAsia"/>
          <w:color w:val="auto"/>
          <w:sz w:val="24"/>
          <w:szCs w:val="32"/>
        </w:rPr>
        <w:t xml:space="preserve">2. </w:t>
      </w:r>
      <w:r>
        <w:rPr>
          <w:rFonts w:hint="eastAsia"/>
          <w:color w:val="auto"/>
          <w:sz w:val="24"/>
          <w:szCs w:val="32"/>
          <w:u w:val="single"/>
        </w:rPr>
        <w:t xml:space="preserve">  （标的名称） </w:t>
      </w:r>
      <w:r>
        <w:rPr>
          <w:rFonts w:hint="eastAsia"/>
          <w:color w:val="auto"/>
          <w:sz w:val="24"/>
          <w:szCs w:val="32"/>
        </w:rPr>
        <w:t>，属于</w:t>
      </w:r>
      <w:r>
        <w:rPr>
          <w:rFonts w:hint="eastAsia"/>
          <w:color w:val="auto"/>
          <w:sz w:val="24"/>
          <w:szCs w:val="32"/>
          <w:u w:val="single"/>
        </w:rPr>
        <w:t>（采购文件中明确的所属行业）</w:t>
      </w:r>
      <w:r>
        <w:rPr>
          <w:rFonts w:hint="eastAsia"/>
          <w:color w:val="auto"/>
          <w:sz w:val="24"/>
          <w:szCs w:val="32"/>
        </w:rPr>
        <w:t>；承建（承接）企业为</w:t>
      </w:r>
      <w:r>
        <w:rPr>
          <w:rFonts w:hint="eastAsia"/>
          <w:color w:val="auto"/>
          <w:sz w:val="24"/>
          <w:szCs w:val="32"/>
          <w:u w:val="single"/>
        </w:rPr>
        <w:t xml:space="preserve">  （企业名称）</w:t>
      </w:r>
      <w:r>
        <w:rPr>
          <w:rFonts w:hint="eastAsia"/>
          <w:color w:val="auto"/>
          <w:sz w:val="24"/>
          <w:szCs w:val="32"/>
        </w:rPr>
        <w:t>，从业人员</w:t>
      </w:r>
      <w:r>
        <w:rPr>
          <w:rFonts w:hint="eastAsia"/>
          <w:color w:val="auto"/>
          <w:sz w:val="24"/>
          <w:szCs w:val="32"/>
          <w:u w:val="single"/>
        </w:rPr>
        <w:t xml:space="preserve">        </w:t>
      </w:r>
      <w:r>
        <w:rPr>
          <w:rFonts w:hint="eastAsia"/>
          <w:color w:val="auto"/>
          <w:sz w:val="24"/>
          <w:szCs w:val="32"/>
        </w:rPr>
        <w:t>人，营业收入为</w:t>
      </w:r>
      <w:r>
        <w:rPr>
          <w:rFonts w:hint="eastAsia"/>
          <w:color w:val="auto"/>
          <w:sz w:val="24"/>
          <w:szCs w:val="32"/>
          <w:u w:val="single"/>
        </w:rPr>
        <w:t xml:space="preserve">     </w:t>
      </w:r>
      <w:r>
        <w:rPr>
          <w:rFonts w:hint="eastAsia"/>
          <w:color w:val="auto"/>
          <w:sz w:val="24"/>
          <w:szCs w:val="32"/>
        </w:rPr>
        <w:t>万元</w:t>
      </w:r>
      <w:r>
        <w:rPr>
          <w:rFonts w:hint="eastAsia"/>
          <w:color w:val="auto"/>
          <w:sz w:val="24"/>
          <w:szCs w:val="32"/>
          <w:vertAlign w:val="superscript"/>
        </w:rPr>
        <w:t>1</w:t>
      </w:r>
      <w:r>
        <w:rPr>
          <w:rFonts w:hint="eastAsia"/>
          <w:color w:val="auto"/>
          <w:sz w:val="24"/>
          <w:szCs w:val="32"/>
        </w:rPr>
        <w:t>，资产总额为</w:t>
      </w:r>
      <w:r>
        <w:rPr>
          <w:rFonts w:hint="eastAsia"/>
          <w:color w:val="auto"/>
          <w:sz w:val="24"/>
          <w:szCs w:val="32"/>
          <w:u w:val="single"/>
        </w:rPr>
        <w:t xml:space="preserve">     </w:t>
      </w:r>
      <w:r>
        <w:rPr>
          <w:rFonts w:hint="eastAsia"/>
          <w:color w:val="auto"/>
          <w:sz w:val="24"/>
          <w:szCs w:val="32"/>
        </w:rPr>
        <w:t>万元，属于</w:t>
      </w:r>
      <w:r>
        <w:rPr>
          <w:rFonts w:hint="eastAsia"/>
          <w:color w:val="auto"/>
          <w:sz w:val="24"/>
          <w:szCs w:val="32"/>
          <w:u w:val="single"/>
        </w:rPr>
        <w:t>（中型企业、小型企业、微型企业）</w:t>
      </w:r>
      <w:r>
        <w:rPr>
          <w:rFonts w:hint="eastAsia"/>
          <w:color w:val="auto"/>
          <w:sz w:val="24"/>
          <w:szCs w:val="32"/>
        </w:rPr>
        <w:t>；</w:t>
      </w:r>
    </w:p>
    <w:p>
      <w:pPr>
        <w:spacing w:line="360" w:lineRule="auto"/>
        <w:ind w:firstLine="480" w:firstLineChars="200"/>
        <w:rPr>
          <w:color w:val="auto"/>
          <w:sz w:val="24"/>
          <w:szCs w:val="32"/>
        </w:rPr>
      </w:pPr>
      <w:r>
        <w:rPr>
          <w:rFonts w:hint="eastAsia"/>
          <w:color w:val="auto"/>
          <w:sz w:val="24"/>
          <w:szCs w:val="32"/>
        </w:rPr>
        <w:t>……</w:t>
      </w:r>
    </w:p>
    <w:p>
      <w:pPr>
        <w:spacing w:line="360" w:lineRule="auto"/>
        <w:ind w:firstLine="480" w:firstLineChars="200"/>
        <w:rPr>
          <w:color w:val="auto"/>
          <w:sz w:val="24"/>
          <w:szCs w:val="32"/>
        </w:rPr>
      </w:pPr>
      <w:r>
        <w:rPr>
          <w:rFonts w:hint="eastAsia"/>
          <w:color w:val="auto"/>
          <w:sz w:val="24"/>
          <w:szCs w:val="32"/>
        </w:rPr>
        <w:t>以上企业，不属于大企业的分支机构，不存在控股股东为大企业的情形，也不存在与大企业的负责人为同一人的情形。</w:t>
      </w:r>
    </w:p>
    <w:p>
      <w:pPr>
        <w:spacing w:line="360" w:lineRule="auto"/>
        <w:ind w:firstLine="480" w:firstLineChars="200"/>
        <w:rPr>
          <w:color w:val="auto"/>
          <w:szCs w:val="21"/>
        </w:rPr>
      </w:pPr>
      <w:r>
        <w:rPr>
          <w:rFonts w:hint="eastAsia"/>
          <w:color w:val="auto"/>
          <w:sz w:val="24"/>
          <w:szCs w:val="32"/>
        </w:rPr>
        <w:t>本企业对上述声明内容的真实性负责。如有虚假，将依法承担相应责任。</w:t>
      </w:r>
    </w:p>
    <w:p>
      <w:pPr>
        <w:spacing w:beforeLines="50" w:line="360" w:lineRule="auto"/>
        <w:ind w:firstLine="420" w:firstLineChars="200"/>
        <w:rPr>
          <w:color w:val="auto"/>
          <w:szCs w:val="21"/>
        </w:rPr>
      </w:pPr>
      <w:r>
        <w:rPr>
          <w:color w:val="auto"/>
          <w:szCs w:val="21"/>
        </w:rPr>
        <w:t>企业名称（盖章）：</w:t>
      </w:r>
    </w:p>
    <w:p>
      <w:pPr>
        <w:spacing w:beforeLines="50" w:line="360" w:lineRule="auto"/>
        <w:ind w:firstLine="420" w:firstLineChars="200"/>
        <w:rPr>
          <w:color w:val="auto"/>
          <w:sz w:val="15"/>
          <w:szCs w:val="18"/>
          <w:vertAlign w:val="superscript"/>
        </w:rPr>
      </w:pPr>
      <w:r>
        <w:rPr>
          <w:color w:val="auto"/>
          <w:szCs w:val="21"/>
        </w:rPr>
        <w:t>日   期：</w:t>
      </w:r>
      <w:r>
        <w:rPr>
          <w:rFonts w:hint="eastAsia"/>
          <w:color w:val="auto"/>
          <w:szCs w:val="21"/>
        </w:rPr>
        <w:t xml:space="preserve">   </w:t>
      </w:r>
      <w:r>
        <w:rPr>
          <w:color w:val="auto"/>
          <w:szCs w:val="21"/>
        </w:rPr>
        <w:t>年   月   日</w:t>
      </w:r>
    </w:p>
    <w:p>
      <w:pPr>
        <w:spacing w:line="360" w:lineRule="auto"/>
        <w:ind w:firstLine="480" w:firstLineChars="200"/>
        <w:rPr>
          <w:color w:val="auto"/>
          <w:sz w:val="24"/>
          <w:szCs w:val="32"/>
        </w:rPr>
      </w:pPr>
    </w:p>
    <w:p>
      <w:pPr>
        <w:spacing w:line="360" w:lineRule="auto"/>
        <w:ind w:firstLine="480" w:firstLineChars="200"/>
        <w:rPr>
          <w:color w:val="auto"/>
          <w:sz w:val="24"/>
          <w:szCs w:val="32"/>
        </w:rPr>
      </w:pPr>
    </w:p>
    <w:p>
      <w:pPr>
        <w:spacing w:line="360" w:lineRule="auto"/>
        <w:ind w:firstLine="480" w:firstLineChars="200"/>
        <w:rPr>
          <w:color w:val="auto"/>
          <w:sz w:val="24"/>
          <w:szCs w:val="32"/>
        </w:rPr>
      </w:pPr>
    </w:p>
    <w:p>
      <w:pPr>
        <w:spacing w:line="360" w:lineRule="auto"/>
        <w:ind w:firstLine="480" w:firstLineChars="200"/>
        <w:rPr>
          <w:color w:val="auto"/>
          <w:sz w:val="24"/>
          <w:szCs w:val="32"/>
        </w:rPr>
      </w:pPr>
      <w:r>
        <w:rPr>
          <w:rFonts w:hint="eastAsia"/>
          <w:color w:val="auto"/>
          <w:sz w:val="24"/>
          <w:szCs w:val="32"/>
        </w:rPr>
        <w:t>1 从业人员、营业收入、资产总额填报上一年度数据，无上一年度数据的新成立企业可不填报。</w:t>
      </w:r>
    </w:p>
    <w:p>
      <w:pPr>
        <w:spacing w:line="360" w:lineRule="auto"/>
        <w:ind w:firstLine="480" w:firstLineChars="200"/>
        <w:rPr>
          <w:rFonts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5"/>
          <w:szCs w:val="15"/>
          <w:vertAlign w:val="superscript"/>
          <w:lang w:val="en-US" w:eastAsia="zh-CN"/>
        </w:rPr>
      </w:pPr>
    </w:p>
    <w:p>
      <w:pPr>
        <w:pageBreakBefore w:val="0"/>
        <w:kinsoku/>
        <w:wordWrap w:val="0"/>
        <w:overflowPunct/>
        <w:bidi w:val="0"/>
        <w:snapToGrid/>
        <w:spacing w:line="360" w:lineRule="auto"/>
        <w:rPr>
          <w:b/>
          <w:bCs/>
          <w:color w:val="auto"/>
          <w:szCs w:val="21"/>
        </w:rPr>
      </w:pPr>
    </w:p>
    <w:p>
      <w:pPr>
        <w:pStyle w:val="4"/>
        <w:keepNext w:val="0"/>
        <w:keepLines w:val="0"/>
        <w:pageBreakBefore w:val="0"/>
        <w:tabs>
          <w:tab w:val="left" w:pos="540"/>
          <w:tab w:val="left" w:pos="720"/>
        </w:tabs>
        <w:kinsoku/>
        <w:wordWrap w:val="0"/>
        <w:overflowPunct/>
        <w:bidi w:val="0"/>
        <w:snapToGrid/>
        <w:spacing w:before="120" w:beforeLines="50" w:after="120" w:afterLines="50" w:line="360" w:lineRule="auto"/>
        <w:jc w:val="center"/>
        <w:rPr>
          <w:rFonts w:hint="eastAsia" w:ascii="Times New Roman" w:hAnsi="Times New Roman"/>
          <w:color w:val="auto"/>
          <w:sz w:val="24"/>
          <w:szCs w:val="24"/>
        </w:rPr>
      </w:pPr>
      <w:r>
        <w:rPr>
          <w:rFonts w:hint="eastAsia" w:ascii="Calibri" w:hAnsi="宋体" w:eastAsia="宋体" w:cs="宋体"/>
          <w:b/>
          <w:bCs/>
          <w:color w:val="auto"/>
          <w:kern w:val="2"/>
          <w:sz w:val="28"/>
          <w:szCs w:val="28"/>
          <w:lang w:val="en-US" w:eastAsia="zh-CN" w:bidi="ar-SA"/>
        </w:rPr>
        <w:t>附件2：监狱企业证明（如有）</w:t>
      </w:r>
    </w:p>
    <w:p>
      <w:pPr>
        <w:pStyle w:val="4"/>
        <w:keepNext w:val="0"/>
        <w:keepLines w:val="0"/>
        <w:pageBreakBefore w:val="0"/>
        <w:tabs>
          <w:tab w:val="left" w:pos="540"/>
          <w:tab w:val="left" w:pos="720"/>
        </w:tabs>
        <w:kinsoku/>
        <w:wordWrap w:val="0"/>
        <w:overflowPunct/>
        <w:bidi w:val="0"/>
        <w:snapToGrid/>
        <w:spacing w:before="120" w:beforeLines="50" w:after="120" w:afterLines="50" w:line="360" w:lineRule="auto"/>
        <w:jc w:val="center"/>
        <w:rPr>
          <w:rFonts w:ascii="Times New Roman" w:hAnsi="Times New Roman"/>
          <w:color w:val="auto"/>
        </w:rPr>
      </w:pPr>
      <w:r>
        <w:rPr>
          <w:rFonts w:ascii="Times New Roman" w:hAnsi="Times New Roman"/>
          <w:color w:val="auto"/>
          <w:sz w:val="24"/>
          <w:szCs w:val="24"/>
        </w:rPr>
        <w:t>监狱企业</w:t>
      </w:r>
      <w:r>
        <w:rPr>
          <w:rFonts w:hint="eastAsia" w:ascii="Times New Roman" w:hAnsi="Times New Roman"/>
          <w:color w:val="auto"/>
          <w:sz w:val="24"/>
          <w:szCs w:val="24"/>
        </w:rPr>
        <w:t>证明文件</w:t>
      </w:r>
    </w:p>
    <w:p>
      <w:pPr>
        <w:pageBreakBefore w:val="0"/>
        <w:kinsoku/>
        <w:wordWrap w:val="0"/>
        <w:overflowPunct/>
        <w:bidi w:val="0"/>
        <w:snapToGrid/>
        <w:spacing w:before="120" w:beforeLines="50" w:line="360" w:lineRule="auto"/>
        <w:ind w:firstLine="482" w:firstLineChars="200"/>
        <w:rPr>
          <w:b/>
          <w:bCs/>
          <w:color w:val="auto"/>
          <w:sz w:val="24"/>
        </w:rPr>
      </w:pPr>
    </w:p>
    <w:p>
      <w:pPr>
        <w:pageBreakBefore w:val="0"/>
        <w:kinsoku/>
        <w:wordWrap w:val="0"/>
        <w:overflowPunct/>
        <w:bidi w:val="0"/>
        <w:snapToGrid/>
        <w:spacing w:before="120" w:beforeLines="50" w:line="360" w:lineRule="auto"/>
        <w:ind w:firstLine="482" w:firstLineChars="200"/>
        <w:rPr>
          <w:b/>
          <w:bCs/>
          <w:color w:val="auto"/>
          <w:sz w:val="24"/>
        </w:rPr>
      </w:pPr>
    </w:p>
    <w:p>
      <w:pPr>
        <w:pageBreakBefore w:val="0"/>
        <w:kinsoku/>
        <w:wordWrap w:val="0"/>
        <w:overflowPunct/>
        <w:bidi w:val="0"/>
        <w:snapToGrid/>
        <w:spacing w:before="120" w:beforeLines="50" w:line="360" w:lineRule="auto"/>
        <w:ind w:firstLine="420" w:firstLineChars="200"/>
        <w:rPr>
          <w:color w:val="auto"/>
          <w:szCs w:val="21"/>
        </w:rPr>
      </w:pPr>
      <w:r>
        <w:rPr>
          <w:color w:val="auto"/>
          <w:szCs w:val="21"/>
        </w:rPr>
        <w:t>监狱企业参加政府采购活动时，应当提供由省级以上监狱管理局、戒毒管理局（含新疆生产建设兵团）出具的属于监狱企业的证明文件。</w:t>
      </w:r>
    </w:p>
    <w:p>
      <w:pPr>
        <w:pageBreakBefore w:val="0"/>
        <w:kinsoku/>
        <w:wordWrap w:val="0"/>
        <w:overflowPunct/>
        <w:bidi w:val="0"/>
        <w:snapToGrid/>
        <w:spacing w:before="120" w:beforeLines="50" w:line="360" w:lineRule="auto"/>
        <w:ind w:firstLine="420" w:firstLineChars="200"/>
        <w:rPr>
          <w:rFonts w:hint="eastAsia"/>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p>
    <w:p>
      <w:pPr>
        <w:pageBreakBefore w:val="0"/>
        <w:kinsoku/>
        <w:wordWrap w:val="0"/>
        <w:overflowPunct/>
        <w:bidi w:val="0"/>
        <w:snapToGrid/>
        <w:spacing w:before="120" w:beforeLines="50" w:line="360" w:lineRule="auto"/>
        <w:ind w:firstLine="422" w:firstLineChars="200"/>
        <w:rPr>
          <w:rFonts w:hint="eastAsia"/>
          <w:b/>
          <w:bCs/>
          <w:color w:val="auto"/>
          <w:szCs w:val="21"/>
        </w:rPr>
      </w:pPr>
      <w:r>
        <w:rPr>
          <w:rFonts w:hint="eastAsia"/>
          <w:b/>
          <w:bCs/>
          <w:color w:val="auto"/>
          <w:szCs w:val="21"/>
        </w:rPr>
        <w:t>注：</w:t>
      </w:r>
    </w:p>
    <w:p>
      <w:pPr>
        <w:pageBreakBefore w:val="0"/>
        <w:kinsoku/>
        <w:wordWrap w:val="0"/>
        <w:overflowPunct/>
        <w:bidi w:val="0"/>
        <w:snapToGrid/>
        <w:spacing w:line="360" w:lineRule="auto"/>
        <w:ind w:firstLine="422" w:firstLineChars="200"/>
        <w:rPr>
          <w:b/>
          <w:bCs/>
          <w:color w:val="auto"/>
          <w:szCs w:val="21"/>
        </w:rPr>
      </w:pPr>
      <w:r>
        <w:rPr>
          <w:rFonts w:hint="eastAsia"/>
          <w:b/>
          <w:bCs/>
          <w:color w:val="auto"/>
          <w:szCs w:val="21"/>
        </w:rPr>
        <w:t>1、</w:t>
      </w:r>
      <w:r>
        <w:rPr>
          <w:b/>
          <w:bCs/>
          <w:color w:val="auto"/>
          <w:szCs w:val="21"/>
        </w:rPr>
        <w:t>在政府采购活动中，监狱企业视同小型、微型企业，享受预留份额、评审中价格扣除等政府采购促进中小企业发展的政府采购政策。</w:t>
      </w:r>
    </w:p>
    <w:p>
      <w:pPr>
        <w:spacing w:line="360" w:lineRule="auto"/>
        <w:rPr>
          <w:rFonts w:ascii="宋体" w:hAnsi="宋体" w:cs="宋体"/>
          <w:color w:val="auto"/>
          <w:sz w:val="24"/>
          <w:highlight w:val="none"/>
        </w:rPr>
      </w:pPr>
      <w:r>
        <w:rPr>
          <w:rFonts w:hint="eastAsia"/>
          <w:b/>
          <w:bCs/>
          <w:color w:val="auto"/>
          <w:szCs w:val="21"/>
        </w:rPr>
        <w:t>2、供应商为非监狱企业的，可不提供此项证明文件。</w:t>
      </w:r>
    </w:p>
    <w:p>
      <w:pPr>
        <w:spacing w:line="360" w:lineRule="auto"/>
        <w:rPr>
          <w:rFonts w:ascii="宋体" w:hAnsi="宋体" w:cs="宋体"/>
          <w:color w:val="auto"/>
          <w:sz w:val="28"/>
          <w:highlight w:val="none"/>
        </w:rPr>
      </w:pPr>
    </w:p>
    <w:p>
      <w:pPr>
        <w:rPr>
          <w:rFonts w:ascii="宋体" w:cs="宋体"/>
          <w:color w:val="auto"/>
          <w:sz w:val="32"/>
          <w:highlight w:val="none"/>
        </w:rPr>
      </w:pPr>
      <w:r>
        <w:rPr>
          <w:rFonts w:hint="eastAsia" w:ascii="宋体" w:cs="宋体"/>
          <w:color w:val="auto"/>
          <w:sz w:val="32"/>
          <w:highlight w:val="none"/>
        </w:rPr>
        <w:br w:type="page"/>
      </w:r>
    </w:p>
    <w:p>
      <w:pPr>
        <w:pStyle w:val="4"/>
        <w:keepNext w:val="0"/>
        <w:keepLines w:val="0"/>
        <w:pageBreakBefore w:val="0"/>
        <w:tabs>
          <w:tab w:val="left" w:pos="540"/>
          <w:tab w:val="left" w:pos="720"/>
        </w:tabs>
        <w:kinsoku/>
        <w:wordWrap w:val="0"/>
        <w:overflowPunct/>
        <w:bidi w:val="0"/>
        <w:snapToGrid/>
        <w:spacing w:before="120" w:beforeLines="50" w:after="120" w:afterLines="50" w:line="360" w:lineRule="auto"/>
        <w:jc w:val="center"/>
        <w:rPr>
          <w:rFonts w:ascii="Times New Roman" w:hAnsi="Times New Roman"/>
          <w:color w:val="auto"/>
          <w:sz w:val="24"/>
          <w:szCs w:val="24"/>
        </w:rPr>
      </w:pPr>
      <w:r>
        <w:rPr>
          <w:rFonts w:hint="eastAsia" w:ascii="Calibri" w:hAnsi="宋体" w:eastAsia="宋体" w:cs="宋体"/>
          <w:b/>
          <w:bCs/>
          <w:color w:val="auto"/>
          <w:kern w:val="2"/>
          <w:sz w:val="28"/>
          <w:szCs w:val="28"/>
          <w:lang w:val="en-US" w:eastAsia="zh-CN" w:bidi="ar-SA"/>
        </w:rPr>
        <w:t>附件</w:t>
      </w:r>
      <w:r>
        <w:rPr>
          <w:rFonts w:hint="eastAsia" w:cs="宋体"/>
          <w:b/>
          <w:bCs/>
          <w:color w:val="auto"/>
          <w:kern w:val="2"/>
          <w:sz w:val="28"/>
          <w:szCs w:val="28"/>
          <w:lang w:val="en-US" w:eastAsia="zh-CN" w:bidi="ar-SA"/>
        </w:rPr>
        <w:t>3</w:t>
      </w:r>
      <w:r>
        <w:rPr>
          <w:rFonts w:hint="eastAsia" w:ascii="Calibri" w:hAnsi="宋体" w:eastAsia="宋体" w:cs="宋体"/>
          <w:b/>
          <w:bCs/>
          <w:color w:val="auto"/>
          <w:kern w:val="2"/>
          <w:sz w:val="28"/>
          <w:szCs w:val="28"/>
          <w:lang w:val="en-US" w:eastAsia="zh-CN" w:bidi="ar-SA"/>
        </w:rPr>
        <w:t>：残疾人福利性单位声明函（如有）</w:t>
      </w: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ind w:firstLine="482" w:firstLineChars="200"/>
        <w:jc w:val="center"/>
        <w:rPr>
          <w:rFonts w:hint="eastAsia"/>
          <w:b/>
          <w:bCs/>
          <w:color w:val="auto"/>
          <w:sz w:val="24"/>
        </w:rPr>
      </w:pPr>
      <w:r>
        <w:rPr>
          <w:rFonts w:hint="eastAsia"/>
          <w:b/>
          <w:bCs/>
          <w:color w:val="auto"/>
          <w:sz w:val="24"/>
        </w:rPr>
        <w:t>残疾人福利性单位声明函</w:t>
      </w: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rPr>
          <w:color w:val="auto"/>
        </w:rPr>
      </w:pPr>
    </w:p>
    <w:p>
      <w:pPr>
        <w:pageBreakBefore w:val="0"/>
        <w:kinsoku/>
        <w:wordWrap w:val="0"/>
        <w:overflowPunct/>
        <w:bidi w:val="0"/>
        <w:snapToGrid/>
        <w:spacing w:line="360" w:lineRule="auto"/>
        <w:ind w:firstLine="444" w:firstLineChars="200"/>
        <w:rPr>
          <w:color w:val="auto"/>
          <w:spacing w:val="6"/>
          <w:szCs w:val="21"/>
        </w:rPr>
      </w:pPr>
      <w:r>
        <w:rPr>
          <w:color w:val="auto"/>
          <w:spacing w:val="6"/>
          <w:szCs w:val="21"/>
        </w:rPr>
        <w:t>本单位郑重声明，根据《财政部 民政部 中国残疾人联合会关于促进残疾人就业政府采购政策的通知》（财库</w:t>
      </w:r>
      <w:r>
        <w:rPr>
          <w:color w:val="auto"/>
          <w:szCs w:val="21"/>
        </w:rPr>
        <w:t>〔2017〕 141</w:t>
      </w:r>
      <w:r>
        <w:rPr>
          <w:color w:val="auto"/>
          <w:spacing w:val="6"/>
          <w:szCs w:val="21"/>
        </w:rPr>
        <w:t>号）的规定，本单位为符合条件的残疾人福利性单位，且本单位参加______________单位的______________项目采购活动提供本单位制造的货物（由本单位承担工程/提供服务），或者提供其他残疾人福利性单位制造的货物（不包括使用非残疾人福利性单位注册商标的货物）。</w:t>
      </w:r>
    </w:p>
    <w:p>
      <w:pPr>
        <w:pageBreakBefore w:val="0"/>
        <w:kinsoku/>
        <w:wordWrap w:val="0"/>
        <w:overflowPunct/>
        <w:bidi w:val="0"/>
        <w:snapToGrid/>
        <w:spacing w:line="360" w:lineRule="auto"/>
        <w:ind w:firstLine="444" w:firstLineChars="200"/>
        <w:rPr>
          <w:color w:val="auto"/>
          <w:spacing w:val="6"/>
          <w:szCs w:val="21"/>
        </w:rPr>
      </w:pPr>
      <w:r>
        <w:rPr>
          <w:color w:val="auto"/>
          <w:spacing w:val="6"/>
          <w:szCs w:val="21"/>
        </w:rPr>
        <w:t>本单位对上述声明的真实性负责。如有虚假，将依法承担相应责任。</w:t>
      </w:r>
    </w:p>
    <w:p>
      <w:pPr>
        <w:pageBreakBefore w:val="0"/>
        <w:kinsoku/>
        <w:wordWrap w:val="0"/>
        <w:overflowPunct/>
        <w:bidi w:val="0"/>
        <w:snapToGrid/>
        <w:spacing w:line="360" w:lineRule="auto"/>
        <w:ind w:firstLine="444" w:firstLineChars="200"/>
        <w:rPr>
          <w:color w:val="auto"/>
          <w:spacing w:val="6"/>
          <w:szCs w:val="21"/>
        </w:rPr>
      </w:pPr>
    </w:p>
    <w:p>
      <w:pPr>
        <w:pageBreakBefore w:val="0"/>
        <w:kinsoku/>
        <w:wordWrap w:val="0"/>
        <w:overflowPunct/>
        <w:bidi w:val="0"/>
        <w:snapToGrid/>
        <w:spacing w:line="360" w:lineRule="auto"/>
        <w:ind w:firstLine="444" w:firstLineChars="200"/>
        <w:rPr>
          <w:color w:val="auto"/>
          <w:spacing w:val="6"/>
          <w:szCs w:val="21"/>
        </w:rPr>
      </w:pPr>
    </w:p>
    <w:p>
      <w:pPr>
        <w:pageBreakBefore w:val="0"/>
        <w:tabs>
          <w:tab w:val="left" w:pos="4860"/>
        </w:tabs>
        <w:kinsoku/>
        <w:wordWrap w:val="0"/>
        <w:overflowPunct/>
        <w:bidi w:val="0"/>
        <w:snapToGrid/>
        <w:spacing w:line="360" w:lineRule="auto"/>
        <w:ind w:right="1560" w:firstLine="444" w:firstLineChars="200"/>
        <w:rPr>
          <w:color w:val="auto"/>
          <w:spacing w:val="6"/>
          <w:szCs w:val="21"/>
        </w:rPr>
      </w:pPr>
      <w:r>
        <w:rPr>
          <w:color w:val="auto"/>
          <w:spacing w:val="6"/>
          <w:szCs w:val="21"/>
        </w:rPr>
        <w:t>单位名称（盖章）：</w:t>
      </w:r>
    </w:p>
    <w:p>
      <w:pPr>
        <w:pageBreakBefore w:val="0"/>
        <w:tabs>
          <w:tab w:val="left" w:pos="4860"/>
        </w:tabs>
        <w:kinsoku/>
        <w:wordWrap w:val="0"/>
        <w:overflowPunct/>
        <w:bidi w:val="0"/>
        <w:snapToGrid/>
        <w:spacing w:line="360" w:lineRule="auto"/>
        <w:ind w:right="1560" w:firstLine="444" w:firstLineChars="200"/>
        <w:rPr>
          <w:color w:val="auto"/>
          <w:spacing w:val="6"/>
          <w:szCs w:val="21"/>
        </w:rPr>
      </w:pPr>
    </w:p>
    <w:p>
      <w:pPr>
        <w:pageBreakBefore w:val="0"/>
        <w:tabs>
          <w:tab w:val="left" w:pos="4860"/>
        </w:tabs>
        <w:kinsoku/>
        <w:wordWrap w:val="0"/>
        <w:overflowPunct/>
        <w:bidi w:val="0"/>
        <w:snapToGrid/>
        <w:spacing w:line="360" w:lineRule="auto"/>
        <w:ind w:right="1560" w:firstLine="444" w:firstLineChars="200"/>
        <w:rPr>
          <w:color w:val="auto"/>
          <w:spacing w:val="6"/>
          <w:szCs w:val="21"/>
        </w:rPr>
      </w:pPr>
      <w:r>
        <w:rPr>
          <w:color w:val="auto"/>
          <w:spacing w:val="6"/>
          <w:szCs w:val="21"/>
        </w:rPr>
        <w:t>日  期：</w:t>
      </w:r>
      <w:r>
        <w:rPr>
          <w:rFonts w:hint="eastAsia"/>
          <w:color w:val="auto"/>
          <w:szCs w:val="21"/>
          <w:lang w:val="en-US" w:eastAsia="zh-CN"/>
        </w:rPr>
        <w:t xml:space="preserve">   </w:t>
      </w:r>
      <w:r>
        <w:rPr>
          <w:color w:val="auto"/>
          <w:szCs w:val="21"/>
        </w:rPr>
        <w:t>年   月   日</w:t>
      </w:r>
    </w:p>
    <w:p>
      <w:pPr>
        <w:pageBreakBefore w:val="0"/>
        <w:kinsoku/>
        <w:wordWrap w:val="0"/>
        <w:overflowPunct/>
        <w:bidi w:val="0"/>
        <w:snapToGrid/>
        <w:spacing w:line="360" w:lineRule="auto"/>
        <w:ind w:firstLine="444" w:firstLineChars="200"/>
        <w:rPr>
          <w:color w:val="auto"/>
          <w:spacing w:val="6"/>
          <w:szCs w:val="21"/>
        </w:rPr>
      </w:pPr>
    </w:p>
    <w:p>
      <w:pPr>
        <w:pageBreakBefore w:val="0"/>
        <w:kinsoku/>
        <w:wordWrap w:val="0"/>
        <w:overflowPunct/>
        <w:bidi w:val="0"/>
        <w:snapToGrid/>
        <w:spacing w:before="120" w:beforeLines="50" w:line="360" w:lineRule="auto"/>
        <w:ind w:firstLine="422" w:firstLineChars="200"/>
        <w:rPr>
          <w:b/>
          <w:bCs/>
          <w:color w:val="auto"/>
          <w:szCs w:val="21"/>
        </w:rPr>
      </w:pPr>
    </w:p>
    <w:p>
      <w:pPr>
        <w:pageBreakBefore w:val="0"/>
        <w:kinsoku/>
        <w:wordWrap w:val="0"/>
        <w:overflowPunct/>
        <w:bidi w:val="0"/>
        <w:snapToGrid/>
        <w:spacing w:before="120" w:beforeLines="50" w:line="360" w:lineRule="auto"/>
        <w:ind w:firstLine="422" w:firstLineChars="200"/>
        <w:rPr>
          <w:b/>
          <w:bCs/>
          <w:color w:val="auto"/>
          <w:szCs w:val="21"/>
        </w:rPr>
      </w:pPr>
      <w:r>
        <w:rPr>
          <w:rFonts w:hint="eastAsia"/>
          <w:b/>
          <w:bCs/>
          <w:color w:val="auto"/>
          <w:szCs w:val="21"/>
        </w:rPr>
        <w:t>注：</w:t>
      </w:r>
    </w:p>
    <w:p>
      <w:pPr>
        <w:pageBreakBefore w:val="0"/>
        <w:kinsoku/>
        <w:wordWrap w:val="0"/>
        <w:overflowPunct/>
        <w:bidi w:val="0"/>
        <w:snapToGrid/>
        <w:spacing w:before="120" w:beforeLines="50" w:line="360" w:lineRule="auto"/>
        <w:ind w:firstLine="422" w:firstLineChars="200"/>
        <w:rPr>
          <w:b/>
          <w:bCs/>
          <w:color w:val="auto"/>
          <w:szCs w:val="21"/>
        </w:rPr>
      </w:pPr>
      <w:r>
        <w:rPr>
          <w:rFonts w:hint="eastAsia"/>
          <w:b/>
          <w:bCs/>
          <w:color w:val="auto"/>
          <w:szCs w:val="21"/>
        </w:rPr>
        <w:t>1、</w:t>
      </w:r>
      <w:r>
        <w:rPr>
          <w:b/>
          <w:bCs/>
          <w:color w:val="auto"/>
          <w:szCs w:val="21"/>
        </w:rPr>
        <w:t>残疾人福利性单位视同小型、微型企业，享受预留份额、评审中价格扣除等促进中小企业发展的政府采购政策。残疾人福利性单位属于小型、微型企业的，不重复享受政策。</w:t>
      </w:r>
    </w:p>
    <w:p>
      <w:pPr>
        <w:pageBreakBefore w:val="0"/>
        <w:kinsoku/>
        <w:wordWrap w:val="0"/>
        <w:overflowPunct/>
        <w:bidi w:val="0"/>
        <w:snapToGrid/>
        <w:spacing w:before="120" w:beforeLines="50" w:line="360" w:lineRule="auto"/>
        <w:ind w:firstLine="422" w:firstLineChars="200"/>
        <w:rPr>
          <w:rFonts w:hint="eastAsia"/>
          <w:b/>
          <w:bCs/>
          <w:color w:val="auto"/>
          <w:szCs w:val="21"/>
        </w:rPr>
      </w:pPr>
      <w:r>
        <w:rPr>
          <w:rFonts w:hint="eastAsia"/>
          <w:b/>
          <w:bCs/>
          <w:color w:val="auto"/>
          <w:szCs w:val="21"/>
        </w:rPr>
        <w:t>2、中标、成交供应商为残疾人福利性单位的，采购代理机构将随中标、成交结果同时公告其《残疾人福利性单位声明函》，接受社会监督。</w:t>
      </w:r>
    </w:p>
    <w:p>
      <w:pPr>
        <w:spacing w:line="360" w:lineRule="auto"/>
        <w:ind w:firstLine="422" w:firstLineChars="200"/>
        <w:jc w:val="left"/>
        <w:rPr>
          <w:rFonts w:hint="eastAsia"/>
          <w:b/>
          <w:bCs/>
          <w:color w:val="auto"/>
          <w:szCs w:val="21"/>
        </w:rPr>
      </w:pPr>
      <w:r>
        <w:rPr>
          <w:rFonts w:hint="eastAsia"/>
          <w:b/>
          <w:bCs/>
          <w:color w:val="auto"/>
          <w:szCs w:val="21"/>
        </w:rPr>
        <w:t>3、供应商为非</w:t>
      </w:r>
      <w:r>
        <w:rPr>
          <w:b/>
          <w:bCs/>
          <w:color w:val="auto"/>
          <w:szCs w:val="21"/>
        </w:rPr>
        <w:t>残疾人福利性单位</w:t>
      </w:r>
      <w:r>
        <w:rPr>
          <w:rFonts w:hint="eastAsia"/>
          <w:b/>
          <w:bCs/>
          <w:color w:val="auto"/>
          <w:szCs w:val="21"/>
        </w:rPr>
        <w:t>的，可不提供此声明。</w:t>
      </w:r>
    </w:p>
    <w:p>
      <w:pPr>
        <w:pStyle w:val="19"/>
        <w:rPr>
          <w:rFonts w:hint="eastAsia"/>
          <w:color w:val="auto"/>
        </w:rPr>
      </w:pPr>
    </w:p>
    <w:p>
      <w:pPr>
        <w:spacing w:line="360" w:lineRule="auto"/>
        <w:jc w:val="center"/>
        <w:rPr>
          <w:rFonts w:hint="eastAsia"/>
          <w:b/>
          <w:bCs/>
          <w:color w:val="auto"/>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lang w:eastAsia="zh-CN"/>
        </w:rPr>
      </w:pPr>
    </w:p>
    <w:sectPr>
      <w:pgSz w:w="11906" w:h="16838"/>
      <w:pgMar w:top="1247" w:right="1247" w:bottom="1134" w:left="164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汉仪书宋二S">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33</w:t>
                    </w:r>
                    <w:r>
                      <w:fldChar w:fldCharType="end"/>
                    </w:r>
                  </w:p>
                </w:txbxContent>
              </v:textbox>
            </v:shape>
          </w:pict>
        </mc:Fallback>
      </mc:AlternateContent>
    </w:r>
  </w:p>
  <w:p>
    <w:pPr>
      <w:pStyle w:val="1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w:t>
                    </w:r>
                    <w:r>
                      <w:fldChar w:fldCharType="end"/>
                    </w:r>
                  </w:p>
                </w:txbxContent>
              </v:textbox>
            </v:shape>
          </w:pict>
        </mc:Fallback>
      </mc:AlternateContent>
    </w:r>
  </w:p>
  <w:p>
    <w:pPr>
      <w:pStyle w:val="1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mc:Fallback>
      </mc:AlternateContent>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3"/>
      <w:rPr>
        <w:rStyle w:val="28"/>
      </w:rPr>
    </w:pPr>
    <w:r>
      <w:fldChar w:fldCharType="begin"/>
    </w:r>
    <w:r>
      <w:rPr>
        <w:rStyle w:val="28"/>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rPr>
      <w:t>.</w:t>
    </w:r>
  </w:p>
  <w:p>
    <w:pPr>
      <w:pStyle w:val="1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33</w:t>
                    </w:r>
                    <w:r>
                      <w:fldChar w:fldCharType="end"/>
                    </w:r>
                  </w:p>
                </w:txbxContent>
              </v:textbox>
            </v:shape>
          </w:pict>
        </mc:Fallback>
      </mc:AlternateContent>
    </w:r>
  </w:p>
  <w:p>
    <w:pPr>
      <w:pStyle w:val="1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w:t>
                    </w:r>
                    <w:r>
                      <w:fldChar w:fldCharType="end"/>
                    </w:r>
                  </w:p>
                </w:txbxContent>
              </v:textbox>
            </v:shape>
          </w:pict>
        </mc:Fallback>
      </mc:AlternateContent>
    </w:r>
  </w:p>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mc:Fallback>
      </mc:AlternateContent>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BC116"/>
    <w:multiLevelType w:val="singleLevel"/>
    <w:tmpl w:val="BF6BC116"/>
    <w:lvl w:ilvl="0" w:tentative="0">
      <w:start w:val="16"/>
      <w:numFmt w:val="decimal"/>
      <w:suff w:val="space"/>
      <w:lvlText w:val="%1."/>
      <w:lvlJc w:val="left"/>
    </w:lvl>
  </w:abstractNum>
  <w:abstractNum w:abstractNumId="1">
    <w:nsid w:val="CFE7C3F8"/>
    <w:multiLevelType w:val="singleLevel"/>
    <w:tmpl w:val="CFE7C3F8"/>
    <w:lvl w:ilvl="0" w:tentative="0">
      <w:start w:val="1"/>
      <w:numFmt w:val="decimal"/>
      <w:suff w:val="nothing"/>
      <w:lvlText w:val="（%1）"/>
      <w:lvlJc w:val="left"/>
    </w:lvl>
  </w:abstractNum>
  <w:abstractNum w:abstractNumId="2">
    <w:nsid w:val="DDECD3BC"/>
    <w:multiLevelType w:val="singleLevel"/>
    <w:tmpl w:val="DDECD3BC"/>
    <w:lvl w:ilvl="0" w:tentative="0">
      <w:start w:val="6"/>
      <w:numFmt w:val="decimal"/>
      <w:suff w:val="space"/>
      <w:lvlText w:val="%1."/>
      <w:lvlJc w:val="left"/>
    </w:lvl>
  </w:abstractNum>
  <w:abstractNum w:abstractNumId="3">
    <w:nsid w:val="DE759F4B"/>
    <w:multiLevelType w:val="singleLevel"/>
    <w:tmpl w:val="DE759F4B"/>
    <w:lvl w:ilvl="0" w:tentative="0">
      <w:start w:val="2"/>
      <w:numFmt w:val="decimal"/>
      <w:suff w:val="space"/>
      <w:lvlText w:val="%1."/>
      <w:lvlJc w:val="left"/>
    </w:lvl>
  </w:abstractNum>
  <w:abstractNum w:abstractNumId="4">
    <w:nsid w:val="DEABE1DB"/>
    <w:multiLevelType w:val="singleLevel"/>
    <w:tmpl w:val="DEABE1DB"/>
    <w:lvl w:ilvl="0" w:tentative="0">
      <w:start w:val="23"/>
      <w:numFmt w:val="decimal"/>
      <w:suff w:val="space"/>
      <w:lvlText w:val="%1."/>
      <w:lvlJc w:val="left"/>
    </w:lvl>
  </w:abstractNum>
  <w:abstractNum w:abstractNumId="5">
    <w:nsid w:val="FFEFC674"/>
    <w:multiLevelType w:val="singleLevel"/>
    <w:tmpl w:val="FFEFC674"/>
    <w:lvl w:ilvl="0" w:tentative="0">
      <w:start w:val="1"/>
      <w:numFmt w:val="decimal"/>
      <w:suff w:val="nothing"/>
      <w:lvlText w:val="（%1）"/>
      <w:lvlJc w:val="left"/>
    </w:lvl>
  </w:abstractNum>
  <w:abstractNum w:abstractNumId="6">
    <w:nsid w:val="00000003"/>
    <w:multiLevelType w:val="multilevel"/>
    <w:tmpl w:val="00000003"/>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09"/>
    <w:multiLevelType w:val="multilevel"/>
    <w:tmpl w:val="00000009"/>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7"/>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3AD36283"/>
    <w:multiLevelType w:val="multilevel"/>
    <w:tmpl w:val="3AD36283"/>
    <w:lvl w:ilvl="0" w:tentative="0">
      <w:start w:val="1"/>
      <w:numFmt w:val="decimal"/>
      <w:lvlText w:val="第%1章"/>
      <w:lvlJc w:val="left"/>
      <w:pPr>
        <w:ind w:left="432" w:hanging="432"/>
      </w:pPr>
      <w:rPr>
        <w:rFonts w:hint="eastAsia"/>
      </w:rPr>
    </w:lvl>
    <w:lvl w:ilvl="1" w:tentative="0">
      <w:start w:val="1"/>
      <w:numFmt w:val="decimal"/>
      <w:pStyle w:val="37"/>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0">
    <w:nsid w:val="7A0F6431"/>
    <w:multiLevelType w:val="singleLevel"/>
    <w:tmpl w:val="7A0F6431"/>
    <w:lvl w:ilvl="0" w:tentative="0">
      <w:start w:val="1"/>
      <w:numFmt w:val="decimal"/>
      <w:suff w:val="space"/>
      <w:lvlText w:val="%1."/>
      <w:lvlJc w:val="left"/>
    </w:lvl>
  </w:abstractNum>
  <w:num w:numId="1">
    <w:abstractNumId w:val="8"/>
  </w:num>
  <w:num w:numId="2">
    <w:abstractNumId w:val="9"/>
  </w:num>
  <w:num w:numId="3">
    <w:abstractNumId w:val="7"/>
  </w:num>
  <w:num w:numId="4">
    <w:abstractNumId w:val="6"/>
  </w:num>
  <w:num w:numId="5">
    <w:abstractNumId w:val="10"/>
  </w:num>
  <w:num w:numId="6">
    <w:abstractNumId w:val="1"/>
  </w:num>
  <w:num w:numId="7">
    <w:abstractNumId w:val="5"/>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MmQyMGIyOWRjODYxM2Y5YzRjMzZiNDA3MGM0YmIifQ=="/>
    <w:docVar w:name="KSO_WPS_MARK_KEY" w:val="60cd1087-ad4b-4d05-9c8c-12bcbf6f8f19"/>
  </w:docVars>
  <w:rsids>
    <w:rsidRoot w:val="00172A27"/>
    <w:rsid w:val="0005714B"/>
    <w:rsid w:val="0007012A"/>
    <w:rsid w:val="000920E0"/>
    <w:rsid w:val="001116BA"/>
    <w:rsid w:val="001158A7"/>
    <w:rsid w:val="00172A27"/>
    <w:rsid w:val="001E033A"/>
    <w:rsid w:val="0020592A"/>
    <w:rsid w:val="0022181C"/>
    <w:rsid w:val="00225F24"/>
    <w:rsid w:val="00234D7C"/>
    <w:rsid w:val="00240B2A"/>
    <w:rsid w:val="00270BE1"/>
    <w:rsid w:val="002C61F7"/>
    <w:rsid w:val="002D51FC"/>
    <w:rsid w:val="002E01C1"/>
    <w:rsid w:val="00334094"/>
    <w:rsid w:val="003903AF"/>
    <w:rsid w:val="00393BE5"/>
    <w:rsid w:val="003D6656"/>
    <w:rsid w:val="003E7BDA"/>
    <w:rsid w:val="00427265"/>
    <w:rsid w:val="00440334"/>
    <w:rsid w:val="004B48CF"/>
    <w:rsid w:val="004D0469"/>
    <w:rsid w:val="004D7B41"/>
    <w:rsid w:val="00515C5E"/>
    <w:rsid w:val="00522E55"/>
    <w:rsid w:val="00541FBE"/>
    <w:rsid w:val="005728C9"/>
    <w:rsid w:val="005F7FC2"/>
    <w:rsid w:val="0061093D"/>
    <w:rsid w:val="006B6D1F"/>
    <w:rsid w:val="006C01ED"/>
    <w:rsid w:val="00705BA5"/>
    <w:rsid w:val="0078115F"/>
    <w:rsid w:val="0079603B"/>
    <w:rsid w:val="007B7394"/>
    <w:rsid w:val="00993ED5"/>
    <w:rsid w:val="009A0E66"/>
    <w:rsid w:val="00A2456D"/>
    <w:rsid w:val="00AA5249"/>
    <w:rsid w:val="00AD68AE"/>
    <w:rsid w:val="00B32D7F"/>
    <w:rsid w:val="00B5321C"/>
    <w:rsid w:val="00B92448"/>
    <w:rsid w:val="00BC46ED"/>
    <w:rsid w:val="00C13371"/>
    <w:rsid w:val="00C33529"/>
    <w:rsid w:val="00C356C1"/>
    <w:rsid w:val="00CB30F3"/>
    <w:rsid w:val="00CE14CC"/>
    <w:rsid w:val="00D469EA"/>
    <w:rsid w:val="00D518A3"/>
    <w:rsid w:val="00D86FB8"/>
    <w:rsid w:val="00DF098D"/>
    <w:rsid w:val="00E30FAC"/>
    <w:rsid w:val="00E73AF1"/>
    <w:rsid w:val="00E971C4"/>
    <w:rsid w:val="00EF4891"/>
    <w:rsid w:val="00F0561D"/>
    <w:rsid w:val="00F96106"/>
    <w:rsid w:val="00FE7B94"/>
    <w:rsid w:val="01123D5C"/>
    <w:rsid w:val="01655E65"/>
    <w:rsid w:val="017460A8"/>
    <w:rsid w:val="019D55FE"/>
    <w:rsid w:val="01A00C4B"/>
    <w:rsid w:val="01A26771"/>
    <w:rsid w:val="01B23BD6"/>
    <w:rsid w:val="01B3097E"/>
    <w:rsid w:val="01E539C0"/>
    <w:rsid w:val="01EF572E"/>
    <w:rsid w:val="02004985"/>
    <w:rsid w:val="02104022"/>
    <w:rsid w:val="02151639"/>
    <w:rsid w:val="02184C85"/>
    <w:rsid w:val="02296E92"/>
    <w:rsid w:val="02343E4F"/>
    <w:rsid w:val="02435241"/>
    <w:rsid w:val="024B215D"/>
    <w:rsid w:val="02834FF2"/>
    <w:rsid w:val="02874419"/>
    <w:rsid w:val="028D5BF3"/>
    <w:rsid w:val="029D272F"/>
    <w:rsid w:val="02A0221B"/>
    <w:rsid w:val="02AD14F9"/>
    <w:rsid w:val="02AE00DE"/>
    <w:rsid w:val="02B50726"/>
    <w:rsid w:val="02D84414"/>
    <w:rsid w:val="02DA4630"/>
    <w:rsid w:val="030572D9"/>
    <w:rsid w:val="031406D1"/>
    <w:rsid w:val="03195159"/>
    <w:rsid w:val="032805D9"/>
    <w:rsid w:val="033479E0"/>
    <w:rsid w:val="033C626F"/>
    <w:rsid w:val="038D0AFF"/>
    <w:rsid w:val="039B4330"/>
    <w:rsid w:val="039C4342"/>
    <w:rsid w:val="03A11E29"/>
    <w:rsid w:val="03BB1D6C"/>
    <w:rsid w:val="03C72C07"/>
    <w:rsid w:val="03E03771"/>
    <w:rsid w:val="03E31959"/>
    <w:rsid w:val="04071455"/>
    <w:rsid w:val="04167610"/>
    <w:rsid w:val="042A6EF2"/>
    <w:rsid w:val="04417874"/>
    <w:rsid w:val="04526C9B"/>
    <w:rsid w:val="04673CA2"/>
    <w:rsid w:val="047F0912"/>
    <w:rsid w:val="04C60AC7"/>
    <w:rsid w:val="04C66C1A"/>
    <w:rsid w:val="04CE601E"/>
    <w:rsid w:val="04D57CB8"/>
    <w:rsid w:val="04DD5D12"/>
    <w:rsid w:val="05110BD1"/>
    <w:rsid w:val="051B042A"/>
    <w:rsid w:val="051D7B47"/>
    <w:rsid w:val="051E3C15"/>
    <w:rsid w:val="05293F93"/>
    <w:rsid w:val="053B7608"/>
    <w:rsid w:val="054B4370"/>
    <w:rsid w:val="05614B95"/>
    <w:rsid w:val="056251B4"/>
    <w:rsid w:val="05725DDE"/>
    <w:rsid w:val="05732331"/>
    <w:rsid w:val="057A17B3"/>
    <w:rsid w:val="057D12FB"/>
    <w:rsid w:val="05982F92"/>
    <w:rsid w:val="05986652"/>
    <w:rsid w:val="05A84572"/>
    <w:rsid w:val="05B06D57"/>
    <w:rsid w:val="05D2339D"/>
    <w:rsid w:val="05DD06BF"/>
    <w:rsid w:val="05E27A84"/>
    <w:rsid w:val="05E76E48"/>
    <w:rsid w:val="05EC445F"/>
    <w:rsid w:val="05F7528C"/>
    <w:rsid w:val="06033F82"/>
    <w:rsid w:val="06055520"/>
    <w:rsid w:val="06163BD1"/>
    <w:rsid w:val="061D6D0E"/>
    <w:rsid w:val="06233BF8"/>
    <w:rsid w:val="06336531"/>
    <w:rsid w:val="06345E06"/>
    <w:rsid w:val="064614D7"/>
    <w:rsid w:val="0651231B"/>
    <w:rsid w:val="065A43BF"/>
    <w:rsid w:val="0661309E"/>
    <w:rsid w:val="06905732"/>
    <w:rsid w:val="06A27213"/>
    <w:rsid w:val="06A44D39"/>
    <w:rsid w:val="06B220E5"/>
    <w:rsid w:val="06B86A37"/>
    <w:rsid w:val="06BC3117"/>
    <w:rsid w:val="06C1141B"/>
    <w:rsid w:val="06C90C44"/>
    <w:rsid w:val="06C929F2"/>
    <w:rsid w:val="06E46DD6"/>
    <w:rsid w:val="06F118E3"/>
    <w:rsid w:val="06F37A6F"/>
    <w:rsid w:val="071F2612"/>
    <w:rsid w:val="07253106"/>
    <w:rsid w:val="07261BF2"/>
    <w:rsid w:val="072B0FB7"/>
    <w:rsid w:val="073257B5"/>
    <w:rsid w:val="07350929"/>
    <w:rsid w:val="07391F06"/>
    <w:rsid w:val="07463B51"/>
    <w:rsid w:val="077F1302"/>
    <w:rsid w:val="07866B35"/>
    <w:rsid w:val="079052BE"/>
    <w:rsid w:val="07A12A3A"/>
    <w:rsid w:val="07A86AAB"/>
    <w:rsid w:val="07BE1E2B"/>
    <w:rsid w:val="07C8343A"/>
    <w:rsid w:val="07CD62D1"/>
    <w:rsid w:val="07CE7316"/>
    <w:rsid w:val="07D5339B"/>
    <w:rsid w:val="07DB7273"/>
    <w:rsid w:val="080812F8"/>
    <w:rsid w:val="080A44FE"/>
    <w:rsid w:val="0817778D"/>
    <w:rsid w:val="081D2FF5"/>
    <w:rsid w:val="0847569A"/>
    <w:rsid w:val="08487F59"/>
    <w:rsid w:val="0865674A"/>
    <w:rsid w:val="08663E31"/>
    <w:rsid w:val="086E3851"/>
    <w:rsid w:val="08C36F9E"/>
    <w:rsid w:val="08D54DED"/>
    <w:rsid w:val="08E9531B"/>
    <w:rsid w:val="08EA7B1D"/>
    <w:rsid w:val="08FA1588"/>
    <w:rsid w:val="09013ED0"/>
    <w:rsid w:val="090613F9"/>
    <w:rsid w:val="091A1B9B"/>
    <w:rsid w:val="09201513"/>
    <w:rsid w:val="093A7BD7"/>
    <w:rsid w:val="09440C24"/>
    <w:rsid w:val="09523172"/>
    <w:rsid w:val="09595441"/>
    <w:rsid w:val="096D1D5A"/>
    <w:rsid w:val="096E162E"/>
    <w:rsid w:val="09750C0F"/>
    <w:rsid w:val="0977188E"/>
    <w:rsid w:val="09861BDA"/>
    <w:rsid w:val="09A154B2"/>
    <w:rsid w:val="09A84B40"/>
    <w:rsid w:val="09C96BAE"/>
    <w:rsid w:val="09CA66BE"/>
    <w:rsid w:val="09D122E9"/>
    <w:rsid w:val="09E16673"/>
    <w:rsid w:val="09E64164"/>
    <w:rsid w:val="09EA00C9"/>
    <w:rsid w:val="09F1754F"/>
    <w:rsid w:val="09FC4E8C"/>
    <w:rsid w:val="0A0C3321"/>
    <w:rsid w:val="0A0E2DF1"/>
    <w:rsid w:val="0A211EA3"/>
    <w:rsid w:val="0A2166A1"/>
    <w:rsid w:val="0A2F0DBE"/>
    <w:rsid w:val="0A312DB0"/>
    <w:rsid w:val="0A434869"/>
    <w:rsid w:val="0A5C28F1"/>
    <w:rsid w:val="0A786C09"/>
    <w:rsid w:val="0A872068"/>
    <w:rsid w:val="0A8A2498"/>
    <w:rsid w:val="0A9256FD"/>
    <w:rsid w:val="0A953CA1"/>
    <w:rsid w:val="0A963E91"/>
    <w:rsid w:val="0A9B28F7"/>
    <w:rsid w:val="0A9F4228"/>
    <w:rsid w:val="0AAF0151"/>
    <w:rsid w:val="0AB1211B"/>
    <w:rsid w:val="0AC27AB4"/>
    <w:rsid w:val="0AE04D10"/>
    <w:rsid w:val="0AE41BA8"/>
    <w:rsid w:val="0AEA2F37"/>
    <w:rsid w:val="0B5A630E"/>
    <w:rsid w:val="0B5C6F06"/>
    <w:rsid w:val="0B7E024F"/>
    <w:rsid w:val="0B8F76BF"/>
    <w:rsid w:val="0B9F3D21"/>
    <w:rsid w:val="0BD1003D"/>
    <w:rsid w:val="0C060244"/>
    <w:rsid w:val="0C065F88"/>
    <w:rsid w:val="0C171767"/>
    <w:rsid w:val="0C2A7A8F"/>
    <w:rsid w:val="0C41719E"/>
    <w:rsid w:val="0C4C3EA9"/>
    <w:rsid w:val="0C523489"/>
    <w:rsid w:val="0C60790F"/>
    <w:rsid w:val="0C7C35E0"/>
    <w:rsid w:val="0C7D3317"/>
    <w:rsid w:val="0C8527EA"/>
    <w:rsid w:val="0C8573BB"/>
    <w:rsid w:val="0C874478"/>
    <w:rsid w:val="0C8F1FD6"/>
    <w:rsid w:val="0C972B3E"/>
    <w:rsid w:val="0CA02408"/>
    <w:rsid w:val="0CCE0A8A"/>
    <w:rsid w:val="0CEF2A86"/>
    <w:rsid w:val="0CF33503"/>
    <w:rsid w:val="0CFE5EA4"/>
    <w:rsid w:val="0D0B1E91"/>
    <w:rsid w:val="0D132C19"/>
    <w:rsid w:val="0D605732"/>
    <w:rsid w:val="0D611BD6"/>
    <w:rsid w:val="0D6521E8"/>
    <w:rsid w:val="0D6A409F"/>
    <w:rsid w:val="0D6C65BC"/>
    <w:rsid w:val="0D786F20"/>
    <w:rsid w:val="0D80206D"/>
    <w:rsid w:val="0D951880"/>
    <w:rsid w:val="0D9622E3"/>
    <w:rsid w:val="0DA60738"/>
    <w:rsid w:val="0DA73F9F"/>
    <w:rsid w:val="0DAC733D"/>
    <w:rsid w:val="0DB553D3"/>
    <w:rsid w:val="0E086A93"/>
    <w:rsid w:val="0E1327A4"/>
    <w:rsid w:val="0E2624D8"/>
    <w:rsid w:val="0E3177FA"/>
    <w:rsid w:val="0E435FEF"/>
    <w:rsid w:val="0E47636D"/>
    <w:rsid w:val="0E53662A"/>
    <w:rsid w:val="0E5A6108"/>
    <w:rsid w:val="0E63197E"/>
    <w:rsid w:val="0E707BF7"/>
    <w:rsid w:val="0E72036A"/>
    <w:rsid w:val="0E7616B1"/>
    <w:rsid w:val="0E786CCF"/>
    <w:rsid w:val="0E7B29EB"/>
    <w:rsid w:val="0E8A515C"/>
    <w:rsid w:val="0EAC00FF"/>
    <w:rsid w:val="0EB04BD9"/>
    <w:rsid w:val="0EC57F43"/>
    <w:rsid w:val="0ECF491D"/>
    <w:rsid w:val="0EE02FCE"/>
    <w:rsid w:val="0EF56A7A"/>
    <w:rsid w:val="0EFE5F7E"/>
    <w:rsid w:val="0F00541F"/>
    <w:rsid w:val="0F0274E4"/>
    <w:rsid w:val="0F0F11BE"/>
    <w:rsid w:val="0F0F1F61"/>
    <w:rsid w:val="0F1339AE"/>
    <w:rsid w:val="0F1D12BD"/>
    <w:rsid w:val="0F205C9F"/>
    <w:rsid w:val="0F283603"/>
    <w:rsid w:val="0F317386"/>
    <w:rsid w:val="0F7200CA"/>
    <w:rsid w:val="0F781A43"/>
    <w:rsid w:val="0F7D25CB"/>
    <w:rsid w:val="0F851480"/>
    <w:rsid w:val="0F98145F"/>
    <w:rsid w:val="0FB767C8"/>
    <w:rsid w:val="0FD11D09"/>
    <w:rsid w:val="0FD13553"/>
    <w:rsid w:val="0FFC5815"/>
    <w:rsid w:val="10190546"/>
    <w:rsid w:val="10412218"/>
    <w:rsid w:val="104B26C9"/>
    <w:rsid w:val="104B2919"/>
    <w:rsid w:val="104D4694"/>
    <w:rsid w:val="104E101C"/>
    <w:rsid w:val="105A46BB"/>
    <w:rsid w:val="105C48D7"/>
    <w:rsid w:val="1090632E"/>
    <w:rsid w:val="10A342B4"/>
    <w:rsid w:val="10C90194"/>
    <w:rsid w:val="10C969A6"/>
    <w:rsid w:val="10DB6C77"/>
    <w:rsid w:val="10EB1FB3"/>
    <w:rsid w:val="10FF27DA"/>
    <w:rsid w:val="110D797F"/>
    <w:rsid w:val="111A38EF"/>
    <w:rsid w:val="111C679B"/>
    <w:rsid w:val="11254CC9"/>
    <w:rsid w:val="11361FF1"/>
    <w:rsid w:val="11365128"/>
    <w:rsid w:val="11390774"/>
    <w:rsid w:val="11496C09"/>
    <w:rsid w:val="11537A88"/>
    <w:rsid w:val="116779C3"/>
    <w:rsid w:val="117A14B8"/>
    <w:rsid w:val="11951E4E"/>
    <w:rsid w:val="11AD363C"/>
    <w:rsid w:val="11B5604C"/>
    <w:rsid w:val="11BA7DDA"/>
    <w:rsid w:val="11D02E86"/>
    <w:rsid w:val="11D90C91"/>
    <w:rsid w:val="11ED1C8A"/>
    <w:rsid w:val="12040D82"/>
    <w:rsid w:val="120D40DA"/>
    <w:rsid w:val="121265D0"/>
    <w:rsid w:val="12163987"/>
    <w:rsid w:val="12281213"/>
    <w:rsid w:val="122A4683"/>
    <w:rsid w:val="12371157"/>
    <w:rsid w:val="1243421C"/>
    <w:rsid w:val="12567E7B"/>
    <w:rsid w:val="12644E6E"/>
    <w:rsid w:val="12675D3E"/>
    <w:rsid w:val="12792076"/>
    <w:rsid w:val="127C4DBC"/>
    <w:rsid w:val="12867A20"/>
    <w:rsid w:val="129021B5"/>
    <w:rsid w:val="12906AB9"/>
    <w:rsid w:val="12941B7A"/>
    <w:rsid w:val="12AB4AC8"/>
    <w:rsid w:val="12D1154C"/>
    <w:rsid w:val="12E3308D"/>
    <w:rsid w:val="12F66D1C"/>
    <w:rsid w:val="12F755FA"/>
    <w:rsid w:val="12F928B1"/>
    <w:rsid w:val="13152856"/>
    <w:rsid w:val="131C23D8"/>
    <w:rsid w:val="133631BD"/>
    <w:rsid w:val="1339201A"/>
    <w:rsid w:val="13421B62"/>
    <w:rsid w:val="134358DA"/>
    <w:rsid w:val="134A4EBA"/>
    <w:rsid w:val="13547AE7"/>
    <w:rsid w:val="13737F6D"/>
    <w:rsid w:val="137A6950"/>
    <w:rsid w:val="13821FA4"/>
    <w:rsid w:val="138B5744"/>
    <w:rsid w:val="139D5CD8"/>
    <w:rsid w:val="13AB3BAB"/>
    <w:rsid w:val="13B357D8"/>
    <w:rsid w:val="13BB36C2"/>
    <w:rsid w:val="13CD70D5"/>
    <w:rsid w:val="13D3787A"/>
    <w:rsid w:val="13E22ED8"/>
    <w:rsid w:val="13E9022F"/>
    <w:rsid w:val="14067DF8"/>
    <w:rsid w:val="141229A6"/>
    <w:rsid w:val="14237E81"/>
    <w:rsid w:val="142C45C0"/>
    <w:rsid w:val="142D4116"/>
    <w:rsid w:val="143E4A1F"/>
    <w:rsid w:val="14465682"/>
    <w:rsid w:val="14521999"/>
    <w:rsid w:val="14587163"/>
    <w:rsid w:val="145E6E6F"/>
    <w:rsid w:val="14661880"/>
    <w:rsid w:val="147D084F"/>
    <w:rsid w:val="14881B2E"/>
    <w:rsid w:val="149208C7"/>
    <w:rsid w:val="14B7032D"/>
    <w:rsid w:val="14CA4951"/>
    <w:rsid w:val="14D07641"/>
    <w:rsid w:val="14E8498B"/>
    <w:rsid w:val="14E86739"/>
    <w:rsid w:val="14EC02C0"/>
    <w:rsid w:val="14FA7845"/>
    <w:rsid w:val="15190FE8"/>
    <w:rsid w:val="15397D21"/>
    <w:rsid w:val="15432EEB"/>
    <w:rsid w:val="15503C2B"/>
    <w:rsid w:val="15543DCE"/>
    <w:rsid w:val="15567A5B"/>
    <w:rsid w:val="15771F23"/>
    <w:rsid w:val="15785D0F"/>
    <w:rsid w:val="157B3BA2"/>
    <w:rsid w:val="157E5943"/>
    <w:rsid w:val="15B64E1F"/>
    <w:rsid w:val="15B92F3C"/>
    <w:rsid w:val="15BF26AA"/>
    <w:rsid w:val="15C40F54"/>
    <w:rsid w:val="15C745A0"/>
    <w:rsid w:val="15CA6466"/>
    <w:rsid w:val="15D419DB"/>
    <w:rsid w:val="15DA0777"/>
    <w:rsid w:val="15E64719"/>
    <w:rsid w:val="15F0764A"/>
    <w:rsid w:val="15FF01DE"/>
    <w:rsid w:val="1601540A"/>
    <w:rsid w:val="161547DB"/>
    <w:rsid w:val="162639BD"/>
    <w:rsid w:val="162C2183"/>
    <w:rsid w:val="163E5686"/>
    <w:rsid w:val="1651176C"/>
    <w:rsid w:val="165F2A2B"/>
    <w:rsid w:val="16680348"/>
    <w:rsid w:val="16746966"/>
    <w:rsid w:val="168129A1"/>
    <w:rsid w:val="16822884"/>
    <w:rsid w:val="16832BBD"/>
    <w:rsid w:val="168A247C"/>
    <w:rsid w:val="168F3621"/>
    <w:rsid w:val="16935FB9"/>
    <w:rsid w:val="16985257"/>
    <w:rsid w:val="16AC4F61"/>
    <w:rsid w:val="16C371DD"/>
    <w:rsid w:val="16CA259A"/>
    <w:rsid w:val="16E85D16"/>
    <w:rsid w:val="16EF0253"/>
    <w:rsid w:val="16F07B27"/>
    <w:rsid w:val="170050A5"/>
    <w:rsid w:val="17103D25"/>
    <w:rsid w:val="17112C44"/>
    <w:rsid w:val="17165445"/>
    <w:rsid w:val="171C4DC0"/>
    <w:rsid w:val="17326435"/>
    <w:rsid w:val="17522997"/>
    <w:rsid w:val="17653080"/>
    <w:rsid w:val="1776002C"/>
    <w:rsid w:val="177C2E3A"/>
    <w:rsid w:val="177E15D6"/>
    <w:rsid w:val="178544BF"/>
    <w:rsid w:val="17861C1B"/>
    <w:rsid w:val="17991F6C"/>
    <w:rsid w:val="17A1031E"/>
    <w:rsid w:val="17A473EA"/>
    <w:rsid w:val="17B62D9D"/>
    <w:rsid w:val="17BE54F1"/>
    <w:rsid w:val="17CC2342"/>
    <w:rsid w:val="17D905BB"/>
    <w:rsid w:val="17DC0302"/>
    <w:rsid w:val="17DD454F"/>
    <w:rsid w:val="17E22839"/>
    <w:rsid w:val="17E53404"/>
    <w:rsid w:val="17E94CA2"/>
    <w:rsid w:val="18010C75"/>
    <w:rsid w:val="1805279D"/>
    <w:rsid w:val="180F222F"/>
    <w:rsid w:val="181522B3"/>
    <w:rsid w:val="181A12FF"/>
    <w:rsid w:val="18210BE6"/>
    <w:rsid w:val="1824217E"/>
    <w:rsid w:val="183D3DB6"/>
    <w:rsid w:val="18602A8A"/>
    <w:rsid w:val="18793E8B"/>
    <w:rsid w:val="188B7B07"/>
    <w:rsid w:val="18934C0E"/>
    <w:rsid w:val="18950986"/>
    <w:rsid w:val="18AA2FA6"/>
    <w:rsid w:val="18AB63FB"/>
    <w:rsid w:val="18BD6943"/>
    <w:rsid w:val="18C63757"/>
    <w:rsid w:val="18C66D91"/>
    <w:rsid w:val="18FE0E35"/>
    <w:rsid w:val="1921046B"/>
    <w:rsid w:val="1925609F"/>
    <w:rsid w:val="19287A4C"/>
    <w:rsid w:val="192D568A"/>
    <w:rsid w:val="19355814"/>
    <w:rsid w:val="193747BC"/>
    <w:rsid w:val="193957B5"/>
    <w:rsid w:val="194D43C8"/>
    <w:rsid w:val="195F2D42"/>
    <w:rsid w:val="19805192"/>
    <w:rsid w:val="198729C4"/>
    <w:rsid w:val="198742F4"/>
    <w:rsid w:val="199E1ABC"/>
    <w:rsid w:val="19A21814"/>
    <w:rsid w:val="19AC0E79"/>
    <w:rsid w:val="19B27315"/>
    <w:rsid w:val="19C54735"/>
    <w:rsid w:val="19D0528C"/>
    <w:rsid w:val="19FB69EE"/>
    <w:rsid w:val="1A011B7F"/>
    <w:rsid w:val="1A0506CD"/>
    <w:rsid w:val="1A073B05"/>
    <w:rsid w:val="1A1F0E4F"/>
    <w:rsid w:val="1A253F8B"/>
    <w:rsid w:val="1A4708E4"/>
    <w:rsid w:val="1A472154"/>
    <w:rsid w:val="1A530AF8"/>
    <w:rsid w:val="1A5A3B01"/>
    <w:rsid w:val="1A6E76E0"/>
    <w:rsid w:val="1A7F32CE"/>
    <w:rsid w:val="1A8125AB"/>
    <w:rsid w:val="1AB07CF9"/>
    <w:rsid w:val="1AC00AA7"/>
    <w:rsid w:val="1ADF72F8"/>
    <w:rsid w:val="1AE17EB2"/>
    <w:rsid w:val="1AE23C2A"/>
    <w:rsid w:val="1AEC6F2B"/>
    <w:rsid w:val="1AF021AC"/>
    <w:rsid w:val="1AF2342E"/>
    <w:rsid w:val="1AF44089"/>
    <w:rsid w:val="1AF762FB"/>
    <w:rsid w:val="1B0226E2"/>
    <w:rsid w:val="1B261D69"/>
    <w:rsid w:val="1B2F59B1"/>
    <w:rsid w:val="1B34092A"/>
    <w:rsid w:val="1B4937CB"/>
    <w:rsid w:val="1B6D7998"/>
    <w:rsid w:val="1B75684C"/>
    <w:rsid w:val="1B7D2AB8"/>
    <w:rsid w:val="1B7D6BB0"/>
    <w:rsid w:val="1B9E5DA3"/>
    <w:rsid w:val="1BAC6712"/>
    <w:rsid w:val="1BB235FD"/>
    <w:rsid w:val="1BBA49A7"/>
    <w:rsid w:val="1BBB0EC2"/>
    <w:rsid w:val="1BC51676"/>
    <w:rsid w:val="1BCC108E"/>
    <w:rsid w:val="1BD33274"/>
    <w:rsid w:val="1BE55780"/>
    <w:rsid w:val="1BE62B66"/>
    <w:rsid w:val="1BF754B3"/>
    <w:rsid w:val="1C297D63"/>
    <w:rsid w:val="1C306702"/>
    <w:rsid w:val="1C312204"/>
    <w:rsid w:val="1C5823F6"/>
    <w:rsid w:val="1C590A86"/>
    <w:rsid w:val="1C5A43C0"/>
    <w:rsid w:val="1C5B3C94"/>
    <w:rsid w:val="1C662D65"/>
    <w:rsid w:val="1C6F7DD4"/>
    <w:rsid w:val="1CA37EA1"/>
    <w:rsid w:val="1CA70C88"/>
    <w:rsid w:val="1CAA13BD"/>
    <w:rsid w:val="1CBD66FD"/>
    <w:rsid w:val="1CCD3C1B"/>
    <w:rsid w:val="1CD777BF"/>
    <w:rsid w:val="1CD93E1B"/>
    <w:rsid w:val="1CED6FE2"/>
    <w:rsid w:val="1D085BCA"/>
    <w:rsid w:val="1D160C18"/>
    <w:rsid w:val="1D305121"/>
    <w:rsid w:val="1D347BB9"/>
    <w:rsid w:val="1D3B29EA"/>
    <w:rsid w:val="1D497F91"/>
    <w:rsid w:val="1D4A28D1"/>
    <w:rsid w:val="1D57445C"/>
    <w:rsid w:val="1D5A0D1B"/>
    <w:rsid w:val="1D685007"/>
    <w:rsid w:val="1DC6338F"/>
    <w:rsid w:val="1DD6504C"/>
    <w:rsid w:val="1DDC0E05"/>
    <w:rsid w:val="1DE41A3B"/>
    <w:rsid w:val="1DFC3255"/>
    <w:rsid w:val="1E164317"/>
    <w:rsid w:val="1E1E4F79"/>
    <w:rsid w:val="1E2E5F88"/>
    <w:rsid w:val="1E4E6155"/>
    <w:rsid w:val="1E5427C8"/>
    <w:rsid w:val="1E734091"/>
    <w:rsid w:val="1E892779"/>
    <w:rsid w:val="1E9421FA"/>
    <w:rsid w:val="1EA01E32"/>
    <w:rsid w:val="1EA935BE"/>
    <w:rsid w:val="1EAD6FFA"/>
    <w:rsid w:val="1EC452B3"/>
    <w:rsid w:val="1ED815CC"/>
    <w:rsid w:val="1EDF0BAD"/>
    <w:rsid w:val="1EF02DBA"/>
    <w:rsid w:val="1F070103"/>
    <w:rsid w:val="1F085F4B"/>
    <w:rsid w:val="1F0A515A"/>
    <w:rsid w:val="1F2C36C6"/>
    <w:rsid w:val="1F413615"/>
    <w:rsid w:val="1F4300A8"/>
    <w:rsid w:val="1F4B659D"/>
    <w:rsid w:val="1F4D1FBA"/>
    <w:rsid w:val="1F5C1F0B"/>
    <w:rsid w:val="1F5F1E42"/>
    <w:rsid w:val="1F8418FB"/>
    <w:rsid w:val="1F852B08"/>
    <w:rsid w:val="1F887989"/>
    <w:rsid w:val="1F893F50"/>
    <w:rsid w:val="1F8A176C"/>
    <w:rsid w:val="1F8B533F"/>
    <w:rsid w:val="1F9E2816"/>
    <w:rsid w:val="1FB060A5"/>
    <w:rsid w:val="1FB679B5"/>
    <w:rsid w:val="1FBE050D"/>
    <w:rsid w:val="1FD60202"/>
    <w:rsid w:val="1FD837FF"/>
    <w:rsid w:val="1FDE2C12"/>
    <w:rsid w:val="1FEB3115"/>
    <w:rsid w:val="1FEB532F"/>
    <w:rsid w:val="1FF511B8"/>
    <w:rsid w:val="1FF75716"/>
    <w:rsid w:val="20036B1D"/>
    <w:rsid w:val="200A61ED"/>
    <w:rsid w:val="20101E0F"/>
    <w:rsid w:val="201E3957"/>
    <w:rsid w:val="202F16C0"/>
    <w:rsid w:val="204D5FEA"/>
    <w:rsid w:val="206324C8"/>
    <w:rsid w:val="20711CD8"/>
    <w:rsid w:val="20776EAE"/>
    <w:rsid w:val="207817DB"/>
    <w:rsid w:val="208C6B12"/>
    <w:rsid w:val="209B0B03"/>
    <w:rsid w:val="20A26336"/>
    <w:rsid w:val="20C62ED5"/>
    <w:rsid w:val="20C84074"/>
    <w:rsid w:val="20CE0ED9"/>
    <w:rsid w:val="20E83E27"/>
    <w:rsid w:val="20FF1092"/>
    <w:rsid w:val="211352F9"/>
    <w:rsid w:val="21185B98"/>
    <w:rsid w:val="21266A5C"/>
    <w:rsid w:val="212925B3"/>
    <w:rsid w:val="212A7F74"/>
    <w:rsid w:val="21303941"/>
    <w:rsid w:val="213A23AF"/>
    <w:rsid w:val="214106F7"/>
    <w:rsid w:val="214747E7"/>
    <w:rsid w:val="21505D92"/>
    <w:rsid w:val="21533CA8"/>
    <w:rsid w:val="215B6DA9"/>
    <w:rsid w:val="21723CFB"/>
    <w:rsid w:val="21B207FA"/>
    <w:rsid w:val="21D059E5"/>
    <w:rsid w:val="21D332D2"/>
    <w:rsid w:val="21E02882"/>
    <w:rsid w:val="21ED35E0"/>
    <w:rsid w:val="21EE08EC"/>
    <w:rsid w:val="22206D13"/>
    <w:rsid w:val="222114DC"/>
    <w:rsid w:val="22391808"/>
    <w:rsid w:val="224376A4"/>
    <w:rsid w:val="2256746C"/>
    <w:rsid w:val="225F3404"/>
    <w:rsid w:val="226C4308"/>
    <w:rsid w:val="226D64CF"/>
    <w:rsid w:val="22834F32"/>
    <w:rsid w:val="22853819"/>
    <w:rsid w:val="228850B7"/>
    <w:rsid w:val="228F68F6"/>
    <w:rsid w:val="22925F36"/>
    <w:rsid w:val="22937ED3"/>
    <w:rsid w:val="229972C4"/>
    <w:rsid w:val="22A63A09"/>
    <w:rsid w:val="22AC6FF8"/>
    <w:rsid w:val="22BD46D8"/>
    <w:rsid w:val="22CB17BA"/>
    <w:rsid w:val="22D84291"/>
    <w:rsid w:val="22F47F22"/>
    <w:rsid w:val="22F83FEB"/>
    <w:rsid w:val="22FB3ADB"/>
    <w:rsid w:val="230E42A7"/>
    <w:rsid w:val="23243032"/>
    <w:rsid w:val="233A4E47"/>
    <w:rsid w:val="233B037C"/>
    <w:rsid w:val="23434B00"/>
    <w:rsid w:val="234C5386"/>
    <w:rsid w:val="235343A8"/>
    <w:rsid w:val="235A509D"/>
    <w:rsid w:val="236128C1"/>
    <w:rsid w:val="23712004"/>
    <w:rsid w:val="23735D67"/>
    <w:rsid w:val="237D0CA3"/>
    <w:rsid w:val="238D5B6C"/>
    <w:rsid w:val="239E4762"/>
    <w:rsid w:val="23B32608"/>
    <w:rsid w:val="23B75C54"/>
    <w:rsid w:val="23B819CC"/>
    <w:rsid w:val="23C30A9D"/>
    <w:rsid w:val="23D42CAA"/>
    <w:rsid w:val="23DD79E3"/>
    <w:rsid w:val="23E045EC"/>
    <w:rsid w:val="23ED5B1A"/>
    <w:rsid w:val="23FF1E57"/>
    <w:rsid w:val="243113F3"/>
    <w:rsid w:val="246A716A"/>
    <w:rsid w:val="247022A7"/>
    <w:rsid w:val="248D10AB"/>
    <w:rsid w:val="248F3F2D"/>
    <w:rsid w:val="2496149D"/>
    <w:rsid w:val="249E72AA"/>
    <w:rsid w:val="24C06D8A"/>
    <w:rsid w:val="24F157A9"/>
    <w:rsid w:val="24F829C8"/>
    <w:rsid w:val="24F86524"/>
    <w:rsid w:val="24FA2141"/>
    <w:rsid w:val="24FD1D8D"/>
    <w:rsid w:val="250D7AF6"/>
    <w:rsid w:val="251F61A7"/>
    <w:rsid w:val="254B70B5"/>
    <w:rsid w:val="256F255E"/>
    <w:rsid w:val="2573204F"/>
    <w:rsid w:val="258B34F9"/>
    <w:rsid w:val="259C56A9"/>
    <w:rsid w:val="25A56D75"/>
    <w:rsid w:val="25B37114"/>
    <w:rsid w:val="25B763DF"/>
    <w:rsid w:val="25C9534D"/>
    <w:rsid w:val="25D1078D"/>
    <w:rsid w:val="25D24FC7"/>
    <w:rsid w:val="25D86403"/>
    <w:rsid w:val="25FC2044"/>
    <w:rsid w:val="262B46D7"/>
    <w:rsid w:val="26341FA4"/>
    <w:rsid w:val="26413EFB"/>
    <w:rsid w:val="264A7253"/>
    <w:rsid w:val="264F486A"/>
    <w:rsid w:val="268D331A"/>
    <w:rsid w:val="269C7383"/>
    <w:rsid w:val="26AA1AA0"/>
    <w:rsid w:val="26AA7CF2"/>
    <w:rsid w:val="26B750B0"/>
    <w:rsid w:val="26BA68F7"/>
    <w:rsid w:val="26C80C42"/>
    <w:rsid w:val="26E2748C"/>
    <w:rsid w:val="26E91D0D"/>
    <w:rsid w:val="26F7280B"/>
    <w:rsid w:val="270C4509"/>
    <w:rsid w:val="27223D2C"/>
    <w:rsid w:val="275D6B12"/>
    <w:rsid w:val="276500BD"/>
    <w:rsid w:val="277A5916"/>
    <w:rsid w:val="2793585F"/>
    <w:rsid w:val="27950C48"/>
    <w:rsid w:val="279C61D3"/>
    <w:rsid w:val="279E2283"/>
    <w:rsid w:val="27AC02E3"/>
    <w:rsid w:val="27D4174D"/>
    <w:rsid w:val="27F8636C"/>
    <w:rsid w:val="28072F22"/>
    <w:rsid w:val="28233AAC"/>
    <w:rsid w:val="282C2551"/>
    <w:rsid w:val="283C746E"/>
    <w:rsid w:val="283F173A"/>
    <w:rsid w:val="285A12A4"/>
    <w:rsid w:val="286D6CCE"/>
    <w:rsid w:val="28757E8C"/>
    <w:rsid w:val="288051AE"/>
    <w:rsid w:val="2895312D"/>
    <w:rsid w:val="289E73E3"/>
    <w:rsid w:val="28A051CB"/>
    <w:rsid w:val="28A414D5"/>
    <w:rsid w:val="28B766F6"/>
    <w:rsid w:val="28C66939"/>
    <w:rsid w:val="28C759B8"/>
    <w:rsid w:val="28D33216"/>
    <w:rsid w:val="28D56A54"/>
    <w:rsid w:val="28F76C8E"/>
    <w:rsid w:val="29205F2E"/>
    <w:rsid w:val="292B04C5"/>
    <w:rsid w:val="293E4722"/>
    <w:rsid w:val="294728E7"/>
    <w:rsid w:val="294837F2"/>
    <w:rsid w:val="294D1FF0"/>
    <w:rsid w:val="295602D3"/>
    <w:rsid w:val="29567CBD"/>
    <w:rsid w:val="295D104C"/>
    <w:rsid w:val="29747698"/>
    <w:rsid w:val="29893677"/>
    <w:rsid w:val="298E56A9"/>
    <w:rsid w:val="2991086D"/>
    <w:rsid w:val="29933FED"/>
    <w:rsid w:val="299517AA"/>
    <w:rsid w:val="299E7928"/>
    <w:rsid w:val="29A76116"/>
    <w:rsid w:val="29AA1DB7"/>
    <w:rsid w:val="29DD013B"/>
    <w:rsid w:val="29E45245"/>
    <w:rsid w:val="29E76B67"/>
    <w:rsid w:val="29E90BFD"/>
    <w:rsid w:val="29EC1A39"/>
    <w:rsid w:val="29F14929"/>
    <w:rsid w:val="2A094D30"/>
    <w:rsid w:val="2A0D0CC4"/>
    <w:rsid w:val="2A0E669F"/>
    <w:rsid w:val="2A0F6998"/>
    <w:rsid w:val="2A1E28C6"/>
    <w:rsid w:val="2A2173B6"/>
    <w:rsid w:val="2A217406"/>
    <w:rsid w:val="2A222295"/>
    <w:rsid w:val="2A2B114A"/>
    <w:rsid w:val="2A5E151F"/>
    <w:rsid w:val="2A614B6C"/>
    <w:rsid w:val="2A843FB8"/>
    <w:rsid w:val="2A9C3DF6"/>
    <w:rsid w:val="2AA52955"/>
    <w:rsid w:val="2AAF07A4"/>
    <w:rsid w:val="2AC045A7"/>
    <w:rsid w:val="2AD60A19"/>
    <w:rsid w:val="2AE13EFE"/>
    <w:rsid w:val="2AF250F2"/>
    <w:rsid w:val="2AF552B4"/>
    <w:rsid w:val="2AFA6690"/>
    <w:rsid w:val="2B0142E3"/>
    <w:rsid w:val="2B1E50F4"/>
    <w:rsid w:val="2B275DB5"/>
    <w:rsid w:val="2B3758CC"/>
    <w:rsid w:val="2B4506BC"/>
    <w:rsid w:val="2B563FA5"/>
    <w:rsid w:val="2B793AD0"/>
    <w:rsid w:val="2B8E6E69"/>
    <w:rsid w:val="2B990335"/>
    <w:rsid w:val="2BB8407D"/>
    <w:rsid w:val="2BBA0EC3"/>
    <w:rsid w:val="2BCE2F6D"/>
    <w:rsid w:val="2BF0654E"/>
    <w:rsid w:val="2BF33EE9"/>
    <w:rsid w:val="2C032306"/>
    <w:rsid w:val="2C077995"/>
    <w:rsid w:val="2C0E5190"/>
    <w:rsid w:val="2C1668FB"/>
    <w:rsid w:val="2C18031A"/>
    <w:rsid w:val="2C385076"/>
    <w:rsid w:val="2C3E4758"/>
    <w:rsid w:val="2C59229A"/>
    <w:rsid w:val="2C7B08E4"/>
    <w:rsid w:val="2C804123"/>
    <w:rsid w:val="2C844B41"/>
    <w:rsid w:val="2CA54544"/>
    <w:rsid w:val="2CCC46FF"/>
    <w:rsid w:val="2CCE28B7"/>
    <w:rsid w:val="2CED26E7"/>
    <w:rsid w:val="2CEF46B1"/>
    <w:rsid w:val="2CFB12A7"/>
    <w:rsid w:val="2D1A006C"/>
    <w:rsid w:val="2D4A18E7"/>
    <w:rsid w:val="2D4B56B9"/>
    <w:rsid w:val="2D727A16"/>
    <w:rsid w:val="2D7505C6"/>
    <w:rsid w:val="2D78591D"/>
    <w:rsid w:val="2D8F3507"/>
    <w:rsid w:val="2D945258"/>
    <w:rsid w:val="2D945E26"/>
    <w:rsid w:val="2DA84860"/>
    <w:rsid w:val="2DB46B73"/>
    <w:rsid w:val="2DBA0C4D"/>
    <w:rsid w:val="2DBD655D"/>
    <w:rsid w:val="2DC31699"/>
    <w:rsid w:val="2DD928A7"/>
    <w:rsid w:val="2DDE509E"/>
    <w:rsid w:val="2DE25FC3"/>
    <w:rsid w:val="2DEA54F8"/>
    <w:rsid w:val="2DF61A6F"/>
    <w:rsid w:val="2E00644A"/>
    <w:rsid w:val="2E0221C2"/>
    <w:rsid w:val="2E0A551A"/>
    <w:rsid w:val="2E162111"/>
    <w:rsid w:val="2E1B66E8"/>
    <w:rsid w:val="2E297874"/>
    <w:rsid w:val="2E3424AE"/>
    <w:rsid w:val="2E390AA4"/>
    <w:rsid w:val="2E56698D"/>
    <w:rsid w:val="2E77151C"/>
    <w:rsid w:val="2E8F6EDE"/>
    <w:rsid w:val="2E935510"/>
    <w:rsid w:val="2EB83368"/>
    <w:rsid w:val="2EC76F67"/>
    <w:rsid w:val="2ECD31EC"/>
    <w:rsid w:val="2ECE0A3B"/>
    <w:rsid w:val="2EED462E"/>
    <w:rsid w:val="2EF10397"/>
    <w:rsid w:val="2EFA10EB"/>
    <w:rsid w:val="2F0E68BD"/>
    <w:rsid w:val="2F18165E"/>
    <w:rsid w:val="2F1C3757"/>
    <w:rsid w:val="2F367B1A"/>
    <w:rsid w:val="2F3C1703"/>
    <w:rsid w:val="2F3E7229"/>
    <w:rsid w:val="2F4F7689"/>
    <w:rsid w:val="2F5527C5"/>
    <w:rsid w:val="2F642A08"/>
    <w:rsid w:val="2F6B3ADF"/>
    <w:rsid w:val="2F7B2EEA"/>
    <w:rsid w:val="2F902C6A"/>
    <w:rsid w:val="2FCB7E61"/>
    <w:rsid w:val="2FD14693"/>
    <w:rsid w:val="2FD44032"/>
    <w:rsid w:val="2FDE2471"/>
    <w:rsid w:val="2FE73D65"/>
    <w:rsid w:val="30003903"/>
    <w:rsid w:val="300217A5"/>
    <w:rsid w:val="30103706"/>
    <w:rsid w:val="30162FEC"/>
    <w:rsid w:val="301937F3"/>
    <w:rsid w:val="30226B4B"/>
    <w:rsid w:val="30274161"/>
    <w:rsid w:val="3029301E"/>
    <w:rsid w:val="302D7F4C"/>
    <w:rsid w:val="30344BF1"/>
    <w:rsid w:val="3038011D"/>
    <w:rsid w:val="30405AEB"/>
    <w:rsid w:val="305B244B"/>
    <w:rsid w:val="305C3331"/>
    <w:rsid w:val="305F7D9F"/>
    <w:rsid w:val="30760C45"/>
    <w:rsid w:val="308C1111"/>
    <w:rsid w:val="30CD32FD"/>
    <w:rsid w:val="30E65DCB"/>
    <w:rsid w:val="30F20D81"/>
    <w:rsid w:val="310006B3"/>
    <w:rsid w:val="310B3A83"/>
    <w:rsid w:val="312724DF"/>
    <w:rsid w:val="313034EA"/>
    <w:rsid w:val="3143321D"/>
    <w:rsid w:val="314F4AD5"/>
    <w:rsid w:val="31603DCF"/>
    <w:rsid w:val="31AA329C"/>
    <w:rsid w:val="31AA3F79"/>
    <w:rsid w:val="31AA5424"/>
    <w:rsid w:val="31AC0DC2"/>
    <w:rsid w:val="31BF420A"/>
    <w:rsid w:val="31C41857"/>
    <w:rsid w:val="31D14209"/>
    <w:rsid w:val="31E9383F"/>
    <w:rsid w:val="3204710B"/>
    <w:rsid w:val="321D2B89"/>
    <w:rsid w:val="321F2C5E"/>
    <w:rsid w:val="32365527"/>
    <w:rsid w:val="323D1A1A"/>
    <w:rsid w:val="324460CE"/>
    <w:rsid w:val="32476D3D"/>
    <w:rsid w:val="32494863"/>
    <w:rsid w:val="324B673B"/>
    <w:rsid w:val="32674CE9"/>
    <w:rsid w:val="326C4087"/>
    <w:rsid w:val="3285129C"/>
    <w:rsid w:val="329B1D7A"/>
    <w:rsid w:val="329B5CE6"/>
    <w:rsid w:val="329D070B"/>
    <w:rsid w:val="329F4483"/>
    <w:rsid w:val="32A7027D"/>
    <w:rsid w:val="32C24615"/>
    <w:rsid w:val="32DB1233"/>
    <w:rsid w:val="32E04869"/>
    <w:rsid w:val="32E508F9"/>
    <w:rsid w:val="32E620B2"/>
    <w:rsid w:val="32EF11A4"/>
    <w:rsid w:val="32EF2AEF"/>
    <w:rsid w:val="32EF699D"/>
    <w:rsid w:val="32F81DE5"/>
    <w:rsid w:val="330C5891"/>
    <w:rsid w:val="331B37A3"/>
    <w:rsid w:val="331C3D26"/>
    <w:rsid w:val="33331868"/>
    <w:rsid w:val="33441E18"/>
    <w:rsid w:val="335222DF"/>
    <w:rsid w:val="33574D5E"/>
    <w:rsid w:val="33596D28"/>
    <w:rsid w:val="3369683F"/>
    <w:rsid w:val="338173A6"/>
    <w:rsid w:val="33837901"/>
    <w:rsid w:val="33A65CE5"/>
    <w:rsid w:val="33AB50A9"/>
    <w:rsid w:val="33C00B55"/>
    <w:rsid w:val="33D02303"/>
    <w:rsid w:val="33DE77AB"/>
    <w:rsid w:val="33F7209D"/>
    <w:rsid w:val="34000F51"/>
    <w:rsid w:val="3403719D"/>
    <w:rsid w:val="34086058"/>
    <w:rsid w:val="340869E7"/>
    <w:rsid w:val="341C4B0F"/>
    <w:rsid w:val="34254E5C"/>
    <w:rsid w:val="34460580"/>
    <w:rsid w:val="3452342E"/>
    <w:rsid w:val="345319C9"/>
    <w:rsid w:val="34545741"/>
    <w:rsid w:val="34586FDF"/>
    <w:rsid w:val="346D06AE"/>
    <w:rsid w:val="3480471C"/>
    <w:rsid w:val="349176FE"/>
    <w:rsid w:val="34A86C01"/>
    <w:rsid w:val="34AD7131"/>
    <w:rsid w:val="34AF023F"/>
    <w:rsid w:val="34B61F58"/>
    <w:rsid w:val="34D10B40"/>
    <w:rsid w:val="34E02B31"/>
    <w:rsid w:val="34E6283D"/>
    <w:rsid w:val="34F20AE9"/>
    <w:rsid w:val="34F46002"/>
    <w:rsid w:val="350607E9"/>
    <w:rsid w:val="351530B1"/>
    <w:rsid w:val="3538591B"/>
    <w:rsid w:val="354924F4"/>
    <w:rsid w:val="354B6B44"/>
    <w:rsid w:val="35502290"/>
    <w:rsid w:val="35531BEF"/>
    <w:rsid w:val="35577297"/>
    <w:rsid w:val="355A6A30"/>
    <w:rsid w:val="35611EC4"/>
    <w:rsid w:val="357716E7"/>
    <w:rsid w:val="357864AF"/>
    <w:rsid w:val="358F4C83"/>
    <w:rsid w:val="3595270B"/>
    <w:rsid w:val="359E78BC"/>
    <w:rsid w:val="35B3327A"/>
    <w:rsid w:val="35B53A9E"/>
    <w:rsid w:val="35C83404"/>
    <w:rsid w:val="35DE019D"/>
    <w:rsid w:val="35FA68CC"/>
    <w:rsid w:val="35FC1BEC"/>
    <w:rsid w:val="360867E3"/>
    <w:rsid w:val="362A675A"/>
    <w:rsid w:val="36333128"/>
    <w:rsid w:val="36457468"/>
    <w:rsid w:val="364F4559"/>
    <w:rsid w:val="36524DC2"/>
    <w:rsid w:val="367E2601"/>
    <w:rsid w:val="36B73D22"/>
    <w:rsid w:val="36BB5604"/>
    <w:rsid w:val="36C65C52"/>
    <w:rsid w:val="36F11025"/>
    <w:rsid w:val="36F40B16"/>
    <w:rsid w:val="36F4355A"/>
    <w:rsid w:val="36F53602"/>
    <w:rsid w:val="3706303C"/>
    <w:rsid w:val="37100DF5"/>
    <w:rsid w:val="371D201C"/>
    <w:rsid w:val="373F6235"/>
    <w:rsid w:val="3748337C"/>
    <w:rsid w:val="37531CE0"/>
    <w:rsid w:val="3764489E"/>
    <w:rsid w:val="37661A13"/>
    <w:rsid w:val="376D0FF4"/>
    <w:rsid w:val="37755EB7"/>
    <w:rsid w:val="37757EA8"/>
    <w:rsid w:val="3776777C"/>
    <w:rsid w:val="37A91049"/>
    <w:rsid w:val="37EA43F2"/>
    <w:rsid w:val="37EB016A"/>
    <w:rsid w:val="37EB78C9"/>
    <w:rsid w:val="37EE573A"/>
    <w:rsid w:val="38084878"/>
    <w:rsid w:val="380A016F"/>
    <w:rsid w:val="380A05F1"/>
    <w:rsid w:val="3810197F"/>
    <w:rsid w:val="3821593A"/>
    <w:rsid w:val="38233460"/>
    <w:rsid w:val="38250D07"/>
    <w:rsid w:val="382D6214"/>
    <w:rsid w:val="383166DB"/>
    <w:rsid w:val="38471845"/>
    <w:rsid w:val="38752EFE"/>
    <w:rsid w:val="387E4B3B"/>
    <w:rsid w:val="38803AEC"/>
    <w:rsid w:val="3888238D"/>
    <w:rsid w:val="38AE69BE"/>
    <w:rsid w:val="38B22A36"/>
    <w:rsid w:val="38DA6350"/>
    <w:rsid w:val="38E15F1D"/>
    <w:rsid w:val="38EC7CF6"/>
    <w:rsid w:val="38EF76A1"/>
    <w:rsid w:val="38F6475A"/>
    <w:rsid w:val="39033519"/>
    <w:rsid w:val="390D6576"/>
    <w:rsid w:val="39100C1F"/>
    <w:rsid w:val="391060DB"/>
    <w:rsid w:val="391B682D"/>
    <w:rsid w:val="392751D2"/>
    <w:rsid w:val="392A6A70"/>
    <w:rsid w:val="392E21CA"/>
    <w:rsid w:val="39424929"/>
    <w:rsid w:val="3942754E"/>
    <w:rsid w:val="395F1248"/>
    <w:rsid w:val="3972643A"/>
    <w:rsid w:val="397877DC"/>
    <w:rsid w:val="39813B1B"/>
    <w:rsid w:val="39875C71"/>
    <w:rsid w:val="39930C32"/>
    <w:rsid w:val="39A131D7"/>
    <w:rsid w:val="39A43FF6"/>
    <w:rsid w:val="39CD3FCC"/>
    <w:rsid w:val="39DA600C"/>
    <w:rsid w:val="39E906DA"/>
    <w:rsid w:val="3A06303A"/>
    <w:rsid w:val="3A1C460B"/>
    <w:rsid w:val="3A255EE2"/>
    <w:rsid w:val="3A3E6C77"/>
    <w:rsid w:val="3A40527C"/>
    <w:rsid w:val="3A4927BA"/>
    <w:rsid w:val="3A595CA7"/>
    <w:rsid w:val="3A5A43C7"/>
    <w:rsid w:val="3A700586"/>
    <w:rsid w:val="3A770978"/>
    <w:rsid w:val="3A922B1F"/>
    <w:rsid w:val="3AA07D3D"/>
    <w:rsid w:val="3AA348DA"/>
    <w:rsid w:val="3AD44EE6"/>
    <w:rsid w:val="3ADE2D8C"/>
    <w:rsid w:val="3AEC0481"/>
    <w:rsid w:val="3AED3D86"/>
    <w:rsid w:val="3AF001DE"/>
    <w:rsid w:val="3AFD75A5"/>
    <w:rsid w:val="3B3B4F65"/>
    <w:rsid w:val="3B474991"/>
    <w:rsid w:val="3B6E301D"/>
    <w:rsid w:val="3B714E2B"/>
    <w:rsid w:val="3B951034"/>
    <w:rsid w:val="3BAF7879"/>
    <w:rsid w:val="3BC431AC"/>
    <w:rsid w:val="3BCD6B9E"/>
    <w:rsid w:val="3BE64ED1"/>
    <w:rsid w:val="3BEE1FD7"/>
    <w:rsid w:val="3BF01660"/>
    <w:rsid w:val="3C101F4E"/>
    <w:rsid w:val="3C2105FF"/>
    <w:rsid w:val="3C23228C"/>
    <w:rsid w:val="3C3025F0"/>
    <w:rsid w:val="3C35756E"/>
    <w:rsid w:val="3C4A75EA"/>
    <w:rsid w:val="3C5A141B"/>
    <w:rsid w:val="3C7050E2"/>
    <w:rsid w:val="3C860462"/>
    <w:rsid w:val="3C9F3A7B"/>
    <w:rsid w:val="3CBE25E8"/>
    <w:rsid w:val="3CE07B72"/>
    <w:rsid w:val="3CE355CD"/>
    <w:rsid w:val="3D2739F3"/>
    <w:rsid w:val="3D2832C7"/>
    <w:rsid w:val="3D2F3811"/>
    <w:rsid w:val="3D37175C"/>
    <w:rsid w:val="3D3A13B6"/>
    <w:rsid w:val="3D3E0D3C"/>
    <w:rsid w:val="3D4C16AB"/>
    <w:rsid w:val="3D54230E"/>
    <w:rsid w:val="3D6310DA"/>
    <w:rsid w:val="3D7C5D6F"/>
    <w:rsid w:val="3D827BF5"/>
    <w:rsid w:val="3D8B0ECB"/>
    <w:rsid w:val="3D8F7B88"/>
    <w:rsid w:val="3DC15C11"/>
    <w:rsid w:val="3DC2196D"/>
    <w:rsid w:val="3DC2371B"/>
    <w:rsid w:val="3DC56B27"/>
    <w:rsid w:val="3DDE2232"/>
    <w:rsid w:val="3DEE2762"/>
    <w:rsid w:val="3E13537A"/>
    <w:rsid w:val="3E45707E"/>
    <w:rsid w:val="3E6309CA"/>
    <w:rsid w:val="3E686071"/>
    <w:rsid w:val="3E720C9E"/>
    <w:rsid w:val="3E724712"/>
    <w:rsid w:val="3E7376C7"/>
    <w:rsid w:val="3E796B9B"/>
    <w:rsid w:val="3E8E4943"/>
    <w:rsid w:val="3E8F1850"/>
    <w:rsid w:val="3E90381A"/>
    <w:rsid w:val="3E907376"/>
    <w:rsid w:val="3EB56DDC"/>
    <w:rsid w:val="3ECD05CA"/>
    <w:rsid w:val="3ECD2378"/>
    <w:rsid w:val="3EDB5CD0"/>
    <w:rsid w:val="3EDE4284"/>
    <w:rsid w:val="3EE65911"/>
    <w:rsid w:val="3EEB5B82"/>
    <w:rsid w:val="3F04504A"/>
    <w:rsid w:val="3F0F283A"/>
    <w:rsid w:val="3F0F473E"/>
    <w:rsid w:val="3F2A5A1C"/>
    <w:rsid w:val="3F3F7DC2"/>
    <w:rsid w:val="3F446ADE"/>
    <w:rsid w:val="3F4E170B"/>
    <w:rsid w:val="3F566811"/>
    <w:rsid w:val="3F7B1DD4"/>
    <w:rsid w:val="3F80563C"/>
    <w:rsid w:val="3F8074B3"/>
    <w:rsid w:val="3FB94A2A"/>
    <w:rsid w:val="3FBD063E"/>
    <w:rsid w:val="3FC512A1"/>
    <w:rsid w:val="3FC60C71"/>
    <w:rsid w:val="3FCF3D6E"/>
    <w:rsid w:val="3FF22CC8"/>
    <w:rsid w:val="3FFF4E97"/>
    <w:rsid w:val="40061437"/>
    <w:rsid w:val="40061FE5"/>
    <w:rsid w:val="401022FF"/>
    <w:rsid w:val="40185875"/>
    <w:rsid w:val="401F4E55"/>
    <w:rsid w:val="402C5FBA"/>
    <w:rsid w:val="402E6E46"/>
    <w:rsid w:val="403770EA"/>
    <w:rsid w:val="405B57EB"/>
    <w:rsid w:val="405F5252"/>
    <w:rsid w:val="407927B7"/>
    <w:rsid w:val="40837FAD"/>
    <w:rsid w:val="40880C4C"/>
    <w:rsid w:val="408E47AF"/>
    <w:rsid w:val="409A0980"/>
    <w:rsid w:val="409D3B42"/>
    <w:rsid w:val="409F7D44"/>
    <w:rsid w:val="40A12C7E"/>
    <w:rsid w:val="40E216CB"/>
    <w:rsid w:val="411E43AE"/>
    <w:rsid w:val="412225DA"/>
    <w:rsid w:val="415559D0"/>
    <w:rsid w:val="416A65A4"/>
    <w:rsid w:val="417624B7"/>
    <w:rsid w:val="41911D83"/>
    <w:rsid w:val="41967399"/>
    <w:rsid w:val="41A970CC"/>
    <w:rsid w:val="41B11ADD"/>
    <w:rsid w:val="41D3433B"/>
    <w:rsid w:val="41D872F3"/>
    <w:rsid w:val="41DF4E60"/>
    <w:rsid w:val="42004812"/>
    <w:rsid w:val="420A5BE2"/>
    <w:rsid w:val="421039FA"/>
    <w:rsid w:val="421729DE"/>
    <w:rsid w:val="424348A5"/>
    <w:rsid w:val="425A3F23"/>
    <w:rsid w:val="42884F34"/>
    <w:rsid w:val="429D02B3"/>
    <w:rsid w:val="42A56CAD"/>
    <w:rsid w:val="42AF358B"/>
    <w:rsid w:val="42BA0E65"/>
    <w:rsid w:val="42C66C41"/>
    <w:rsid w:val="42CA547B"/>
    <w:rsid w:val="42D02437"/>
    <w:rsid w:val="42D24401"/>
    <w:rsid w:val="42D6435A"/>
    <w:rsid w:val="42D907EA"/>
    <w:rsid w:val="42EE2F59"/>
    <w:rsid w:val="42F61B0D"/>
    <w:rsid w:val="42FC76D0"/>
    <w:rsid w:val="431B23BF"/>
    <w:rsid w:val="43346E69"/>
    <w:rsid w:val="43362BE2"/>
    <w:rsid w:val="435B43F6"/>
    <w:rsid w:val="43826BE8"/>
    <w:rsid w:val="43832A92"/>
    <w:rsid w:val="43AF7095"/>
    <w:rsid w:val="43C7383A"/>
    <w:rsid w:val="43EE29D1"/>
    <w:rsid w:val="43F16531"/>
    <w:rsid w:val="440426ED"/>
    <w:rsid w:val="442C5D93"/>
    <w:rsid w:val="44466E54"/>
    <w:rsid w:val="44485339"/>
    <w:rsid w:val="44550E45"/>
    <w:rsid w:val="445F3124"/>
    <w:rsid w:val="446B4F0C"/>
    <w:rsid w:val="446E3CB5"/>
    <w:rsid w:val="447C2EA5"/>
    <w:rsid w:val="447D65EE"/>
    <w:rsid w:val="44896D41"/>
    <w:rsid w:val="44A1052F"/>
    <w:rsid w:val="44A65B45"/>
    <w:rsid w:val="44B87D19"/>
    <w:rsid w:val="44C32ED5"/>
    <w:rsid w:val="44C653C5"/>
    <w:rsid w:val="44C71A91"/>
    <w:rsid w:val="44C85ABB"/>
    <w:rsid w:val="44ED1FED"/>
    <w:rsid w:val="44FE358C"/>
    <w:rsid w:val="45036AF3"/>
    <w:rsid w:val="451F1453"/>
    <w:rsid w:val="45230B42"/>
    <w:rsid w:val="452B1BA6"/>
    <w:rsid w:val="45343151"/>
    <w:rsid w:val="45596713"/>
    <w:rsid w:val="456C0661"/>
    <w:rsid w:val="457F2ACD"/>
    <w:rsid w:val="458956F6"/>
    <w:rsid w:val="45B84A42"/>
    <w:rsid w:val="45C64F3E"/>
    <w:rsid w:val="45CD0EAF"/>
    <w:rsid w:val="45DC10F2"/>
    <w:rsid w:val="45E8717C"/>
    <w:rsid w:val="45FE0DF0"/>
    <w:rsid w:val="45FF375F"/>
    <w:rsid w:val="46001285"/>
    <w:rsid w:val="46081EE8"/>
    <w:rsid w:val="4613720A"/>
    <w:rsid w:val="461865CE"/>
    <w:rsid w:val="461A1501"/>
    <w:rsid w:val="46203691"/>
    <w:rsid w:val="462036D5"/>
    <w:rsid w:val="463070F1"/>
    <w:rsid w:val="46584C1D"/>
    <w:rsid w:val="46641385"/>
    <w:rsid w:val="4676729B"/>
    <w:rsid w:val="46805F22"/>
    <w:rsid w:val="46860566"/>
    <w:rsid w:val="468C2B19"/>
    <w:rsid w:val="46A60E1D"/>
    <w:rsid w:val="46BF2EEE"/>
    <w:rsid w:val="46D06EA9"/>
    <w:rsid w:val="46E110B6"/>
    <w:rsid w:val="46E348A9"/>
    <w:rsid w:val="46E42955"/>
    <w:rsid w:val="46E841F3"/>
    <w:rsid w:val="46F15E80"/>
    <w:rsid w:val="46FA6376"/>
    <w:rsid w:val="47273C55"/>
    <w:rsid w:val="473E02B7"/>
    <w:rsid w:val="4749174A"/>
    <w:rsid w:val="474D377B"/>
    <w:rsid w:val="475E0317"/>
    <w:rsid w:val="47633443"/>
    <w:rsid w:val="4770243A"/>
    <w:rsid w:val="477A16C7"/>
    <w:rsid w:val="477A4760"/>
    <w:rsid w:val="477E2876"/>
    <w:rsid w:val="477E4F02"/>
    <w:rsid w:val="47B95C4D"/>
    <w:rsid w:val="47CF14F8"/>
    <w:rsid w:val="47D209FF"/>
    <w:rsid w:val="47D74267"/>
    <w:rsid w:val="47EF335F"/>
    <w:rsid w:val="47F24F0F"/>
    <w:rsid w:val="481334F1"/>
    <w:rsid w:val="48174664"/>
    <w:rsid w:val="48270D4B"/>
    <w:rsid w:val="48315726"/>
    <w:rsid w:val="48392D55"/>
    <w:rsid w:val="483F445B"/>
    <w:rsid w:val="485F6737"/>
    <w:rsid w:val="486F0384"/>
    <w:rsid w:val="4871260C"/>
    <w:rsid w:val="48733F90"/>
    <w:rsid w:val="487D3D7D"/>
    <w:rsid w:val="488C5052"/>
    <w:rsid w:val="489F3846"/>
    <w:rsid w:val="48BF0F83"/>
    <w:rsid w:val="48DC0D48"/>
    <w:rsid w:val="48EB7FCA"/>
    <w:rsid w:val="48FD5F50"/>
    <w:rsid w:val="49373210"/>
    <w:rsid w:val="495C67D2"/>
    <w:rsid w:val="497E0E3E"/>
    <w:rsid w:val="498811FA"/>
    <w:rsid w:val="498A4557"/>
    <w:rsid w:val="49A04A13"/>
    <w:rsid w:val="49A554EA"/>
    <w:rsid w:val="49B455E9"/>
    <w:rsid w:val="49E35145"/>
    <w:rsid w:val="4A1E2E2E"/>
    <w:rsid w:val="4A282B58"/>
    <w:rsid w:val="4A36540F"/>
    <w:rsid w:val="4A5E2D13"/>
    <w:rsid w:val="4A623EAE"/>
    <w:rsid w:val="4A7B3947"/>
    <w:rsid w:val="4A7D0B23"/>
    <w:rsid w:val="4A7D2EA4"/>
    <w:rsid w:val="4A902968"/>
    <w:rsid w:val="4AC7411F"/>
    <w:rsid w:val="4ACC4AAA"/>
    <w:rsid w:val="4ACE54AE"/>
    <w:rsid w:val="4AD34597"/>
    <w:rsid w:val="4AEC002A"/>
    <w:rsid w:val="4AEF4E56"/>
    <w:rsid w:val="4AFC3029"/>
    <w:rsid w:val="4B0C53D9"/>
    <w:rsid w:val="4B2D4B32"/>
    <w:rsid w:val="4B3A2B43"/>
    <w:rsid w:val="4B5F6A4E"/>
    <w:rsid w:val="4B6352FD"/>
    <w:rsid w:val="4B8B69BE"/>
    <w:rsid w:val="4BA83F51"/>
    <w:rsid w:val="4BB548C0"/>
    <w:rsid w:val="4BBF129A"/>
    <w:rsid w:val="4BBF4E0D"/>
    <w:rsid w:val="4BBF584D"/>
    <w:rsid w:val="4BDF5E2C"/>
    <w:rsid w:val="4BE3494C"/>
    <w:rsid w:val="4BF9391C"/>
    <w:rsid w:val="4BFA7EC7"/>
    <w:rsid w:val="4BFC24EE"/>
    <w:rsid w:val="4BFE0015"/>
    <w:rsid w:val="4C1E06B7"/>
    <w:rsid w:val="4C290139"/>
    <w:rsid w:val="4C4D3D5B"/>
    <w:rsid w:val="4C646006"/>
    <w:rsid w:val="4C651E42"/>
    <w:rsid w:val="4C912C37"/>
    <w:rsid w:val="4CA04062"/>
    <w:rsid w:val="4CBD12E9"/>
    <w:rsid w:val="4CBD3A2C"/>
    <w:rsid w:val="4CDF44D1"/>
    <w:rsid w:val="4CE41429"/>
    <w:rsid w:val="4CF60CEC"/>
    <w:rsid w:val="4D1829A9"/>
    <w:rsid w:val="4D203FBB"/>
    <w:rsid w:val="4D341388"/>
    <w:rsid w:val="4D394B39"/>
    <w:rsid w:val="4D4B72AA"/>
    <w:rsid w:val="4D5A571F"/>
    <w:rsid w:val="4D6B375F"/>
    <w:rsid w:val="4D7163D8"/>
    <w:rsid w:val="4D76420B"/>
    <w:rsid w:val="4D8E44E5"/>
    <w:rsid w:val="4D90674F"/>
    <w:rsid w:val="4DAE6208"/>
    <w:rsid w:val="4DAE62C2"/>
    <w:rsid w:val="4DD51249"/>
    <w:rsid w:val="4DF80A94"/>
    <w:rsid w:val="4DF83532"/>
    <w:rsid w:val="4E061402"/>
    <w:rsid w:val="4E157783"/>
    <w:rsid w:val="4E223A1D"/>
    <w:rsid w:val="4E28658D"/>
    <w:rsid w:val="4E381440"/>
    <w:rsid w:val="4E3C4E24"/>
    <w:rsid w:val="4E4C762D"/>
    <w:rsid w:val="4E4F4729"/>
    <w:rsid w:val="4E604FB7"/>
    <w:rsid w:val="4E726A98"/>
    <w:rsid w:val="4E773DC7"/>
    <w:rsid w:val="4E796078"/>
    <w:rsid w:val="4E874FC1"/>
    <w:rsid w:val="4E8A5B90"/>
    <w:rsid w:val="4E8E297B"/>
    <w:rsid w:val="4E992277"/>
    <w:rsid w:val="4EB279E1"/>
    <w:rsid w:val="4EB3158A"/>
    <w:rsid w:val="4EC60829"/>
    <w:rsid w:val="4ED30057"/>
    <w:rsid w:val="4F0D5971"/>
    <w:rsid w:val="4F2204BE"/>
    <w:rsid w:val="4F4C5C72"/>
    <w:rsid w:val="4F5166AD"/>
    <w:rsid w:val="4F552B7E"/>
    <w:rsid w:val="4F90367A"/>
    <w:rsid w:val="4F921D80"/>
    <w:rsid w:val="4F960564"/>
    <w:rsid w:val="4F9B5B7A"/>
    <w:rsid w:val="4FA02032"/>
    <w:rsid w:val="4FAD19FD"/>
    <w:rsid w:val="4FB76E58"/>
    <w:rsid w:val="4FBF782F"/>
    <w:rsid w:val="4FC11A85"/>
    <w:rsid w:val="4FD74457"/>
    <w:rsid w:val="4FF247AC"/>
    <w:rsid w:val="4FFA6D45"/>
    <w:rsid w:val="50036E81"/>
    <w:rsid w:val="501D0506"/>
    <w:rsid w:val="501D1113"/>
    <w:rsid w:val="502F2E92"/>
    <w:rsid w:val="50331D6C"/>
    <w:rsid w:val="503E4E84"/>
    <w:rsid w:val="50493828"/>
    <w:rsid w:val="508839C8"/>
    <w:rsid w:val="50AA27EE"/>
    <w:rsid w:val="50AB770D"/>
    <w:rsid w:val="50B75316"/>
    <w:rsid w:val="50B909AE"/>
    <w:rsid w:val="50DC25B1"/>
    <w:rsid w:val="50DE6C7D"/>
    <w:rsid w:val="50E35A2B"/>
    <w:rsid w:val="50E36FE8"/>
    <w:rsid w:val="50F025BD"/>
    <w:rsid w:val="50F25C6E"/>
    <w:rsid w:val="50F55A68"/>
    <w:rsid w:val="510A745C"/>
    <w:rsid w:val="510D5693"/>
    <w:rsid w:val="51124C16"/>
    <w:rsid w:val="5119769F"/>
    <w:rsid w:val="511978B7"/>
    <w:rsid w:val="512F7F29"/>
    <w:rsid w:val="51473FAC"/>
    <w:rsid w:val="51541F5E"/>
    <w:rsid w:val="516B68C8"/>
    <w:rsid w:val="516E1747"/>
    <w:rsid w:val="5181753A"/>
    <w:rsid w:val="518A7817"/>
    <w:rsid w:val="518B234A"/>
    <w:rsid w:val="51954F77"/>
    <w:rsid w:val="519A2C67"/>
    <w:rsid w:val="51A20349"/>
    <w:rsid w:val="51A21442"/>
    <w:rsid w:val="51AE2F2B"/>
    <w:rsid w:val="51BA678C"/>
    <w:rsid w:val="51C0593B"/>
    <w:rsid w:val="51CC5C70"/>
    <w:rsid w:val="51CF19F5"/>
    <w:rsid w:val="51DF4F46"/>
    <w:rsid w:val="51ED27AA"/>
    <w:rsid w:val="51EF7D52"/>
    <w:rsid w:val="52032E31"/>
    <w:rsid w:val="52050620"/>
    <w:rsid w:val="520D53A9"/>
    <w:rsid w:val="52123C42"/>
    <w:rsid w:val="5213321C"/>
    <w:rsid w:val="521560B8"/>
    <w:rsid w:val="521A1920"/>
    <w:rsid w:val="522456D9"/>
    <w:rsid w:val="5228170B"/>
    <w:rsid w:val="525E7251"/>
    <w:rsid w:val="526A681D"/>
    <w:rsid w:val="52911BE2"/>
    <w:rsid w:val="52A15B9E"/>
    <w:rsid w:val="52A1794C"/>
    <w:rsid w:val="52A473FE"/>
    <w:rsid w:val="52A511EA"/>
    <w:rsid w:val="52B61649"/>
    <w:rsid w:val="52CC7A6B"/>
    <w:rsid w:val="52E71802"/>
    <w:rsid w:val="52E87329"/>
    <w:rsid w:val="52F218AE"/>
    <w:rsid w:val="52F46AF8"/>
    <w:rsid w:val="52F65EE9"/>
    <w:rsid w:val="52FD70ED"/>
    <w:rsid w:val="53025F24"/>
    <w:rsid w:val="53095C1D"/>
    <w:rsid w:val="531371D9"/>
    <w:rsid w:val="531E2D4A"/>
    <w:rsid w:val="532B7CFC"/>
    <w:rsid w:val="53332C9A"/>
    <w:rsid w:val="535D3873"/>
    <w:rsid w:val="53727053"/>
    <w:rsid w:val="5392247D"/>
    <w:rsid w:val="53990C1F"/>
    <w:rsid w:val="539A0F3A"/>
    <w:rsid w:val="539B1EC0"/>
    <w:rsid w:val="53AA2830"/>
    <w:rsid w:val="53B55B42"/>
    <w:rsid w:val="53BC274A"/>
    <w:rsid w:val="53EE1F48"/>
    <w:rsid w:val="53FC752F"/>
    <w:rsid w:val="54177EC5"/>
    <w:rsid w:val="54297BF9"/>
    <w:rsid w:val="5447551F"/>
    <w:rsid w:val="54595B27"/>
    <w:rsid w:val="545E1A69"/>
    <w:rsid w:val="54764F44"/>
    <w:rsid w:val="547C2BFD"/>
    <w:rsid w:val="548117E3"/>
    <w:rsid w:val="54857525"/>
    <w:rsid w:val="548C2946"/>
    <w:rsid w:val="549D52AF"/>
    <w:rsid w:val="549E6541"/>
    <w:rsid w:val="54A64FD9"/>
    <w:rsid w:val="54AD16E8"/>
    <w:rsid w:val="54BE2A37"/>
    <w:rsid w:val="54D42249"/>
    <w:rsid w:val="55014B1C"/>
    <w:rsid w:val="55102B67"/>
    <w:rsid w:val="551C150B"/>
    <w:rsid w:val="55222C37"/>
    <w:rsid w:val="552A3C32"/>
    <w:rsid w:val="55384597"/>
    <w:rsid w:val="5540344C"/>
    <w:rsid w:val="55434CEA"/>
    <w:rsid w:val="55466638"/>
    <w:rsid w:val="557919B7"/>
    <w:rsid w:val="557E53B7"/>
    <w:rsid w:val="55821CB6"/>
    <w:rsid w:val="55821F6D"/>
    <w:rsid w:val="55823A64"/>
    <w:rsid w:val="55893CEF"/>
    <w:rsid w:val="558D768C"/>
    <w:rsid w:val="559E5653"/>
    <w:rsid w:val="55CC1183"/>
    <w:rsid w:val="55E53FF3"/>
    <w:rsid w:val="561B55FA"/>
    <w:rsid w:val="56310FE7"/>
    <w:rsid w:val="565151E5"/>
    <w:rsid w:val="56674A08"/>
    <w:rsid w:val="566C4B50"/>
    <w:rsid w:val="56725887"/>
    <w:rsid w:val="5697709C"/>
    <w:rsid w:val="56990A29"/>
    <w:rsid w:val="56B57E6A"/>
    <w:rsid w:val="56C63E25"/>
    <w:rsid w:val="56DE116E"/>
    <w:rsid w:val="56E115BC"/>
    <w:rsid w:val="56EB73E7"/>
    <w:rsid w:val="57034731"/>
    <w:rsid w:val="5705621C"/>
    <w:rsid w:val="570A1F63"/>
    <w:rsid w:val="570E3F26"/>
    <w:rsid w:val="570F757A"/>
    <w:rsid w:val="571526B6"/>
    <w:rsid w:val="574216FD"/>
    <w:rsid w:val="57496FEF"/>
    <w:rsid w:val="57764DED"/>
    <w:rsid w:val="578735B4"/>
    <w:rsid w:val="578C2978"/>
    <w:rsid w:val="579609A2"/>
    <w:rsid w:val="57B27F05"/>
    <w:rsid w:val="57B44ECA"/>
    <w:rsid w:val="57C069AE"/>
    <w:rsid w:val="57C32112"/>
    <w:rsid w:val="57C540DC"/>
    <w:rsid w:val="57CB73B1"/>
    <w:rsid w:val="57F329F7"/>
    <w:rsid w:val="57F66044"/>
    <w:rsid w:val="57F720A1"/>
    <w:rsid w:val="57FB1E12"/>
    <w:rsid w:val="581A78AC"/>
    <w:rsid w:val="582E5343"/>
    <w:rsid w:val="58354DBE"/>
    <w:rsid w:val="583B614D"/>
    <w:rsid w:val="583D0117"/>
    <w:rsid w:val="58430F7C"/>
    <w:rsid w:val="585D3D56"/>
    <w:rsid w:val="585D78A5"/>
    <w:rsid w:val="58773629"/>
    <w:rsid w:val="589917F1"/>
    <w:rsid w:val="58BA1767"/>
    <w:rsid w:val="58BD31D8"/>
    <w:rsid w:val="58C01CB1"/>
    <w:rsid w:val="58D740C7"/>
    <w:rsid w:val="58D81BED"/>
    <w:rsid w:val="590066E2"/>
    <w:rsid w:val="59053325"/>
    <w:rsid w:val="59066F89"/>
    <w:rsid w:val="59123351"/>
    <w:rsid w:val="59254E33"/>
    <w:rsid w:val="593F66AE"/>
    <w:rsid w:val="597436C4"/>
    <w:rsid w:val="59795F2D"/>
    <w:rsid w:val="59807E16"/>
    <w:rsid w:val="598E18AB"/>
    <w:rsid w:val="59A45C31"/>
    <w:rsid w:val="59A73A9A"/>
    <w:rsid w:val="59D867DD"/>
    <w:rsid w:val="59DE4A87"/>
    <w:rsid w:val="59F5669F"/>
    <w:rsid w:val="5A0F1828"/>
    <w:rsid w:val="5A1B454A"/>
    <w:rsid w:val="5A231527"/>
    <w:rsid w:val="5A4A08C9"/>
    <w:rsid w:val="5A70032F"/>
    <w:rsid w:val="5A797FA5"/>
    <w:rsid w:val="5A8F7E8C"/>
    <w:rsid w:val="5A947B93"/>
    <w:rsid w:val="5AAC5F15"/>
    <w:rsid w:val="5AC42429"/>
    <w:rsid w:val="5ADE26D4"/>
    <w:rsid w:val="5AE22263"/>
    <w:rsid w:val="5B13515F"/>
    <w:rsid w:val="5B1E42D9"/>
    <w:rsid w:val="5B2335F4"/>
    <w:rsid w:val="5B233786"/>
    <w:rsid w:val="5B353327"/>
    <w:rsid w:val="5B4041A6"/>
    <w:rsid w:val="5B4377F2"/>
    <w:rsid w:val="5B4D68C3"/>
    <w:rsid w:val="5B561CFC"/>
    <w:rsid w:val="5B585A42"/>
    <w:rsid w:val="5B5A2D8E"/>
    <w:rsid w:val="5B6F05E7"/>
    <w:rsid w:val="5B786D53"/>
    <w:rsid w:val="5B7974BE"/>
    <w:rsid w:val="5B865931"/>
    <w:rsid w:val="5B906302"/>
    <w:rsid w:val="5B951B8F"/>
    <w:rsid w:val="5B9E11CD"/>
    <w:rsid w:val="5BA86F23"/>
    <w:rsid w:val="5BAA7871"/>
    <w:rsid w:val="5BAB5397"/>
    <w:rsid w:val="5BAD58AC"/>
    <w:rsid w:val="5BB00A38"/>
    <w:rsid w:val="5BC24519"/>
    <w:rsid w:val="5BCB0B78"/>
    <w:rsid w:val="5BFE7BBD"/>
    <w:rsid w:val="5C001B87"/>
    <w:rsid w:val="5C142F3C"/>
    <w:rsid w:val="5C1D44E7"/>
    <w:rsid w:val="5C2018E1"/>
    <w:rsid w:val="5C3657D4"/>
    <w:rsid w:val="5C41253D"/>
    <w:rsid w:val="5C6739B4"/>
    <w:rsid w:val="5C6907C8"/>
    <w:rsid w:val="5C6C4B26"/>
    <w:rsid w:val="5C7C3269"/>
    <w:rsid w:val="5C8005D2"/>
    <w:rsid w:val="5C871960"/>
    <w:rsid w:val="5C8956D8"/>
    <w:rsid w:val="5C936557"/>
    <w:rsid w:val="5C9D7102"/>
    <w:rsid w:val="5CA442C0"/>
    <w:rsid w:val="5CC2508E"/>
    <w:rsid w:val="5CD252D1"/>
    <w:rsid w:val="5CD8696B"/>
    <w:rsid w:val="5CDB3A5A"/>
    <w:rsid w:val="5CDD5A96"/>
    <w:rsid w:val="5CE47E70"/>
    <w:rsid w:val="5CF80AB0"/>
    <w:rsid w:val="5CF96FBB"/>
    <w:rsid w:val="5D106C02"/>
    <w:rsid w:val="5D1256CE"/>
    <w:rsid w:val="5D1C02FB"/>
    <w:rsid w:val="5D3D717B"/>
    <w:rsid w:val="5D415FB3"/>
    <w:rsid w:val="5D551A5E"/>
    <w:rsid w:val="5D6972B8"/>
    <w:rsid w:val="5D7B00ED"/>
    <w:rsid w:val="5D8030A5"/>
    <w:rsid w:val="5D8D2DF1"/>
    <w:rsid w:val="5D9B1B67"/>
    <w:rsid w:val="5DA33C1E"/>
    <w:rsid w:val="5DAC2B03"/>
    <w:rsid w:val="5DC6470A"/>
    <w:rsid w:val="5DD46E27"/>
    <w:rsid w:val="5DD5779D"/>
    <w:rsid w:val="5E086AD1"/>
    <w:rsid w:val="5E190169"/>
    <w:rsid w:val="5E2A2EEB"/>
    <w:rsid w:val="5E2E21CB"/>
    <w:rsid w:val="5E345B18"/>
    <w:rsid w:val="5E4A0E97"/>
    <w:rsid w:val="5E4A10D9"/>
    <w:rsid w:val="5E556288"/>
    <w:rsid w:val="5E565A8E"/>
    <w:rsid w:val="5E592EDA"/>
    <w:rsid w:val="5E5D5B52"/>
    <w:rsid w:val="5E6301AB"/>
    <w:rsid w:val="5E92288A"/>
    <w:rsid w:val="5E9D72F8"/>
    <w:rsid w:val="5EA54320"/>
    <w:rsid w:val="5EA848A7"/>
    <w:rsid w:val="5EC92704"/>
    <w:rsid w:val="5EDC1131"/>
    <w:rsid w:val="5EF07C91"/>
    <w:rsid w:val="5F1011B1"/>
    <w:rsid w:val="5F1863C2"/>
    <w:rsid w:val="5F223BC2"/>
    <w:rsid w:val="5F335AED"/>
    <w:rsid w:val="5F36446E"/>
    <w:rsid w:val="5F631F12"/>
    <w:rsid w:val="5F76456D"/>
    <w:rsid w:val="5F7E529D"/>
    <w:rsid w:val="5F90410F"/>
    <w:rsid w:val="5FA62A45"/>
    <w:rsid w:val="5FAD7930"/>
    <w:rsid w:val="5FBE7D8F"/>
    <w:rsid w:val="5FCF5AF8"/>
    <w:rsid w:val="5FEF1D4F"/>
    <w:rsid w:val="603D6F06"/>
    <w:rsid w:val="60597AB8"/>
    <w:rsid w:val="605D3915"/>
    <w:rsid w:val="60934D78"/>
    <w:rsid w:val="60983C2F"/>
    <w:rsid w:val="60A76A75"/>
    <w:rsid w:val="60B83236"/>
    <w:rsid w:val="60BB09FD"/>
    <w:rsid w:val="60C5155A"/>
    <w:rsid w:val="60E92BEA"/>
    <w:rsid w:val="60F75FB5"/>
    <w:rsid w:val="60FF41BB"/>
    <w:rsid w:val="61022FEE"/>
    <w:rsid w:val="61071CC3"/>
    <w:rsid w:val="611A7247"/>
    <w:rsid w:val="6126799A"/>
    <w:rsid w:val="61300818"/>
    <w:rsid w:val="613A0303"/>
    <w:rsid w:val="61500EBB"/>
    <w:rsid w:val="615719B7"/>
    <w:rsid w:val="615D0EE2"/>
    <w:rsid w:val="61650396"/>
    <w:rsid w:val="616E1EF8"/>
    <w:rsid w:val="6185098A"/>
    <w:rsid w:val="61972677"/>
    <w:rsid w:val="61A134C4"/>
    <w:rsid w:val="61A26D54"/>
    <w:rsid w:val="61A936B0"/>
    <w:rsid w:val="61AA6A73"/>
    <w:rsid w:val="61D8383E"/>
    <w:rsid w:val="61EB473F"/>
    <w:rsid w:val="61F061BF"/>
    <w:rsid w:val="620902A1"/>
    <w:rsid w:val="621C2E12"/>
    <w:rsid w:val="623D6CC3"/>
    <w:rsid w:val="623F45BB"/>
    <w:rsid w:val="62442EBF"/>
    <w:rsid w:val="62483940"/>
    <w:rsid w:val="6299006B"/>
    <w:rsid w:val="62BD2580"/>
    <w:rsid w:val="62DD22DA"/>
    <w:rsid w:val="62E80C7F"/>
    <w:rsid w:val="62EE3F20"/>
    <w:rsid w:val="62F6339C"/>
    <w:rsid w:val="62FE30AF"/>
    <w:rsid w:val="630B6CE7"/>
    <w:rsid w:val="631F2837"/>
    <w:rsid w:val="632D08A3"/>
    <w:rsid w:val="633671EC"/>
    <w:rsid w:val="636C18B0"/>
    <w:rsid w:val="6370632C"/>
    <w:rsid w:val="6378167F"/>
    <w:rsid w:val="63894210"/>
    <w:rsid w:val="638C3D00"/>
    <w:rsid w:val="63A31739"/>
    <w:rsid w:val="63AA35F8"/>
    <w:rsid w:val="63DF7702"/>
    <w:rsid w:val="63F96FF3"/>
    <w:rsid w:val="63FE6935"/>
    <w:rsid w:val="64016D84"/>
    <w:rsid w:val="64117276"/>
    <w:rsid w:val="6416019A"/>
    <w:rsid w:val="641E704E"/>
    <w:rsid w:val="642E32E6"/>
    <w:rsid w:val="643B5375"/>
    <w:rsid w:val="64410F8F"/>
    <w:rsid w:val="64425A82"/>
    <w:rsid w:val="644F7208"/>
    <w:rsid w:val="645760BC"/>
    <w:rsid w:val="646B7DB9"/>
    <w:rsid w:val="647E5DE7"/>
    <w:rsid w:val="64871EC7"/>
    <w:rsid w:val="648844C8"/>
    <w:rsid w:val="649B244D"/>
    <w:rsid w:val="64A55ED4"/>
    <w:rsid w:val="64B71F5D"/>
    <w:rsid w:val="64BB489D"/>
    <w:rsid w:val="64C8677E"/>
    <w:rsid w:val="64F102BF"/>
    <w:rsid w:val="650F6997"/>
    <w:rsid w:val="652341F0"/>
    <w:rsid w:val="6532302B"/>
    <w:rsid w:val="654B312B"/>
    <w:rsid w:val="654C6575"/>
    <w:rsid w:val="657D30C3"/>
    <w:rsid w:val="65913850"/>
    <w:rsid w:val="659A0956"/>
    <w:rsid w:val="65C14135"/>
    <w:rsid w:val="65C64121"/>
    <w:rsid w:val="65D9200F"/>
    <w:rsid w:val="65DF6369"/>
    <w:rsid w:val="65E93F4F"/>
    <w:rsid w:val="66022499"/>
    <w:rsid w:val="660D2ED6"/>
    <w:rsid w:val="6618187B"/>
    <w:rsid w:val="661C75BD"/>
    <w:rsid w:val="661F2C0A"/>
    <w:rsid w:val="66770072"/>
    <w:rsid w:val="668674A9"/>
    <w:rsid w:val="668C5C44"/>
    <w:rsid w:val="668D5E58"/>
    <w:rsid w:val="6697649E"/>
    <w:rsid w:val="669E73DD"/>
    <w:rsid w:val="66A55799"/>
    <w:rsid w:val="66AF0431"/>
    <w:rsid w:val="66B75538"/>
    <w:rsid w:val="66CD2666"/>
    <w:rsid w:val="66D14200"/>
    <w:rsid w:val="66E14363"/>
    <w:rsid w:val="66E16111"/>
    <w:rsid w:val="66EB4457"/>
    <w:rsid w:val="66ED2D08"/>
    <w:rsid w:val="66EF082E"/>
    <w:rsid w:val="66F11CF1"/>
    <w:rsid w:val="66F73715"/>
    <w:rsid w:val="67092047"/>
    <w:rsid w:val="6712276E"/>
    <w:rsid w:val="67201F39"/>
    <w:rsid w:val="673C6C71"/>
    <w:rsid w:val="6745735D"/>
    <w:rsid w:val="675B4115"/>
    <w:rsid w:val="675D60DF"/>
    <w:rsid w:val="67656D42"/>
    <w:rsid w:val="67664F2E"/>
    <w:rsid w:val="67851192"/>
    <w:rsid w:val="679C24ED"/>
    <w:rsid w:val="67A7735B"/>
    <w:rsid w:val="67C021CA"/>
    <w:rsid w:val="67C4621D"/>
    <w:rsid w:val="67CD24C9"/>
    <w:rsid w:val="67EB4B4A"/>
    <w:rsid w:val="67F24A7A"/>
    <w:rsid w:val="68071BA7"/>
    <w:rsid w:val="68106541"/>
    <w:rsid w:val="681B7C90"/>
    <w:rsid w:val="681D13CB"/>
    <w:rsid w:val="68296292"/>
    <w:rsid w:val="68330DDF"/>
    <w:rsid w:val="68581629"/>
    <w:rsid w:val="6860298C"/>
    <w:rsid w:val="687055D4"/>
    <w:rsid w:val="68A35D74"/>
    <w:rsid w:val="68A37B22"/>
    <w:rsid w:val="68A45648"/>
    <w:rsid w:val="68A8338A"/>
    <w:rsid w:val="68AD274F"/>
    <w:rsid w:val="68C42F08"/>
    <w:rsid w:val="68C83BB5"/>
    <w:rsid w:val="68E048D2"/>
    <w:rsid w:val="6905258B"/>
    <w:rsid w:val="69083E29"/>
    <w:rsid w:val="69280027"/>
    <w:rsid w:val="69351A7B"/>
    <w:rsid w:val="69417B15"/>
    <w:rsid w:val="69605D43"/>
    <w:rsid w:val="69A516CD"/>
    <w:rsid w:val="69AA0CD7"/>
    <w:rsid w:val="69B30320"/>
    <w:rsid w:val="69B31251"/>
    <w:rsid w:val="69B96762"/>
    <w:rsid w:val="6A050368"/>
    <w:rsid w:val="6A0E546F"/>
    <w:rsid w:val="6A1A02B8"/>
    <w:rsid w:val="6A4178F9"/>
    <w:rsid w:val="6A4F2264"/>
    <w:rsid w:val="6A6020C0"/>
    <w:rsid w:val="6A6A2D76"/>
    <w:rsid w:val="6A793230"/>
    <w:rsid w:val="6A8B2F63"/>
    <w:rsid w:val="6A933BC6"/>
    <w:rsid w:val="6AB9187F"/>
    <w:rsid w:val="6AFE1987"/>
    <w:rsid w:val="6B0F5943"/>
    <w:rsid w:val="6B43739A"/>
    <w:rsid w:val="6B5D72B8"/>
    <w:rsid w:val="6B7B2FD8"/>
    <w:rsid w:val="6B835C47"/>
    <w:rsid w:val="6B967220"/>
    <w:rsid w:val="6B974DAC"/>
    <w:rsid w:val="6BA265C6"/>
    <w:rsid w:val="6BAD2A66"/>
    <w:rsid w:val="6BBE5E1B"/>
    <w:rsid w:val="6BC77FCB"/>
    <w:rsid w:val="6BCA3618"/>
    <w:rsid w:val="6BD33AB4"/>
    <w:rsid w:val="6BD46244"/>
    <w:rsid w:val="6BE16F41"/>
    <w:rsid w:val="6BE446D9"/>
    <w:rsid w:val="6BF3491C"/>
    <w:rsid w:val="6C1368F9"/>
    <w:rsid w:val="6C186000"/>
    <w:rsid w:val="6C1A7B4D"/>
    <w:rsid w:val="6C1B3E73"/>
    <w:rsid w:val="6C335661"/>
    <w:rsid w:val="6C57095D"/>
    <w:rsid w:val="6C5E658D"/>
    <w:rsid w:val="6C69293D"/>
    <w:rsid w:val="6C76539A"/>
    <w:rsid w:val="6C77547D"/>
    <w:rsid w:val="6C7D4DAE"/>
    <w:rsid w:val="6C8B5C21"/>
    <w:rsid w:val="6C9958B1"/>
    <w:rsid w:val="6CA976D1"/>
    <w:rsid w:val="6CB436B8"/>
    <w:rsid w:val="6CCD7863"/>
    <w:rsid w:val="6CF272CA"/>
    <w:rsid w:val="6CFC5A53"/>
    <w:rsid w:val="6D0B6D76"/>
    <w:rsid w:val="6D176D30"/>
    <w:rsid w:val="6D1E6388"/>
    <w:rsid w:val="6D2531FB"/>
    <w:rsid w:val="6D266F73"/>
    <w:rsid w:val="6D2C6FC8"/>
    <w:rsid w:val="6D2F407A"/>
    <w:rsid w:val="6D512242"/>
    <w:rsid w:val="6D560EAF"/>
    <w:rsid w:val="6D5E7D55"/>
    <w:rsid w:val="6D734B75"/>
    <w:rsid w:val="6D7A7BF5"/>
    <w:rsid w:val="6D8819DC"/>
    <w:rsid w:val="6D8C003B"/>
    <w:rsid w:val="6D8C5028"/>
    <w:rsid w:val="6DA30088"/>
    <w:rsid w:val="6DA35DD4"/>
    <w:rsid w:val="6DB620A5"/>
    <w:rsid w:val="6DC07824"/>
    <w:rsid w:val="6DE60BD1"/>
    <w:rsid w:val="6DEF55B7"/>
    <w:rsid w:val="6DF25DB3"/>
    <w:rsid w:val="6E156A76"/>
    <w:rsid w:val="6E1F40EF"/>
    <w:rsid w:val="6E380D0C"/>
    <w:rsid w:val="6E3E5D92"/>
    <w:rsid w:val="6E5A6ED5"/>
    <w:rsid w:val="6E641B01"/>
    <w:rsid w:val="6E6C718D"/>
    <w:rsid w:val="6E70494A"/>
    <w:rsid w:val="6E7755C3"/>
    <w:rsid w:val="6E7837FF"/>
    <w:rsid w:val="6E7C220F"/>
    <w:rsid w:val="6E8F41AA"/>
    <w:rsid w:val="6E9D5013"/>
    <w:rsid w:val="6EBA7973"/>
    <w:rsid w:val="6EC46420"/>
    <w:rsid w:val="6ECE341F"/>
    <w:rsid w:val="6EE669BA"/>
    <w:rsid w:val="6EEF62AD"/>
    <w:rsid w:val="6EFA4D86"/>
    <w:rsid w:val="6F0230C8"/>
    <w:rsid w:val="6F03595C"/>
    <w:rsid w:val="6F0742D5"/>
    <w:rsid w:val="6F0817D1"/>
    <w:rsid w:val="6F1654F2"/>
    <w:rsid w:val="6F1A57AF"/>
    <w:rsid w:val="6F1C7619"/>
    <w:rsid w:val="6F286FD3"/>
    <w:rsid w:val="6F541B76"/>
    <w:rsid w:val="6F5438B9"/>
    <w:rsid w:val="6F6C22BA"/>
    <w:rsid w:val="6F7F66A2"/>
    <w:rsid w:val="6F8C6551"/>
    <w:rsid w:val="6F8F7052"/>
    <w:rsid w:val="6F9E54E7"/>
    <w:rsid w:val="6FA24510"/>
    <w:rsid w:val="6FAB767D"/>
    <w:rsid w:val="6FB8117E"/>
    <w:rsid w:val="6FD42CB7"/>
    <w:rsid w:val="6FE93EA0"/>
    <w:rsid w:val="6FF17A81"/>
    <w:rsid w:val="701C2475"/>
    <w:rsid w:val="702F4391"/>
    <w:rsid w:val="70331310"/>
    <w:rsid w:val="705F4C76"/>
    <w:rsid w:val="7060454A"/>
    <w:rsid w:val="70640519"/>
    <w:rsid w:val="707C3A1E"/>
    <w:rsid w:val="70911320"/>
    <w:rsid w:val="709F32C5"/>
    <w:rsid w:val="70A266F9"/>
    <w:rsid w:val="70AA2DBF"/>
    <w:rsid w:val="70D12818"/>
    <w:rsid w:val="70ED4903"/>
    <w:rsid w:val="710F044A"/>
    <w:rsid w:val="711361A6"/>
    <w:rsid w:val="71145A61"/>
    <w:rsid w:val="71167DAF"/>
    <w:rsid w:val="71266F57"/>
    <w:rsid w:val="715C0099"/>
    <w:rsid w:val="716123F7"/>
    <w:rsid w:val="717A38AF"/>
    <w:rsid w:val="718C1A9B"/>
    <w:rsid w:val="71A16BC9"/>
    <w:rsid w:val="71A36DE5"/>
    <w:rsid w:val="71CD3E62"/>
    <w:rsid w:val="71D50FD6"/>
    <w:rsid w:val="71D7565D"/>
    <w:rsid w:val="71E116BB"/>
    <w:rsid w:val="721B4BCD"/>
    <w:rsid w:val="72220452"/>
    <w:rsid w:val="722831A1"/>
    <w:rsid w:val="72286D49"/>
    <w:rsid w:val="7229553C"/>
    <w:rsid w:val="72536115"/>
    <w:rsid w:val="72680201"/>
    <w:rsid w:val="72774B85"/>
    <w:rsid w:val="727D5888"/>
    <w:rsid w:val="7295497F"/>
    <w:rsid w:val="72BF1574"/>
    <w:rsid w:val="72C31650"/>
    <w:rsid w:val="72C8707A"/>
    <w:rsid w:val="72C9287B"/>
    <w:rsid w:val="730E4732"/>
    <w:rsid w:val="73123836"/>
    <w:rsid w:val="732452B0"/>
    <w:rsid w:val="7328758F"/>
    <w:rsid w:val="732B59BF"/>
    <w:rsid w:val="732F3A38"/>
    <w:rsid w:val="73467A28"/>
    <w:rsid w:val="734E22B4"/>
    <w:rsid w:val="734E5C78"/>
    <w:rsid w:val="73712257"/>
    <w:rsid w:val="738D1AFA"/>
    <w:rsid w:val="73903399"/>
    <w:rsid w:val="739764D5"/>
    <w:rsid w:val="739C4A95"/>
    <w:rsid w:val="73B25925"/>
    <w:rsid w:val="73B37C10"/>
    <w:rsid w:val="73BF3D9C"/>
    <w:rsid w:val="73C372CA"/>
    <w:rsid w:val="73F6144E"/>
    <w:rsid w:val="741E5238"/>
    <w:rsid w:val="74390A22"/>
    <w:rsid w:val="743C413F"/>
    <w:rsid w:val="744E47FF"/>
    <w:rsid w:val="745469F6"/>
    <w:rsid w:val="746E4AAC"/>
    <w:rsid w:val="74744A68"/>
    <w:rsid w:val="74784559"/>
    <w:rsid w:val="7485086E"/>
    <w:rsid w:val="748A428C"/>
    <w:rsid w:val="74940C67"/>
    <w:rsid w:val="74982505"/>
    <w:rsid w:val="749961EB"/>
    <w:rsid w:val="749E3893"/>
    <w:rsid w:val="74B133B5"/>
    <w:rsid w:val="74C42937"/>
    <w:rsid w:val="74C652C4"/>
    <w:rsid w:val="74F34491"/>
    <w:rsid w:val="74F811F5"/>
    <w:rsid w:val="7501454E"/>
    <w:rsid w:val="75047B9A"/>
    <w:rsid w:val="750B0F29"/>
    <w:rsid w:val="750D6099"/>
    <w:rsid w:val="75134281"/>
    <w:rsid w:val="753B4097"/>
    <w:rsid w:val="754601B3"/>
    <w:rsid w:val="75522CB3"/>
    <w:rsid w:val="755251F8"/>
    <w:rsid w:val="75534E6C"/>
    <w:rsid w:val="755D76B6"/>
    <w:rsid w:val="756B3CB5"/>
    <w:rsid w:val="756D1EBD"/>
    <w:rsid w:val="756E0815"/>
    <w:rsid w:val="75863220"/>
    <w:rsid w:val="75947170"/>
    <w:rsid w:val="75BF18E9"/>
    <w:rsid w:val="75C9721A"/>
    <w:rsid w:val="75D94B83"/>
    <w:rsid w:val="75DB4D9F"/>
    <w:rsid w:val="75E76DDB"/>
    <w:rsid w:val="75EB2B08"/>
    <w:rsid w:val="75FC4D15"/>
    <w:rsid w:val="760C497E"/>
    <w:rsid w:val="76211753"/>
    <w:rsid w:val="76211766"/>
    <w:rsid w:val="763025FA"/>
    <w:rsid w:val="763218FE"/>
    <w:rsid w:val="76375D4D"/>
    <w:rsid w:val="76397D18"/>
    <w:rsid w:val="764C5CE7"/>
    <w:rsid w:val="768865A9"/>
    <w:rsid w:val="768A639E"/>
    <w:rsid w:val="76AE78C8"/>
    <w:rsid w:val="76B94A43"/>
    <w:rsid w:val="76C1790D"/>
    <w:rsid w:val="76C5423A"/>
    <w:rsid w:val="76E1348D"/>
    <w:rsid w:val="76EE0B02"/>
    <w:rsid w:val="76F667DF"/>
    <w:rsid w:val="76F679B7"/>
    <w:rsid w:val="76FF4ABD"/>
    <w:rsid w:val="77062144"/>
    <w:rsid w:val="770D64E2"/>
    <w:rsid w:val="77240332"/>
    <w:rsid w:val="772A2886"/>
    <w:rsid w:val="77477C51"/>
    <w:rsid w:val="7748122C"/>
    <w:rsid w:val="775E0159"/>
    <w:rsid w:val="77616805"/>
    <w:rsid w:val="7763257E"/>
    <w:rsid w:val="778D3C55"/>
    <w:rsid w:val="779352F0"/>
    <w:rsid w:val="77AC426E"/>
    <w:rsid w:val="77AD62C7"/>
    <w:rsid w:val="77B27D81"/>
    <w:rsid w:val="77BF5FFA"/>
    <w:rsid w:val="77CA50CB"/>
    <w:rsid w:val="77CF26E1"/>
    <w:rsid w:val="7809308F"/>
    <w:rsid w:val="78146346"/>
    <w:rsid w:val="782C786D"/>
    <w:rsid w:val="78466264"/>
    <w:rsid w:val="78695F3D"/>
    <w:rsid w:val="787E1268"/>
    <w:rsid w:val="78850089"/>
    <w:rsid w:val="78A8685A"/>
    <w:rsid w:val="78C7785D"/>
    <w:rsid w:val="78E33C9D"/>
    <w:rsid w:val="78F543CA"/>
    <w:rsid w:val="78F93DB3"/>
    <w:rsid w:val="78FD327E"/>
    <w:rsid w:val="78FF6FF6"/>
    <w:rsid w:val="790B6A53"/>
    <w:rsid w:val="792311D6"/>
    <w:rsid w:val="792B5A5D"/>
    <w:rsid w:val="792E51E6"/>
    <w:rsid w:val="793622EC"/>
    <w:rsid w:val="793D18CD"/>
    <w:rsid w:val="79455063"/>
    <w:rsid w:val="795C4769"/>
    <w:rsid w:val="795D1EAD"/>
    <w:rsid w:val="795E6493"/>
    <w:rsid w:val="79701CA2"/>
    <w:rsid w:val="79725A1A"/>
    <w:rsid w:val="79734CC1"/>
    <w:rsid w:val="79752E15"/>
    <w:rsid w:val="797F65A3"/>
    <w:rsid w:val="799720C1"/>
    <w:rsid w:val="79A75DED"/>
    <w:rsid w:val="79AD6A52"/>
    <w:rsid w:val="79AE27CB"/>
    <w:rsid w:val="79B576B5"/>
    <w:rsid w:val="79D12015"/>
    <w:rsid w:val="79F109E5"/>
    <w:rsid w:val="79FF4DD4"/>
    <w:rsid w:val="7A011471"/>
    <w:rsid w:val="7A1B7E60"/>
    <w:rsid w:val="7A1C2B65"/>
    <w:rsid w:val="7A1D11A1"/>
    <w:rsid w:val="7A262361"/>
    <w:rsid w:val="7A2D36EF"/>
    <w:rsid w:val="7A31393F"/>
    <w:rsid w:val="7A6D4434"/>
    <w:rsid w:val="7A7430CC"/>
    <w:rsid w:val="7A770E0E"/>
    <w:rsid w:val="7A7B5C73"/>
    <w:rsid w:val="7A7E5845"/>
    <w:rsid w:val="7A913CBB"/>
    <w:rsid w:val="7AB02659"/>
    <w:rsid w:val="7AB10B41"/>
    <w:rsid w:val="7AB70AEE"/>
    <w:rsid w:val="7AC001C9"/>
    <w:rsid w:val="7AC00F6A"/>
    <w:rsid w:val="7AC107F6"/>
    <w:rsid w:val="7AC96BBD"/>
    <w:rsid w:val="7AD17DE0"/>
    <w:rsid w:val="7AEC5358"/>
    <w:rsid w:val="7B1B79EC"/>
    <w:rsid w:val="7B1E128A"/>
    <w:rsid w:val="7B30793B"/>
    <w:rsid w:val="7B4278F3"/>
    <w:rsid w:val="7B462A9E"/>
    <w:rsid w:val="7B4C5DF7"/>
    <w:rsid w:val="7B4F1153"/>
    <w:rsid w:val="7B51340D"/>
    <w:rsid w:val="7B551150"/>
    <w:rsid w:val="7B7C26EE"/>
    <w:rsid w:val="7B7D2454"/>
    <w:rsid w:val="7B9442B3"/>
    <w:rsid w:val="7B962C12"/>
    <w:rsid w:val="7B9630A2"/>
    <w:rsid w:val="7B9A1258"/>
    <w:rsid w:val="7B9B30A7"/>
    <w:rsid w:val="7BA268EC"/>
    <w:rsid w:val="7BA479E1"/>
    <w:rsid w:val="7BA90803"/>
    <w:rsid w:val="7BA9149B"/>
    <w:rsid w:val="7BAB5214"/>
    <w:rsid w:val="7BB61AD4"/>
    <w:rsid w:val="7BD42837"/>
    <w:rsid w:val="7BE91898"/>
    <w:rsid w:val="7BED1840"/>
    <w:rsid w:val="7C0F4AC7"/>
    <w:rsid w:val="7C0F6C65"/>
    <w:rsid w:val="7C217284"/>
    <w:rsid w:val="7C2C0CD7"/>
    <w:rsid w:val="7C2D0BB9"/>
    <w:rsid w:val="7C377D1E"/>
    <w:rsid w:val="7C7575D0"/>
    <w:rsid w:val="7C7750F6"/>
    <w:rsid w:val="7C885555"/>
    <w:rsid w:val="7C9C7AC2"/>
    <w:rsid w:val="7CAA2A26"/>
    <w:rsid w:val="7CCD11BA"/>
    <w:rsid w:val="7CD2057E"/>
    <w:rsid w:val="7CEA1D6C"/>
    <w:rsid w:val="7CEC5AE4"/>
    <w:rsid w:val="7CF520BA"/>
    <w:rsid w:val="7CFE5817"/>
    <w:rsid w:val="7D0A5F6A"/>
    <w:rsid w:val="7D172435"/>
    <w:rsid w:val="7D276B1C"/>
    <w:rsid w:val="7D2D3BAB"/>
    <w:rsid w:val="7D380D29"/>
    <w:rsid w:val="7D3B6123"/>
    <w:rsid w:val="7D567401"/>
    <w:rsid w:val="7D741635"/>
    <w:rsid w:val="7D9B4E14"/>
    <w:rsid w:val="7DA97E51"/>
    <w:rsid w:val="7DAD2644"/>
    <w:rsid w:val="7DD525A4"/>
    <w:rsid w:val="7DDA593C"/>
    <w:rsid w:val="7DE42B56"/>
    <w:rsid w:val="7DF06F0E"/>
    <w:rsid w:val="7E1A42B6"/>
    <w:rsid w:val="7E2D0162"/>
    <w:rsid w:val="7E3A287F"/>
    <w:rsid w:val="7E3C2153"/>
    <w:rsid w:val="7E4159BB"/>
    <w:rsid w:val="7E47154C"/>
    <w:rsid w:val="7E6F61AB"/>
    <w:rsid w:val="7E896C87"/>
    <w:rsid w:val="7E8D0E45"/>
    <w:rsid w:val="7E9D17A1"/>
    <w:rsid w:val="7EA61A6E"/>
    <w:rsid w:val="7EA877E8"/>
    <w:rsid w:val="7EAF501B"/>
    <w:rsid w:val="7EC43CFD"/>
    <w:rsid w:val="7ECD724F"/>
    <w:rsid w:val="7ECF2FC7"/>
    <w:rsid w:val="7ED02D36"/>
    <w:rsid w:val="7EDB7BBE"/>
    <w:rsid w:val="7EE747B5"/>
    <w:rsid w:val="7EFC7B34"/>
    <w:rsid w:val="7F0D1D41"/>
    <w:rsid w:val="7F0D3AEF"/>
    <w:rsid w:val="7F10064C"/>
    <w:rsid w:val="7F110012"/>
    <w:rsid w:val="7F45772D"/>
    <w:rsid w:val="7F5D5499"/>
    <w:rsid w:val="7F647FD1"/>
    <w:rsid w:val="7F6A0F42"/>
    <w:rsid w:val="7F7F2C3F"/>
    <w:rsid w:val="7F842003"/>
    <w:rsid w:val="7F8953B8"/>
    <w:rsid w:val="7F9D0738"/>
    <w:rsid w:val="7FB37735"/>
    <w:rsid w:val="7FCE327F"/>
    <w:rsid w:val="7FCE58F6"/>
    <w:rsid w:val="7FDB599C"/>
    <w:rsid w:val="7FDC2280"/>
    <w:rsid w:val="7FEB2083"/>
    <w:rsid w:val="7FEC7BA9"/>
    <w:rsid w:val="7FF7714E"/>
    <w:rsid w:val="7FFA00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1"/>
    <w:qFormat/>
    <w:uiPriority w:val="0"/>
    <w:pPr>
      <w:keepNext/>
      <w:keepLines/>
      <w:spacing w:line="360" w:lineRule="auto"/>
      <w:jc w:val="center"/>
      <w:outlineLvl w:val="0"/>
    </w:pPr>
    <w:rPr>
      <w:b/>
      <w:kern w:val="44"/>
      <w:sz w:val="36"/>
      <w:szCs w:val="44"/>
    </w:rPr>
  </w:style>
  <w:style w:type="paragraph" w:styleId="4">
    <w:name w:val="heading 2"/>
    <w:basedOn w:val="1"/>
    <w:next w:val="1"/>
    <w:link w:val="63"/>
    <w:qFormat/>
    <w:uiPriority w:val="9"/>
    <w:pPr>
      <w:keepNext/>
      <w:keepLines/>
      <w:spacing w:line="360" w:lineRule="auto"/>
      <w:outlineLvl w:val="1"/>
    </w:pPr>
    <w:rPr>
      <w:rFonts w:hAnsi="宋体"/>
      <w:b/>
      <w:bCs/>
      <w:sz w:val="32"/>
      <w:szCs w:val="32"/>
    </w:rPr>
  </w:style>
  <w:style w:type="paragraph" w:styleId="5">
    <w:name w:val="heading 3"/>
    <w:basedOn w:val="1"/>
    <w:next w:val="6"/>
    <w:qFormat/>
    <w:uiPriority w:val="0"/>
    <w:pPr>
      <w:keepNext/>
      <w:keepLines/>
      <w:spacing w:before="260" w:after="260" w:line="412" w:lineRule="auto"/>
      <w:jc w:val="left"/>
      <w:outlineLvl w:val="2"/>
    </w:pPr>
    <w:rPr>
      <w:b/>
      <w:sz w:val="24"/>
      <w:szCs w:val="32"/>
    </w:rPr>
  </w:style>
  <w:style w:type="paragraph" w:styleId="7">
    <w:name w:val="heading 4"/>
    <w:basedOn w:val="1"/>
    <w:next w:val="1"/>
    <w:qFormat/>
    <w:uiPriority w:val="0"/>
    <w:pPr>
      <w:numPr>
        <w:ilvl w:val="1"/>
        <w:numId w:val="1"/>
      </w:numPr>
      <w:spacing w:line="360" w:lineRule="auto"/>
      <w:outlineLvl w:val="3"/>
    </w:pPr>
    <w:rPr>
      <w:rFonts w:ascii="Arial" w:hAnsi="Arial"/>
      <w:bCs/>
      <w:sz w:val="24"/>
      <w:szCs w:val="28"/>
    </w:rPr>
  </w:style>
  <w:style w:type="paragraph" w:styleId="8">
    <w:name w:val="heading 5"/>
    <w:basedOn w:val="1"/>
    <w:next w:val="1"/>
    <w:unhideWhenUsed/>
    <w:qFormat/>
    <w:uiPriority w:val="1"/>
    <w:pPr>
      <w:spacing w:beforeLines="0" w:afterLines="0"/>
      <w:ind w:left="908"/>
      <w:outlineLvl w:val="4"/>
    </w:pPr>
    <w:rPr>
      <w:rFonts w:hint="eastAsia"/>
      <w:b/>
      <w:sz w:val="24"/>
      <w:szCs w:val="24"/>
    </w:rPr>
  </w:style>
  <w:style w:type="character" w:default="1" w:styleId="27">
    <w:name w:val="Default Paragraph Font"/>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next w:val="1"/>
    <w:unhideWhenUsed/>
    <w:qFormat/>
    <w:uiPriority w:val="99"/>
    <w:pPr>
      <w:adjustRightInd w:val="0"/>
      <w:ind w:firstLine="420"/>
      <w:jc w:val="left"/>
      <w:textAlignment w:val="baseline"/>
    </w:pPr>
    <w:rPr>
      <w:rFonts w:eastAsia="楷体_GB2312"/>
      <w:sz w:val="24"/>
      <w:szCs w:val="20"/>
    </w:rPr>
  </w:style>
  <w:style w:type="paragraph" w:styleId="9">
    <w:name w:val="caption"/>
    <w:basedOn w:val="1"/>
    <w:next w:val="1"/>
    <w:qFormat/>
    <w:uiPriority w:val="0"/>
    <w:rPr>
      <w:rFonts w:ascii="Arial" w:hAnsi="Arial" w:eastAsia="黑体"/>
      <w:sz w:val="20"/>
    </w:rPr>
  </w:style>
  <w:style w:type="paragraph" w:styleId="10">
    <w:name w:val="annotation text"/>
    <w:basedOn w:val="1"/>
    <w:link w:val="45"/>
    <w:qFormat/>
    <w:uiPriority w:val="0"/>
    <w:pPr>
      <w:jc w:val="left"/>
    </w:pPr>
  </w:style>
  <w:style w:type="paragraph" w:styleId="11">
    <w:name w:val="Body Text Indent"/>
    <w:basedOn w:val="1"/>
    <w:qFormat/>
    <w:uiPriority w:val="99"/>
    <w:pPr>
      <w:spacing w:after="120"/>
      <w:ind w:left="420" w:leftChars="200"/>
    </w:pPr>
    <w:rPr>
      <w:sz w:val="22"/>
    </w:rPr>
  </w:style>
  <w:style w:type="paragraph" w:styleId="12">
    <w:name w:val="Plain Text"/>
    <w:basedOn w:val="1"/>
    <w:qFormat/>
    <w:uiPriority w:val="0"/>
    <w:rPr>
      <w:rFonts w:ascii="宋体" w:hAnsi="Courier New"/>
      <w:b/>
      <w:szCs w:val="20"/>
    </w:rPr>
  </w:style>
  <w:style w:type="paragraph" w:styleId="13">
    <w:name w:val="Date"/>
    <w:basedOn w:val="1"/>
    <w:next w:val="1"/>
    <w:qFormat/>
    <w:uiPriority w:val="0"/>
    <w:pPr>
      <w:ind w:left="100" w:leftChars="2500"/>
    </w:pPr>
    <w:rPr>
      <w:rFonts w:ascii="Times New Roman" w:hAnsi="Times New Roman" w:eastAsia="宋体"/>
    </w:rPr>
  </w:style>
  <w:style w:type="paragraph" w:styleId="14">
    <w:name w:val="Balloon Text"/>
    <w:basedOn w:val="1"/>
    <w:link w:val="42"/>
    <w:qFormat/>
    <w:uiPriority w:val="0"/>
    <w:rPr>
      <w:sz w:val="18"/>
      <w:szCs w:val="18"/>
    </w:rPr>
  </w:style>
  <w:style w:type="paragraph" w:styleId="15">
    <w:name w:val="footer"/>
    <w:basedOn w:val="1"/>
    <w:unhideWhenUsed/>
    <w:qFormat/>
    <w:uiPriority w:val="0"/>
    <w:pPr>
      <w:tabs>
        <w:tab w:val="center" w:pos="4153"/>
        <w:tab w:val="right" w:pos="8306"/>
      </w:tabs>
      <w:snapToGrid w:val="0"/>
      <w:jc w:val="left"/>
    </w:pPr>
    <w:rPr>
      <w:sz w:val="18"/>
    </w:rPr>
  </w:style>
  <w:style w:type="paragraph" w:styleId="16">
    <w:name w:val="envelope return"/>
    <w:basedOn w:val="1"/>
    <w:qFormat/>
    <w:uiPriority w:val="0"/>
    <w:pPr>
      <w:adjustRightInd w:val="0"/>
      <w:snapToGrid w:val="0"/>
      <w:spacing w:after="200"/>
      <w:jc w:val="left"/>
    </w:pPr>
    <w:rPr>
      <w:rFonts w:ascii="Arial" w:hAnsi="Arial" w:eastAsia="微软雅黑"/>
      <w:kern w:val="0"/>
      <w:sz w:val="22"/>
      <w:szCs w:val="22"/>
    </w:rPr>
  </w:style>
  <w:style w:type="paragraph" w:styleId="17">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8">
    <w:name w:val="toc 1"/>
    <w:basedOn w:val="1"/>
    <w:next w:val="1"/>
    <w:unhideWhenUsed/>
    <w:qFormat/>
    <w:uiPriority w:val="39"/>
    <w:pPr>
      <w:jc w:val="left"/>
    </w:pPr>
    <w:rPr>
      <w:b/>
      <w:bCs/>
      <w:caps/>
      <w:sz w:val="20"/>
      <w:szCs w:val="20"/>
    </w:rPr>
  </w:style>
  <w:style w:type="paragraph" w:styleId="19">
    <w:name w:val="footnote text"/>
    <w:basedOn w:val="1"/>
    <w:qFormat/>
    <w:uiPriority w:val="0"/>
    <w:pPr>
      <w:snapToGrid w:val="0"/>
      <w:jc w:val="left"/>
    </w:pPr>
    <w:rPr>
      <w:sz w:val="18"/>
      <w:szCs w:val="18"/>
    </w:rPr>
  </w:style>
  <w:style w:type="paragraph" w:styleId="20">
    <w:name w:val="toc 2"/>
    <w:basedOn w:val="1"/>
    <w:next w:val="1"/>
    <w:unhideWhenUsed/>
    <w:qFormat/>
    <w:uiPriority w:val="39"/>
    <w:pPr>
      <w:ind w:left="210"/>
      <w:jc w:val="left"/>
    </w:pPr>
    <w:rPr>
      <w:smallCaps/>
      <w:sz w:val="20"/>
      <w:szCs w:val="20"/>
    </w:rPr>
  </w:style>
  <w:style w:type="paragraph" w:styleId="21">
    <w:name w:val="Body Text 2"/>
    <w:basedOn w:val="1"/>
    <w:unhideWhenUsed/>
    <w:qFormat/>
    <w:uiPriority w:val="99"/>
    <w:pPr>
      <w:spacing w:after="120" w:line="480" w:lineRule="auto"/>
    </w:pPr>
  </w:style>
  <w:style w:type="paragraph" w:styleId="22">
    <w:name w:val="Normal (Web)"/>
    <w:basedOn w:val="1"/>
    <w:unhideWhenUsed/>
    <w:qFormat/>
    <w:uiPriority w:val="0"/>
    <w:pPr>
      <w:widowControl/>
      <w:spacing w:before="75" w:after="75"/>
      <w:ind w:left="75" w:right="75"/>
      <w:jc w:val="left"/>
    </w:pPr>
    <w:rPr>
      <w:rFonts w:ascii="宋体" w:hAnsi="宋体" w:cs="宋体"/>
      <w:kern w:val="0"/>
      <w:sz w:val="24"/>
    </w:rPr>
  </w:style>
  <w:style w:type="paragraph" w:styleId="23">
    <w:name w:val="annotation subject"/>
    <w:basedOn w:val="10"/>
    <w:next w:val="10"/>
    <w:link w:val="46"/>
    <w:qFormat/>
    <w:uiPriority w:val="0"/>
    <w:rPr>
      <w:b/>
      <w:bCs/>
    </w:rPr>
  </w:style>
  <w:style w:type="paragraph" w:styleId="24">
    <w:name w:val="Body Text First Indent 2"/>
    <w:basedOn w:val="11"/>
    <w:next w:val="2"/>
    <w:qFormat/>
    <w:uiPriority w:val="0"/>
    <w:pPr>
      <w:ind w:firstLine="420" w:firstLineChars="200"/>
    </w:pPr>
    <w:rPr>
      <w:sz w:val="21"/>
    </w:r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8">
    <w:name w:val="page number"/>
    <w:basedOn w:val="27"/>
    <w:unhideWhenUsed/>
    <w:qFormat/>
    <w:uiPriority w:val="99"/>
  </w:style>
  <w:style w:type="character" w:styleId="29">
    <w:name w:val="Emphasis"/>
    <w:basedOn w:val="27"/>
    <w:qFormat/>
    <w:uiPriority w:val="0"/>
    <w:rPr>
      <w:i/>
    </w:rPr>
  </w:style>
  <w:style w:type="character" w:styleId="30">
    <w:name w:val="Hyperlink"/>
    <w:basedOn w:val="27"/>
    <w:uiPriority w:val="0"/>
    <w:rPr>
      <w:color w:val="0000FF"/>
      <w:u w:val="single"/>
    </w:rPr>
  </w:style>
  <w:style w:type="character" w:styleId="31">
    <w:name w:val="annotation reference"/>
    <w:basedOn w:val="27"/>
    <w:qFormat/>
    <w:uiPriority w:val="0"/>
    <w:rPr>
      <w:sz w:val="21"/>
      <w:szCs w:val="21"/>
    </w:rPr>
  </w:style>
  <w:style w:type="paragraph" w:customStyle="1" w:styleId="32">
    <w:name w:val="&quot;Normal&quot;"/>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33">
    <w:name w:val="表内"/>
    <w:basedOn w:val="1"/>
    <w:qFormat/>
    <w:uiPriority w:val="0"/>
    <w:pPr>
      <w:spacing w:line="300" w:lineRule="auto"/>
    </w:pPr>
    <w:rPr>
      <w:bCs/>
      <w:kern w:val="0"/>
      <w:szCs w:val="21"/>
      <w:lang w:eastAsia="zh-TW"/>
    </w:rPr>
  </w:style>
  <w:style w:type="paragraph" w:customStyle="1" w:styleId="3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35">
    <w:name w:val="标题 2 字符"/>
    <w:link w:val="4"/>
    <w:qFormat/>
    <w:uiPriority w:val="9"/>
    <w:rPr>
      <w:rFonts w:ascii="宋体" w:hAnsi="宋体" w:eastAsia="宋体"/>
      <w:b/>
      <w:bCs/>
      <w:kern w:val="0"/>
      <w:sz w:val="32"/>
      <w:szCs w:val="32"/>
    </w:rPr>
  </w:style>
  <w:style w:type="character" w:customStyle="1" w:styleId="36">
    <w:name w:val="标题 1 字符"/>
    <w:link w:val="3"/>
    <w:qFormat/>
    <w:uiPriority w:val="0"/>
    <w:rPr>
      <w:rFonts w:eastAsia="宋体"/>
      <w:b/>
      <w:kern w:val="44"/>
      <w:sz w:val="36"/>
      <w:szCs w:val="44"/>
    </w:rPr>
  </w:style>
  <w:style w:type="paragraph" w:customStyle="1" w:styleId="37">
    <w:name w:val="样式2"/>
    <w:basedOn w:val="1"/>
    <w:next w:val="1"/>
    <w:qFormat/>
    <w:uiPriority w:val="0"/>
    <w:pPr>
      <w:numPr>
        <w:ilvl w:val="1"/>
        <w:numId w:val="2"/>
      </w:numPr>
      <w:spacing w:before="240" w:after="240"/>
      <w:outlineLvl w:val="1"/>
    </w:pPr>
    <w:rPr>
      <w:rFonts w:eastAsia="黑体"/>
      <w:b/>
      <w:sz w:val="36"/>
    </w:rPr>
  </w:style>
  <w:style w:type="paragraph" w:customStyle="1" w:styleId="38">
    <w:name w:val="p0"/>
    <w:basedOn w:val="1"/>
    <w:qFormat/>
    <w:uiPriority w:val="0"/>
    <w:pPr>
      <w:widowControl/>
    </w:pPr>
    <w:rPr>
      <w:kern w:val="0"/>
      <w:szCs w:val="21"/>
    </w:rPr>
  </w:style>
  <w:style w:type="paragraph" w:customStyle="1" w:styleId="39">
    <w:name w:val="纯文本1"/>
    <w:basedOn w:val="1"/>
    <w:qFormat/>
    <w:uiPriority w:val="0"/>
    <w:pPr>
      <w:adjustRightInd w:val="0"/>
      <w:textAlignment w:val="baseline"/>
    </w:pPr>
    <w:rPr>
      <w:rFonts w:ascii="宋体" w:hAnsi="Courier New" w:eastAsia="楷体_GB2312"/>
      <w:sz w:val="28"/>
      <w:szCs w:val="20"/>
    </w:rPr>
  </w:style>
  <w:style w:type="paragraph" w:customStyle="1" w:styleId="40">
    <w:name w:val="1册标题1"/>
    <w:basedOn w:val="1"/>
    <w:next w:val="1"/>
    <w:qFormat/>
    <w:uiPriority w:val="0"/>
    <w:pPr>
      <w:spacing w:beforeLines="50" w:afterLines="50"/>
      <w:jc w:val="center"/>
      <w:outlineLvl w:val="0"/>
    </w:pPr>
    <w:rPr>
      <w:rFonts w:ascii="宋体" w:hAnsi="宋体"/>
      <w:b/>
      <w:bCs/>
      <w:sz w:val="32"/>
      <w:szCs w:val="44"/>
    </w:rPr>
  </w:style>
  <w:style w:type="character" w:customStyle="1" w:styleId="41">
    <w:name w:val="font21"/>
    <w:basedOn w:val="27"/>
    <w:qFormat/>
    <w:uiPriority w:val="0"/>
    <w:rPr>
      <w:rFonts w:hint="eastAsia" w:ascii="宋体" w:hAnsi="宋体" w:eastAsia="宋体" w:cs="宋体"/>
      <w:color w:val="000000"/>
      <w:sz w:val="22"/>
      <w:szCs w:val="22"/>
      <w:u w:val="none"/>
    </w:rPr>
  </w:style>
  <w:style w:type="character" w:customStyle="1" w:styleId="42">
    <w:name w:val="批注框文本 字符"/>
    <w:basedOn w:val="27"/>
    <w:link w:val="14"/>
    <w:qFormat/>
    <w:uiPriority w:val="0"/>
    <w:rPr>
      <w:rFonts w:ascii="Calibri" w:hAnsi="Calibri"/>
      <w:kern w:val="2"/>
      <w:sz w:val="18"/>
      <w:szCs w:val="18"/>
    </w:rPr>
  </w:style>
  <w:style w:type="paragraph" w:customStyle="1" w:styleId="43">
    <w:name w:val="Table Paragraph"/>
    <w:basedOn w:val="1"/>
    <w:qFormat/>
    <w:uiPriority w:val="0"/>
    <w:rPr>
      <w:rFonts w:ascii="Times New Roman" w:hAnsi="Times New Roman"/>
    </w:rPr>
  </w:style>
  <w:style w:type="paragraph" w:customStyle="1" w:styleId="44">
    <w:name w:val="列出段落4"/>
    <w:basedOn w:val="1"/>
    <w:qFormat/>
    <w:uiPriority w:val="99"/>
    <w:pPr>
      <w:ind w:firstLine="420" w:firstLineChars="200"/>
    </w:pPr>
  </w:style>
  <w:style w:type="character" w:customStyle="1" w:styleId="45">
    <w:name w:val="批注文字 字符"/>
    <w:basedOn w:val="27"/>
    <w:link w:val="10"/>
    <w:qFormat/>
    <w:uiPriority w:val="0"/>
    <w:rPr>
      <w:rFonts w:ascii="Calibri" w:hAnsi="Calibri"/>
      <w:kern w:val="2"/>
      <w:sz w:val="21"/>
      <w:szCs w:val="24"/>
    </w:rPr>
  </w:style>
  <w:style w:type="character" w:customStyle="1" w:styleId="46">
    <w:name w:val="批注主题 字符"/>
    <w:basedOn w:val="45"/>
    <w:link w:val="23"/>
    <w:qFormat/>
    <w:uiPriority w:val="0"/>
    <w:rPr>
      <w:rFonts w:ascii="Calibri" w:hAnsi="Calibri"/>
      <w:b/>
      <w:bCs/>
      <w:kern w:val="2"/>
      <w:sz w:val="21"/>
      <w:szCs w:val="24"/>
    </w:rPr>
  </w:style>
  <w:style w:type="paragraph" w:customStyle="1" w:styleId="47">
    <w:name w:val="标题2"/>
    <w:basedOn w:val="4"/>
    <w:qFormat/>
    <w:uiPriority w:val="0"/>
    <w:pPr>
      <w:keepLines w:val="0"/>
      <w:widowControl/>
      <w:tabs>
        <w:tab w:val="left" w:pos="0"/>
        <w:tab w:val="left" w:pos="1814"/>
      </w:tabs>
      <w:spacing w:before="320" w:after="160" w:line="240" w:lineRule="auto"/>
      <w:ind w:left="1260" w:hanging="420"/>
      <w:jc w:val="left"/>
    </w:pPr>
    <w:rPr>
      <w:rFonts w:eastAsia="Times New Roman"/>
      <w:spacing w:val="20"/>
      <w:kern w:val="28"/>
      <w:sz w:val="28"/>
      <w:szCs w:val="28"/>
      <w:lang w:eastAsia="en-US"/>
    </w:rPr>
  </w:style>
  <w:style w:type="paragraph" w:customStyle="1" w:styleId="48">
    <w:name w:val="列表段落1"/>
    <w:basedOn w:val="1"/>
    <w:qFormat/>
    <w:uiPriority w:val="34"/>
    <w:pPr>
      <w:ind w:firstLine="420" w:firstLineChars="200"/>
    </w:pPr>
  </w:style>
  <w:style w:type="character" w:customStyle="1" w:styleId="49">
    <w:name w:val="font01"/>
    <w:basedOn w:val="27"/>
    <w:qFormat/>
    <w:uiPriority w:val="0"/>
    <w:rPr>
      <w:rFonts w:hint="default" w:ascii="仿宋_GB2312" w:hAnsi="Calibri" w:eastAsia="仿宋_GB2312" w:cs="仿宋_GB2312"/>
      <w:color w:val="FF0000"/>
      <w:sz w:val="28"/>
      <w:szCs w:val="28"/>
      <w:u w:val="none"/>
    </w:rPr>
  </w:style>
  <w:style w:type="character" w:customStyle="1" w:styleId="50">
    <w:name w:val="NormalCharacter"/>
    <w:qFormat/>
    <w:uiPriority w:val="0"/>
  </w:style>
  <w:style w:type="character" w:customStyle="1" w:styleId="51">
    <w:name w:val="font11"/>
    <w:basedOn w:val="27"/>
    <w:qFormat/>
    <w:uiPriority w:val="0"/>
    <w:rPr>
      <w:rFonts w:hint="eastAsia" w:ascii="宋体" w:hAnsi="宋体" w:eastAsia="宋体" w:cs="宋体"/>
      <w:b/>
      <w:bCs/>
      <w:color w:val="000000"/>
      <w:sz w:val="24"/>
      <w:szCs w:val="24"/>
      <w:u w:val="none"/>
    </w:rPr>
  </w:style>
  <w:style w:type="character" w:customStyle="1" w:styleId="52">
    <w:name w:val="UserStyle_0"/>
    <w:qFormat/>
    <w:uiPriority w:val="0"/>
    <w:rPr>
      <w:rFonts w:hint="default" w:ascii="Verdana" w:hAnsi="Verdana" w:cs="Verdana"/>
      <w:kern w:val="2"/>
      <w:sz w:val="21"/>
      <w:szCs w:val="24"/>
      <w:lang w:val="en-US" w:eastAsia="zh-CN"/>
    </w:rPr>
  </w:style>
  <w:style w:type="paragraph" w:customStyle="1" w:styleId="53">
    <w:name w:val="列出段落1"/>
    <w:basedOn w:val="1"/>
    <w:qFormat/>
    <w:uiPriority w:val="0"/>
    <w:pPr>
      <w:ind w:firstLine="420" w:firstLineChars="200"/>
    </w:pPr>
    <w:rPr>
      <w:rFonts w:ascii="Calibri" w:hAnsi="Calibri"/>
      <w:szCs w:val="20"/>
    </w:rPr>
  </w:style>
  <w:style w:type="paragraph" w:customStyle="1" w:styleId="54">
    <w:name w:val="Plain Text_cb0f0638-ad1b-4032-b578-d9eb10246b29"/>
    <w:basedOn w:val="1"/>
    <w:qFormat/>
    <w:uiPriority w:val="0"/>
    <w:pPr>
      <w:adjustRightInd w:val="0"/>
      <w:textAlignment w:val="baseline"/>
    </w:pPr>
    <w:rPr>
      <w:rFonts w:ascii="宋体" w:hAnsi="Courier New" w:eastAsia="楷体_GB2312"/>
      <w:sz w:val="28"/>
      <w:szCs w:val="20"/>
    </w:rPr>
  </w:style>
  <w:style w:type="paragraph" w:customStyle="1" w:styleId="55">
    <w:name w:val="正文1"/>
    <w:qFormat/>
    <w:uiPriority w:val="0"/>
    <w:pPr>
      <w:widowControl w:val="0"/>
      <w:adjustRightInd w:val="0"/>
      <w:spacing w:line="312" w:lineRule="atLeast"/>
      <w:jc w:val="both"/>
    </w:pPr>
    <w:rPr>
      <w:rFonts w:ascii="宋体" w:hAnsi="Times New Roman" w:eastAsia="宋体" w:cs="宋体"/>
      <w:sz w:val="34"/>
      <w:szCs w:val="34"/>
      <w:lang w:val="en-US" w:eastAsia="zh-CN" w:bidi="ar-SA"/>
    </w:rPr>
  </w:style>
  <w:style w:type="paragraph" w:customStyle="1" w:styleId="5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57">
    <w:name w:val="font51"/>
    <w:basedOn w:val="27"/>
    <w:qFormat/>
    <w:uiPriority w:val="0"/>
    <w:rPr>
      <w:rFonts w:hint="eastAsia" w:ascii="宋体" w:hAnsi="宋体" w:eastAsia="宋体" w:cs="宋体"/>
      <w:color w:val="000000"/>
      <w:sz w:val="21"/>
      <w:szCs w:val="21"/>
      <w:u w:val="none"/>
    </w:rPr>
  </w:style>
  <w:style w:type="character" w:customStyle="1" w:styleId="58">
    <w:name w:val="font61"/>
    <w:basedOn w:val="27"/>
    <w:qFormat/>
    <w:uiPriority w:val="0"/>
    <w:rPr>
      <w:rFonts w:hint="eastAsia" w:ascii="宋体" w:hAnsi="宋体" w:eastAsia="宋体" w:cs="宋体"/>
      <w:color w:val="000000"/>
      <w:sz w:val="21"/>
      <w:szCs w:val="21"/>
      <w:u w:val="none"/>
    </w:rPr>
  </w:style>
  <w:style w:type="character" w:customStyle="1" w:styleId="59">
    <w:name w:val="font41"/>
    <w:basedOn w:val="27"/>
    <w:qFormat/>
    <w:uiPriority w:val="0"/>
    <w:rPr>
      <w:rFonts w:hint="eastAsia" w:ascii="宋体" w:hAnsi="宋体" w:eastAsia="宋体" w:cs="宋体"/>
      <w:color w:val="FF0000"/>
      <w:sz w:val="20"/>
      <w:szCs w:val="20"/>
      <w:u w:val="none"/>
    </w:rPr>
  </w:style>
  <w:style w:type="character" w:customStyle="1" w:styleId="60">
    <w:name w:val="font31"/>
    <w:basedOn w:val="27"/>
    <w:qFormat/>
    <w:uiPriority w:val="0"/>
    <w:rPr>
      <w:rFonts w:hint="eastAsia" w:ascii="宋体" w:hAnsi="宋体" w:eastAsia="宋体" w:cs="宋体"/>
      <w:color w:val="000000"/>
      <w:sz w:val="20"/>
      <w:szCs w:val="20"/>
      <w:u w:val="none"/>
    </w:rPr>
  </w:style>
  <w:style w:type="character" w:customStyle="1" w:styleId="61">
    <w:name w:val="标题 1 Char1"/>
    <w:link w:val="3"/>
    <w:qFormat/>
    <w:uiPriority w:val="0"/>
    <w:rPr>
      <w:b/>
      <w:bCs/>
      <w:kern w:val="44"/>
      <w:sz w:val="44"/>
      <w:szCs w:val="44"/>
    </w:rPr>
  </w:style>
  <w:style w:type="paragraph" w:customStyle="1" w:styleId="62">
    <w:name w:val="AONormal"/>
    <w:qFormat/>
    <w:uiPriority w:val="0"/>
    <w:pPr>
      <w:autoSpaceDE w:val="0"/>
      <w:autoSpaceDN w:val="0"/>
      <w:adjustRightInd w:val="0"/>
      <w:spacing w:line="400" w:lineRule="exact"/>
      <w:ind w:firstLine="440" w:firstLineChars="200"/>
    </w:pPr>
    <w:rPr>
      <w:rFonts w:ascii="华文楷体" w:hAnsi="华文楷体" w:eastAsia="华文楷体" w:cs="华文楷体"/>
      <w:sz w:val="22"/>
      <w:szCs w:val="21"/>
      <w:lang w:val="en-US" w:eastAsia="zh-CN" w:bidi="ar-SA"/>
    </w:rPr>
  </w:style>
  <w:style w:type="character" w:customStyle="1" w:styleId="63">
    <w:name w:val="标题 2 Char1"/>
    <w:basedOn w:val="27"/>
    <w:link w:val="4"/>
    <w:qFormat/>
    <w:uiPriority w:val="0"/>
    <w:rPr>
      <w:rFonts w:ascii="Arial" w:hAnsi="Arial" w:eastAsia="黑体"/>
      <w:b/>
      <w:bCs/>
      <w:sz w:val="36"/>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5.wmf"/><Relationship Id="rId27" Type="http://schemas.openxmlformats.org/officeDocument/2006/relationships/oleObject" Target="embeddings/oleObject5.bin"/><Relationship Id="rId26" Type="http://schemas.openxmlformats.org/officeDocument/2006/relationships/image" Target="media/image4.wmf"/><Relationship Id="rId25" Type="http://schemas.openxmlformats.org/officeDocument/2006/relationships/oleObject" Target="embeddings/oleObject4.bin"/><Relationship Id="rId24" Type="http://schemas.openxmlformats.org/officeDocument/2006/relationships/image" Target="media/image3.wmf"/><Relationship Id="rId23" Type="http://schemas.openxmlformats.org/officeDocument/2006/relationships/oleObject" Target="embeddings/oleObject3.bin"/><Relationship Id="rId22" Type="http://schemas.openxmlformats.org/officeDocument/2006/relationships/image" Target="media/image2.w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197</Pages>
  <Words>105723</Words>
  <Characters>115781</Characters>
  <Lines>1</Lines>
  <Paragraphs>1</Paragraphs>
  <TotalTime>54</TotalTime>
  <ScaleCrop>false</ScaleCrop>
  <LinksUpToDate>false</LinksUpToDate>
  <CharactersWithSpaces>123485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2020-09-16T09:51:00Z</dcterms:created>
  <dc:creator>     ❀      </dc:creator>
  <cp:lastModifiedBy>Hison</cp:lastModifiedBy>
  <cp:lastPrinted>2023-08-17T08:25:00Z</cp:lastPrinted>
  <dcterms:modified xsi:type="dcterms:W3CDTF">2024-07-17T10:34:14Z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00D00F59148B4D7BBED469A87C316D43_13</vt:lpwstr>
  </property>
</Properties>
</file>