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b/>
          <w:sz w:val="32"/>
          <w:szCs w:val="32"/>
        </w:rPr>
      </w:pPr>
      <w:r>
        <w:rPr>
          <w:rFonts w:hint="eastAsia"/>
          <w:b/>
          <w:sz w:val="32"/>
          <w:szCs w:val="32"/>
        </w:rPr>
        <w:t>采购</w:t>
      </w:r>
      <w:r>
        <w:rPr>
          <w:b/>
          <w:sz w:val="32"/>
          <w:szCs w:val="32"/>
        </w:rPr>
        <w:t>需求</w:t>
      </w:r>
    </w:p>
    <w:p>
      <w:pPr>
        <w:pStyle w:val="2"/>
        <w:bidi w:val="0"/>
        <w:rPr>
          <w:rFonts w:hint="eastAsia" w:ascii="宋体" w:hAnsi="宋体" w:eastAsia="宋体" w:cs="宋体"/>
          <w:b/>
          <w:bCs w:val="0"/>
        </w:rPr>
      </w:pPr>
      <w:r>
        <w:rPr>
          <w:rFonts w:hint="eastAsia" w:ascii="宋体" w:hAnsi="宋体" w:eastAsia="宋体" w:cs="宋体"/>
          <w:b/>
          <w:bCs w:val="0"/>
        </w:rPr>
        <w:t>服务需求</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项目概况</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25" w:leftChars="0" w:hanging="5" w:firstLineChars="0"/>
        <w:textAlignment w:val="auto"/>
        <w:rPr>
          <w:rFonts w:hint="eastAsia" w:ascii="宋体" w:hAnsi="宋体" w:eastAsia="宋体" w:cs="宋体"/>
          <w:color w:val="auto"/>
          <w:sz w:val="24"/>
          <w:szCs w:val="24"/>
          <w:u w:val="none"/>
          <w:lang w:val="en-US" w:eastAsia="zh-CN"/>
        </w:rPr>
      </w:pPr>
      <w:r>
        <w:rPr>
          <w:rFonts w:hint="eastAsia" w:ascii="宋体" w:hAnsi="宋体" w:eastAsia="宋体" w:cs="宋体"/>
          <w:sz w:val="24"/>
          <w:szCs w:val="24"/>
          <w:u w:val="none"/>
          <w:lang w:val="en-US" w:eastAsia="zh-CN"/>
        </w:rPr>
        <w:t>项目名</w:t>
      </w:r>
      <w:r>
        <w:rPr>
          <w:rFonts w:hint="eastAsia" w:ascii="宋体" w:hAnsi="宋体" w:eastAsia="宋体" w:cs="宋体"/>
          <w:color w:val="auto"/>
          <w:sz w:val="24"/>
          <w:szCs w:val="24"/>
          <w:u w:val="none"/>
          <w:lang w:val="en-US" w:eastAsia="zh-CN"/>
        </w:rPr>
        <w:t>称：保亭县生活垃圾填埋场渗滤液处理运营管理服务项目(HNZL-CG2024-0605)</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25" w:leftChars="0" w:hanging="5" w:firstLineChars="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项目总金额：¥895.46万元（895.46万元/三年，298.48万元/年）</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25" w:leftChars="0" w:hanging="5" w:firstLineChars="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采购内容：保亭县生活垃圾填埋场的渗滤液处理和运营管理，并按照国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u w:val="none"/>
          <w:lang w:val="en-US" w:eastAsia="zh-CN"/>
        </w:rPr>
        <w:t>家相关标准达标排放。</w:t>
      </w:r>
      <w:r>
        <w:rPr>
          <w:rFonts w:hint="eastAsia" w:ascii="宋体" w:hAnsi="宋体" w:eastAsia="宋体" w:cs="宋体"/>
          <w:color w:val="auto"/>
          <w:sz w:val="24"/>
          <w:szCs w:val="24"/>
          <w:lang w:val="en-US" w:eastAsia="zh-CN"/>
        </w:rPr>
        <w:t>本项目不设置渗滤液处理保底量，设计处理规模</w:t>
      </w:r>
      <w:r>
        <w:rPr>
          <w:rFonts w:hint="eastAsia" w:ascii="宋体" w:hAnsi="宋体" w:eastAsia="宋体" w:cs="宋体"/>
          <w:color w:val="auto"/>
          <w:sz w:val="24"/>
          <w:szCs w:val="24"/>
        </w:rPr>
        <w:t>不低于100吨/天，最终结算数量按实际处理量计算</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25" w:leftChars="0" w:hanging="5" w:firstLineChars="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合同履行期限（服务期）：三年。合同一年一签。</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25" w:leftChars="0" w:hanging="5" w:firstLineChars="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入场要求：中标后5天内签订合同，自签订合同之日起，投标人运营队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伍和设备必须10天内入场，入场后10天内完成设备安装调试并达标产水。</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25" w:leftChars="0" w:hanging="5" w:firstLineChars="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项目实施地点：保亭县。</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25" w:leftChars="0" w:hanging="5" w:firstLineChars="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质量标准：满足国家相关规定及采购需求要求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采购项目内容</w:t>
      </w:r>
    </w:p>
    <w:tbl>
      <w:tblPr>
        <w:tblStyle w:val="6"/>
        <w:tblW w:w="8519"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104"/>
        <w:gridCol w:w="541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3104"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spacing w:line="360" w:lineRule="auto"/>
              <w:ind w:firstLine="0" w:firstLineChars="0"/>
              <w:jc w:val="center"/>
              <w:rPr>
                <w:rFonts w:hint="default" w:ascii="宋体" w:hAnsi="宋体" w:eastAsia="宋体" w:cs="宋体"/>
                <w:color w:val="auto"/>
                <w:kern w:val="0"/>
                <w:sz w:val="24"/>
                <w:szCs w:val="24"/>
                <w:lang w:val="en-US"/>
              </w:rPr>
            </w:pPr>
            <w:r>
              <w:rPr>
                <w:rFonts w:hint="eastAsia" w:ascii="宋体" w:hAnsi="宋体" w:eastAsia="宋体" w:cs="宋体"/>
                <w:color w:val="auto"/>
                <w:kern w:val="0"/>
                <w:sz w:val="24"/>
                <w:szCs w:val="24"/>
              </w:rPr>
              <w:t>采购</w:t>
            </w:r>
            <w:r>
              <w:rPr>
                <w:rFonts w:hint="eastAsia" w:ascii="宋体" w:hAnsi="宋体" w:eastAsia="宋体" w:cs="宋体"/>
                <w:color w:val="auto"/>
                <w:kern w:val="0"/>
                <w:sz w:val="24"/>
                <w:szCs w:val="24"/>
                <w:lang w:val="en-US" w:eastAsia="zh-CN"/>
              </w:rPr>
              <w:t>标的名称</w:t>
            </w:r>
          </w:p>
        </w:tc>
        <w:tc>
          <w:tcPr>
            <w:tcW w:w="5415"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bottom"/>
          </w:tcPr>
          <w:p>
            <w:pPr>
              <w:spacing w:line="360" w:lineRule="auto"/>
              <w:ind w:firstLine="0" w:firstLineChars="0"/>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服务期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556" w:hRule="atLeast"/>
        </w:trPr>
        <w:tc>
          <w:tcPr>
            <w:tcW w:w="31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保亭县生活垃圾填埋场渗滤液处理运营管理服务项目</w:t>
            </w:r>
            <w:r>
              <w:rPr>
                <w:rFonts w:hint="eastAsia" w:ascii="宋体" w:hAnsi="宋体" w:eastAsia="宋体" w:cs="宋体"/>
                <w:color w:val="auto"/>
                <w:sz w:val="24"/>
                <w:szCs w:val="24"/>
                <w:u w:val="none"/>
                <w:lang w:val="en-US" w:eastAsia="zh-CN"/>
              </w:rPr>
              <w:t>(HNZL-CG2024-0605)</w:t>
            </w:r>
          </w:p>
        </w:tc>
        <w:tc>
          <w:tcPr>
            <w:tcW w:w="5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lang w:val="en-US" w:eastAsia="zh-CN"/>
              </w:rPr>
              <w:t>本项目招标服务期为三年,合同一年一签</w:t>
            </w:r>
            <w:r>
              <w:rPr>
                <w:rFonts w:hint="eastAsia" w:ascii="宋体" w:hAnsi="宋体" w:eastAsia="宋体" w:cs="宋体"/>
                <w:i w:val="0"/>
                <w:iCs w:val="0"/>
                <w:caps w:val="0"/>
                <w:color w:val="000000"/>
                <w:spacing w:val="0"/>
                <w:sz w:val="24"/>
                <w:szCs w:val="24"/>
                <w:shd w:val="clear" w:fill="FFFFFF"/>
              </w:rPr>
              <w:t>(自合同</w:t>
            </w:r>
            <w:r>
              <w:rPr>
                <w:rFonts w:hint="eastAsia" w:ascii="宋体" w:hAnsi="宋体" w:eastAsia="宋体" w:cs="宋体"/>
                <w:i w:val="0"/>
                <w:iCs w:val="0"/>
                <w:caps w:val="0"/>
                <w:color w:val="000000"/>
                <w:spacing w:val="0"/>
                <w:sz w:val="24"/>
                <w:szCs w:val="24"/>
                <w:shd w:val="clear" w:fill="FFFFFF"/>
                <w:lang w:eastAsia="zh-CN"/>
              </w:rPr>
              <w:t>签订</w:t>
            </w:r>
            <w:r>
              <w:rPr>
                <w:rFonts w:hint="eastAsia" w:ascii="宋体" w:hAnsi="宋体" w:eastAsia="宋体" w:cs="宋体"/>
                <w:i w:val="0"/>
                <w:iCs w:val="0"/>
                <w:caps w:val="0"/>
                <w:color w:val="000000"/>
                <w:spacing w:val="0"/>
                <w:sz w:val="24"/>
                <w:szCs w:val="24"/>
                <w:shd w:val="clear" w:fill="FFFFFF"/>
              </w:rPr>
              <w:t>之日起计算，经采购人考核合格后，续签下一年度合同，总服务期不超过三年)</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采购要求：报价人须对本项目的所有内容报价，任何只对其中一部分内容进行的报价均被视为无效报价。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三、</w:t>
      </w:r>
      <w:r>
        <w:rPr>
          <w:rFonts w:hint="eastAsia" w:ascii="宋体" w:hAnsi="宋体" w:eastAsia="宋体" w:cs="宋体"/>
          <w:b/>
          <w:bCs/>
          <w:sz w:val="24"/>
          <w:szCs w:val="24"/>
          <w:lang w:val="en-US" w:eastAsia="zh-CN"/>
        </w:rPr>
        <w:t>服务内容及要求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1.服务范围及内容：保亭县生活垃圾填埋场的渗滤液处理和运营管理，并按照国家相关标准达标排放。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保亭县生活垃圾填埋场渗滤液处理设计处理规模为100吨/天，工艺采用“预处理+生物处理+深度处理”工艺，其中预处理采用SBR生物预处理，生物处理采用A/O-MBR工艺，深度处理工艺采用“Fenton氧化+曝气生物滤池”工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3.投标人所投入的设备系统的能力、效果、成本给予实质性的保证。确保渗滤液处理量和出水水质达到招标要求。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4.采购人提供场地原貌、水电设施接入点，投标人自有设备的基础管道铺设设施配套以及安装调试等需自行负责。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5.入场要求：中标后5天内签订合同，自签订合同之日起，投标人运营队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伍和设备必须10天内入场，入场后10天内完成设备安装调试并达标产水。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6.服务范围及要求：</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标人须确保拟投入的设备及服务能够适应水质水量的变化，既适应目前考察的水质指标又适应将来的各种变化情况，确保渗滤液的处理量和出水水质达到招标要求。同时，对因环保方面对水质处理的要求提高或其它原因，投标人应对处理设施设备进行改造调整，确保安全生产及出水达标达量排放。</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中标人负责对渗滤液处理系统及其附属设施的日常运营及维护保养。</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中标人负责渗滤液处理并达标排放，每个月须提供第三方检测机构出具的达标排放检测报告。</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依据环保相关部门要求，服从环保及其他有关部门的监督管理，定期进行渗滤液产水取样、检测，并提供合格的检测报告；如过程监测中发现有不达标排放的行为，投标人承担由此而造成的一切经济损失及法律责任。</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选派技术水平高、有实际经验、熟悉设备和系统的专业技术人员完成本项目各项工作，有义务协助各类检查工作，执行各项条款和规定，确保渗滤液处理厂设备系统安全、经济运行各项指标；在运营期间，服从采购人统一调度，合理安排工作人员工作时间，为确保本项目服务质量，要求投标人投入本项目驻渗滤液处理站的运维团队最低配置6人，其中总负责人1人、技术人员1人，运维人员4人。</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每天专人进行渗滤液处理，填写渗滤液处理情况记录表，记录必须真实、完整、清晰、及时、准确，按月报送存档；施工工艺一经确定，中途不得改变。</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中标人负责计量系统的日常维护，当计量系统发生故障时，负责维修及检测、标定并承担其费用，应及时报告采购人。</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做好原料及药剂的采购、保管、使用等环节的安全；采购人提供硫酸备案协助，投标人承担其费用、保管和安全使用的责任，并配合行政主管部门的监督并按规定建立台账。</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关系协调情况：运营期间，由中标人自行协调与各方的配合关系。</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设备归属权：采购人所有的运营处理设备设施，项目运营服务结束后中标人不得随意移走设备；中标人新增的设备设施，归中标人所有，项目运营服务结束后中标人可自行移走。如项目需要，可由采购人或新运营方回购设备。</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制定并落实相应的安全管理制度：如作业培训、有限空间作业制度、危化品使用管理制度等，避免任何安全生产事故的发生。</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制定相应的应急预案：如在突发性污染事故发生后，迅速、高效、有序地开展污染事故的应急处理工作，最大限度的避免和控制污染的扩大；确定潜在的事故、事件或紧急情况，确保经过处理的污水中的污染物浓度符合国家污水综合排放标准的有关规定，并能在事故发生后迅速有效控制处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四、技术要求：</w:t>
      </w:r>
    </w:p>
    <w:p>
      <w:pPr>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出水水质量标准：渗滤液处理后达到《生活垃圾填埋场污染物控制标准》GB116889-2008表2标准；</w:t>
      </w:r>
    </w:p>
    <w:p>
      <w:pPr>
        <w:spacing w:line="360" w:lineRule="auto"/>
        <w:ind w:firstLine="0" w:firstLineChars="0"/>
        <w:jc w:val="center"/>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现有和新建生活垃圾填埋场水污染物排放浓度限值</w:t>
      </w:r>
    </w:p>
    <w:tbl>
      <w:tblPr>
        <w:tblStyle w:val="6"/>
        <w:tblW w:w="0" w:type="auto"/>
        <w:jc w:val="center"/>
        <w:tblLayout w:type="fixed"/>
        <w:tblCellMar>
          <w:top w:w="0" w:type="dxa"/>
          <w:left w:w="108" w:type="dxa"/>
          <w:bottom w:w="0" w:type="dxa"/>
          <w:right w:w="108" w:type="dxa"/>
        </w:tblCellMar>
      </w:tblPr>
      <w:tblGrid>
        <w:gridCol w:w="704"/>
        <w:gridCol w:w="3381"/>
        <w:gridCol w:w="1635"/>
        <w:gridCol w:w="2953"/>
      </w:tblGrid>
      <w:tr>
        <w:tblPrEx>
          <w:tblCellMar>
            <w:top w:w="0" w:type="dxa"/>
            <w:left w:w="108" w:type="dxa"/>
            <w:bottom w:w="0" w:type="dxa"/>
            <w:right w:w="108" w:type="dxa"/>
          </w:tblCellMar>
        </w:tblPrEx>
        <w:trPr>
          <w:trHeight w:val="53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3381"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控制污染物</w:t>
            </w:r>
          </w:p>
        </w:tc>
        <w:tc>
          <w:tcPr>
            <w:tcW w:w="163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排放浓度限值</w:t>
            </w:r>
          </w:p>
        </w:tc>
        <w:tc>
          <w:tcPr>
            <w:tcW w:w="2953"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污染物排放监控位置</w:t>
            </w:r>
          </w:p>
        </w:tc>
      </w:tr>
      <w:tr>
        <w:tblPrEx>
          <w:tblCellMar>
            <w:top w:w="0" w:type="dxa"/>
            <w:left w:w="108" w:type="dxa"/>
            <w:bottom w:w="0" w:type="dxa"/>
            <w:right w:w="108" w:type="dxa"/>
          </w:tblCellMar>
        </w:tblPrEx>
        <w:trPr>
          <w:jc w:val="center"/>
        </w:trPr>
        <w:tc>
          <w:tcPr>
            <w:tcW w:w="704" w:type="dxa"/>
            <w:tcBorders>
              <w:top w:val="nil"/>
              <w:left w:val="single" w:color="auto" w:sz="4" w:space="0"/>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381"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色度（稀释倍数）</w:t>
            </w:r>
          </w:p>
        </w:tc>
        <w:tc>
          <w:tcPr>
            <w:tcW w:w="1635" w:type="dxa"/>
            <w:tcBorders>
              <w:top w:val="nil"/>
              <w:left w:val="nil"/>
              <w:bottom w:val="single" w:color="auto" w:sz="4" w:space="0"/>
              <w:right w:val="single" w:color="auto" w:sz="4" w:space="0"/>
            </w:tcBorders>
            <w:shd w:val="clear" w:color="auto" w:fill="FFFFFF"/>
            <w:noWrap w:val="0"/>
            <w:vAlign w:val="center"/>
          </w:tcPr>
          <w:p>
            <w:pPr>
              <w:spacing w:line="360" w:lineRule="auto"/>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≤40</w:t>
            </w:r>
          </w:p>
        </w:tc>
        <w:tc>
          <w:tcPr>
            <w:tcW w:w="2953"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常规污水处理设施排放口</w:t>
            </w:r>
          </w:p>
        </w:tc>
      </w:tr>
      <w:tr>
        <w:tblPrEx>
          <w:tblCellMar>
            <w:top w:w="0" w:type="dxa"/>
            <w:left w:w="108" w:type="dxa"/>
            <w:bottom w:w="0" w:type="dxa"/>
            <w:right w:w="108" w:type="dxa"/>
          </w:tblCellMar>
        </w:tblPrEx>
        <w:trPr>
          <w:jc w:val="center"/>
        </w:trPr>
        <w:tc>
          <w:tcPr>
            <w:tcW w:w="704" w:type="dxa"/>
            <w:tcBorders>
              <w:top w:val="nil"/>
              <w:left w:val="single" w:color="auto" w:sz="4" w:space="0"/>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3381"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化学需氧量（CODCr）（mg/L）</w:t>
            </w:r>
          </w:p>
        </w:tc>
        <w:tc>
          <w:tcPr>
            <w:tcW w:w="1635" w:type="dxa"/>
            <w:tcBorders>
              <w:top w:val="nil"/>
              <w:left w:val="nil"/>
              <w:bottom w:val="single" w:color="auto" w:sz="4" w:space="0"/>
              <w:right w:val="single" w:color="auto" w:sz="4" w:space="0"/>
            </w:tcBorders>
            <w:shd w:val="clear" w:color="auto" w:fill="FFFFFF"/>
            <w:noWrap w:val="0"/>
            <w:vAlign w:val="center"/>
          </w:tcPr>
          <w:p>
            <w:pPr>
              <w:spacing w:line="360" w:lineRule="auto"/>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≤100</w:t>
            </w:r>
          </w:p>
        </w:tc>
        <w:tc>
          <w:tcPr>
            <w:tcW w:w="2953"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常规污水处理设施排放口</w:t>
            </w:r>
          </w:p>
        </w:tc>
      </w:tr>
      <w:tr>
        <w:tblPrEx>
          <w:tblCellMar>
            <w:top w:w="0" w:type="dxa"/>
            <w:left w:w="108" w:type="dxa"/>
            <w:bottom w:w="0" w:type="dxa"/>
            <w:right w:w="108" w:type="dxa"/>
          </w:tblCellMar>
        </w:tblPrEx>
        <w:trPr>
          <w:jc w:val="center"/>
        </w:trPr>
        <w:tc>
          <w:tcPr>
            <w:tcW w:w="704" w:type="dxa"/>
            <w:tcBorders>
              <w:top w:val="nil"/>
              <w:left w:val="single" w:color="auto" w:sz="4" w:space="0"/>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381"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生化需氧量（BOD5）（mg/L）</w:t>
            </w:r>
          </w:p>
        </w:tc>
        <w:tc>
          <w:tcPr>
            <w:tcW w:w="1635" w:type="dxa"/>
            <w:tcBorders>
              <w:top w:val="nil"/>
              <w:left w:val="nil"/>
              <w:bottom w:val="single" w:color="auto" w:sz="4" w:space="0"/>
              <w:right w:val="single" w:color="auto" w:sz="4" w:space="0"/>
            </w:tcBorders>
            <w:shd w:val="clear" w:color="auto" w:fill="FFFFFF"/>
            <w:noWrap w:val="0"/>
            <w:vAlign w:val="center"/>
          </w:tcPr>
          <w:p>
            <w:pPr>
              <w:spacing w:line="360" w:lineRule="auto"/>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≤30</w:t>
            </w:r>
          </w:p>
        </w:tc>
        <w:tc>
          <w:tcPr>
            <w:tcW w:w="2953"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常规污水处理设施排放口</w:t>
            </w:r>
          </w:p>
        </w:tc>
      </w:tr>
      <w:tr>
        <w:tblPrEx>
          <w:tblCellMar>
            <w:top w:w="0" w:type="dxa"/>
            <w:left w:w="108" w:type="dxa"/>
            <w:bottom w:w="0" w:type="dxa"/>
            <w:right w:w="108" w:type="dxa"/>
          </w:tblCellMar>
        </w:tblPrEx>
        <w:trPr>
          <w:jc w:val="center"/>
        </w:trPr>
        <w:tc>
          <w:tcPr>
            <w:tcW w:w="704" w:type="dxa"/>
            <w:tcBorders>
              <w:top w:val="nil"/>
              <w:left w:val="single" w:color="auto" w:sz="4" w:space="0"/>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3381"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悬浮物（mg/L）</w:t>
            </w:r>
          </w:p>
        </w:tc>
        <w:tc>
          <w:tcPr>
            <w:tcW w:w="1635" w:type="dxa"/>
            <w:tcBorders>
              <w:top w:val="nil"/>
              <w:left w:val="nil"/>
              <w:bottom w:val="single" w:color="auto" w:sz="4" w:space="0"/>
              <w:right w:val="single" w:color="auto" w:sz="4" w:space="0"/>
            </w:tcBorders>
            <w:shd w:val="clear" w:color="auto" w:fill="FFFFFF"/>
            <w:noWrap w:val="0"/>
            <w:vAlign w:val="center"/>
          </w:tcPr>
          <w:p>
            <w:pPr>
              <w:spacing w:line="360" w:lineRule="auto"/>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≤30</w:t>
            </w:r>
          </w:p>
        </w:tc>
        <w:tc>
          <w:tcPr>
            <w:tcW w:w="2953"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常规污水处理设施排放口</w:t>
            </w:r>
          </w:p>
        </w:tc>
      </w:tr>
      <w:tr>
        <w:tblPrEx>
          <w:tblCellMar>
            <w:top w:w="0" w:type="dxa"/>
            <w:left w:w="108" w:type="dxa"/>
            <w:bottom w:w="0" w:type="dxa"/>
            <w:right w:w="108" w:type="dxa"/>
          </w:tblCellMar>
        </w:tblPrEx>
        <w:trPr>
          <w:jc w:val="center"/>
        </w:trPr>
        <w:tc>
          <w:tcPr>
            <w:tcW w:w="704" w:type="dxa"/>
            <w:tcBorders>
              <w:top w:val="nil"/>
              <w:left w:val="single" w:color="auto" w:sz="4" w:space="0"/>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3381"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总氮（mg/L）</w:t>
            </w:r>
          </w:p>
        </w:tc>
        <w:tc>
          <w:tcPr>
            <w:tcW w:w="1635" w:type="dxa"/>
            <w:tcBorders>
              <w:top w:val="nil"/>
              <w:left w:val="nil"/>
              <w:bottom w:val="single" w:color="auto" w:sz="4" w:space="0"/>
              <w:right w:val="single" w:color="auto" w:sz="4" w:space="0"/>
            </w:tcBorders>
            <w:shd w:val="clear" w:color="auto" w:fill="FFFFFF"/>
            <w:noWrap w:val="0"/>
            <w:vAlign w:val="center"/>
          </w:tcPr>
          <w:p>
            <w:pPr>
              <w:spacing w:line="360" w:lineRule="auto"/>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≤40</w:t>
            </w:r>
          </w:p>
        </w:tc>
        <w:tc>
          <w:tcPr>
            <w:tcW w:w="2953"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常规污水处理设施排放口</w:t>
            </w:r>
          </w:p>
        </w:tc>
      </w:tr>
      <w:tr>
        <w:tblPrEx>
          <w:tblCellMar>
            <w:top w:w="0" w:type="dxa"/>
            <w:left w:w="108" w:type="dxa"/>
            <w:bottom w:w="0" w:type="dxa"/>
            <w:right w:w="108" w:type="dxa"/>
          </w:tblCellMar>
        </w:tblPrEx>
        <w:trPr>
          <w:jc w:val="center"/>
        </w:trPr>
        <w:tc>
          <w:tcPr>
            <w:tcW w:w="704" w:type="dxa"/>
            <w:tcBorders>
              <w:top w:val="nil"/>
              <w:left w:val="single" w:color="auto" w:sz="4" w:space="0"/>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3381"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氨氮（mg/L）</w:t>
            </w:r>
          </w:p>
        </w:tc>
        <w:tc>
          <w:tcPr>
            <w:tcW w:w="1635" w:type="dxa"/>
            <w:tcBorders>
              <w:top w:val="nil"/>
              <w:left w:val="nil"/>
              <w:bottom w:val="single" w:color="auto" w:sz="4" w:space="0"/>
              <w:right w:val="single" w:color="auto" w:sz="4" w:space="0"/>
            </w:tcBorders>
            <w:shd w:val="clear" w:color="auto" w:fill="FFFFFF"/>
            <w:noWrap w:val="0"/>
            <w:vAlign w:val="center"/>
          </w:tcPr>
          <w:p>
            <w:pPr>
              <w:spacing w:line="360" w:lineRule="auto"/>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≤25</w:t>
            </w:r>
          </w:p>
        </w:tc>
        <w:tc>
          <w:tcPr>
            <w:tcW w:w="2953"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常规污水处理设施排放口</w:t>
            </w:r>
          </w:p>
        </w:tc>
      </w:tr>
      <w:tr>
        <w:tblPrEx>
          <w:tblCellMar>
            <w:top w:w="0" w:type="dxa"/>
            <w:left w:w="108" w:type="dxa"/>
            <w:bottom w:w="0" w:type="dxa"/>
            <w:right w:w="108" w:type="dxa"/>
          </w:tblCellMar>
        </w:tblPrEx>
        <w:trPr>
          <w:jc w:val="center"/>
        </w:trPr>
        <w:tc>
          <w:tcPr>
            <w:tcW w:w="704" w:type="dxa"/>
            <w:tcBorders>
              <w:top w:val="nil"/>
              <w:left w:val="single" w:color="auto" w:sz="4" w:space="0"/>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3381"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总磷（mg/L）</w:t>
            </w:r>
          </w:p>
        </w:tc>
        <w:tc>
          <w:tcPr>
            <w:tcW w:w="1635" w:type="dxa"/>
            <w:tcBorders>
              <w:top w:val="nil"/>
              <w:left w:val="nil"/>
              <w:bottom w:val="single" w:color="auto" w:sz="4" w:space="0"/>
              <w:right w:val="single" w:color="auto" w:sz="4" w:space="0"/>
            </w:tcBorders>
            <w:shd w:val="clear" w:color="auto" w:fill="FFFFFF"/>
            <w:noWrap w:val="0"/>
            <w:vAlign w:val="center"/>
          </w:tcPr>
          <w:p>
            <w:pPr>
              <w:spacing w:line="360" w:lineRule="auto"/>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2953"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常规污水处理设施排放口</w:t>
            </w:r>
          </w:p>
        </w:tc>
      </w:tr>
      <w:tr>
        <w:tblPrEx>
          <w:tblCellMar>
            <w:top w:w="0" w:type="dxa"/>
            <w:left w:w="108" w:type="dxa"/>
            <w:bottom w:w="0" w:type="dxa"/>
            <w:right w:w="108" w:type="dxa"/>
          </w:tblCellMar>
        </w:tblPrEx>
        <w:trPr>
          <w:jc w:val="center"/>
        </w:trPr>
        <w:tc>
          <w:tcPr>
            <w:tcW w:w="704" w:type="dxa"/>
            <w:tcBorders>
              <w:top w:val="nil"/>
              <w:left w:val="single" w:color="auto" w:sz="4" w:space="0"/>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3381"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粪大肠菌群数（个/L）</w:t>
            </w:r>
          </w:p>
        </w:tc>
        <w:tc>
          <w:tcPr>
            <w:tcW w:w="1635" w:type="dxa"/>
            <w:tcBorders>
              <w:top w:val="nil"/>
              <w:left w:val="nil"/>
              <w:bottom w:val="single" w:color="auto" w:sz="4" w:space="0"/>
              <w:right w:val="single" w:color="auto" w:sz="4" w:space="0"/>
            </w:tcBorders>
            <w:shd w:val="clear" w:color="auto" w:fill="FFFFFF"/>
            <w:noWrap w:val="0"/>
            <w:vAlign w:val="center"/>
          </w:tcPr>
          <w:p>
            <w:pPr>
              <w:spacing w:line="360" w:lineRule="auto"/>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≤10000</w:t>
            </w:r>
          </w:p>
        </w:tc>
        <w:tc>
          <w:tcPr>
            <w:tcW w:w="2953"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常规污水处理设施排放口</w:t>
            </w:r>
          </w:p>
        </w:tc>
      </w:tr>
      <w:tr>
        <w:tblPrEx>
          <w:tblCellMar>
            <w:top w:w="0" w:type="dxa"/>
            <w:left w:w="108" w:type="dxa"/>
            <w:bottom w:w="0" w:type="dxa"/>
            <w:right w:w="108" w:type="dxa"/>
          </w:tblCellMar>
        </w:tblPrEx>
        <w:trPr>
          <w:jc w:val="center"/>
        </w:trPr>
        <w:tc>
          <w:tcPr>
            <w:tcW w:w="704" w:type="dxa"/>
            <w:tcBorders>
              <w:top w:val="nil"/>
              <w:left w:val="single" w:color="auto" w:sz="4" w:space="0"/>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w:t>
            </w:r>
          </w:p>
        </w:tc>
        <w:tc>
          <w:tcPr>
            <w:tcW w:w="3381"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总汞（mg/L）</w:t>
            </w:r>
          </w:p>
        </w:tc>
        <w:tc>
          <w:tcPr>
            <w:tcW w:w="1635" w:type="dxa"/>
            <w:tcBorders>
              <w:top w:val="nil"/>
              <w:left w:val="nil"/>
              <w:bottom w:val="single" w:color="auto" w:sz="4" w:space="0"/>
              <w:right w:val="single" w:color="auto" w:sz="4" w:space="0"/>
            </w:tcBorders>
            <w:shd w:val="clear" w:color="auto" w:fill="FFFFFF"/>
            <w:noWrap w:val="0"/>
            <w:vAlign w:val="center"/>
          </w:tcPr>
          <w:p>
            <w:pPr>
              <w:spacing w:line="360" w:lineRule="auto"/>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≤0.001</w:t>
            </w:r>
          </w:p>
        </w:tc>
        <w:tc>
          <w:tcPr>
            <w:tcW w:w="2953"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常规污水处理设施排放口</w:t>
            </w:r>
          </w:p>
        </w:tc>
      </w:tr>
      <w:tr>
        <w:tblPrEx>
          <w:tblCellMar>
            <w:top w:w="0" w:type="dxa"/>
            <w:left w:w="108" w:type="dxa"/>
            <w:bottom w:w="0" w:type="dxa"/>
            <w:right w:w="108" w:type="dxa"/>
          </w:tblCellMar>
        </w:tblPrEx>
        <w:trPr>
          <w:jc w:val="center"/>
        </w:trPr>
        <w:tc>
          <w:tcPr>
            <w:tcW w:w="704" w:type="dxa"/>
            <w:tcBorders>
              <w:top w:val="nil"/>
              <w:left w:val="single" w:color="auto" w:sz="4" w:space="0"/>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w:t>
            </w:r>
          </w:p>
        </w:tc>
        <w:tc>
          <w:tcPr>
            <w:tcW w:w="3381"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总镉（mg/L）</w:t>
            </w:r>
          </w:p>
        </w:tc>
        <w:tc>
          <w:tcPr>
            <w:tcW w:w="1635" w:type="dxa"/>
            <w:tcBorders>
              <w:top w:val="nil"/>
              <w:left w:val="nil"/>
              <w:bottom w:val="single" w:color="auto" w:sz="4" w:space="0"/>
              <w:right w:val="single" w:color="auto" w:sz="4" w:space="0"/>
            </w:tcBorders>
            <w:shd w:val="clear" w:color="auto" w:fill="FFFFFF"/>
            <w:noWrap w:val="0"/>
            <w:vAlign w:val="center"/>
          </w:tcPr>
          <w:p>
            <w:pPr>
              <w:spacing w:line="360" w:lineRule="auto"/>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≤0.01</w:t>
            </w:r>
          </w:p>
        </w:tc>
        <w:tc>
          <w:tcPr>
            <w:tcW w:w="2953"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常规污水处理设施排放口</w:t>
            </w:r>
          </w:p>
        </w:tc>
      </w:tr>
      <w:tr>
        <w:tblPrEx>
          <w:tblCellMar>
            <w:top w:w="0" w:type="dxa"/>
            <w:left w:w="108" w:type="dxa"/>
            <w:bottom w:w="0" w:type="dxa"/>
            <w:right w:w="108" w:type="dxa"/>
          </w:tblCellMar>
        </w:tblPrEx>
        <w:trPr>
          <w:jc w:val="center"/>
        </w:trPr>
        <w:tc>
          <w:tcPr>
            <w:tcW w:w="704" w:type="dxa"/>
            <w:tcBorders>
              <w:top w:val="nil"/>
              <w:left w:val="single" w:color="auto" w:sz="4" w:space="0"/>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w:t>
            </w:r>
          </w:p>
        </w:tc>
        <w:tc>
          <w:tcPr>
            <w:tcW w:w="3381"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总铬（mg/L）</w:t>
            </w:r>
          </w:p>
        </w:tc>
        <w:tc>
          <w:tcPr>
            <w:tcW w:w="1635" w:type="dxa"/>
            <w:tcBorders>
              <w:top w:val="nil"/>
              <w:left w:val="nil"/>
              <w:bottom w:val="single" w:color="auto" w:sz="4" w:space="0"/>
              <w:right w:val="single" w:color="auto" w:sz="4" w:space="0"/>
            </w:tcBorders>
            <w:shd w:val="clear" w:color="auto" w:fill="FFFFFF"/>
            <w:noWrap w:val="0"/>
            <w:vAlign w:val="center"/>
          </w:tcPr>
          <w:p>
            <w:pPr>
              <w:spacing w:line="360" w:lineRule="auto"/>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≤0.1</w:t>
            </w:r>
          </w:p>
        </w:tc>
        <w:tc>
          <w:tcPr>
            <w:tcW w:w="2953"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常规污水处理设施排放口</w:t>
            </w:r>
          </w:p>
        </w:tc>
      </w:tr>
      <w:tr>
        <w:tblPrEx>
          <w:tblCellMar>
            <w:top w:w="0" w:type="dxa"/>
            <w:left w:w="108" w:type="dxa"/>
            <w:bottom w:w="0" w:type="dxa"/>
            <w:right w:w="108" w:type="dxa"/>
          </w:tblCellMar>
        </w:tblPrEx>
        <w:trPr>
          <w:trHeight w:val="405" w:hRule="atLeast"/>
          <w:jc w:val="center"/>
        </w:trPr>
        <w:tc>
          <w:tcPr>
            <w:tcW w:w="704" w:type="dxa"/>
            <w:tcBorders>
              <w:top w:val="nil"/>
              <w:left w:val="single" w:color="auto" w:sz="4" w:space="0"/>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w:t>
            </w:r>
          </w:p>
        </w:tc>
        <w:tc>
          <w:tcPr>
            <w:tcW w:w="3381"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六价铬（mg/L）</w:t>
            </w:r>
          </w:p>
        </w:tc>
        <w:tc>
          <w:tcPr>
            <w:tcW w:w="1635" w:type="dxa"/>
            <w:tcBorders>
              <w:top w:val="nil"/>
              <w:left w:val="nil"/>
              <w:bottom w:val="single" w:color="auto" w:sz="4" w:space="0"/>
              <w:right w:val="single" w:color="auto" w:sz="4" w:space="0"/>
            </w:tcBorders>
            <w:shd w:val="clear" w:color="auto" w:fill="FFFFFF"/>
            <w:noWrap w:val="0"/>
            <w:vAlign w:val="center"/>
          </w:tcPr>
          <w:p>
            <w:pPr>
              <w:spacing w:line="360" w:lineRule="auto"/>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≤0.05</w:t>
            </w:r>
          </w:p>
        </w:tc>
        <w:tc>
          <w:tcPr>
            <w:tcW w:w="2953"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常规污水处理设施排放口</w:t>
            </w:r>
          </w:p>
        </w:tc>
      </w:tr>
      <w:tr>
        <w:tblPrEx>
          <w:tblCellMar>
            <w:top w:w="0" w:type="dxa"/>
            <w:left w:w="108" w:type="dxa"/>
            <w:bottom w:w="0" w:type="dxa"/>
            <w:right w:w="108" w:type="dxa"/>
          </w:tblCellMar>
        </w:tblPrEx>
        <w:trPr>
          <w:jc w:val="center"/>
        </w:trPr>
        <w:tc>
          <w:tcPr>
            <w:tcW w:w="704" w:type="dxa"/>
            <w:tcBorders>
              <w:top w:val="nil"/>
              <w:left w:val="single" w:color="auto" w:sz="4" w:space="0"/>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13</w:t>
            </w:r>
          </w:p>
        </w:tc>
        <w:tc>
          <w:tcPr>
            <w:tcW w:w="3381"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总砷（mg/L）</w:t>
            </w:r>
          </w:p>
        </w:tc>
        <w:tc>
          <w:tcPr>
            <w:tcW w:w="1635" w:type="dxa"/>
            <w:tcBorders>
              <w:top w:val="nil"/>
              <w:left w:val="nil"/>
              <w:bottom w:val="single" w:color="auto" w:sz="4" w:space="0"/>
              <w:right w:val="single" w:color="auto" w:sz="4" w:space="0"/>
            </w:tcBorders>
            <w:shd w:val="clear" w:color="auto" w:fill="FFFFFF"/>
            <w:noWrap w:val="0"/>
            <w:vAlign w:val="center"/>
          </w:tcPr>
          <w:p>
            <w:pPr>
              <w:spacing w:line="360" w:lineRule="auto"/>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≤0.1</w:t>
            </w:r>
          </w:p>
        </w:tc>
        <w:tc>
          <w:tcPr>
            <w:tcW w:w="2953"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常规污水处理设施排放口</w:t>
            </w:r>
          </w:p>
        </w:tc>
      </w:tr>
      <w:tr>
        <w:tblPrEx>
          <w:tblCellMar>
            <w:top w:w="0" w:type="dxa"/>
            <w:left w:w="108" w:type="dxa"/>
            <w:bottom w:w="0" w:type="dxa"/>
            <w:right w:w="108" w:type="dxa"/>
          </w:tblCellMar>
        </w:tblPrEx>
        <w:trPr>
          <w:jc w:val="center"/>
        </w:trPr>
        <w:tc>
          <w:tcPr>
            <w:tcW w:w="704" w:type="dxa"/>
            <w:tcBorders>
              <w:top w:val="nil"/>
              <w:left w:val="single" w:color="auto" w:sz="4" w:space="0"/>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w:t>
            </w:r>
          </w:p>
        </w:tc>
        <w:tc>
          <w:tcPr>
            <w:tcW w:w="3381"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总铅（mg/L）</w:t>
            </w:r>
          </w:p>
        </w:tc>
        <w:tc>
          <w:tcPr>
            <w:tcW w:w="1635" w:type="dxa"/>
            <w:tcBorders>
              <w:top w:val="nil"/>
              <w:left w:val="nil"/>
              <w:bottom w:val="single" w:color="auto" w:sz="4" w:space="0"/>
              <w:right w:val="single" w:color="auto" w:sz="4" w:space="0"/>
            </w:tcBorders>
            <w:shd w:val="clear" w:color="auto" w:fill="FFFFFF"/>
            <w:noWrap w:val="0"/>
            <w:vAlign w:val="center"/>
          </w:tcPr>
          <w:p>
            <w:pPr>
              <w:spacing w:line="360" w:lineRule="auto"/>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≤0.1</w:t>
            </w:r>
          </w:p>
        </w:tc>
        <w:tc>
          <w:tcPr>
            <w:tcW w:w="2953" w:type="dxa"/>
            <w:tcBorders>
              <w:top w:val="nil"/>
              <w:left w:val="nil"/>
              <w:bottom w:val="single" w:color="auto" w:sz="4" w:space="0"/>
              <w:right w:val="single" w:color="auto" w:sz="4" w:space="0"/>
            </w:tcBorders>
            <w:shd w:val="clear" w:color="auto" w:fill="FFFFFF"/>
            <w:noWrap w:val="0"/>
            <w:vAlign w:val="center"/>
          </w:tcPr>
          <w:p>
            <w:pPr>
              <w:spacing w:line="36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常规污水处理设施排放口</w:t>
            </w:r>
          </w:p>
        </w:tc>
      </w:tr>
    </w:tbl>
    <w:p>
      <w:pP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br w:type="page"/>
      </w:r>
    </w:p>
    <w:p>
      <w:pPr>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日常监测</w:t>
      </w:r>
      <w:bookmarkStart w:id="1" w:name="_GoBack"/>
      <w:bookmarkEnd w:id="1"/>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对产水进行日常监测，主要检测指标为COD、氨氮和pH，需每月委托第三方检测单位对出水检测，并出具合格的检测报告。</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如因投标人超标排放或偷排造成的一切后果由中标人负责。</w:t>
      </w:r>
    </w:p>
    <w:p>
      <w:pPr>
        <w:spacing w:line="360" w:lineRule="auto"/>
        <w:ind w:firstLine="48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3.运行要求</w:t>
      </w:r>
    </w:p>
    <w:p>
      <w:pPr>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必须严格遵守操作规程，科学地组织生产运行，保证设备达标排放，且确保生产安全；详实、规范记录，并妥善保存运行记录表、设备的维修记录表及水质化验表等日常台账相关资料，按时抄送给采购人进行备案；做好配合相关职能部门的监督、检查工作，并提供相关资料。</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五、商务要求：</w:t>
      </w:r>
    </w:p>
    <w:p>
      <w:pPr>
        <w:spacing w:line="360" w:lineRule="auto"/>
        <w:ind w:firstLine="48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1.验收：项目验收过程由采购人组织项目验收小组进行验收。验收标准应参照国家及行业强制标准。</w:t>
      </w:r>
    </w:p>
    <w:p>
      <w:pPr>
        <w:spacing w:line="360" w:lineRule="auto"/>
        <w:ind w:firstLine="48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2.服务期：</w:t>
      </w:r>
      <w:r>
        <w:rPr>
          <w:rFonts w:hint="eastAsia" w:ascii="宋体" w:hAnsi="宋体" w:eastAsia="宋体" w:cs="宋体"/>
          <w:i w:val="0"/>
          <w:iCs w:val="0"/>
          <w:caps w:val="0"/>
          <w:color w:val="000000"/>
          <w:spacing w:val="0"/>
          <w:sz w:val="24"/>
          <w:szCs w:val="24"/>
          <w:shd w:val="clear" w:fill="FFFFFF"/>
          <w:lang w:val="en-US" w:eastAsia="zh-CN"/>
        </w:rPr>
        <w:t>本项目招标服务期为三年,合同一年一签</w:t>
      </w:r>
      <w:r>
        <w:rPr>
          <w:rFonts w:hint="eastAsia" w:ascii="宋体" w:hAnsi="宋体" w:eastAsia="宋体" w:cs="宋体"/>
          <w:i w:val="0"/>
          <w:iCs w:val="0"/>
          <w:caps w:val="0"/>
          <w:color w:val="000000"/>
          <w:spacing w:val="0"/>
          <w:sz w:val="24"/>
          <w:szCs w:val="24"/>
          <w:shd w:val="clear" w:fill="FFFFFF"/>
        </w:rPr>
        <w:t>(自合同</w:t>
      </w:r>
      <w:r>
        <w:rPr>
          <w:rFonts w:hint="eastAsia" w:ascii="宋体" w:hAnsi="宋体" w:eastAsia="宋体" w:cs="宋体"/>
          <w:i w:val="0"/>
          <w:iCs w:val="0"/>
          <w:caps w:val="0"/>
          <w:color w:val="000000"/>
          <w:spacing w:val="0"/>
          <w:sz w:val="24"/>
          <w:szCs w:val="24"/>
          <w:shd w:val="clear" w:fill="FFFFFF"/>
          <w:lang w:eastAsia="zh-CN"/>
        </w:rPr>
        <w:t>签订</w:t>
      </w:r>
      <w:r>
        <w:rPr>
          <w:rFonts w:hint="eastAsia" w:ascii="宋体" w:hAnsi="宋体" w:eastAsia="宋体" w:cs="宋体"/>
          <w:i w:val="0"/>
          <w:iCs w:val="0"/>
          <w:caps w:val="0"/>
          <w:color w:val="000000"/>
          <w:spacing w:val="0"/>
          <w:sz w:val="24"/>
          <w:szCs w:val="24"/>
          <w:shd w:val="clear" w:fill="FFFFFF"/>
        </w:rPr>
        <w:t>之日起计算，经采购人考核合格后，续签下一年度合同，总服务期不超过三年)</w:t>
      </w:r>
      <w:r>
        <w:rPr>
          <w:rFonts w:hint="eastAsia" w:ascii="宋体" w:hAnsi="宋体" w:eastAsia="宋体" w:cs="宋体"/>
          <w:i w:val="0"/>
          <w:iCs w:val="0"/>
          <w:caps w:val="0"/>
          <w:color w:val="000000"/>
          <w:spacing w:val="0"/>
          <w:sz w:val="24"/>
          <w:szCs w:val="24"/>
          <w:shd w:val="clear" w:fill="FFFFFF"/>
          <w:lang w:eastAsia="zh-CN"/>
        </w:rPr>
        <w:t>。</w:t>
      </w:r>
    </w:p>
    <w:p>
      <w:pPr>
        <w:spacing w:line="360" w:lineRule="auto"/>
        <w:ind w:firstLine="48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3.履约保证金金额：在合同签订之后，中标服务商需缴纳不得超过合同金额5%的履约保证金（具体金额以合同约定为准）,履约保证金在本项目经验收合格后退还（不计利息）。</w:t>
      </w:r>
    </w:p>
    <w:p>
      <w:pPr>
        <w:spacing w:line="360" w:lineRule="auto"/>
        <w:ind w:firstLine="48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4.付款方式：按照渗滤液实际处理量*中标单价进行结算运营服务费，运营服务费用按月支付。中标人每月5日前开具正式发票并提交至采购人。采购人审核无误后支付处理费用。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lang w:val="en-US" w:eastAsia="zh-CN"/>
        </w:rPr>
      </w:pPr>
      <w:bookmarkStart w:id="0" w:name="_Toc23769"/>
      <w:r>
        <w:rPr>
          <w:rFonts w:hint="eastAsia" w:ascii="宋体" w:hAnsi="宋体" w:eastAsia="宋体" w:cs="宋体"/>
          <w:b/>
          <w:bCs/>
          <w:sz w:val="24"/>
          <w:szCs w:val="24"/>
          <w:lang w:val="en-US" w:eastAsia="zh-CN"/>
        </w:rPr>
        <w:t>六、本项目适用法规政策目录</w:t>
      </w:r>
      <w:bookmarkEnd w:id="0"/>
    </w:p>
    <w:p>
      <w:pPr>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《污水综合排放标准》（GB8978-1996）</w:t>
      </w:r>
    </w:p>
    <w:p>
      <w:pPr>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《生活垃圾填埋场污染控制标准》（GB16889-2008）</w:t>
      </w:r>
    </w:p>
    <w:p>
      <w:pPr>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《生活垃圾渗沥液处理技术规范》（CJJ150-2010）</w:t>
      </w:r>
    </w:p>
    <w:p>
      <w:pPr>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《污水排入城市下水道水质标准》（CJ343-2010）</w:t>
      </w:r>
    </w:p>
    <w:p>
      <w:pPr>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《室外排水设计规范（2014年版）》（GB50014-2006）</w:t>
      </w:r>
    </w:p>
    <w:p>
      <w:pPr>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《地表水环境质量标准》（GB3838-2002）</w:t>
      </w:r>
    </w:p>
    <w:p>
      <w:pPr>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《城市排水工程规划规范》（GB50318-2000）</w:t>
      </w:r>
    </w:p>
    <w:p>
      <w:pPr>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《污水再生利用工程设计规范》（GB50335-2002）等；</w:t>
      </w:r>
    </w:p>
    <w:p>
      <w:pPr>
        <w:rPr>
          <w:rFonts w:ascii="宋体" w:hAnsi="宋体" w:eastAsia="宋体" w:cs="宋体"/>
          <w:sz w:val="24"/>
          <w:szCs w:val="24"/>
        </w:rPr>
      </w:pPr>
      <w:r>
        <w:rPr>
          <w:rFonts w:ascii="宋体" w:hAnsi="宋体" w:eastAsia="宋体" w:cs="宋体"/>
          <w:sz w:val="24"/>
          <w:szCs w:val="24"/>
        </w:rPr>
        <w:br w:type="page"/>
      </w:r>
    </w:p>
    <w:p>
      <w:pPr>
        <w:spacing w:before="79" w:line="360" w:lineRule="auto"/>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w:t>
      </w:r>
      <w:r>
        <w:rPr>
          <w:rFonts w:hint="eastAsia" w:ascii="宋体" w:hAnsi="宋体" w:eastAsia="宋体" w:cs="宋体"/>
          <w:b/>
          <w:bCs/>
          <w:sz w:val="24"/>
          <w:szCs w:val="24"/>
        </w:rPr>
        <w:t>考核</w:t>
      </w:r>
      <w:r>
        <w:rPr>
          <w:rFonts w:hint="eastAsia" w:ascii="宋体" w:hAnsi="宋体" w:eastAsia="宋体" w:cs="宋体"/>
          <w:b/>
          <w:bCs/>
          <w:sz w:val="24"/>
          <w:szCs w:val="24"/>
          <w:lang w:val="en-US" w:eastAsia="zh-CN"/>
        </w:rPr>
        <w:t>细则</w:t>
      </w:r>
    </w:p>
    <w:p>
      <w:pPr>
        <w:spacing w:line="360" w:lineRule="auto"/>
        <w:ind w:firstLine="48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1、由采购人组织有关人员成立考核小组每月不定期对渗滤液处理服务进行考核(国家、省、市、县如出台相关标准按新标准调整考核评分标准，供应商须完全配合),考核得分作为月服务费的支付依据。</w:t>
      </w:r>
    </w:p>
    <w:p>
      <w:pPr>
        <w:spacing w:line="360" w:lineRule="auto"/>
        <w:ind w:firstLine="48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月考核90分（含90分）以上为优秀，80-89分为合格，60-79分为基本合格，60分（不含60分）以下为不合格。月考核合格以上及时拨付当月服务费用，基本合格经整改过后拨付当月费用，不合格的扣除当月8000元服务费后拨付当月费用，情节严重的终止合同。具体评分标准按下表所列：</w:t>
      </w:r>
    </w:p>
    <w:tbl>
      <w:tblPr>
        <w:tblStyle w:val="6"/>
        <w:tblW w:w="10045" w:type="dxa"/>
        <w:tblInd w:w="-1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8"/>
        <w:gridCol w:w="2264"/>
        <w:gridCol w:w="3436"/>
        <w:gridCol w:w="1064"/>
        <w:gridCol w:w="1036"/>
        <w:gridCol w:w="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trPr>
        <w:tc>
          <w:tcPr>
            <w:tcW w:w="1004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保亭县垃圾填埋场渗滤液处理厂日常运行考核表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31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单位名称：</w:t>
            </w:r>
          </w:p>
        </w:tc>
        <w:tc>
          <w:tcPr>
            <w:tcW w:w="570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3027"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考核时间：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1318"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项目</w:t>
            </w:r>
          </w:p>
        </w:tc>
        <w:tc>
          <w:tcPr>
            <w:tcW w:w="2264"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考核指标</w:t>
            </w:r>
          </w:p>
        </w:tc>
        <w:tc>
          <w:tcPr>
            <w:tcW w:w="3436"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考核细则</w:t>
            </w:r>
          </w:p>
        </w:tc>
        <w:tc>
          <w:tcPr>
            <w:tcW w:w="1064"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标准得分</w:t>
            </w:r>
          </w:p>
        </w:tc>
        <w:tc>
          <w:tcPr>
            <w:tcW w:w="1036"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实际得分</w:t>
            </w:r>
          </w:p>
        </w:tc>
        <w:tc>
          <w:tcPr>
            <w:tcW w:w="92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生产管理</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渗滤液处理量是否达到合同约定目标</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达不到约定目标的扣分</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浓缩液或者污泥是否得到有效处置</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没有有效处置造成二次环境污染的着情扣分</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质量管理</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出水水质综合合格率</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出水水质需达到《生活垃圾填埋场污染控制标准》表2标准，一次不达标的不得分，当月考核不合格。</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环保监测部门抽检合格率</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不合格的不得分，当月考核不合格。</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日运营记录表齐全</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记录不齐全的扣2分，没有记录的不得分</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化验台账齐全、真实、合理、可靠</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台账不齐全的扣2分，没有台账的不得分</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生产运营期间臭味大小</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臭味大的不得分</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2"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工艺管理</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有全面、详细的工艺运行管理规定，应急预案等</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没有的不得分</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设备管理</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主要生产设备完好率</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不完好的扣1分</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特种设备完好率</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不完好的扣1分</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设备维修及时率</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不及时维修的扣1分</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设备管理台账齐全</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台账不齐全的扣2分，没有台账的不得分</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排放口污水</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按规定回到中水池</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不按规定排放的不得分</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2"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安全管理</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重大水质、人身、设备、事故发生率</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因运营商管理不善，引发安全事故的不得分。造成重大安全事故、重大环境影响和引起群体事件的，启动退出机制。</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7"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人员配备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人员配备满足处理规模要求</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提供员工花名册和分工情况，人员应持证上岗，管理人员应有一年以上管理经验。达不到要求的扣1分。</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2" w:hRule="atLeast"/>
        </w:trPr>
        <w:tc>
          <w:tcPr>
            <w:tcW w:w="1318"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公众监督</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有无责投诉情况（包括电话、信访、县长热线等），有责投诉后处置及时</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不及时处置的不得分</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1318"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有无新闻媒体曝光</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有负面新闻曝光的不得分</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员工劳动纪律、上班期间喝酒</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劳动纪律差、上班喝酒的扣一分</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厂区环境卫生是否干净整洁</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厂区环境必须保持干净整洁，不允许乱堆乱放、燃烧垃圾。</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电费及其他费用按时缴纳情况</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不及时缴纳的不得分</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是否配合上级部门来检查</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不配合的不得分</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甲方交代的临时任务完成情况</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不及时完成的不得分</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考核情况</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02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0045" w:type="dxa"/>
            <w:gridSpan w:val="6"/>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r>
    </w:tbl>
    <w:p>
      <w:pPr>
        <w:numPr>
          <w:ilvl w:val="0"/>
          <w:numId w:val="0"/>
        </w:numPr>
        <w:jc w:val="both"/>
        <w:rPr>
          <w:b/>
          <w:sz w:val="32"/>
          <w:szCs w:val="32"/>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244B66"/>
    <w:multiLevelType w:val="singleLevel"/>
    <w:tmpl w:val="91244B66"/>
    <w:lvl w:ilvl="0" w:tentative="0">
      <w:start w:val="1"/>
      <w:numFmt w:val="chineseCounting"/>
      <w:suff w:val="nothing"/>
      <w:lvlText w:val="%1、"/>
      <w:lvlJc w:val="left"/>
      <w:rPr>
        <w:rFonts w:hint="eastAsia"/>
      </w:rPr>
    </w:lvl>
  </w:abstractNum>
  <w:abstractNum w:abstractNumId="1">
    <w:nsid w:val="E3D55F68"/>
    <w:multiLevelType w:val="singleLevel"/>
    <w:tmpl w:val="E3D55F68"/>
    <w:lvl w:ilvl="0" w:tentative="0">
      <w:start w:val="1"/>
      <w:numFmt w:val="decimalEnclosedCircleChinese"/>
      <w:suff w:val="nothing"/>
      <w:lvlText w:val="%1　"/>
      <w:lvlJc w:val="left"/>
      <w:pPr>
        <w:ind w:left="0" w:firstLine="400"/>
      </w:pPr>
      <w:rPr>
        <w:rFonts w:hint="eastAsia"/>
      </w:rPr>
    </w:lvl>
  </w:abstractNum>
  <w:abstractNum w:abstractNumId="2">
    <w:nsid w:val="EF71F915"/>
    <w:multiLevelType w:val="singleLevel"/>
    <w:tmpl w:val="EF71F915"/>
    <w:lvl w:ilvl="0" w:tentative="0">
      <w:start w:val="1"/>
      <w:numFmt w:val="decimalEnclosedCircleChinese"/>
      <w:suff w:val="nothing"/>
      <w:lvlText w:val="%1　"/>
      <w:lvlJc w:val="left"/>
      <w:pPr>
        <w:ind w:left="0" w:firstLine="400"/>
      </w:pPr>
      <w:rPr>
        <w:rFonts w:hint="eastAsia"/>
      </w:rPr>
    </w:lvl>
  </w:abstractNum>
  <w:abstractNum w:abstractNumId="3">
    <w:nsid w:val="047AFB96"/>
    <w:multiLevelType w:val="singleLevel"/>
    <w:tmpl w:val="047AFB96"/>
    <w:lvl w:ilvl="0" w:tentative="0">
      <w:start w:val="3"/>
      <w:numFmt w:val="chineseCounting"/>
      <w:suff w:val="space"/>
      <w:lvlText w:val="第%1章"/>
      <w:lvlJc w:val="left"/>
      <w:rPr>
        <w:rFonts w:hint="eastAsia"/>
      </w:rPr>
    </w:lvl>
  </w:abstractNum>
  <w:abstractNum w:abstractNumId="4">
    <w:nsid w:val="2024BAED"/>
    <w:multiLevelType w:val="singleLevel"/>
    <w:tmpl w:val="2024BAED"/>
    <w:lvl w:ilvl="0" w:tentative="0">
      <w:start w:val="1"/>
      <w:numFmt w:val="decimal"/>
      <w:lvlText w:val="%1."/>
      <w:lvlJc w:val="left"/>
      <w:pPr>
        <w:ind w:left="425" w:hanging="425"/>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yNWRmYzAzMGYzNmZhZTZiN2RmNTBhMDc1YmY4ZjQifQ=="/>
  </w:docVars>
  <w:rsids>
    <w:rsidRoot w:val="00E66600"/>
    <w:rsid w:val="00154DB9"/>
    <w:rsid w:val="003C5449"/>
    <w:rsid w:val="004807A0"/>
    <w:rsid w:val="006553CA"/>
    <w:rsid w:val="00A66C1A"/>
    <w:rsid w:val="00E66600"/>
    <w:rsid w:val="00F851E8"/>
    <w:rsid w:val="00FA257C"/>
    <w:rsid w:val="03771E7F"/>
    <w:rsid w:val="067A40B5"/>
    <w:rsid w:val="073E6F3C"/>
    <w:rsid w:val="09C37BCC"/>
    <w:rsid w:val="0A7E41F7"/>
    <w:rsid w:val="0C5422AD"/>
    <w:rsid w:val="0D3A1F53"/>
    <w:rsid w:val="0D4947F0"/>
    <w:rsid w:val="0D621C41"/>
    <w:rsid w:val="0E6D347C"/>
    <w:rsid w:val="0F9A2A35"/>
    <w:rsid w:val="111D5318"/>
    <w:rsid w:val="11E95D4A"/>
    <w:rsid w:val="141379A2"/>
    <w:rsid w:val="15C42D20"/>
    <w:rsid w:val="1A647F16"/>
    <w:rsid w:val="1DFB44CC"/>
    <w:rsid w:val="21AD5194"/>
    <w:rsid w:val="2500187D"/>
    <w:rsid w:val="2640462B"/>
    <w:rsid w:val="26AD0ECF"/>
    <w:rsid w:val="279938C3"/>
    <w:rsid w:val="2BF043F9"/>
    <w:rsid w:val="2C4B52C5"/>
    <w:rsid w:val="2CA451E4"/>
    <w:rsid w:val="2D046867"/>
    <w:rsid w:val="32364B30"/>
    <w:rsid w:val="33875425"/>
    <w:rsid w:val="33ED7724"/>
    <w:rsid w:val="3A7B0D2B"/>
    <w:rsid w:val="3B1F0857"/>
    <w:rsid w:val="43996CCD"/>
    <w:rsid w:val="46671231"/>
    <w:rsid w:val="48A974DA"/>
    <w:rsid w:val="4C955802"/>
    <w:rsid w:val="4D2E0486"/>
    <w:rsid w:val="4E9555D0"/>
    <w:rsid w:val="513D2661"/>
    <w:rsid w:val="514B6911"/>
    <w:rsid w:val="56DD6A38"/>
    <w:rsid w:val="57802226"/>
    <w:rsid w:val="5EA93E10"/>
    <w:rsid w:val="64A21A2D"/>
    <w:rsid w:val="66132147"/>
    <w:rsid w:val="69D550CD"/>
    <w:rsid w:val="6C9C6D62"/>
    <w:rsid w:val="6EAF6B18"/>
    <w:rsid w:val="70507D27"/>
    <w:rsid w:val="73D46CB4"/>
    <w:rsid w:val="74770B3D"/>
    <w:rsid w:val="74FDEF8E"/>
    <w:rsid w:val="7AE25958"/>
    <w:rsid w:val="7DC87CC1"/>
    <w:rsid w:val="7FB60093"/>
    <w:rsid w:val="F7BE6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qFormat/>
    <w:uiPriority w:val="0"/>
    <w:pPr>
      <w:spacing w:before="133"/>
      <w:ind w:left="140"/>
      <w:jc w:val="center"/>
      <w:outlineLvl w:val="0"/>
    </w:pPr>
    <w:rPr>
      <w:rFonts w:ascii="宋体" w:hAnsi="宋体" w:eastAsia="宋体"/>
      <w:bCs/>
      <w:sz w:val="44"/>
      <w:szCs w:val="24"/>
      <w:lang w:val="zh-CN" w:bidi="zh-CN"/>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3708</Words>
  <Characters>3990</Characters>
  <Lines>1</Lines>
  <Paragraphs>1</Paragraphs>
  <TotalTime>0</TotalTime>
  <ScaleCrop>false</ScaleCrop>
  <LinksUpToDate>false</LinksUpToDate>
  <CharactersWithSpaces>3998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2018-04-16T23:39:00Z</dcterms:created>
  <dc:creator>5F-3-8-80  张会明(10024525)</dc:creator>
  <cp:lastModifiedBy>得不到的永远在骚动</cp:lastModifiedBy>
  <dcterms:modified xsi:type="dcterms:W3CDTF">2024-06-28T02:29:32Z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301ED0421FA344E4B3A5EEDA17009F13_13</vt:lpwstr>
  </property>
</Properties>
</file>