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Style w:val="7"/>
          <w:rFonts w:hint="eastAsia" w:ascii="仿宋" w:hAnsi="仿宋" w:eastAsia="仿宋" w:cs="仿宋"/>
          <w:color w:val="auto"/>
          <w:sz w:val="36"/>
          <w:szCs w:val="36"/>
          <w:lang w:eastAsia="zh-CN"/>
        </w:rPr>
      </w:pPr>
      <w:bookmarkStart w:id="0" w:name="_Toc27690"/>
      <w:bookmarkStart w:id="1" w:name="_Toc16613"/>
      <w:bookmarkStart w:id="2" w:name="_Toc439"/>
      <w:r>
        <w:rPr>
          <w:rStyle w:val="7"/>
          <w:rFonts w:hint="eastAsia" w:ascii="仿宋" w:hAnsi="仿宋" w:eastAsia="仿宋" w:cs="仿宋"/>
          <w:color w:val="auto"/>
          <w:sz w:val="36"/>
          <w:szCs w:val="36"/>
          <w:lang w:eastAsia="zh-CN"/>
        </w:rPr>
        <w:t>第三章  用户需求书</w:t>
      </w:r>
      <w:bookmarkEnd w:id="0"/>
      <w:bookmarkEnd w:id="1"/>
    </w:p>
    <w:bookmarkEnd w:id="2"/>
    <w:p>
      <w:pPr>
        <w:pStyle w:val="8"/>
        <w:spacing w:line="360" w:lineRule="auto"/>
        <w:jc w:val="left"/>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一、项目名称：</w:t>
      </w:r>
      <w:r>
        <w:rPr>
          <w:rFonts w:hint="eastAsia" w:ascii="仿宋" w:hAnsi="仿宋" w:eastAsia="仿宋" w:cs="仿宋"/>
          <w:b/>
          <w:bCs/>
          <w:color w:val="auto"/>
          <w:sz w:val="28"/>
          <w:szCs w:val="28"/>
        </w:rPr>
        <w:t>202</w:t>
      </w: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年度市政设施投诉办件及抢修服务</w:t>
      </w:r>
      <w:r>
        <w:rPr>
          <w:rFonts w:hint="eastAsia" w:ascii="仿宋" w:hAnsi="仿宋" w:eastAsia="仿宋" w:cs="仿宋"/>
          <w:b/>
          <w:bCs/>
          <w:color w:val="auto"/>
          <w:sz w:val="28"/>
          <w:szCs w:val="28"/>
          <w:lang w:val="en-US" w:eastAsia="zh-CN"/>
        </w:rPr>
        <w:t>项目</w:t>
      </w:r>
    </w:p>
    <w:p>
      <w:pPr>
        <w:pStyle w:val="2"/>
        <w:numPr>
          <w:ilvl w:val="0"/>
          <w:numId w:val="0"/>
        </w:numPr>
        <w:tabs>
          <w:tab w:val="left" w:pos="420"/>
        </w:tabs>
        <w:spacing w:line="360" w:lineRule="auto"/>
        <w:jc w:val="both"/>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二、采购需求一览表</w:t>
      </w:r>
    </w:p>
    <w:tbl>
      <w:tblPr>
        <w:tblStyle w:val="5"/>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867"/>
        <w:gridCol w:w="1360"/>
        <w:gridCol w:w="2920"/>
        <w:gridCol w:w="893"/>
        <w:gridCol w:w="122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noWrap w:val="0"/>
            <w:vAlign w:val="top"/>
          </w:tcPr>
          <w:p>
            <w:pPr>
              <w:spacing w:line="360" w:lineRule="auto"/>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序号</w:t>
            </w:r>
          </w:p>
        </w:tc>
        <w:tc>
          <w:tcPr>
            <w:tcW w:w="86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工作事项</w:t>
            </w:r>
          </w:p>
        </w:tc>
        <w:tc>
          <w:tcPr>
            <w:tcW w:w="136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工作内容</w:t>
            </w:r>
          </w:p>
        </w:tc>
        <w:tc>
          <w:tcPr>
            <w:tcW w:w="292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i w:val="0"/>
                <w:iCs w:val="0"/>
                <w:color w:val="auto"/>
                <w:kern w:val="0"/>
                <w:sz w:val="22"/>
                <w:szCs w:val="22"/>
                <w:u w:val="none"/>
                <w:lang w:val="en-US" w:eastAsia="zh-CN" w:bidi="ar"/>
              </w:rPr>
              <w:t>工作标准及要求</w:t>
            </w:r>
          </w:p>
        </w:tc>
        <w:tc>
          <w:tcPr>
            <w:tcW w:w="893"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工作计量单位</w:t>
            </w:r>
          </w:p>
        </w:tc>
        <w:tc>
          <w:tcPr>
            <w:tcW w:w="122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工作总量（预算量）</w:t>
            </w:r>
          </w:p>
        </w:tc>
        <w:tc>
          <w:tcPr>
            <w:tcW w:w="1067" w:type="dxa"/>
            <w:noWrap w:val="0"/>
            <w:vAlign w:val="center"/>
          </w:tcPr>
          <w:p>
            <w:pPr>
              <w:keepNext w:val="0"/>
              <w:keepLines w:val="0"/>
              <w:widowControl/>
              <w:suppressLineNumbers w:val="0"/>
              <w:spacing w:line="360" w:lineRule="auto"/>
              <w:jc w:val="both"/>
              <w:textAlignment w:val="center"/>
              <w:rPr>
                <w:rFonts w:hint="eastAsia" w:ascii="仿宋" w:hAnsi="仿宋" w:eastAsia="仿宋" w:cs="仿宋"/>
                <w:b/>
                <w:bCs/>
                <w:i w:val="0"/>
                <w:iCs w:val="0"/>
                <w:color w:val="auto"/>
                <w:kern w:val="0"/>
                <w:sz w:val="22"/>
                <w:szCs w:val="22"/>
                <w:u w:val="none"/>
                <w:lang w:val="en-US" w:eastAsia="zh-CN" w:bidi="ar"/>
              </w:rPr>
            </w:pPr>
            <w:r>
              <w:rPr>
                <w:rFonts w:hint="eastAsia" w:ascii="仿宋" w:hAnsi="仿宋" w:eastAsia="仿宋" w:cs="仿宋"/>
                <w:b/>
                <w:bCs/>
                <w:i w:val="0"/>
                <w:iCs w:val="0"/>
                <w:color w:val="auto"/>
                <w:kern w:val="0"/>
                <w:sz w:val="22"/>
                <w:szCs w:val="22"/>
                <w:u w:val="none"/>
                <w:lang w:val="en-US" w:eastAsia="zh-CN" w:bidi="ar"/>
              </w:rPr>
              <w:t>最高单价（元）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Merge w:val="restart"/>
            <w:noWrap w:val="0"/>
            <w:vAlign w:val="center"/>
          </w:tcPr>
          <w:p>
            <w:pPr>
              <w:spacing w:line="360" w:lineRule="auto"/>
              <w:ind w:firstLine="586" w:firstLineChars="0"/>
              <w:jc w:val="center"/>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1</w:t>
            </w:r>
          </w:p>
          <w:p>
            <w:pPr>
              <w:bidi w:val="0"/>
              <w:spacing w:line="360" w:lineRule="auto"/>
              <w:jc w:val="left"/>
              <w:rPr>
                <w:rFonts w:hint="eastAsia" w:ascii="仿宋" w:hAnsi="仿宋" w:eastAsia="仿宋" w:cs="仿宋"/>
                <w:b w:val="0"/>
                <w:bCs w:val="0"/>
                <w:color w:val="auto"/>
                <w:kern w:val="2"/>
                <w:sz w:val="21"/>
                <w:szCs w:val="22"/>
                <w:lang w:val="en-US" w:eastAsia="zh-CN" w:bidi="ar-SA"/>
              </w:rPr>
            </w:pPr>
            <w:r>
              <w:rPr>
                <w:rFonts w:hint="eastAsia" w:ascii="仿宋" w:hAnsi="仿宋" w:eastAsia="仿宋" w:cs="仿宋"/>
                <w:b w:val="0"/>
                <w:bCs w:val="0"/>
                <w:color w:val="auto"/>
                <w:kern w:val="2"/>
                <w:sz w:val="21"/>
                <w:szCs w:val="22"/>
                <w:lang w:val="en-US" w:eastAsia="zh-CN" w:bidi="ar-SA"/>
              </w:rPr>
              <w:t>1</w:t>
            </w:r>
          </w:p>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restart"/>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办件处理事项</w:t>
            </w:r>
          </w:p>
        </w:tc>
        <w:tc>
          <w:tcPr>
            <w:tcW w:w="1360" w:type="dxa"/>
            <w:vMerge w:val="restart"/>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7*24小时热线接线转办件、数字城管办件、热线工单指派及巡检通信息管理、资料整理、上报等工作。</w:t>
            </w:r>
          </w:p>
        </w:tc>
        <w:tc>
          <w:tcPr>
            <w:tcW w:w="292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提供7*24小时热线接线转办件及数字城管办件工单接收、核实、转办、办理巡检通报修任务的接收、登记、上报、派发，汇总巡检人员信息并回复办件结果等事项工作。</w:t>
            </w:r>
          </w:p>
        </w:tc>
        <w:tc>
          <w:tcPr>
            <w:tcW w:w="893"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13000</w:t>
            </w:r>
          </w:p>
        </w:tc>
        <w:tc>
          <w:tcPr>
            <w:tcW w:w="106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Merge w:val="continue"/>
            <w:noWrap w:val="0"/>
            <w:vAlign w:val="center"/>
          </w:tcPr>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continue"/>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1360" w:type="dxa"/>
            <w:vMerge w:val="continue"/>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292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负责巡检通信息管理及热 线投诉办件及抢修服务项目的月报、周报、年报工作，每日办件量报送、牵头协调会至相关责任部门对接办理、现场协调会表格汇总、打印办件清单、登记考勤等其他相关辅助事项工作。</w:t>
            </w:r>
          </w:p>
        </w:tc>
        <w:tc>
          <w:tcPr>
            <w:tcW w:w="893"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17000</w:t>
            </w:r>
          </w:p>
        </w:tc>
        <w:tc>
          <w:tcPr>
            <w:tcW w:w="106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74" w:type="dxa"/>
            <w:vMerge w:val="restart"/>
            <w:noWrap w:val="0"/>
            <w:vAlign w:val="center"/>
          </w:tcPr>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22</w:t>
            </w:r>
          </w:p>
        </w:tc>
        <w:tc>
          <w:tcPr>
            <w:tcW w:w="867" w:type="dxa"/>
            <w:vMerge w:val="restart"/>
            <w:noWrap w:val="0"/>
            <w:vAlign w:val="center"/>
          </w:tcPr>
          <w:p>
            <w:pPr>
              <w:spacing w:line="360" w:lineRule="auto"/>
              <w:jc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应急抢修事项</w:t>
            </w:r>
          </w:p>
        </w:tc>
        <w:tc>
          <w:tcPr>
            <w:tcW w:w="1360" w:type="dxa"/>
            <w:vMerge w:val="restart"/>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根据热线工单指派的报修任务，完成需处理的市管道路设施巡查，设施故障抢修及其他相关事项工作。</w:t>
            </w:r>
          </w:p>
        </w:tc>
        <w:tc>
          <w:tcPr>
            <w:tcW w:w="292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根据市政设施养护标准要求，辅助设施排查，解决行车道等附属设施出现的故障报修问题并及时反馈检修结果等事项工作。</w:t>
            </w:r>
          </w:p>
        </w:tc>
        <w:tc>
          <w:tcPr>
            <w:tcW w:w="893"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4900</w:t>
            </w:r>
          </w:p>
        </w:tc>
        <w:tc>
          <w:tcPr>
            <w:tcW w:w="106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74" w:type="dxa"/>
            <w:vMerge w:val="continue"/>
            <w:noWrap w:val="0"/>
            <w:vAlign w:val="center"/>
          </w:tcPr>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continue"/>
            <w:noWrap w:val="0"/>
            <w:vAlign w:val="center"/>
          </w:tcPr>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1360" w:type="dxa"/>
            <w:vMerge w:val="continue"/>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292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根据市政设施养护标准要求，辅助设施排查，解决人行道等附属设施出现的故障报修问题并及时反馈检修结果等事项工作。</w:t>
            </w:r>
          </w:p>
        </w:tc>
        <w:tc>
          <w:tcPr>
            <w:tcW w:w="893"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3300</w:t>
            </w:r>
          </w:p>
        </w:tc>
        <w:tc>
          <w:tcPr>
            <w:tcW w:w="106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374" w:type="dxa"/>
            <w:vMerge w:val="continue"/>
            <w:noWrap w:val="0"/>
            <w:vAlign w:val="center"/>
          </w:tcPr>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867" w:type="dxa"/>
            <w:vMerge w:val="continue"/>
            <w:noWrap w:val="0"/>
            <w:vAlign w:val="center"/>
          </w:tcPr>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tc>
        <w:tc>
          <w:tcPr>
            <w:tcW w:w="1360" w:type="dxa"/>
            <w:vMerge w:val="continue"/>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p>
        </w:tc>
        <w:tc>
          <w:tcPr>
            <w:tcW w:w="2920"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1"/>
                <w:szCs w:val="21"/>
                <w:u w:val="none"/>
                <w:lang w:val="en-US" w:eastAsia="zh-CN" w:bidi="ar"/>
              </w:rPr>
              <w:t>根据市政设施养护标准要求，辅助设施排查，解决路灯等附属设施出现的故障报修问题并及时反馈检修结果等事项工作。</w:t>
            </w:r>
            <w:r>
              <w:rPr>
                <w:rFonts w:hint="eastAsia" w:ascii="仿宋" w:hAnsi="仿宋" w:eastAsia="仿宋" w:cs="仿宋"/>
                <w:b w:val="0"/>
                <w:bCs w:val="0"/>
                <w:i w:val="0"/>
                <w:iCs w:val="0"/>
                <w:color w:val="auto"/>
                <w:kern w:val="0"/>
                <w:sz w:val="21"/>
                <w:szCs w:val="21"/>
                <w:u w:val="none"/>
                <w:lang w:val="en-US" w:eastAsia="zh-CN" w:bidi="ar"/>
              </w:rPr>
              <w:tab/>
            </w:r>
          </w:p>
        </w:tc>
        <w:tc>
          <w:tcPr>
            <w:tcW w:w="893"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件/次</w:t>
            </w:r>
          </w:p>
        </w:tc>
        <w:tc>
          <w:tcPr>
            <w:tcW w:w="122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110</w:t>
            </w:r>
          </w:p>
        </w:tc>
        <w:tc>
          <w:tcPr>
            <w:tcW w:w="1067" w:type="dxa"/>
            <w:noWrap w:val="0"/>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279.74</w:t>
            </w:r>
          </w:p>
        </w:tc>
      </w:tr>
    </w:tbl>
    <w:p>
      <w:pPr>
        <w:spacing w:line="360" w:lineRule="auto"/>
        <w:ind w:firstLine="586" w:firstLineChars="0"/>
        <w:jc w:val="center"/>
        <w:rPr>
          <w:rFonts w:hint="eastAsia" w:ascii="仿宋" w:hAnsi="仿宋" w:eastAsia="仿宋" w:cs="仿宋"/>
          <w:b w:val="0"/>
          <w:bCs w:val="0"/>
          <w:i w:val="0"/>
          <w:iCs w:val="0"/>
          <w:color w:val="auto"/>
          <w:kern w:val="0"/>
          <w:sz w:val="22"/>
          <w:szCs w:val="22"/>
          <w:u w:val="none"/>
          <w:lang w:val="en-US" w:eastAsia="zh-CN" w:bidi="ar"/>
        </w:rPr>
      </w:pPr>
    </w:p>
    <w:p>
      <w:pPr>
        <w:spacing w:line="360" w:lineRule="auto"/>
        <w:jc w:val="left"/>
        <w:rPr>
          <w:rFonts w:hint="eastAsia" w:ascii="仿宋" w:hAnsi="仿宋" w:eastAsia="仿宋" w:cs="仿宋"/>
          <w:b/>
          <w:bCs/>
          <w:color w:val="auto"/>
          <w:kern w:val="2"/>
          <w:sz w:val="28"/>
          <w:szCs w:val="28"/>
          <w:lang w:val="en-US" w:eastAsia="zh-CN" w:bidi="ar-SA"/>
        </w:rPr>
      </w:pPr>
      <w:bookmarkStart w:id="3" w:name="_Toc433"/>
      <w:bookmarkStart w:id="4" w:name="_Toc30174"/>
      <w:bookmarkStart w:id="5" w:name="_Toc22038"/>
      <w:r>
        <w:rPr>
          <w:rFonts w:hint="eastAsia" w:ascii="仿宋" w:hAnsi="仿宋" w:eastAsia="仿宋" w:cs="仿宋"/>
          <w:b/>
          <w:bCs/>
          <w:color w:val="auto"/>
          <w:kern w:val="2"/>
          <w:sz w:val="28"/>
          <w:szCs w:val="28"/>
          <w:lang w:val="en-US" w:eastAsia="zh-CN" w:bidi="ar-SA"/>
        </w:rPr>
        <w:t>三、服务期限、服务地点和服务方式（履约时间、地点和方式）：</w:t>
      </w:r>
      <w:bookmarkEnd w:id="3"/>
      <w:bookmarkEnd w:id="4"/>
      <w:bookmarkEnd w:id="5"/>
    </w:p>
    <w:p>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1.服务期限（履约时间）： 2024年7月21日至2025年7月20日。</w:t>
      </w:r>
    </w:p>
    <w:p>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2.服务地点（履约地点）：采购人指定地点。</w:t>
      </w:r>
    </w:p>
    <w:p>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3.服务方式（履约方式）：按照本招标文件和中标人投标文件和合同的相关内容规定执行。</w:t>
      </w:r>
    </w:p>
    <w:p>
      <w:pPr>
        <w:spacing w:line="360" w:lineRule="auto"/>
        <w:jc w:val="left"/>
        <w:rPr>
          <w:rFonts w:hint="eastAsia" w:ascii="仿宋" w:hAnsi="仿宋" w:eastAsia="仿宋" w:cs="仿宋"/>
          <w:b w:val="0"/>
          <w:bCs w:val="0"/>
          <w:color w:val="auto"/>
          <w:sz w:val="28"/>
          <w:szCs w:val="28"/>
          <w:lang w:val="en-US" w:eastAsia="zh-CN"/>
        </w:rPr>
      </w:pPr>
      <w:bookmarkStart w:id="6" w:name="_Toc10691"/>
      <w:bookmarkStart w:id="7" w:name="_Toc29545"/>
      <w:bookmarkStart w:id="8" w:name="_Toc23014"/>
      <w:r>
        <w:rPr>
          <w:rFonts w:hint="eastAsia" w:ascii="仿宋" w:hAnsi="仿宋" w:eastAsia="仿宋" w:cs="仿宋"/>
          <w:b/>
          <w:bCs/>
          <w:color w:val="auto"/>
          <w:kern w:val="2"/>
          <w:sz w:val="28"/>
          <w:szCs w:val="28"/>
          <w:lang w:val="en-US" w:eastAsia="zh-CN" w:bidi="ar-SA"/>
        </w:rPr>
        <w:t>四、付款时间、方式及条件</w:t>
      </w:r>
      <w:r>
        <w:rPr>
          <w:rFonts w:hint="eastAsia" w:ascii="仿宋" w:hAnsi="仿宋" w:eastAsia="仿宋" w:cs="仿宋"/>
          <w:b w:val="0"/>
          <w:bCs w:val="0"/>
          <w:color w:val="auto"/>
          <w:sz w:val="28"/>
          <w:szCs w:val="28"/>
          <w:lang w:val="en-US" w:eastAsia="zh-CN"/>
        </w:rPr>
        <w:t>：</w:t>
      </w:r>
    </w:p>
    <w:p>
      <w:pPr>
        <w:spacing w:line="360" w:lineRule="auto"/>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分期付款，每次付款前中标人须向采购人提供有效发票和其他需要的凭证。自合同签订之日起按实际完成的工作量进行结算并按月支付合同费用。</w:t>
      </w:r>
    </w:p>
    <w:bookmarkEnd w:id="6"/>
    <w:bookmarkEnd w:id="7"/>
    <w:bookmarkEnd w:id="8"/>
    <w:p>
      <w:pPr>
        <w:pStyle w:val="3"/>
        <w:numPr>
          <w:ilvl w:val="0"/>
          <w:numId w:val="0"/>
        </w:numPr>
        <w:wordWrap/>
        <w:spacing w:line="360" w:lineRule="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五、</w:t>
      </w:r>
      <w:r>
        <w:rPr>
          <w:rFonts w:hint="eastAsia" w:ascii="仿宋" w:hAnsi="仿宋" w:eastAsia="仿宋" w:cs="仿宋"/>
          <w:b/>
          <w:bCs/>
          <w:color w:val="auto"/>
          <w:kern w:val="2"/>
          <w:sz w:val="28"/>
          <w:szCs w:val="28"/>
          <w:lang w:val="en-GB" w:eastAsia="zh-CN" w:bidi="ar-SA"/>
        </w:rPr>
        <w:t>本项目预算金额、最高限价均为</w:t>
      </w:r>
      <w:r>
        <w:rPr>
          <w:rFonts w:hint="eastAsia" w:ascii="仿宋" w:hAnsi="仿宋" w:eastAsia="仿宋" w:cs="仿宋"/>
          <w:b/>
          <w:bCs/>
          <w:color w:val="auto"/>
          <w:kern w:val="2"/>
          <w:sz w:val="28"/>
          <w:szCs w:val="28"/>
          <w:lang w:val="en-US" w:eastAsia="zh-CN" w:bidi="ar-SA"/>
        </w:rPr>
        <w:t>250万</w:t>
      </w:r>
      <w:r>
        <w:rPr>
          <w:rFonts w:hint="eastAsia" w:ascii="仿宋" w:hAnsi="仿宋" w:eastAsia="仿宋" w:cs="仿宋"/>
          <w:b/>
          <w:bCs/>
          <w:color w:val="auto"/>
          <w:kern w:val="2"/>
          <w:sz w:val="28"/>
          <w:szCs w:val="28"/>
          <w:lang w:val="en-GB" w:eastAsia="zh-CN" w:bidi="ar-SA"/>
        </w:rPr>
        <w:t>元</w:t>
      </w:r>
      <w:r>
        <w:rPr>
          <w:rFonts w:hint="eastAsia" w:ascii="仿宋" w:hAnsi="仿宋" w:eastAsia="仿宋" w:cs="仿宋"/>
          <w:b/>
          <w:bCs/>
          <w:color w:val="auto"/>
          <w:kern w:val="2"/>
          <w:sz w:val="28"/>
          <w:szCs w:val="28"/>
          <w:lang w:val="en-US" w:eastAsia="zh-CN" w:bidi="ar-SA"/>
        </w:rPr>
        <w:t>。</w:t>
      </w:r>
    </w:p>
    <w:p>
      <w:pPr>
        <w:pStyle w:val="3"/>
        <w:numPr>
          <w:ilvl w:val="0"/>
          <w:numId w:val="0"/>
        </w:numPr>
        <w:wordWrap/>
        <w:spacing w:line="360" w:lineRule="auto"/>
        <w:rPr>
          <w:rFonts w:hint="eastAsia" w:ascii="仿宋" w:hAnsi="仿宋" w:eastAsia="仿宋" w:cs="仿宋"/>
          <w:b/>
          <w:bCs/>
          <w:color w:val="auto"/>
          <w:kern w:val="2"/>
          <w:sz w:val="28"/>
          <w:szCs w:val="28"/>
          <w:lang w:val="en-GB" w:eastAsia="zh-CN" w:bidi="ar-SA"/>
        </w:rPr>
      </w:pPr>
      <w:r>
        <w:rPr>
          <w:rFonts w:hint="eastAsia" w:ascii="仿宋" w:hAnsi="仿宋" w:eastAsia="仿宋" w:cs="仿宋"/>
          <w:b/>
          <w:bCs/>
          <w:color w:val="auto"/>
          <w:kern w:val="2"/>
          <w:sz w:val="28"/>
          <w:szCs w:val="28"/>
          <w:lang w:val="en-US" w:eastAsia="zh-CN" w:bidi="ar-SA"/>
        </w:rPr>
        <w:t>六、</w:t>
      </w:r>
      <w:r>
        <w:rPr>
          <w:rFonts w:hint="eastAsia" w:ascii="仿宋" w:hAnsi="仿宋" w:eastAsia="仿宋" w:cs="仿宋"/>
          <w:b/>
          <w:bCs/>
          <w:color w:val="auto"/>
          <w:kern w:val="2"/>
          <w:sz w:val="28"/>
          <w:szCs w:val="28"/>
          <w:lang w:val="en-GB" w:eastAsia="zh-CN" w:bidi="ar-SA"/>
        </w:rPr>
        <w:t>投标人需针对本项目提供详细的服务方案、培训方案、服务质量保证方案、服务应急预案。</w:t>
      </w:r>
    </w:p>
    <w:p>
      <w:pPr>
        <w:spacing w:line="360" w:lineRule="auto"/>
        <w:jc w:val="left"/>
        <w:rPr>
          <w:rFonts w:hint="eastAsia" w:ascii="仿宋" w:hAnsi="仿宋" w:eastAsia="仿宋" w:cs="仿宋"/>
          <w:b/>
          <w:bCs/>
          <w:color w:val="auto"/>
          <w:kern w:val="2"/>
          <w:sz w:val="28"/>
          <w:szCs w:val="28"/>
          <w:lang w:val="en-GB" w:eastAsia="zh-CN" w:bidi="ar-SA"/>
        </w:rPr>
      </w:pPr>
      <w:bookmarkStart w:id="9" w:name="_Toc27161"/>
      <w:bookmarkStart w:id="10" w:name="_Toc28891"/>
      <w:bookmarkStart w:id="11" w:name="_Toc6257"/>
      <w:r>
        <w:rPr>
          <w:rFonts w:hint="eastAsia" w:ascii="仿宋" w:hAnsi="仿宋" w:eastAsia="仿宋" w:cs="仿宋"/>
          <w:b/>
          <w:bCs/>
          <w:color w:val="auto"/>
          <w:kern w:val="2"/>
          <w:sz w:val="28"/>
          <w:szCs w:val="28"/>
          <w:lang w:val="en-US" w:eastAsia="zh-CN" w:bidi="ar-SA"/>
        </w:rPr>
        <w:t>七、</w:t>
      </w:r>
      <w:r>
        <w:rPr>
          <w:rFonts w:hint="eastAsia" w:ascii="仿宋" w:hAnsi="仿宋" w:eastAsia="仿宋" w:cs="仿宋"/>
          <w:b/>
          <w:bCs/>
          <w:color w:val="auto"/>
          <w:kern w:val="2"/>
          <w:sz w:val="28"/>
          <w:szCs w:val="28"/>
          <w:lang w:val="en-GB" w:eastAsia="zh-CN" w:bidi="ar-SA"/>
        </w:rPr>
        <w:t>其他：</w:t>
      </w:r>
      <w:bookmarkEnd w:id="9"/>
      <w:bookmarkEnd w:id="10"/>
      <w:bookmarkEnd w:id="11"/>
    </w:p>
    <w:p>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项目的实质性要求：按照本招标文件要求和中标人投标文件的规定。</w:t>
      </w:r>
    </w:p>
    <w:p>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合同的实质性条款：采购人与中标人的名称和住所、标的、数量、质量、价款或者报酬、履行期限及地点和方式、验收要求、违约责任、解决争议的方法等内容。</w:t>
      </w:r>
    </w:p>
    <w:p>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安全标准：符合国家、地方和行业的相关政策、法规。</w:t>
      </w:r>
    </w:p>
    <w:p>
      <w:pPr>
        <w:spacing w:line="360" w:lineRule="auto"/>
        <w:ind w:firstLine="560" w:firstLineChars="200"/>
        <w:jc w:val="left"/>
        <w:rPr>
          <w:rFonts w:hint="eastAsia" w:ascii="仿宋" w:hAnsi="仿宋" w:eastAsia="仿宋" w:cs="仿宋"/>
          <w:b w:val="0"/>
          <w:bCs w:val="0"/>
          <w:color w:val="auto"/>
          <w:sz w:val="28"/>
          <w:szCs w:val="28"/>
          <w:lang w:val="en-GB" w:eastAsia="zh-CN"/>
        </w:rPr>
      </w:pPr>
      <w:r>
        <w:rPr>
          <w:rFonts w:hint="eastAsia" w:ascii="仿宋" w:hAnsi="仿宋" w:eastAsia="仿宋" w:cs="仿宋"/>
          <w:b w:val="0"/>
          <w:bCs w:val="0"/>
          <w:color w:val="auto"/>
          <w:sz w:val="28"/>
          <w:szCs w:val="28"/>
          <w:lang w:val="en-GB" w:eastAsia="zh-CN"/>
        </w:rPr>
        <w:t>验收方法及标准：按本招标文件和中标人投标文件的内容及国家、地方和行业的相关政策、法规实施。</w:t>
      </w:r>
      <w:r>
        <w:rPr>
          <w:rFonts w:hint="eastAsia" w:ascii="仿宋" w:hAnsi="仿宋" w:eastAsia="仿宋" w:cs="仿宋"/>
          <w:b w:val="0"/>
          <w:bCs w:val="0"/>
          <w:color w:val="auto"/>
          <w:sz w:val="28"/>
          <w:szCs w:val="28"/>
          <w:lang w:val="en-US" w:eastAsia="zh-CN"/>
        </w:rPr>
        <w:t xml:space="preserve"> </w:t>
      </w:r>
    </w:p>
    <w:p>
      <w:pPr>
        <w:spacing w:line="360" w:lineRule="auto"/>
        <w:ind w:firstLine="560" w:firstLineChars="200"/>
        <w:jc w:val="left"/>
        <w:rPr>
          <w:rFonts w:hint="eastAsia" w:ascii="仿宋" w:hAnsi="仿宋" w:eastAsia="仿宋" w:cs="仿宋"/>
          <w:b/>
          <w:bCs/>
          <w:color w:val="auto"/>
          <w:kern w:val="2"/>
          <w:sz w:val="28"/>
          <w:szCs w:val="28"/>
          <w:lang w:val="en-US" w:eastAsia="zh-CN" w:bidi="ar-SA"/>
        </w:rPr>
      </w:pPr>
      <w:r>
        <w:rPr>
          <w:rFonts w:hint="eastAsia" w:ascii="仿宋" w:hAnsi="仿宋" w:eastAsia="仿宋" w:cs="仿宋"/>
          <w:b w:val="0"/>
          <w:bCs w:val="0"/>
          <w:color w:val="auto"/>
          <w:sz w:val="28"/>
          <w:szCs w:val="28"/>
          <w:lang w:val="en-GB" w:eastAsia="zh-CN"/>
        </w:rPr>
        <w:t>法律法规规定的强制性标准：无。</w:t>
      </w:r>
    </w:p>
    <w:p>
      <w:pPr>
        <w:pBdr>
          <w:top w:val="none" w:color="auto" w:sz="0" w:space="0"/>
          <w:left w:val="none" w:color="auto" w:sz="0" w:space="0"/>
          <w:bottom w:val="none" w:color="auto" w:sz="0" w:space="0"/>
          <w:right w:val="none" w:color="auto" w:sz="0" w:space="0"/>
          <w:between w:val="none" w:color="auto" w:sz="0" w:space="0"/>
        </w:pBdr>
        <w:spacing w:line="360" w:lineRule="auto"/>
        <w:ind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八</w:t>
      </w:r>
      <w:r>
        <w:rPr>
          <w:rFonts w:hint="eastAsia" w:ascii="仿宋" w:hAnsi="仿宋" w:eastAsia="仿宋" w:cs="仿宋"/>
          <w:b/>
          <w:bCs/>
          <w:color w:val="auto"/>
          <w:kern w:val="2"/>
          <w:sz w:val="28"/>
          <w:szCs w:val="28"/>
          <w:lang w:val="en-GB" w:eastAsia="zh-CN" w:bidi="ar-SA"/>
        </w:rPr>
        <w:t>、</w:t>
      </w:r>
      <w:r>
        <w:rPr>
          <w:rFonts w:hint="eastAsia" w:ascii="仿宋" w:hAnsi="仿宋" w:eastAsia="仿宋" w:cs="仿宋"/>
          <w:b/>
          <w:bCs/>
          <w:color w:val="auto"/>
          <w:kern w:val="2"/>
          <w:sz w:val="28"/>
          <w:szCs w:val="28"/>
          <w:lang w:val="en-US" w:eastAsia="zh-CN" w:bidi="ar-SA"/>
        </w:rPr>
        <w:t>注意事项</w:t>
      </w:r>
    </w:p>
    <w:p>
      <w:pPr>
        <w:pBdr>
          <w:top w:val="none" w:color="auto" w:sz="0" w:space="0"/>
          <w:left w:val="none" w:color="auto" w:sz="0" w:space="0"/>
          <w:bottom w:val="none" w:color="auto" w:sz="0" w:space="0"/>
          <w:right w:val="none" w:color="auto" w:sz="0" w:space="0"/>
          <w:between w:val="none" w:color="auto" w:sz="0" w:space="0"/>
        </w:pBdr>
        <w:spacing w:line="360" w:lineRule="auto"/>
        <w:ind w:firstLine="562" w:firstLineChars="200"/>
        <w:rPr>
          <w:rFonts w:hint="eastAsia" w:ascii="仿宋" w:hAnsi="仿宋" w:eastAsia="仿宋" w:cs="仿宋"/>
          <w:b/>
          <w:bCs/>
          <w:color w:val="auto"/>
          <w:kern w:val="2"/>
          <w:sz w:val="28"/>
          <w:szCs w:val="28"/>
          <w:lang w:val="en-GB" w:eastAsia="zh-CN" w:bidi="ar-SA"/>
        </w:rPr>
      </w:pPr>
      <w:r>
        <w:rPr>
          <w:rFonts w:hint="eastAsia" w:ascii="仿宋" w:hAnsi="仿宋" w:eastAsia="仿宋" w:cs="仿宋"/>
          <w:b/>
          <w:bCs/>
          <w:color w:val="auto"/>
          <w:kern w:val="2"/>
          <w:sz w:val="28"/>
          <w:szCs w:val="28"/>
          <w:lang w:val="en-US" w:eastAsia="zh-CN" w:bidi="ar-SA"/>
        </w:rPr>
        <w:t>1、</w:t>
      </w:r>
      <w:r>
        <w:rPr>
          <w:rFonts w:hint="eastAsia" w:ascii="仿宋" w:hAnsi="仿宋" w:eastAsia="仿宋" w:cs="仿宋"/>
          <w:b/>
          <w:bCs/>
          <w:color w:val="auto"/>
          <w:kern w:val="2"/>
          <w:sz w:val="28"/>
          <w:szCs w:val="28"/>
          <w:lang w:val="en-GB" w:eastAsia="zh-CN" w:bidi="ar-SA"/>
        </w:rPr>
        <w:t>《采购需求一览表》中的工作量为采购人的计划工作量，项目执行过程中实际工作量以采购人的实际需求为准，但该项目最终审核结算总价不得超过最高预算</w:t>
      </w:r>
      <w:r>
        <w:rPr>
          <w:rFonts w:hint="eastAsia" w:ascii="仿宋" w:hAnsi="仿宋" w:eastAsia="仿宋" w:cs="仿宋"/>
          <w:b/>
          <w:bCs/>
          <w:color w:val="auto"/>
          <w:kern w:val="2"/>
          <w:sz w:val="28"/>
          <w:szCs w:val="28"/>
          <w:lang w:val="en-US" w:eastAsia="zh-CN" w:bidi="ar-SA"/>
        </w:rPr>
        <w:t>金额</w:t>
      </w:r>
      <w:r>
        <w:rPr>
          <w:rFonts w:hint="eastAsia" w:ascii="仿宋" w:hAnsi="仿宋" w:eastAsia="仿宋" w:cs="仿宋"/>
          <w:b/>
          <w:bCs/>
          <w:color w:val="auto"/>
          <w:kern w:val="2"/>
          <w:sz w:val="28"/>
          <w:szCs w:val="28"/>
          <w:lang w:val="en-GB" w:eastAsia="zh-CN" w:bidi="ar-SA"/>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2" w:firstLineChars="200"/>
        <w:rPr>
          <w:rFonts w:hint="eastAsia" w:ascii="仿宋" w:hAnsi="仿宋" w:eastAsia="仿宋" w:cs="仿宋"/>
          <w:b/>
          <w:bCs/>
          <w:color w:val="auto"/>
          <w:kern w:val="2"/>
          <w:sz w:val="28"/>
          <w:szCs w:val="28"/>
          <w:lang w:val="en-GB" w:eastAsia="zh-CN" w:bidi="ar-SA"/>
        </w:rPr>
      </w:pPr>
      <w:r>
        <w:rPr>
          <w:rFonts w:hint="eastAsia" w:ascii="仿宋" w:hAnsi="仿宋" w:eastAsia="仿宋" w:cs="仿宋"/>
          <w:b/>
          <w:bCs/>
          <w:color w:val="auto"/>
          <w:kern w:val="2"/>
          <w:sz w:val="28"/>
          <w:szCs w:val="28"/>
          <w:lang w:val="en-US" w:eastAsia="zh-CN" w:bidi="ar-SA"/>
        </w:rPr>
        <w:t>2</w:t>
      </w:r>
      <w:r>
        <w:rPr>
          <w:rFonts w:hint="eastAsia" w:ascii="仿宋" w:hAnsi="仿宋" w:eastAsia="仿宋" w:cs="仿宋"/>
          <w:b/>
          <w:bCs/>
          <w:color w:val="auto"/>
          <w:kern w:val="2"/>
          <w:sz w:val="28"/>
          <w:szCs w:val="28"/>
          <w:lang w:val="en-GB" w:eastAsia="zh-CN" w:bidi="ar-SA"/>
        </w:rPr>
        <w:t>、本项目为单价采购，供应商</w:t>
      </w:r>
      <w:r>
        <w:rPr>
          <w:rFonts w:hint="eastAsia" w:ascii="仿宋" w:hAnsi="仿宋" w:eastAsia="仿宋" w:cs="仿宋"/>
          <w:b/>
          <w:bCs/>
          <w:color w:val="auto"/>
          <w:kern w:val="2"/>
          <w:sz w:val="28"/>
          <w:szCs w:val="28"/>
          <w:lang w:val="en-US" w:eastAsia="zh-CN" w:bidi="ar-SA"/>
        </w:rPr>
        <w:t>的各项单价</w:t>
      </w:r>
      <w:r>
        <w:rPr>
          <w:rFonts w:hint="eastAsia" w:ascii="仿宋" w:hAnsi="仿宋" w:eastAsia="仿宋" w:cs="仿宋"/>
          <w:b/>
          <w:bCs/>
          <w:color w:val="auto"/>
          <w:kern w:val="2"/>
          <w:sz w:val="28"/>
          <w:szCs w:val="28"/>
          <w:lang w:val="en-GB" w:eastAsia="zh-CN" w:bidi="ar-SA"/>
        </w:rPr>
        <w:t>报价</w:t>
      </w:r>
      <w:r>
        <w:rPr>
          <w:rFonts w:hint="eastAsia" w:ascii="仿宋" w:hAnsi="仿宋" w:eastAsia="仿宋" w:cs="仿宋"/>
          <w:b/>
          <w:bCs/>
          <w:color w:val="auto"/>
          <w:kern w:val="2"/>
          <w:sz w:val="28"/>
          <w:szCs w:val="28"/>
          <w:lang w:val="en-US" w:eastAsia="zh-CN" w:bidi="ar-SA"/>
        </w:rPr>
        <w:t>总和</w:t>
      </w:r>
      <w:r>
        <w:rPr>
          <w:rFonts w:hint="eastAsia" w:ascii="仿宋" w:hAnsi="仿宋" w:eastAsia="仿宋" w:cs="仿宋"/>
          <w:b/>
          <w:bCs/>
          <w:color w:val="auto"/>
          <w:kern w:val="2"/>
          <w:sz w:val="28"/>
          <w:szCs w:val="28"/>
          <w:lang w:val="en-GB" w:eastAsia="zh-CN" w:bidi="ar-SA"/>
        </w:rPr>
        <w:t>仅作为综合评审中价格得分的依据，供应商最后报价的各项单价作为项目合同履行的计费单价；供应商各项报价单价有任一项超过最高单价限价的均作为无效响应处理。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3</w:t>
      </w:r>
      <w:r>
        <w:rPr>
          <w:rFonts w:hint="eastAsia" w:ascii="仿宋" w:hAnsi="仿宋" w:eastAsia="仿宋" w:cs="仿宋"/>
          <w:b/>
          <w:bCs/>
          <w:color w:val="auto"/>
          <w:kern w:val="2"/>
          <w:sz w:val="28"/>
          <w:szCs w:val="28"/>
          <w:lang w:val="en-GB" w:eastAsia="zh-CN" w:bidi="ar-SA"/>
        </w:rPr>
        <w:t>、当</w:t>
      </w:r>
      <w:r>
        <w:rPr>
          <w:rFonts w:hint="eastAsia" w:ascii="仿宋" w:hAnsi="仿宋" w:eastAsia="仿宋" w:cs="仿宋"/>
          <w:b/>
          <w:bCs/>
          <w:color w:val="auto"/>
          <w:kern w:val="2"/>
          <w:sz w:val="28"/>
          <w:szCs w:val="28"/>
          <w:lang w:val="en-US" w:eastAsia="zh-CN" w:bidi="ar-SA"/>
        </w:rPr>
        <w:t>该项目达到“合同期内累计结算金额达到中标金额”或“服务期限届满”两项中任意一项时，合同自动终止。</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YjM2OWZiM2I1YjNlZTc2ODhhMThjNjRlNDI1ZDcifQ=="/>
  </w:docVars>
  <w:rsids>
    <w:rsidRoot w:val="79423204"/>
    <w:rsid w:val="7942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rFonts w:ascii="Verdana" w:hAnsi="Verdana"/>
      <w:b/>
      <w:bCs/>
      <w:kern w:val="44"/>
      <w:sz w:val="44"/>
      <w:szCs w:val="44"/>
      <w:lang w:eastAsia="en-US"/>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标题 1 Char"/>
    <w:link w:val="2"/>
    <w:uiPriority w:val="0"/>
    <w:rPr>
      <w:rFonts w:ascii="Verdana" w:hAnsi="Verdana"/>
      <w:b/>
      <w:bCs/>
      <w:kern w:val="44"/>
      <w:sz w:val="44"/>
      <w:szCs w:val="44"/>
      <w:lang w:eastAsia="en-US"/>
    </w:rPr>
  </w:style>
  <w:style w:type="paragraph" w:customStyle="1" w:styleId="8">
    <w:name w:val="封面1"/>
    <w:qFormat/>
    <w:uiPriority w:val="0"/>
    <w:pPr>
      <w:spacing w:line="360" w:lineRule="auto"/>
      <w:jc w:val="center"/>
    </w:pPr>
    <w:rPr>
      <w:rFonts w:ascii="Times New Roman" w:hAnsi="Times New Roman" w:eastAsia="宋体" w:cs="Times New Roman"/>
      <w:b/>
      <w:kern w:val="2"/>
      <w:sz w:val="5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2024-06-04T12:18:00Z</dcterms:created>
  <dc:creator>WPS_1629592708</dc:creator>
  <cp:lastModifiedBy>WPS_1629592708</cp:lastModifiedBy>
  <dcterms:modified xsi:type="dcterms:W3CDTF">2024-06-04T12:19:06Z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264E41E5348141408CE15AD8422CD703_11</vt:lpwstr>
  </property>
</Properties>
</file>