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z w:val="52"/>
          <w:szCs w:val="52"/>
        </w:rPr>
      </w:pPr>
    </w:p>
    <w:p>
      <w:pPr>
        <w:keepNext w:val="0"/>
        <w:keepLines w:val="0"/>
        <w:pageBreakBefore w:val="0"/>
        <w:widowControl/>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z w:val="52"/>
          <w:szCs w:val="52"/>
        </w:rPr>
      </w:pPr>
      <w:r>
        <w:rPr>
          <w:rFonts w:hint="eastAsia" w:ascii="仿宋" w:hAnsi="仿宋" w:eastAsia="仿宋" w:cs="仿宋"/>
          <w:b/>
          <w:color w:val="auto"/>
          <w:sz w:val="52"/>
          <w:szCs w:val="52"/>
        </w:rPr>
        <w:drawing>
          <wp:anchor distT="0" distB="0" distL="114300" distR="114300" simplePos="0" relativeHeight="251659264" behindDoc="1" locked="0" layoutInCell="1" allowOverlap="1">
            <wp:simplePos x="0" y="0"/>
            <wp:positionH relativeFrom="page">
              <wp:posOffset>1080135</wp:posOffset>
            </wp:positionH>
            <wp:positionV relativeFrom="page">
              <wp:posOffset>914400</wp:posOffset>
            </wp:positionV>
            <wp:extent cx="5659755" cy="1152525"/>
            <wp:effectExtent l="0" t="0" r="7620" b="0"/>
            <wp:wrapTight wrapText="bothSides">
              <wp:wrapPolygon>
                <wp:start x="21592" y="-2"/>
                <wp:lineTo x="0" y="0"/>
                <wp:lineTo x="0" y="21600"/>
                <wp:lineTo x="21592" y="21602"/>
                <wp:lineTo x="8" y="21602"/>
                <wp:lineTo x="21600" y="21600"/>
                <wp:lineTo x="21600" y="0"/>
                <wp:lineTo x="8" y="-2"/>
                <wp:lineTo x="21592" y="-2"/>
              </wp:wrapPolygon>
            </wp:wrapTight>
            <wp:docPr id="1"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公司标志"/>
                    <pic:cNvPicPr>
                      <a:picLocks noChangeAspect="1"/>
                    </pic:cNvPicPr>
                  </pic:nvPicPr>
                  <pic:blipFill>
                    <a:blip r:embed="rId9"/>
                    <a:stretch>
                      <a:fillRect/>
                    </a:stretch>
                  </pic:blipFill>
                  <pic:spPr>
                    <a:xfrm>
                      <a:off x="0" y="0"/>
                      <a:ext cx="5659755" cy="1152525"/>
                    </a:xfrm>
                    <a:prstGeom prst="rect">
                      <a:avLst/>
                    </a:prstGeom>
                    <a:noFill/>
                    <a:ln>
                      <a:noFill/>
                    </a:ln>
                  </pic:spPr>
                </pic:pic>
              </a:graphicData>
            </a:graphic>
          </wp:anchor>
        </w:drawing>
      </w: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t>招标文件</w:t>
      </w: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color w:val="auto"/>
        </w:rPr>
      </w:pPr>
    </w:p>
    <w:p>
      <w:pPr>
        <w:rPr>
          <w:rFonts w:hint="eastAsia" w:ascii="仿宋" w:hAnsi="仿宋" w:eastAsia="仿宋" w:cs="仿宋"/>
          <w:b/>
          <w:color w:val="auto"/>
          <w:sz w:val="36"/>
          <w:szCs w:val="36"/>
          <w:u w:val="single"/>
        </w:rPr>
      </w:pPr>
    </w:p>
    <w:p>
      <w:pPr>
        <w:spacing w:line="360" w:lineRule="auto"/>
        <w:ind w:firstLine="1084" w:firstLineChars="300"/>
        <w:rPr>
          <w:rFonts w:hint="eastAsia" w:ascii="仿宋" w:hAnsi="仿宋" w:eastAsia="仿宋" w:cs="仿宋"/>
          <w:b/>
          <w:color w:val="auto"/>
          <w:sz w:val="36"/>
          <w:szCs w:val="36"/>
        </w:rPr>
      </w:pPr>
      <w:r>
        <w:rPr>
          <w:rFonts w:hint="eastAsia" w:ascii="仿宋" w:hAnsi="仿宋" w:eastAsia="仿宋" w:cs="仿宋"/>
          <w:b/>
          <w:color w:val="auto"/>
          <w:sz w:val="36"/>
          <w:szCs w:val="36"/>
        </w:rPr>
        <w:t>采 购 人：</w:t>
      </w:r>
      <w:r>
        <w:rPr>
          <w:rFonts w:hint="eastAsia" w:ascii="仿宋" w:hAnsi="仿宋" w:eastAsia="仿宋" w:cs="仿宋"/>
          <w:b/>
          <w:color w:val="auto"/>
          <w:kern w:val="0"/>
          <w:sz w:val="36"/>
          <w:szCs w:val="36"/>
          <w:lang w:eastAsia="zh-CN"/>
        </w:rPr>
        <w:t>海口市人才劳动力交流服务中心</w:t>
      </w:r>
      <w:r>
        <w:rPr>
          <w:rFonts w:hint="eastAsia" w:ascii="仿宋" w:hAnsi="仿宋" w:eastAsia="仿宋" w:cs="仿宋"/>
          <w:b/>
          <w:color w:val="auto"/>
          <w:sz w:val="36"/>
          <w:szCs w:val="36"/>
          <w:lang w:val="en-US" w:eastAsia="zh-CN"/>
        </w:rPr>
        <w:t xml:space="preserve"> </w:t>
      </w:r>
    </w:p>
    <w:p>
      <w:pPr>
        <w:widowControl/>
        <w:tabs>
          <w:tab w:val="left" w:pos="630"/>
        </w:tabs>
        <w:spacing w:line="360" w:lineRule="auto"/>
        <w:ind w:firstLine="1084" w:firstLineChars="300"/>
        <w:jc w:val="left"/>
        <w:textAlignment w:val="bottom"/>
        <w:rPr>
          <w:rFonts w:hint="eastAsia" w:ascii="仿宋" w:hAnsi="仿宋" w:eastAsia="仿宋" w:cs="仿宋"/>
          <w:b/>
          <w:color w:val="auto"/>
          <w:kern w:val="0"/>
          <w:sz w:val="36"/>
          <w:szCs w:val="36"/>
          <w:lang w:eastAsia="zh-CN"/>
        </w:rPr>
      </w:pPr>
      <w:r>
        <w:rPr>
          <w:rFonts w:hint="eastAsia" w:ascii="仿宋" w:hAnsi="仿宋" w:eastAsia="仿宋" w:cs="仿宋"/>
          <w:b/>
          <w:color w:val="auto"/>
          <w:sz w:val="36"/>
          <w:szCs w:val="36"/>
        </w:rPr>
        <w:t>项目名称：</w:t>
      </w:r>
      <w:r>
        <w:rPr>
          <w:rFonts w:hint="eastAsia" w:ascii="仿宋" w:hAnsi="仿宋" w:eastAsia="仿宋" w:cs="仿宋"/>
          <w:b/>
          <w:color w:val="auto"/>
          <w:kern w:val="0"/>
          <w:sz w:val="36"/>
          <w:szCs w:val="36"/>
          <w:lang w:eastAsia="zh-CN"/>
        </w:rPr>
        <w:t>“好就业”--海口市大学生就业能力测评和生涯规划职业指导服务活动</w:t>
      </w:r>
    </w:p>
    <w:p>
      <w:pPr>
        <w:widowControl/>
        <w:tabs>
          <w:tab w:val="left" w:pos="630"/>
        </w:tabs>
        <w:spacing w:line="360" w:lineRule="auto"/>
        <w:ind w:firstLine="1084" w:firstLineChars="300"/>
        <w:jc w:val="left"/>
        <w:textAlignment w:val="bottom"/>
        <w:rPr>
          <w:rFonts w:hint="eastAsia" w:ascii="仿宋" w:hAnsi="仿宋" w:eastAsia="仿宋" w:cs="仿宋"/>
          <w:b/>
          <w:color w:val="auto"/>
          <w:sz w:val="36"/>
          <w:szCs w:val="36"/>
        </w:rPr>
      </w:pPr>
      <w:r>
        <w:rPr>
          <w:rFonts w:hint="eastAsia" w:ascii="仿宋" w:hAnsi="仿宋" w:eastAsia="仿宋" w:cs="仿宋"/>
          <w:b/>
          <w:color w:val="auto"/>
          <w:sz w:val="36"/>
          <w:szCs w:val="36"/>
        </w:rPr>
        <w:t>招标编号：HNZH-2024-1525</w:t>
      </w:r>
    </w:p>
    <w:p>
      <w:pPr>
        <w:spacing w:line="360" w:lineRule="auto"/>
        <w:ind w:firstLine="1084" w:firstLineChars="300"/>
        <w:rPr>
          <w:rFonts w:hint="eastAsia" w:ascii="仿宋" w:hAnsi="仿宋" w:eastAsia="仿宋" w:cs="仿宋"/>
          <w:b/>
          <w:color w:val="auto"/>
          <w:sz w:val="36"/>
          <w:szCs w:val="36"/>
          <w:lang w:eastAsia="zh-CN"/>
        </w:rPr>
      </w:pPr>
      <w:r>
        <w:rPr>
          <w:rFonts w:hint="eastAsia" w:ascii="仿宋" w:hAnsi="仿宋" w:eastAsia="仿宋" w:cs="仿宋"/>
          <w:b/>
          <w:color w:val="auto"/>
          <w:sz w:val="36"/>
          <w:szCs w:val="36"/>
        </w:rPr>
        <w:t>代理机构：</w:t>
      </w:r>
      <w:r>
        <w:rPr>
          <w:rFonts w:hint="eastAsia" w:ascii="仿宋" w:hAnsi="仿宋" w:eastAsia="仿宋" w:cs="仿宋"/>
          <w:b/>
          <w:color w:val="auto"/>
          <w:sz w:val="36"/>
          <w:szCs w:val="36"/>
          <w:lang w:eastAsia="zh-CN"/>
        </w:rPr>
        <w:t>海南政辉招投标代理有限公司</w:t>
      </w:r>
    </w:p>
    <w:p>
      <w:pPr>
        <w:spacing w:before="120" w:beforeLines="50" w:line="48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06</w:t>
      </w:r>
      <w:r>
        <w:rPr>
          <w:rFonts w:hint="eastAsia" w:ascii="仿宋" w:hAnsi="仿宋" w:eastAsia="仿宋" w:cs="仿宋"/>
          <w:b/>
          <w:color w:val="auto"/>
          <w:sz w:val="32"/>
          <w:szCs w:val="32"/>
        </w:rPr>
        <w:t>月</w:t>
      </w:r>
    </w:p>
    <w:p>
      <w:pPr>
        <w:spacing w:before="120" w:beforeLines="50" w:line="480" w:lineRule="auto"/>
        <w:jc w:val="center"/>
        <w:rPr>
          <w:rFonts w:hint="eastAsia" w:ascii="仿宋" w:hAnsi="仿宋" w:eastAsia="仿宋" w:cs="仿宋"/>
          <w:b/>
          <w:color w:val="auto"/>
          <w:sz w:val="32"/>
          <w:szCs w:val="32"/>
        </w:rPr>
        <w:sectPr>
          <w:footerReference r:id="rId4" w:type="first"/>
          <w:headerReference r:id="rId3"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color w:val="auto"/>
          <w:sz w:val="32"/>
          <w:szCs w:val="32"/>
          <w:lang w:eastAsia="zh-CN"/>
        </w:rPr>
        <w:t>海南政辉招投标代理有限公司</w:t>
      </w:r>
      <w:r>
        <w:rPr>
          <w:rFonts w:hint="eastAsia" w:ascii="仿宋" w:hAnsi="仿宋" w:eastAsia="仿宋" w:cs="仿宋"/>
          <w:b/>
          <w:color w:val="auto"/>
          <w:sz w:val="32"/>
          <w:szCs w:val="32"/>
        </w:rPr>
        <w:t>编制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政府采购全程电子化评标须知</w:t>
      </w:r>
    </w:p>
    <w:p>
      <w:pPr>
        <w:bidi w:val="0"/>
        <w:spacing w:line="360" w:lineRule="auto"/>
        <w:rPr>
          <w:rFonts w:hint="eastAsia" w:ascii="仿宋" w:hAnsi="仿宋" w:eastAsia="仿宋" w:cs="仿宋"/>
          <w:color w:val="auto"/>
          <w:sz w:val="24"/>
          <w:szCs w:val="24"/>
          <w:lang w:val="en-US" w:eastAsia="zh-CN"/>
        </w:rPr>
      </w:pPr>
    </w:p>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 xml:space="preserve">一、电子投标文件的编制及上传要求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1、电子投标文件应当使用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"http://218.77.183.212:8199/u/loginu/" \t "https://www.ccgp-hainan.gov.cn/zhuzhan/_blank"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海南省政府采购电子化交易管理系统</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下载的“投标文件制作工具”制作投标文件，详情查看系统中的</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"https://www.yuque.com/docs/share/c80d5a5f-3706-4f77-bf5c-1a9a5e988ed5?" \l "%20%E3%80%8A%E6%8A%95%E6%A0%87%E5%B7%A5%E5%85%B7%E4%BD%BF%E7%94%A8%E6%89%8B%E5%86%8C%E3%80%8B"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《投标工具使用手册》</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2、“投标文件制作工具”必须配备含有本单位电子标书工具加密锁才能使用，供应商不得将电子标书工具加密锁转借或使用他人的电子标书工具加密锁编制投标文件。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3、为保证电子投标文件的合法性、安全性和完整性，电子文件转换完成后，应在规定部位加盖含有CA数字证书的电子印章，并使用CA数字证书进行加密，生成后缀名为wenc格式的加密投标文件用于正常的投标工作。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4、电子投标文件制作完成后，在投标截止时间之前将加密的电子投标文件上传至</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"http://218.77.183.212:8199/u/loginu/" \t "https://www.ccgp-hainan.gov.cn/zhuzhan/_blank"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海南省政府采购电子化交易管理系统</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。开标时，以在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"http://218.77.183.212:8199/u/loginu/" \t "https://www.ccgp-hainan.gov.cn/zhuzhan/_blank"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海南省政府采购电子化交易管理系统</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 xml:space="preserve">上传的文件为准，若电子招标投标系统上传的文件无法读取，则该投标文件应被拒绝。 </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 xml:space="preserve">5、开标必须使用加密投标文件的CA数字证书在“海南省政府采购电子化交易管理系统”中操作参与。 </w:t>
      </w:r>
    </w:p>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 xml:space="preserve">二、全程电子化开标方法 </w:t>
      </w:r>
    </w:p>
    <w:p>
      <w:pPr>
        <w:tabs>
          <w:tab w:val="left" w:pos="5942"/>
        </w:tabs>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（一）代理机构开标方法及要求</w:t>
      </w:r>
      <w:r>
        <w:rPr>
          <w:rFonts w:hint="eastAsia" w:ascii="仿宋" w:hAnsi="仿宋" w:eastAsia="仿宋" w:cs="仿宋"/>
          <w:b/>
          <w:bCs/>
          <w:color w:val="auto"/>
          <w:sz w:val="24"/>
          <w:szCs w:val="24"/>
          <w:lang w:val="en-US" w:eastAsia="zh-CN"/>
        </w:rPr>
        <w:tab/>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1、进入开标大厅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代理机构进入开标大厅，显示开标倒计时，开标时间截至前未签到者，视为无效投标。</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2、签到查看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到达开标时间，进入开标大厅，根据标的情况选择【开始开标】，还是【执行废标】。</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3、发起解密</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代理机构【发起解密】，设定解密时长（30-60分钟），显示解密倒计时，</w:t>
      </w:r>
      <w:r>
        <w:rPr>
          <w:rFonts w:hint="eastAsia" w:ascii="仿宋" w:hAnsi="仿宋" w:eastAsia="仿宋" w:cs="仿宋"/>
          <w:b/>
          <w:bCs/>
          <w:color w:val="auto"/>
          <w:sz w:val="24"/>
          <w:szCs w:val="24"/>
          <w:lang w:val="en-US" w:eastAsia="zh-CN"/>
        </w:rPr>
        <w:t>规定时间内未解密成功者，视为投标无效。</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4、唱标（发起开标结果确认）</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解密结束，点击【下一步】进入唱标结果确认页面，点击【发起结果确认】，设定确认时长（30分钟），显示解密倒计时，到达规定时间，默认确认成功。</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5、结束开标</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开标结果确认倒计时结束，点击【结束开标】</w:t>
      </w:r>
    </w:p>
    <w:p>
      <w:pPr>
        <w:spacing w:line="360" w:lineRule="auto"/>
        <w:ind w:firstLine="482" w:firstLineChars="200"/>
        <w:rPr>
          <w:rFonts w:hint="eastAsia" w:ascii="仿宋" w:hAnsi="仿宋" w:eastAsia="仿宋" w:cs="仿宋"/>
          <w:b/>
          <w:bCs/>
          <w:color w:val="auto"/>
          <w:sz w:val="24"/>
          <w:szCs w:val="24"/>
          <w:lang w:val="en-US" w:eastAsia="zh-CN"/>
        </w:rPr>
      </w:pP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（二）供应商开标方法及要求</w:t>
      </w:r>
    </w:p>
    <w:p>
      <w:pPr>
        <w:spacing w:line="360" w:lineRule="auto"/>
        <w:ind w:firstLine="480" w:firstLineChars="200"/>
        <w:rPr>
          <w:rFonts w:hint="eastAsia" w:ascii="仿宋" w:hAnsi="仿宋" w:eastAsia="仿宋" w:cs="仿宋"/>
          <w:color w:val="auto"/>
          <w:sz w:val="24"/>
          <w:szCs w:val="24"/>
          <w:lang w:val="en-US" w:eastAsia="zh-CN"/>
        </w:rPr>
      </w:pPr>
      <w:bookmarkStart w:id="0" w:name="_Toc110268718"/>
      <w:bookmarkStart w:id="1" w:name="_Toc110271024"/>
      <w:r>
        <w:rPr>
          <w:rFonts w:hint="eastAsia" w:ascii="仿宋" w:hAnsi="仿宋" w:eastAsia="仿宋" w:cs="仿宋"/>
          <w:color w:val="auto"/>
          <w:sz w:val="24"/>
          <w:szCs w:val="24"/>
          <w:lang w:val="en-US" w:eastAsia="zh-CN"/>
        </w:rPr>
        <w:t>1、进入开标大厅</w:t>
      </w:r>
      <w:bookmarkEnd w:id="0"/>
      <w:bookmarkEnd w:id="1"/>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电子开标前应签到，建议提前30分钟进入开标大厅做准备。检查系统环境及签章工具</w:t>
      </w:r>
      <w:r>
        <w:rPr>
          <w:rFonts w:hint="eastAsia" w:ascii="仿宋" w:hAnsi="仿宋" w:eastAsia="仿宋" w:cs="仿宋"/>
          <w:b/>
          <w:bCs/>
          <w:color w:val="auto"/>
          <w:sz w:val="24"/>
          <w:szCs w:val="24"/>
          <w:lang w:val="en-US" w:eastAsia="zh-CN"/>
        </w:rPr>
        <w:t>（供应商签到需选择key签章）</w:t>
      </w:r>
      <w:r>
        <w:rPr>
          <w:rFonts w:hint="eastAsia" w:ascii="仿宋" w:hAnsi="仿宋" w:eastAsia="仿宋" w:cs="仿宋"/>
          <w:color w:val="auto"/>
          <w:sz w:val="24"/>
          <w:szCs w:val="24"/>
          <w:lang w:val="en-US" w:eastAsia="zh-CN"/>
        </w:rPr>
        <w:t>情况。同时查看参与投标人数，及废标原因。</w:t>
      </w:r>
    </w:p>
    <w:p>
      <w:pPr>
        <w:spacing w:line="360" w:lineRule="auto"/>
        <w:ind w:firstLine="480" w:firstLineChars="200"/>
        <w:rPr>
          <w:rFonts w:hint="eastAsia" w:ascii="仿宋" w:hAnsi="仿宋" w:eastAsia="仿宋" w:cs="仿宋"/>
          <w:color w:val="auto"/>
          <w:sz w:val="24"/>
          <w:szCs w:val="24"/>
          <w:lang w:val="en-US" w:eastAsia="zh-CN"/>
        </w:rPr>
      </w:pPr>
      <w:bookmarkStart w:id="2" w:name="_Toc110268719"/>
      <w:bookmarkStart w:id="3" w:name="_Toc110271025"/>
      <w:r>
        <w:rPr>
          <w:rFonts w:hint="eastAsia" w:ascii="仿宋" w:hAnsi="仿宋" w:eastAsia="仿宋" w:cs="仿宋"/>
          <w:color w:val="auto"/>
          <w:sz w:val="24"/>
          <w:szCs w:val="24"/>
          <w:lang w:val="en-US" w:eastAsia="zh-CN"/>
        </w:rPr>
        <w:t>2、签到</w:t>
      </w:r>
      <w:bookmarkEnd w:id="2"/>
      <w:bookmarkEnd w:id="3"/>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开标（签到）倒计时结束前必须完成签到，要求在签到页面进行电子签章。</w:t>
      </w:r>
      <w:r>
        <w:rPr>
          <w:rFonts w:hint="eastAsia" w:ascii="仿宋" w:hAnsi="仿宋" w:eastAsia="仿宋" w:cs="仿宋"/>
          <w:b/>
          <w:bCs/>
          <w:color w:val="auto"/>
          <w:sz w:val="24"/>
          <w:szCs w:val="24"/>
          <w:lang w:val="en-US" w:eastAsia="zh-CN"/>
        </w:rPr>
        <w:t>供应商未签到，作为无效投标处理。</w:t>
      </w:r>
      <w:bookmarkStart w:id="4" w:name="_Toc110271026"/>
      <w:bookmarkStart w:id="5" w:name="_Toc110268720"/>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bookmarkEnd w:id="4"/>
      <w:bookmarkEnd w:id="5"/>
      <w:bookmarkStart w:id="6" w:name="_Toc110268721"/>
      <w:bookmarkStart w:id="7" w:name="_Toc110271027"/>
      <w:r>
        <w:rPr>
          <w:rFonts w:hint="eastAsia" w:ascii="仿宋" w:hAnsi="仿宋" w:eastAsia="仿宋" w:cs="仿宋"/>
          <w:color w:val="auto"/>
          <w:sz w:val="24"/>
          <w:szCs w:val="24"/>
          <w:lang w:val="en-US" w:eastAsia="zh-CN"/>
        </w:rPr>
        <w:t>解密</w:t>
      </w:r>
      <w:bookmarkEnd w:id="6"/>
      <w:bookmarkEnd w:id="7"/>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点击【解密】，要求供应商在解密页面选择加密时的数字证书进行解密，否则解密不成功。也可通过【系统通知】点击进入解密页面。</w:t>
      </w:r>
      <w:r>
        <w:rPr>
          <w:rFonts w:hint="eastAsia" w:ascii="仿宋" w:hAnsi="仿宋" w:eastAsia="仿宋" w:cs="仿宋"/>
          <w:b/>
          <w:bCs/>
          <w:color w:val="auto"/>
          <w:sz w:val="24"/>
          <w:szCs w:val="24"/>
          <w:lang w:val="en-US" w:eastAsia="zh-CN"/>
        </w:rPr>
        <w:t>供应商解密未成功，作为无效投标处理。</w:t>
      </w:r>
    </w:p>
    <w:p>
      <w:pPr>
        <w:spacing w:line="360" w:lineRule="auto"/>
        <w:ind w:firstLine="480" w:firstLineChars="200"/>
        <w:rPr>
          <w:rFonts w:hint="eastAsia" w:ascii="仿宋" w:hAnsi="仿宋" w:eastAsia="仿宋" w:cs="仿宋"/>
          <w:color w:val="auto"/>
          <w:sz w:val="24"/>
          <w:szCs w:val="24"/>
          <w:lang w:val="en-US" w:eastAsia="zh-CN"/>
        </w:rPr>
      </w:pPr>
      <w:bookmarkStart w:id="8" w:name="_Toc110271029"/>
      <w:bookmarkStart w:id="9" w:name="_Toc110268723"/>
      <w:r>
        <w:rPr>
          <w:rFonts w:hint="eastAsia" w:ascii="仿宋" w:hAnsi="仿宋" w:eastAsia="仿宋" w:cs="仿宋"/>
          <w:color w:val="auto"/>
          <w:sz w:val="24"/>
          <w:szCs w:val="24"/>
          <w:lang w:val="en-US" w:eastAsia="zh-CN"/>
        </w:rPr>
        <w:t>4、开标结果确认</w:t>
      </w:r>
      <w:bookmarkEnd w:id="8"/>
      <w:bookmarkEnd w:id="9"/>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点击【开标结果确认】，要求供应商开标结果页面进行电子签章，确认成功，等待评标。也可通过【系统通知】进入开标结果确认页面。</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供应商唱标页面显示如下，点击【唱标结果确认】，选择【签章】-【key签章】。签章结束点击【保存】，唱标结果确认成功，等待评标。也可通过下方【系统通知】进入唱标页面。</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lang w:val="en-US" w:eastAsia="zh-CN"/>
        </w:rPr>
        <w:t>三、全</w:t>
      </w:r>
      <w:r>
        <w:rPr>
          <w:rFonts w:hint="eastAsia" w:ascii="仿宋" w:hAnsi="仿宋" w:eastAsia="仿宋" w:cs="仿宋"/>
          <w:b/>
          <w:bCs/>
          <w:color w:val="auto"/>
          <w:sz w:val="24"/>
          <w:szCs w:val="24"/>
          <w:highlight w:val="none"/>
          <w:lang w:val="en-US" w:eastAsia="zh-CN"/>
        </w:rPr>
        <w:t xml:space="preserve">程电子化开评标注意事项 </w:t>
      </w:r>
    </w:p>
    <w:p>
      <w:pPr>
        <w:spacing w:line="360" w:lineRule="auto"/>
        <w:ind w:firstLine="480"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b/>
          <w:bCs/>
          <w:color w:val="auto"/>
          <w:sz w:val="24"/>
          <w:szCs w:val="24"/>
          <w:highlight w:val="none"/>
        </w:rPr>
        <w:t>供应商签到需选择key签章，海南CA数字证书办理所需材料及地址</w:t>
      </w:r>
      <w:r>
        <w:rPr>
          <w:rFonts w:hint="eastAsia" w:ascii="仿宋" w:hAnsi="仿宋" w:eastAsia="仿宋" w:cs="仿宋"/>
          <w:b/>
          <w:bCs/>
          <w:color w:val="auto"/>
          <w:sz w:val="24"/>
          <w:szCs w:val="24"/>
          <w:highlight w:val="none"/>
          <w:lang w:eastAsia="zh-CN"/>
        </w:rPr>
        <w:t>：</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（1）CA数字证书所需材料：</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登录海南省数字证书认证中心网站（网址：http://www.hndca.com/CA/）“服务支持”中的“海南省电子招投标用户办理数字证书业务指南”下载。（可在线办理，也可现场办理）</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（2）CA数字证书现场办理地址：</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海南省海口市美兰区大英山东三路2号海南数据谷二号营地2层212室。</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办理CA锁咨询：0898-66668096（海南省数字证书认证中心）。</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b/>
          <w:bCs/>
          <w:color w:val="auto"/>
          <w:sz w:val="24"/>
          <w:szCs w:val="24"/>
          <w:lang w:val="en-US" w:eastAsia="zh-CN"/>
        </w:rPr>
        <w:t>开标（签到）倒计时结束前供应商未进行投标（响应）文件签到、解密（成功解密）的作为无效投标处理，供应商自行承担由此造成的后果及损失。</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专家向供应商发起磋商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，供应商对问题进行回复</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专家向供应商发起报价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，供应商对报价进行填写</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5、专家向供应商发起说明（如有），供应商对说明事项进行回复。</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6、本项目全程电子化开评标，供应商需自行准备开评标过程中的使用电脑和网络， </w:t>
      </w:r>
      <w:r>
        <w:rPr>
          <w:rFonts w:hint="eastAsia" w:ascii="仿宋" w:hAnsi="仿宋" w:eastAsia="仿宋" w:cs="仿宋"/>
          <w:b/>
          <w:bCs/>
          <w:color w:val="auto"/>
          <w:sz w:val="24"/>
          <w:szCs w:val="24"/>
          <w:lang w:val="en-US" w:eastAsia="zh-CN"/>
        </w:rPr>
        <w:t>供应商自行承担由于自身准备不足，由此造成的后果及损失。</w:t>
      </w:r>
    </w:p>
    <w:p>
      <w:pPr>
        <w:pStyle w:val="277"/>
        <w:tabs>
          <w:tab w:val="left" w:pos="5671"/>
        </w:tabs>
        <w:spacing w:after="0" w:line="360" w:lineRule="auto"/>
        <w:ind w:firstLine="480" w:firstLineChars="200"/>
        <w:jc w:val="left"/>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color w:val="auto"/>
          <w:sz w:val="24"/>
          <w:szCs w:val="24"/>
          <w:lang w:val="en-US" w:eastAsia="zh-CN"/>
        </w:rPr>
        <w:t>7、本项目全程电子化开评标，供应商可以不到开标现场参与，供应商如需现场参与开标，可以自行（携带电脑）前往</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u w:val="single"/>
        </w:rPr>
        <w:t>海口市美兰区五指山路16-3号康业花园西湖苑G栋2A</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开标现场参与。</w:t>
      </w:r>
    </w:p>
    <w:p>
      <w:pPr>
        <w:pStyle w:val="32"/>
        <w:rPr>
          <w:rFonts w:hint="eastAsia" w:ascii="仿宋" w:hAnsi="仿宋" w:eastAsia="仿宋" w:cs="仿宋"/>
          <w:color w:val="auto"/>
        </w:rPr>
      </w:pPr>
    </w:p>
    <w:p>
      <w:pPr>
        <w:bidi w:val="0"/>
        <w:spacing w:line="360" w:lineRule="auto"/>
        <w:jc w:val="center"/>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目录</w:t>
      </w:r>
    </w:p>
    <w:p>
      <w:pPr>
        <w:pStyle w:val="29"/>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 w:val="0"/>
          <w:bCs w:val="0"/>
          <w:caps w:val="0"/>
          <w:color w:val="auto"/>
          <w:sz w:val="24"/>
          <w:szCs w:val="24"/>
        </w:rPr>
        <w:fldChar w:fldCharType="begin"/>
      </w:r>
      <w:r>
        <w:rPr>
          <w:rFonts w:hint="eastAsia" w:ascii="仿宋" w:hAnsi="仿宋" w:eastAsia="仿宋" w:cs="仿宋"/>
          <w:b w:val="0"/>
          <w:bCs w:val="0"/>
          <w:caps w:val="0"/>
          <w:color w:val="auto"/>
          <w:sz w:val="24"/>
          <w:szCs w:val="24"/>
        </w:rPr>
        <w:instrText xml:space="preserve"> TOC \o "1-4" \h \z \u </w:instrText>
      </w:r>
      <w:r>
        <w:rPr>
          <w:rFonts w:hint="eastAsia" w:ascii="仿宋" w:hAnsi="仿宋" w:eastAsia="仿宋" w:cs="仿宋"/>
          <w:b w:val="0"/>
          <w:bCs w:val="0"/>
          <w:caps w:val="0"/>
          <w:color w:val="auto"/>
          <w:sz w:val="24"/>
          <w:szCs w:val="24"/>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"_Toc22147"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第一章  投标邀请函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_Toc22147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9"/>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"_Toc11910"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第二章  投标人须知</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_Toc11910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"_Toc8861"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 xml:space="preserve">第三章  </w:t>
      </w:r>
      <w:r>
        <w:rPr>
          <w:rFonts w:hint="eastAsia" w:ascii="仿宋" w:hAnsi="仿宋" w:eastAsia="仿宋" w:cs="仿宋"/>
          <w:color w:val="auto"/>
          <w:sz w:val="24"/>
          <w:szCs w:val="24"/>
          <w:lang w:eastAsia="zh-CN"/>
        </w:rPr>
        <w:t>采购需求</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3</w:t>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"_Toc26343"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第四章 合同主要条款</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1</w:t>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"_Toc14733"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第五章 投标文件内容和格式</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4</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"_Toc8061"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5</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"_Toc24245"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、开标一览表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6</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"_Toc28135"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3、分项报价明细表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7</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"_Toc14833"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4、采购需求响应表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8</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_Toc2144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39</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6、法定代表人证明书</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0</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"_Toc26398"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7、授权委托书</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1</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_Toc24232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8、申请人的资格要求</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42</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9、参加政府采购活动前三年内，在经营活动中没有重大违法记录的声明函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3</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"_Toc8723"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10、参加政府采购活动前三年内，无环保类行政处罚记录声明函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4</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"_Toc26555"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11、具备《中华人民共和国政府采购法》第二十二条规定条件的承诺书</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5</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"_Toc27898"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12、不存在与参加本项目采购活动的其他供应商单位负责人为同一人或者存在直接控股、管理关系的承诺函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6</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"_Toc2251"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13、中小企业声明函（货物）</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7</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"_Toc26651"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14、监狱企业证明文件</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8</w:t>
      </w:r>
    </w:p>
    <w:p>
      <w:pPr>
        <w:pStyle w:val="35"/>
        <w:tabs>
          <w:tab w:val="right" w:leader="dot" w:pos="9040"/>
        </w:tabs>
        <w:spacing w:line="360" w:lineRule="auto"/>
        <w:rPr>
          <w:rFonts w:hint="eastAsia" w:ascii="仿宋" w:hAnsi="仿宋" w:eastAsia="仿宋" w:cs="仿宋"/>
          <w:bCs/>
          <w:caps/>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"_Toc20881"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15、残疾人福利性单位声明函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9</w:t>
      </w:r>
    </w:p>
    <w:p>
      <w:pPr>
        <w:pStyle w:val="35"/>
        <w:tabs>
          <w:tab w:val="right" w:leader="dot" w:pos="9040"/>
        </w:tabs>
        <w:spacing w:line="360" w:lineRule="auto"/>
        <w:rPr>
          <w:rFonts w:hint="eastAsia" w:ascii="仿宋" w:hAnsi="仿宋" w:eastAsia="仿宋" w:cs="仿宋"/>
          <w:color w:val="auto"/>
          <w:lang w:val="en-US" w:eastAsia="zh-CN"/>
        </w:rPr>
      </w:pPr>
      <w:r>
        <w:rPr>
          <w:rFonts w:hint="eastAsia" w:ascii="仿宋" w:hAnsi="仿宋" w:eastAsia="仿宋" w:cs="仿宋"/>
          <w:color w:val="auto"/>
          <w:sz w:val="24"/>
          <w:szCs w:val="24"/>
          <w:lang w:val="en-US" w:eastAsia="zh-CN" w:bidi="ar-SA"/>
        </w:rPr>
        <w:t>16、投标人认为需要的其他材料</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50</w:t>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"_Toc24564"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第六章  评审办法和程序</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1</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"_Toc29097"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资格审查表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7</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"_Toc28253"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符合性</w:t>
      </w:r>
      <w:r>
        <w:rPr>
          <w:rFonts w:hint="eastAsia" w:ascii="仿宋" w:hAnsi="仿宋" w:eastAsia="仿宋" w:cs="仿宋"/>
          <w:color w:val="auto"/>
          <w:sz w:val="24"/>
          <w:szCs w:val="24"/>
        </w:rPr>
        <w:t>审查表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9</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"_Toc27003"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3、技术、商务评分表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0</w:t>
      </w:r>
    </w:p>
    <w:p>
      <w:pPr>
        <w:spacing w:line="360" w:lineRule="auto"/>
        <w:outlineLvl w:val="0"/>
        <w:rPr>
          <w:rFonts w:hint="eastAsia" w:ascii="仿宋" w:hAnsi="仿宋" w:eastAsia="仿宋" w:cs="仿宋"/>
          <w:bCs/>
          <w:caps/>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Cs/>
          <w:caps/>
          <w:color w:val="auto"/>
          <w:sz w:val="24"/>
          <w:szCs w:val="24"/>
        </w:rPr>
        <w:fldChar w:fldCharType="end"/>
      </w:r>
      <w:bookmarkStart w:id="10" w:name="_Toc248048373"/>
      <w:bookmarkStart w:id="11" w:name="_Toc264182533"/>
      <w:bookmarkStart w:id="12" w:name="_Toc264213353"/>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sz w:val="44"/>
          <w:szCs w:val="44"/>
        </w:rPr>
      </w:pPr>
      <w:bookmarkStart w:id="13" w:name="_Toc22147"/>
      <w:r>
        <w:rPr>
          <w:rFonts w:hint="eastAsia" w:ascii="仿宋" w:hAnsi="仿宋" w:eastAsia="仿宋" w:cs="仿宋"/>
          <w:b/>
          <w:color w:val="auto"/>
          <w:sz w:val="44"/>
          <w:szCs w:val="44"/>
        </w:rPr>
        <w:t>第一章  投标邀请函</w:t>
      </w:r>
      <w:bookmarkEnd w:id="10"/>
      <w:bookmarkEnd w:id="11"/>
      <w:bookmarkEnd w:id="12"/>
      <w:bookmarkEnd w:id="13"/>
    </w:p>
    <w:p>
      <w:pPr>
        <w:rPr>
          <w:rFonts w:hint="eastAsia" w:ascii="仿宋" w:hAnsi="仿宋" w:eastAsia="仿宋" w:cs="仿宋"/>
          <w:color w:val="auto"/>
          <w:sz w:val="24"/>
          <w:szCs w:val="24"/>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28" w:type="dxa"/>
            <w:noWrap w:val="0"/>
            <w:vAlign w:val="top"/>
          </w:tcPr>
          <w:p>
            <w:pPr>
              <w:tabs>
                <w:tab w:val="left" w:pos="2265"/>
              </w:tabs>
              <w:spacing w:line="360"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tabs>
                <w:tab w:val="left" w:pos="2265"/>
              </w:tabs>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color w:val="auto"/>
                <w:sz w:val="24"/>
                <w:szCs w:val="24"/>
                <w:u w:val="single"/>
                <w:lang w:val="en-US" w:eastAsia="zh-CN"/>
              </w:rPr>
              <w:t xml:space="preserve"> “好就业”--海口市大学生就业能力测评和生涯规划职业指导服务活动  </w:t>
            </w:r>
            <w:r>
              <w:rPr>
                <w:rFonts w:hint="eastAsia" w:ascii="仿宋" w:hAnsi="仿宋" w:eastAsia="仿宋" w:cs="仿宋"/>
                <w:color w:val="auto"/>
                <w:sz w:val="24"/>
                <w:lang w:val="en-US" w:eastAsia="zh-CN"/>
              </w:rPr>
              <w:t>招标</w:t>
            </w:r>
            <w:r>
              <w:rPr>
                <w:rFonts w:hint="eastAsia" w:ascii="仿宋" w:hAnsi="仿宋" w:eastAsia="仿宋" w:cs="仿宋"/>
                <w:color w:val="auto"/>
                <w:sz w:val="24"/>
                <w:szCs w:val="24"/>
              </w:rPr>
              <w:t>项目的潜在供应商应在</w:t>
            </w:r>
            <w:r>
              <w:rPr>
                <w:rFonts w:hint="eastAsia" w:ascii="仿宋" w:hAnsi="仿宋" w:eastAsia="仿宋" w:cs="仿宋"/>
                <w:b/>
                <w:bCs/>
                <w:color w:val="auto"/>
                <w:sz w:val="24"/>
                <w:szCs w:val="24"/>
                <w:u w:val="single"/>
                <w:lang w:val="en-US" w:eastAsia="zh-CN"/>
              </w:rPr>
              <w:t>海南政府采购网(www.ccgp-hainan.gov.cn)-海南省政府采购电子化交易管理系统(新)</w:t>
            </w:r>
            <w:r>
              <w:rPr>
                <w:rFonts w:hint="eastAsia" w:ascii="仿宋" w:hAnsi="仿宋" w:eastAsia="仿宋" w:cs="仿宋"/>
                <w:color w:val="auto"/>
                <w:sz w:val="24"/>
                <w:szCs w:val="24"/>
              </w:rPr>
              <w:t>获取采购文件,并于</w:t>
            </w:r>
            <w:r>
              <w:rPr>
                <w:rFonts w:hint="eastAsia" w:ascii="仿宋" w:hAnsi="仿宋" w:eastAsia="仿宋" w:cs="仿宋"/>
                <w:b/>
                <w:bCs/>
                <w:color w:val="auto"/>
                <w:sz w:val="24"/>
                <w:szCs w:val="24"/>
                <w:u w:val="single"/>
                <w:lang w:val="en-US" w:eastAsia="zh-CN"/>
              </w:rPr>
              <w:t xml:space="preserve"> 2024年07月04日09点00分</w:t>
            </w:r>
            <w:r>
              <w:rPr>
                <w:rFonts w:hint="eastAsia" w:ascii="仿宋" w:hAnsi="仿宋" w:eastAsia="仿宋" w:cs="仿宋"/>
                <w:color w:val="auto"/>
                <w:sz w:val="24"/>
                <w:szCs w:val="24"/>
              </w:rPr>
              <w:t>（北京时间）前递交</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w:t>
            </w:r>
          </w:p>
        </w:tc>
      </w:tr>
    </w:tbl>
    <w:p>
      <w:pPr>
        <w:pStyle w:val="18"/>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一、</w:t>
      </w:r>
      <w:r>
        <w:rPr>
          <w:rFonts w:hint="eastAsia" w:ascii="仿宋" w:hAnsi="仿宋" w:eastAsia="仿宋" w:cs="仿宋"/>
          <w:b/>
          <w:color w:val="auto"/>
          <w:sz w:val="28"/>
          <w:szCs w:val="28"/>
          <w:lang w:val="en-US" w:eastAsia="zh-CN"/>
        </w:rPr>
        <w:t>项目基本情况</w:t>
      </w:r>
    </w:p>
    <w:p>
      <w:pPr>
        <w:pStyle w:val="277"/>
        <w:spacing w:after="0" w:line="360" w:lineRule="auto"/>
        <w:ind w:firstLine="480" w:firstLineChars="200"/>
        <w:jc w:val="left"/>
        <w:rPr>
          <w:rFonts w:hint="eastAsia" w:ascii="仿宋" w:hAnsi="仿宋" w:eastAsia="仿宋" w:cs="仿宋"/>
          <w:color w:val="auto"/>
          <w:sz w:val="24"/>
          <w:u w:val="none"/>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u w:val="none"/>
          <w:lang w:eastAsia="zh-CN"/>
        </w:rPr>
        <w:t>：HNZH-2024-1525</w:t>
      </w:r>
      <w:r>
        <w:rPr>
          <w:rFonts w:hint="eastAsia" w:ascii="仿宋" w:hAnsi="仿宋" w:eastAsia="仿宋" w:cs="仿宋"/>
          <w:color w:val="auto"/>
          <w:sz w:val="24"/>
          <w:u w:val="none"/>
          <w:lang w:val="en-US" w:eastAsia="zh-CN"/>
        </w:rPr>
        <w:t xml:space="preserve">   </w:t>
      </w:r>
    </w:p>
    <w:p>
      <w:pPr>
        <w:snapToGrid w:val="0"/>
        <w:spacing w:line="360" w:lineRule="auto"/>
        <w:ind w:right="-115" w:rightChars="-55" w:firstLine="480" w:firstLineChars="200"/>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rPr>
        <w:t>项目名称：</w:t>
      </w:r>
      <w:r>
        <w:rPr>
          <w:rFonts w:hint="eastAsia" w:ascii="仿宋" w:hAnsi="仿宋" w:eastAsia="仿宋" w:cs="仿宋"/>
          <w:color w:val="auto"/>
          <w:sz w:val="24"/>
          <w:u w:val="none"/>
          <w:lang w:val="en-US" w:eastAsia="zh-CN"/>
        </w:rPr>
        <w:t xml:space="preserve">“好就业”--海口市大学生就业能力测评和生涯规划职业指导服务活动   </w:t>
      </w:r>
    </w:p>
    <w:p>
      <w:pPr>
        <w:snapToGrid w:val="0"/>
        <w:spacing w:line="360" w:lineRule="auto"/>
        <w:ind w:right="-115" w:rightChars="-55" w:firstLine="480" w:firstLineChars="200"/>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采购方式：公开招标</w:t>
      </w:r>
    </w:p>
    <w:p>
      <w:pPr>
        <w:pStyle w:val="277"/>
        <w:spacing w:after="0" w:line="360" w:lineRule="auto"/>
        <w:ind w:firstLine="480" w:firstLineChars="200"/>
        <w:jc w:val="left"/>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rPr>
        <w:t>预算金额：</w:t>
      </w:r>
      <w:r>
        <w:rPr>
          <w:rFonts w:hint="eastAsia" w:ascii="仿宋" w:hAnsi="仿宋" w:eastAsia="仿宋" w:cs="仿宋"/>
          <w:color w:val="auto"/>
          <w:kern w:val="28"/>
          <w:sz w:val="24"/>
          <w:u w:val="none"/>
          <w:lang w:val="en-US" w:eastAsia="zh-CN"/>
        </w:rPr>
        <w:t>261.6万</w:t>
      </w:r>
      <w:r>
        <w:rPr>
          <w:rFonts w:hint="eastAsia" w:ascii="仿宋" w:hAnsi="仿宋" w:eastAsia="仿宋" w:cs="仿宋"/>
          <w:color w:val="auto"/>
          <w:sz w:val="24"/>
          <w:u w:val="none"/>
          <w:lang w:val="en-US" w:eastAsia="zh-CN"/>
        </w:rPr>
        <w:t>元</w:t>
      </w:r>
    </w:p>
    <w:p>
      <w:pPr>
        <w:pStyle w:val="277"/>
        <w:spacing w:after="0" w:line="360" w:lineRule="auto"/>
        <w:ind w:firstLine="480" w:firstLineChars="200"/>
        <w:jc w:val="left"/>
        <w:rPr>
          <w:rFonts w:hint="default"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最高限价：</w:t>
      </w:r>
      <w:r>
        <w:rPr>
          <w:rFonts w:hint="eastAsia" w:ascii="仿宋" w:hAnsi="仿宋" w:eastAsia="仿宋" w:cs="仿宋"/>
          <w:color w:val="auto"/>
          <w:kern w:val="28"/>
          <w:sz w:val="24"/>
          <w:u w:val="none"/>
          <w:lang w:val="en-US" w:eastAsia="zh-CN"/>
        </w:rPr>
        <w:t>130.8万</w:t>
      </w:r>
      <w:r>
        <w:rPr>
          <w:rFonts w:hint="eastAsia" w:ascii="仿宋" w:hAnsi="仿宋" w:eastAsia="仿宋" w:cs="仿宋"/>
          <w:color w:val="auto"/>
          <w:sz w:val="24"/>
          <w:u w:val="none"/>
          <w:lang w:val="en-US" w:eastAsia="zh-CN"/>
        </w:rPr>
        <w:t>元，本项目选取前二名为候选人，经采购人单位确认后为中标单位</w:t>
      </w:r>
    </w:p>
    <w:p>
      <w:pPr>
        <w:pStyle w:val="277"/>
        <w:spacing w:after="0" w:line="360" w:lineRule="auto"/>
        <w:ind w:firstLine="480" w:firstLineChars="200"/>
        <w:jc w:val="left"/>
        <w:rPr>
          <w:rFonts w:hint="default" w:ascii="仿宋" w:hAnsi="仿宋" w:eastAsia="仿宋" w:cs="仿宋"/>
          <w:color w:val="auto"/>
          <w:sz w:val="24"/>
          <w:u w:val="none"/>
          <w:lang w:val="en-US" w:eastAsia="zh-CN"/>
        </w:rPr>
      </w:pPr>
      <w:r>
        <w:rPr>
          <w:rFonts w:hint="eastAsia" w:ascii="仿宋" w:hAnsi="仿宋" w:eastAsia="仿宋" w:cs="仿宋"/>
          <w:color w:val="auto"/>
          <w:sz w:val="24"/>
          <w:u w:val="none"/>
          <w:lang w:eastAsia="zh-CN"/>
        </w:rPr>
        <w:t>采</w:t>
      </w:r>
      <w:r>
        <w:rPr>
          <w:rFonts w:hint="eastAsia" w:ascii="仿宋" w:hAnsi="仿宋" w:eastAsia="仿宋" w:cs="仿宋"/>
          <w:color w:val="auto"/>
          <w:sz w:val="24"/>
          <w:u w:val="none"/>
        </w:rPr>
        <w:t>购需求：</w:t>
      </w:r>
      <w:r>
        <w:rPr>
          <w:rFonts w:hint="eastAsia" w:ascii="仿宋" w:hAnsi="仿宋" w:eastAsia="仿宋" w:cs="仿宋"/>
          <w:color w:val="auto"/>
          <w:sz w:val="24"/>
          <w:u w:val="none"/>
          <w:lang w:val="en-US" w:eastAsia="zh-CN"/>
        </w:rPr>
        <w:t>详见第三章采购需求</w:t>
      </w:r>
    </w:p>
    <w:p>
      <w:pPr>
        <w:spacing w:line="360" w:lineRule="auto"/>
        <w:ind w:left="479" w:leftChars="228" w:firstLine="0" w:firstLineChars="0"/>
        <w:rPr>
          <w:rFonts w:hint="eastAsia" w:ascii="仿宋" w:hAnsi="仿宋" w:eastAsia="仿宋" w:cs="仿宋"/>
          <w:color w:val="auto"/>
          <w:sz w:val="24"/>
          <w:u w:val="none"/>
          <w:shd w:val="clear" w:color="auto" w:fill="000000"/>
        </w:rPr>
      </w:pPr>
      <w:r>
        <w:rPr>
          <w:rFonts w:hint="eastAsia" w:ascii="仿宋" w:hAnsi="仿宋" w:eastAsia="仿宋" w:cs="仿宋"/>
          <w:color w:val="auto"/>
          <w:sz w:val="24"/>
          <w:u w:val="none"/>
        </w:rPr>
        <w:t>合同履行期限：自合同签订之日起至2024年12月30日（具体时间由采购单位根据工作实际开展进度进行调整）。</w:t>
      </w:r>
      <w:r>
        <w:rPr>
          <w:rFonts w:hint="eastAsia" w:ascii="仿宋" w:hAnsi="仿宋" w:eastAsia="仿宋" w:cs="仿宋"/>
          <w:b w:val="0"/>
          <w:bCs w:val="0"/>
          <w:color w:val="auto"/>
          <w:sz w:val="24"/>
          <w:u w:val="none"/>
          <w:lang w:val="en-US" w:eastAsia="zh-CN"/>
        </w:rPr>
        <w:t xml:space="preserve"> </w:t>
      </w:r>
    </w:p>
    <w:p>
      <w:pPr>
        <w:pStyle w:val="277"/>
        <w:spacing w:after="0" w:line="360" w:lineRule="auto"/>
        <w:ind w:firstLine="480" w:firstLineChars="200"/>
        <w:jc w:val="left"/>
        <w:rPr>
          <w:rFonts w:hint="eastAsia" w:ascii="仿宋" w:hAnsi="仿宋" w:eastAsia="仿宋" w:cs="仿宋"/>
          <w:color w:val="auto"/>
          <w:sz w:val="24"/>
          <w:u w:val="none"/>
          <w:lang w:eastAsia="zh-CN"/>
        </w:rPr>
      </w:pPr>
      <w:r>
        <w:rPr>
          <w:rFonts w:hint="eastAsia" w:ascii="仿宋" w:hAnsi="仿宋" w:eastAsia="仿宋" w:cs="仿宋"/>
          <w:color w:val="auto"/>
          <w:sz w:val="24"/>
          <w:u w:val="none"/>
        </w:rPr>
        <w:t>本项目（是/否）接受联合体</w:t>
      </w:r>
      <w:r>
        <w:rPr>
          <w:rFonts w:hint="eastAsia" w:ascii="仿宋" w:hAnsi="仿宋" w:eastAsia="仿宋" w:cs="仿宋"/>
          <w:color w:val="auto"/>
          <w:sz w:val="24"/>
          <w:u w:val="none"/>
          <w:lang w:eastAsia="zh-CN"/>
        </w:rPr>
        <w:t>：</w:t>
      </w:r>
      <w:r>
        <w:rPr>
          <w:rFonts w:hint="eastAsia" w:ascii="仿宋" w:hAnsi="仿宋" w:eastAsia="仿宋" w:cs="仿宋"/>
          <w:color w:val="auto"/>
          <w:sz w:val="24"/>
          <w:u w:val="none"/>
        </w:rPr>
        <w:t>否</w:t>
      </w:r>
    </w:p>
    <w:p>
      <w:pPr>
        <w:pStyle w:val="277"/>
        <w:spacing w:after="0" w:line="360" w:lineRule="auto"/>
        <w:ind w:firstLine="480" w:firstLineChars="200"/>
        <w:jc w:val="left"/>
        <w:rPr>
          <w:rFonts w:hint="default" w:ascii="仿宋" w:hAnsi="仿宋" w:eastAsia="仿宋" w:cs="仿宋"/>
          <w:color w:val="auto"/>
          <w:sz w:val="24"/>
          <w:u w:val="none"/>
          <w:lang w:val="en-US" w:eastAsia="zh-CN"/>
        </w:rPr>
      </w:pPr>
      <w:r>
        <w:rPr>
          <w:rFonts w:hint="eastAsia" w:ascii="仿宋" w:hAnsi="仿宋" w:eastAsia="仿宋" w:cs="仿宋"/>
          <w:bCs/>
          <w:color w:val="auto"/>
          <w:sz w:val="24"/>
          <w:szCs w:val="24"/>
          <w:u w:val="none"/>
          <w:lang w:eastAsia="zh-CN"/>
        </w:rPr>
        <w:t>所属行业：</w:t>
      </w:r>
      <w:r>
        <w:rPr>
          <w:rFonts w:hint="eastAsia" w:ascii="仿宋" w:hAnsi="仿宋" w:eastAsia="仿宋" w:cs="仿宋"/>
          <w:bCs/>
          <w:color w:val="auto"/>
          <w:sz w:val="24"/>
          <w:szCs w:val="24"/>
          <w:u w:val="none"/>
          <w:lang w:val="en-US" w:eastAsia="zh-CN"/>
        </w:rPr>
        <w:t>其他未列明行业</w:t>
      </w:r>
    </w:p>
    <w:p>
      <w:pPr>
        <w:pStyle w:val="277"/>
        <w:tabs>
          <w:tab w:val="left" w:pos="998"/>
        </w:tabs>
        <w:spacing w:after="0" w:line="360" w:lineRule="auto"/>
        <w:ind w:firstLine="0"/>
        <w:jc w:val="left"/>
        <w:rPr>
          <w:rFonts w:hint="eastAsia" w:ascii="仿宋" w:hAnsi="仿宋" w:eastAsia="仿宋" w:cs="仿宋"/>
          <w:b/>
          <w:bCs/>
          <w:color w:val="auto"/>
          <w:sz w:val="28"/>
          <w:szCs w:val="28"/>
        </w:rPr>
      </w:pPr>
      <w:bookmarkStart w:id="14" w:name="bookmark47"/>
      <w:r>
        <w:rPr>
          <w:rFonts w:hint="eastAsia" w:ascii="仿宋" w:hAnsi="仿宋" w:eastAsia="仿宋" w:cs="仿宋"/>
          <w:b/>
          <w:bCs/>
          <w:color w:val="auto"/>
          <w:sz w:val="28"/>
          <w:szCs w:val="28"/>
        </w:rPr>
        <w:t>二</w:t>
      </w:r>
      <w:bookmarkEnd w:id="14"/>
      <w:r>
        <w:rPr>
          <w:rFonts w:hint="eastAsia" w:ascii="仿宋" w:hAnsi="仿宋" w:eastAsia="仿宋" w:cs="仿宋"/>
          <w:b/>
          <w:bCs/>
          <w:color w:val="auto"/>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 w:val="24"/>
        </w:rPr>
      </w:pPr>
      <w:bookmarkStart w:id="15" w:name="bookmark48"/>
      <w:bookmarkEnd w:id="15"/>
      <w:r>
        <w:rPr>
          <w:rFonts w:hint="eastAsia" w:ascii="仿宋" w:hAnsi="仿宋" w:eastAsia="仿宋" w:cs="仿宋"/>
          <w:color w:val="auto"/>
          <w:sz w:val="24"/>
          <w:lang w:val="en-US" w:eastAsia="zh-CN"/>
        </w:rPr>
        <w:t>1.</w:t>
      </w:r>
      <w:r>
        <w:rPr>
          <w:rFonts w:hint="eastAsia" w:ascii="仿宋" w:hAnsi="仿宋" w:eastAsia="仿宋" w:cs="仿宋"/>
          <w:color w:val="auto"/>
          <w:sz w:val="24"/>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pacing w:val="0"/>
          <w:w w:val="100"/>
          <w:kern w:val="2"/>
          <w:position w:val="0"/>
          <w:sz w:val="32"/>
          <w:szCs w:val="32"/>
          <w:u w:val="single"/>
          <w:shd w:val="clear" w:color="auto" w:fill="auto"/>
          <w:lang w:val="en-US" w:eastAsia="zh-CN" w:bidi="zh-TW"/>
        </w:rPr>
      </w:pPr>
      <w:r>
        <w:rPr>
          <w:rFonts w:hint="eastAsia" w:ascii="仿宋" w:hAnsi="仿宋" w:eastAsia="仿宋" w:cs="仿宋"/>
          <w:color w:val="auto"/>
          <w:sz w:val="24"/>
          <w:u w:val="single"/>
          <w:shd w:val="clear" w:color="auto" w:fill="auto"/>
          <w:lang w:val="en-US" w:eastAsia="zh-CN" w:bidi="zh-TW"/>
        </w:rPr>
        <w:t>（1）在中华人民共和国注册，具有独立承担民事责任能力（需提供营业执照、税务登记证、组织机构代码证复印件，或者三证合一复印件）；（2）具有良好的商业信誉和健全的财务会计制度（需提供承诺函）；（3）具有依法缴纳税收的良好记录（需提供承诺函）；（4）具有依法缴纳社会保障资金的良好记录（需提供承诺函）；（5）参加政府采购活动前三年内，在经营活动中没有重大违法记录和政府采购活动前三年内无环保类行政处罚记录（提供声明函）；（6）具备《中华人民共和国政府采购法》第二十二条规定的条件（提供承诺书）。（7）、“信用中国”网站(www.creditchina.gov.cn)渠道查询供应商信用记录，经查询未列入失信被执行人、“重大税收违法失信主体”和中国政府采购网(www.ccgp.gov.cn)渠道查询供应商信用记录，经查询未列入政府采购严重违法失信行为记录名单（需提供承诺函）。</w:t>
      </w:r>
    </w:p>
    <w:p>
      <w:pPr>
        <w:pStyle w:val="277"/>
        <w:spacing w:after="0" w:line="360" w:lineRule="auto"/>
        <w:ind w:firstLine="480" w:firstLineChars="200"/>
        <w:rPr>
          <w:rFonts w:hint="eastAsia" w:ascii="仿宋" w:hAnsi="仿宋" w:eastAsia="仿宋" w:cs="仿宋"/>
          <w:color w:val="auto"/>
          <w:sz w:val="24"/>
          <w:lang w:val="en-US" w:eastAsia="zh-CN"/>
        </w:rPr>
      </w:pPr>
      <w:bookmarkStart w:id="16" w:name="bookmark49"/>
      <w:bookmarkEnd w:id="16"/>
      <w:r>
        <w:rPr>
          <w:rFonts w:hint="eastAsia" w:ascii="仿宋" w:hAnsi="仿宋" w:eastAsia="仿宋" w:cs="仿宋"/>
          <w:color w:val="auto"/>
          <w:sz w:val="24"/>
          <w:lang w:val="en-US" w:eastAsia="zh-CN"/>
        </w:rPr>
        <w:t>2.</w:t>
      </w:r>
      <w:r>
        <w:rPr>
          <w:rFonts w:hint="eastAsia" w:ascii="仿宋" w:hAnsi="仿宋" w:eastAsia="仿宋" w:cs="仿宋"/>
          <w:color w:val="auto"/>
          <w:sz w:val="24"/>
        </w:rPr>
        <w:t>落实政府</w:t>
      </w:r>
      <w:r>
        <w:rPr>
          <w:rFonts w:hint="eastAsia" w:ascii="仿宋" w:hAnsi="仿宋" w:eastAsia="仿宋" w:cs="仿宋"/>
          <w:color w:val="auto"/>
          <w:sz w:val="24"/>
          <w:lang w:eastAsia="zh-CN"/>
        </w:rPr>
        <w:t>采</w:t>
      </w:r>
      <w:r>
        <w:rPr>
          <w:rFonts w:hint="eastAsia" w:ascii="仿宋" w:hAnsi="仿宋" w:eastAsia="仿宋" w:cs="仿宋"/>
          <w:color w:val="auto"/>
          <w:sz w:val="24"/>
        </w:rPr>
        <w:t>购政策需满足的</w:t>
      </w:r>
      <w:r>
        <w:rPr>
          <w:rFonts w:hint="eastAsia" w:ascii="仿宋" w:hAnsi="仿宋" w:eastAsia="仿宋" w:cs="仿宋"/>
          <w:color w:val="auto"/>
          <w:sz w:val="24"/>
          <w:lang w:val="en-US" w:eastAsia="zh-CN"/>
        </w:rPr>
        <w:t>资</w:t>
      </w:r>
      <w:r>
        <w:rPr>
          <w:rFonts w:hint="eastAsia" w:ascii="仿宋" w:hAnsi="仿宋" w:eastAsia="仿宋" w:cs="仿宋"/>
          <w:color w:val="auto"/>
          <w:sz w:val="24"/>
        </w:rPr>
        <w:t>格要求：</w:t>
      </w:r>
      <w:r>
        <w:rPr>
          <w:rFonts w:hint="eastAsia" w:ascii="仿宋" w:hAnsi="仿宋" w:eastAsia="仿宋" w:cs="仿宋"/>
          <w:color w:val="auto"/>
          <w:sz w:val="24"/>
          <w:u w:val="single"/>
          <w:lang w:val="en-US" w:eastAsia="zh-CN"/>
        </w:rPr>
        <w:t>无</w:t>
      </w:r>
    </w:p>
    <w:p>
      <w:pPr>
        <w:pStyle w:val="277"/>
        <w:spacing w:after="0" w:line="360" w:lineRule="auto"/>
        <w:ind w:firstLine="480" w:firstLineChars="200"/>
        <w:jc w:val="left"/>
        <w:rPr>
          <w:rFonts w:hint="eastAsia" w:ascii="仿宋" w:hAnsi="仿宋" w:eastAsia="仿宋" w:cs="仿宋"/>
          <w:color w:val="auto"/>
          <w:sz w:val="24"/>
          <w:lang w:eastAsia="zh-CN"/>
        </w:rPr>
      </w:pPr>
      <w:bookmarkStart w:id="17" w:name="bookmark50"/>
      <w:bookmarkEnd w:id="17"/>
      <w:r>
        <w:rPr>
          <w:rFonts w:hint="eastAsia" w:ascii="仿宋" w:hAnsi="仿宋" w:eastAsia="仿宋" w:cs="仿宋"/>
          <w:color w:val="auto"/>
          <w:sz w:val="24"/>
          <w:lang w:val="en-US" w:eastAsia="zh-CN"/>
        </w:rPr>
        <w:t>3.</w:t>
      </w:r>
      <w:r>
        <w:rPr>
          <w:rFonts w:hint="eastAsia" w:ascii="仿宋" w:hAnsi="仿宋" w:eastAsia="仿宋" w:cs="仿宋"/>
          <w:color w:val="auto"/>
          <w:sz w:val="24"/>
        </w:rPr>
        <w:t>本项目的特定资格要求：</w:t>
      </w:r>
      <w:r>
        <w:rPr>
          <w:rFonts w:hint="eastAsia" w:ascii="仿宋" w:hAnsi="仿宋" w:eastAsia="仿宋" w:cs="仿宋"/>
          <w:color w:val="auto"/>
          <w:sz w:val="24"/>
          <w:u w:val="single"/>
          <w:shd w:val="clear" w:color="auto" w:fill="auto"/>
          <w:lang w:val="en-US" w:eastAsia="zh-CN" w:bidi="zh-TW"/>
        </w:rPr>
        <w:t>本项目的特定资格要求：具有《人力资源服务许可证》提供证书复印件加盖公章。</w:t>
      </w:r>
    </w:p>
    <w:p>
      <w:pPr>
        <w:pStyle w:val="277"/>
        <w:tabs>
          <w:tab w:val="left" w:pos="1018"/>
        </w:tabs>
        <w:spacing w:after="0" w:line="360" w:lineRule="auto"/>
        <w:ind w:firstLine="0"/>
        <w:jc w:val="left"/>
        <w:rPr>
          <w:rFonts w:hint="eastAsia" w:ascii="仿宋" w:hAnsi="仿宋" w:eastAsia="仿宋" w:cs="仿宋"/>
          <w:b/>
          <w:bCs/>
          <w:color w:val="auto"/>
          <w:sz w:val="28"/>
          <w:szCs w:val="28"/>
        </w:rPr>
      </w:pPr>
      <w:bookmarkStart w:id="18" w:name="bookmark51"/>
      <w:r>
        <w:rPr>
          <w:rFonts w:hint="eastAsia" w:ascii="仿宋" w:hAnsi="仿宋" w:eastAsia="仿宋" w:cs="仿宋"/>
          <w:b/>
          <w:bCs/>
          <w:color w:val="auto"/>
          <w:sz w:val="28"/>
          <w:szCs w:val="28"/>
        </w:rPr>
        <w:t>三</w:t>
      </w:r>
      <w:bookmarkEnd w:id="18"/>
      <w:r>
        <w:rPr>
          <w:rFonts w:hint="eastAsia" w:ascii="仿宋" w:hAnsi="仿宋" w:eastAsia="仿宋" w:cs="仿宋"/>
          <w:b/>
          <w:bCs/>
          <w:color w:val="auto"/>
          <w:sz w:val="28"/>
          <w:szCs w:val="28"/>
        </w:rPr>
        <w:t>、获取采购文件</w:t>
      </w:r>
    </w:p>
    <w:p>
      <w:pPr>
        <w:pStyle w:val="277"/>
        <w:tabs>
          <w:tab w:val="left" w:pos="1018"/>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10：30:00</w:t>
      </w:r>
      <w:r>
        <w:rPr>
          <w:rFonts w:hint="eastAsia" w:ascii="仿宋" w:hAnsi="仿宋" w:eastAsia="仿宋" w:cs="仿宋"/>
          <w:color w:val="auto"/>
          <w:sz w:val="24"/>
        </w:rPr>
        <w:t>至</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23:59:59</w:t>
      </w:r>
      <w:r>
        <w:rPr>
          <w:rFonts w:hint="eastAsia" w:ascii="仿宋" w:hAnsi="仿宋" w:eastAsia="仿宋" w:cs="仿宋"/>
          <w:color w:val="auto"/>
          <w:sz w:val="24"/>
        </w:rPr>
        <w:t>,每天上午</w:t>
      </w:r>
      <w:r>
        <w:rPr>
          <w:rFonts w:hint="eastAsia" w:ascii="仿宋" w:hAnsi="仿宋" w:eastAsia="仿宋" w:cs="仿宋"/>
          <w:color w:val="auto"/>
          <w:sz w:val="24"/>
          <w:u w:val="single"/>
          <w:lang w:val="en-US" w:eastAsia="zh-CN"/>
        </w:rPr>
        <w:t xml:space="preserve"> 00：00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lang w:val="en-US" w:eastAsia="zh-CN"/>
        </w:rPr>
        <w:t>，</w:t>
      </w:r>
      <w:r>
        <w:rPr>
          <w:rFonts w:hint="eastAsia" w:ascii="仿宋" w:hAnsi="仿宋" w:eastAsia="仿宋" w:cs="仿宋"/>
          <w:color w:val="auto"/>
          <w:sz w:val="24"/>
        </w:rPr>
        <w:t>下午</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24：00 </w:t>
      </w:r>
      <w:r>
        <w:rPr>
          <w:rFonts w:hint="eastAsia" w:ascii="仿宋" w:hAnsi="仿宋" w:eastAsia="仿宋" w:cs="仿宋"/>
          <w:color w:val="auto"/>
          <w:sz w:val="24"/>
        </w:rPr>
        <w:t>（北京时间，法定节假日除外）</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r>
        <w:rPr>
          <w:rFonts w:hint="eastAsia" w:ascii="仿宋" w:hAnsi="仿宋" w:eastAsia="仿宋" w:cs="仿宋"/>
          <w:color w:val="auto"/>
          <w:sz w:val="24"/>
          <w:u w:val="single"/>
        </w:rPr>
        <w:t>海南政府采购网(www.ccgp-hainan.gov.cn)-海南省政府采购电子化交易管理系统(新)。</w:t>
      </w:r>
    </w:p>
    <w:p>
      <w:pPr>
        <w:pStyle w:val="277"/>
        <w:spacing w:after="0" w:line="360" w:lineRule="auto"/>
        <w:ind w:firstLine="480" w:firstLineChars="200"/>
        <w:jc w:val="left"/>
        <w:rPr>
          <w:rFonts w:hint="eastAsia" w:ascii="仿宋" w:hAnsi="仿宋" w:eastAsia="仿宋" w:cs="仿宋"/>
          <w:color w:val="auto"/>
          <w:sz w:val="24"/>
          <w:lang w:val="en-US" w:eastAsia="zh-CN"/>
        </w:rPr>
      </w:pPr>
      <w:bookmarkStart w:id="19" w:name="bookmark52"/>
      <w:r>
        <w:rPr>
          <w:rFonts w:hint="eastAsia" w:ascii="仿宋" w:hAnsi="仿宋" w:eastAsia="仿宋" w:cs="仿宋"/>
          <w:color w:val="auto"/>
          <w:sz w:val="24"/>
        </w:rPr>
        <w:t>方式：网上下载</w:t>
      </w:r>
    </w:p>
    <w:p>
      <w:pPr>
        <w:pStyle w:val="277"/>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售价：</w:t>
      </w:r>
      <w:r>
        <w:rPr>
          <w:rFonts w:hint="eastAsia" w:ascii="仿宋" w:hAnsi="仿宋" w:eastAsia="仿宋" w:cs="仿宋"/>
          <w:color w:val="auto"/>
          <w:sz w:val="24"/>
          <w:lang w:val="en-US" w:eastAsia="zh-CN"/>
        </w:rPr>
        <w:t>0元</w:t>
      </w:r>
    </w:p>
    <w:p>
      <w:pPr>
        <w:pStyle w:val="277"/>
        <w:tabs>
          <w:tab w:val="left" w:pos="1018"/>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四</w:t>
      </w:r>
      <w:bookmarkEnd w:id="19"/>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投标</w:t>
      </w:r>
      <w:r>
        <w:rPr>
          <w:rFonts w:hint="eastAsia" w:ascii="仿宋" w:hAnsi="仿宋" w:eastAsia="仿宋" w:cs="仿宋"/>
          <w:b/>
          <w:bCs/>
          <w:color w:val="auto"/>
          <w:sz w:val="28"/>
          <w:szCs w:val="28"/>
        </w:rPr>
        <w:t>文件提交</w:t>
      </w:r>
    </w:p>
    <w:p>
      <w:pPr>
        <w:pStyle w:val="277"/>
        <w:spacing w:after="0"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截止时间：</w:t>
      </w:r>
      <w:r>
        <w:rPr>
          <w:rFonts w:hint="eastAsia" w:ascii="仿宋" w:hAnsi="仿宋" w:eastAsia="仿宋" w:cs="仿宋"/>
          <w:color w:val="auto"/>
          <w:sz w:val="24"/>
          <w:u w:val="single"/>
          <w:lang w:val="en-US" w:eastAsia="zh-CN"/>
        </w:rPr>
        <w:t xml:space="preserve"> </w:t>
      </w:r>
      <w:r>
        <w:rPr>
          <w:rFonts w:hint="eastAsia" w:ascii="仿宋" w:hAnsi="仿宋" w:eastAsia="仿宋" w:cs="仿宋"/>
          <w:b/>
          <w:bCs/>
          <w:color w:val="auto"/>
          <w:sz w:val="24"/>
          <w:szCs w:val="24"/>
          <w:u w:val="single"/>
          <w:lang w:val="en-US" w:eastAsia="zh-CN"/>
        </w:rPr>
        <w:t>2024年07月04日09点00分</w:t>
      </w:r>
      <w:r>
        <w:rPr>
          <w:rFonts w:hint="eastAsia" w:ascii="仿宋" w:hAnsi="仿宋" w:eastAsia="仿宋" w:cs="仿宋"/>
          <w:color w:val="auto"/>
          <w:sz w:val="24"/>
        </w:rPr>
        <w:t>（北京时间）</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bookmarkStart w:id="20" w:name="bookmark53"/>
      <w:r>
        <w:rPr>
          <w:rFonts w:hint="eastAsia" w:ascii="仿宋" w:hAnsi="仿宋" w:eastAsia="仿宋" w:cs="仿宋"/>
          <w:color w:val="auto"/>
          <w:sz w:val="24"/>
          <w:u w:val="single"/>
          <w:lang w:eastAsia="zh-CN"/>
        </w:rPr>
        <w:t>全程电子化</w:t>
      </w:r>
      <w:r>
        <w:rPr>
          <w:rFonts w:hint="eastAsia" w:ascii="仿宋" w:hAnsi="仿宋" w:eastAsia="仿宋" w:cs="仿宋"/>
          <w:color w:val="auto"/>
          <w:sz w:val="24"/>
          <w:u w:val="single"/>
          <w:lang w:val="en-US" w:eastAsia="zh-CN"/>
        </w:rPr>
        <w:t>-</w:t>
      </w:r>
      <w:r>
        <w:rPr>
          <w:rFonts w:hint="eastAsia" w:ascii="仿宋" w:hAnsi="仿宋" w:eastAsia="仿宋" w:cs="仿宋"/>
          <w:i w:val="0"/>
          <w:iCs w:val="0"/>
          <w:color w:val="auto"/>
          <w:sz w:val="24"/>
          <w:u w:val="single"/>
        </w:rPr>
        <w:t>海南政府采购网(www.ccgp-hainan.gov.cn)-海南省政府采购电子化交易管理系统(新)</w:t>
      </w:r>
      <w:r>
        <w:rPr>
          <w:rFonts w:hint="eastAsia" w:ascii="仿宋" w:hAnsi="仿宋" w:eastAsia="仿宋" w:cs="仿宋"/>
          <w:color w:val="auto"/>
          <w:sz w:val="24"/>
          <w:u w:val="single"/>
        </w:rPr>
        <w:t>。</w:t>
      </w:r>
    </w:p>
    <w:p>
      <w:pPr>
        <w:pStyle w:val="277"/>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五</w:t>
      </w:r>
      <w:bookmarkEnd w:id="20"/>
      <w:r>
        <w:rPr>
          <w:rFonts w:hint="eastAsia" w:ascii="仿宋" w:hAnsi="仿宋" w:eastAsia="仿宋" w:cs="仿宋"/>
          <w:b/>
          <w:bCs/>
          <w:color w:val="auto"/>
          <w:sz w:val="28"/>
          <w:szCs w:val="28"/>
        </w:rPr>
        <w:t>、开启</w:t>
      </w:r>
    </w:p>
    <w:p>
      <w:pPr>
        <w:pStyle w:val="277"/>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b/>
          <w:bCs/>
          <w:color w:val="auto"/>
          <w:sz w:val="24"/>
          <w:szCs w:val="24"/>
          <w:u w:val="single"/>
          <w:lang w:val="en-US" w:eastAsia="zh-CN"/>
        </w:rPr>
        <w:t xml:space="preserve"> 2024年07月04日09点00分</w:t>
      </w:r>
      <w:r>
        <w:rPr>
          <w:rFonts w:hint="eastAsia" w:ascii="仿宋" w:hAnsi="仿宋" w:eastAsia="仿宋" w:cs="仿宋"/>
          <w:color w:val="auto"/>
          <w:sz w:val="24"/>
        </w:rPr>
        <w:t>（北京时间）</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r>
        <w:rPr>
          <w:rFonts w:hint="eastAsia" w:ascii="仿宋" w:hAnsi="仿宋" w:eastAsia="仿宋" w:cs="仿宋"/>
          <w:color w:val="auto"/>
          <w:sz w:val="24"/>
          <w:u w:val="single"/>
          <w:lang w:eastAsia="zh-CN"/>
        </w:rPr>
        <w:t>全程电子化</w:t>
      </w:r>
      <w:r>
        <w:rPr>
          <w:rFonts w:hint="eastAsia" w:ascii="仿宋" w:hAnsi="仿宋" w:eastAsia="仿宋" w:cs="仿宋"/>
          <w:color w:val="auto"/>
          <w:sz w:val="24"/>
          <w:u w:val="single"/>
          <w:lang w:val="en-US" w:eastAsia="zh-CN"/>
        </w:rPr>
        <w:t>-</w:t>
      </w:r>
      <w:r>
        <w:rPr>
          <w:rFonts w:hint="eastAsia" w:ascii="仿宋" w:hAnsi="仿宋" w:eastAsia="仿宋" w:cs="仿宋"/>
          <w:i w:val="0"/>
          <w:iCs w:val="0"/>
          <w:color w:val="auto"/>
          <w:sz w:val="24"/>
          <w:u w:val="single"/>
        </w:rPr>
        <w:t>海南政府采购网(www.ccgp-hainan.gov.cn)-海南省政府采购电子化交易管理系统(新)。</w:t>
      </w:r>
    </w:p>
    <w:p>
      <w:pPr>
        <w:pStyle w:val="277"/>
        <w:tabs>
          <w:tab w:val="left" w:pos="1006"/>
        </w:tabs>
        <w:spacing w:after="0" w:line="360" w:lineRule="auto"/>
        <w:ind w:firstLine="0"/>
        <w:rPr>
          <w:rFonts w:hint="eastAsia" w:ascii="仿宋" w:hAnsi="仿宋" w:eastAsia="仿宋" w:cs="仿宋"/>
          <w:b/>
          <w:bCs/>
          <w:color w:val="auto"/>
          <w:sz w:val="28"/>
          <w:szCs w:val="28"/>
        </w:rPr>
      </w:pPr>
      <w:bookmarkStart w:id="21" w:name="bookmark54"/>
      <w:r>
        <w:rPr>
          <w:rFonts w:hint="eastAsia" w:ascii="仿宋" w:hAnsi="仿宋" w:eastAsia="仿宋" w:cs="仿宋"/>
          <w:b/>
          <w:bCs/>
          <w:color w:val="auto"/>
          <w:sz w:val="28"/>
          <w:szCs w:val="28"/>
        </w:rPr>
        <w:t>六</w:t>
      </w:r>
      <w:bookmarkEnd w:id="21"/>
      <w:r>
        <w:rPr>
          <w:rFonts w:hint="eastAsia" w:ascii="仿宋" w:hAnsi="仿宋" w:eastAsia="仿宋" w:cs="仿宋"/>
          <w:b/>
          <w:bCs/>
          <w:color w:val="auto"/>
          <w:sz w:val="28"/>
          <w:szCs w:val="28"/>
        </w:rPr>
        <w:t>、公告期限</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自本公告发布之日起</w:t>
      </w:r>
      <w:r>
        <w:rPr>
          <w:rFonts w:hint="eastAsia" w:ascii="仿宋" w:hAnsi="仿宋" w:eastAsia="仿宋" w:cs="仿宋"/>
          <w:color w:val="auto"/>
          <w:sz w:val="24"/>
          <w:lang w:val="en-US" w:eastAsia="zh-CN"/>
        </w:rPr>
        <w:t>5</w:t>
      </w:r>
      <w:r>
        <w:rPr>
          <w:rFonts w:hint="eastAsia" w:ascii="仿宋" w:hAnsi="仿宋" w:eastAsia="仿宋" w:cs="仿宋"/>
          <w:color w:val="auto"/>
          <w:sz w:val="24"/>
        </w:rPr>
        <w:t>个工作日。</w:t>
      </w:r>
    </w:p>
    <w:p>
      <w:pPr>
        <w:pStyle w:val="277"/>
        <w:tabs>
          <w:tab w:val="left" w:pos="1006"/>
        </w:tabs>
        <w:spacing w:after="0" w:line="360" w:lineRule="auto"/>
        <w:ind w:firstLine="0"/>
        <w:jc w:val="left"/>
        <w:rPr>
          <w:rFonts w:hint="eastAsia" w:ascii="仿宋" w:hAnsi="仿宋" w:eastAsia="仿宋" w:cs="仿宋"/>
          <w:b/>
          <w:bCs/>
          <w:color w:val="auto"/>
          <w:sz w:val="28"/>
          <w:szCs w:val="28"/>
        </w:rPr>
      </w:pPr>
      <w:bookmarkStart w:id="22" w:name="bookmark55"/>
      <w:r>
        <w:rPr>
          <w:rFonts w:hint="eastAsia" w:ascii="仿宋" w:hAnsi="仿宋" w:eastAsia="仿宋" w:cs="仿宋"/>
          <w:b/>
          <w:bCs/>
          <w:color w:val="auto"/>
          <w:sz w:val="28"/>
          <w:szCs w:val="28"/>
        </w:rPr>
        <w:t>七</w:t>
      </w:r>
      <w:bookmarkEnd w:id="22"/>
      <w:r>
        <w:rPr>
          <w:rFonts w:hint="eastAsia" w:ascii="仿宋" w:hAnsi="仿宋" w:eastAsia="仿宋" w:cs="仿宋"/>
          <w:b/>
          <w:bCs/>
          <w:color w:val="auto"/>
          <w:sz w:val="28"/>
          <w:szCs w:val="28"/>
        </w:rPr>
        <w:t>、其他补充事宜</w:t>
      </w:r>
    </w:p>
    <w:p>
      <w:pPr>
        <w:pStyle w:val="277"/>
        <w:tabs>
          <w:tab w:val="left" w:pos="1006"/>
        </w:tabs>
        <w:wordWrap w:val="0"/>
        <w:spacing w:after="0" w:line="360" w:lineRule="auto"/>
        <w:ind w:firstLine="480" w:firstLineChars="200"/>
        <w:jc w:val="left"/>
        <w:rPr>
          <w:rFonts w:hint="eastAsia" w:ascii="仿宋" w:hAnsi="仿宋" w:eastAsia="仿宋" w:cs="仿宋"/>
          <w:b/>
          <w:bCs/>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投标</w:t>
      </w:r>
      <w:r>
        <w:rPr>
          <w:rFonts w:hint="eastAsia" w:ascii="仿宋" w:hAnsi="仿宋" w:eastAsia="仿宋" w:cs="仿宋"/>
          <w:color w:val="auto"/>
          <w:sz w:val="24"/>
          <w:lang w:eastAsia="zh-CN"/>
        </w:rPr>
        <w:t>保证金：不要求</w:t>
      </w:r>
    </w:p>
    <w:p>
      <w:pPr>
        <w:pStyle w:val="277"/>
        <w:numPr>
          <w:ilvl w:val="0"/>
          <w:numId w:val="3"/>
        </w:numPr>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公告发布媒介：</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"http://www.ccgp-hainan.gov.cn、www.ccgp.gov.cn。（）" </w:instrText>
      </w:r>
      <w:r>
        <w:rPr>
          <w:rFonts w:hint="eastAsia" w:ascii="仿宋" w:hAnsi="仿宋" w:eastAsia="仿宋" w:cs="仿宋"/>
          <w:color w:val="auto"/>
        </w:rPr>
        <w:fldChar w:fldCharType="separate"/>
      </w:r>
      <w:r>
        <w:rPr>
          <w:rFonts w:hint="eastAsia" w:ascii="仿宋" w:hAnsi="仿宋" w:eastAsia="仿宋" w:cs="仿宋"/>
          <w:color w:val="auto"/>
          <w:sz w:val="24"/>
          <w:lang w:val="en-US" w:eastAsia="zh-CN"/>
        </w:rPr>
        <w:t>海南省政府采购网、海口市公共资源交易平台。</w:t>
      </w:r>
      <w:r>
        <w:rPr>
          <w:rFonts w:hint="eastAsia" w:ascii="仿宋" w:hAnsi="仿宋" w:eastAsia="仿宋" w:cs="仿宋"/>
          <w:color w:val="auto"/>
          <w:sz w:val="24"/>
          <w:lang w:val="en-US" w:eastAsia="zh-CN"/>
        </w:rPr>
        <w:fldChar w:fldCharType="end"/>
      </w:r>
    </w:p>
    <w:p>
      <w:pPr>
        <w:pStyle w:val="277"/>
        <w:tabs>
          <w:tab w:val="left" w:pos="1006"/>
        </w:tabs>
        <w:wordWrap w:val="0"/>
        <w:spacing w:after="0" w:line="360" w:lineRule="auto"/>
        <w:ind w:left="0" w:leftChars="0"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3、按以下步骤报名并获取文件：</w:t>
      </w:r>
    </w:p>
    <w:p>
      <w:pPr>
        <w:pStyle w:val="277"/>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（1）网上注册：供应商须在海南政府采购网 (https://www.ccgp- hainan.gov.cn/zhuzhan/) 中的海南省政府采购电子化交易管理系统平台进行注册。（网站联系电话：0898-68546705）；</w:t>
      </w:r>
    </w:p>
    <w:p>
      <w:pPr>
        <w:pStyle w:val="277"/>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（2）获取采购文件方式：下载电子版的采购文件及其他文件；</w:t>
      </w:r>
    </w:p>
    <w:p>
      <w:pPr>
        <w:pStyle w:val="277"/>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注意事项：本项目采用全程电子化操作，供应商应详细阅读海南政府采购网的通知《海南省财政厅关于进一步推进政府采购全流程电子化的通知》，供应商使用交易系统遇到问题可致电技术支持：0898-68546705 </w:t>
      </w:r>
    </w:p>
    <w:p>
      <w:pPr>
        <w:pStyle w:val="277"/>
        <w:tabs>
          <w:tab w:val="left" w:pos="1006"/>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八、凡对本次</w:t>
      </w:r>
      <w:r>
        <w:rPr>
          <w:rFonts w:hint="eastAsia" w:ascii="仿宋" w:hAnsi="仿宋" w:eastAsia="仿宋" w:cs="仿宋"/>
          <w:b/>
          <w:bCs/>
          <w:color w:val="auto"/>
          <w:sz w:val="28"/>
          <w:szCs w:val="28"/>
          <w:lang w:eastAsia="zh-CN"/>
        </w:rPr>
        <w:t>采</w:t>
      </w:r>
      <w:r>
        <w:rPr>
          <w:rFonts w:hint="eastAsia" w:ascii="仿宋" w:hAnsi="仿宋" w:eastAsia="仿宋" w:cs="仿宋"/>
          <w:b/>
          <w:bCs/>
          <w:color w:val="auto"/>
          <w:sz w:val="28"/>
          <w:szCs w:val="28"/>
        </w:rPr>
        <w:t>购提出询问，请按以下方式联系</w:t>
      </w:r>
    </w:p>
    <w:p>
      <w:pPr>
        <w:pStyle w:val="277"/>
        <w:tabs>
          <w:tab w:val="left" w:pos="1551"/>
        </w:tabs>
        <w:spacing w:after="0" w:line="360" w:lineRule="auto"/>
        <w:ind w:firstLine="480" w:firstLineChars="200"/>
        <w:jc w:val="left"/>
        <w:rPr>
          <w:rFonts w:hint="eastAsia" w:ascii="仿宋" w:hAnsi="仿宋" w:eastAsia="仿宋" w:cs="仿宋"/>
          <w:color w:val="auto"/>
          <w:sz w:val="24"/>
        </w:rPr>
      </w:pPr>
      <w:bookmarkStart w:id="23" w:name="bookmark57"/>
      <w:bookmarkEnd w:id="23"/>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采</w:t>
      </w:r>
      <w:r>
        <w:rPr>
          <w:rFonts w:hint="eastAsia" w:ascii="仿宋" w:hAnsi="仿宋" w:eastAsia="仿宋" w:cs="仿宋"/>
          <w:color w:val="auto"/>
          <w:sz w:val="24"/>
        </w:rPr>
        <w:t>购人信息</w:t>
      </w:r>
    </w:p>
    <w:p>
      <w:pPr>
        <w:pStyle w:val="277"/>
        <w:tabs>
          <w:tab w:val="left" w:pos="5664"/>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名 称</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 xml:space="preserve">  海口市人才劳动力交流服务中心    </w:t>
      </w:r>
    </w:p>
    <w:p>
      <w:pPr>
        <w:pStyle w:val="277"/>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u w:val="single"/>
          <w:lang w:val="en-US" w:eastAsia="zh-CN"/>
        </w:rPr>
        <w:t xml:space="preserve">  海口市蓝天路南侧嘉华路2号</w:t>
      </w:r>
      <w:bookmarkStart w:id="94" w:name="_GoBack"/>
      <w:bookmarkEnd w:id="94"/>
      <w:r>
        <w:rPr>
          <w:rFonts w:hint="eastAsia" w:ascii="仿宋" w:hAnsi="仿宋" w:eastAsia="仿宋" w:cs="仿宋"/>
          <w:color w:val="auto"/>
          <w:sz w:val="24"/>
          <w:u w:val="single"/>
          <w:lang w:val="en-US" w:eastAsia="zh-CN"/>
        </w:rPr>
        <w:t xml:space="preserve">  </w:t>
      </w:r>
    </w:p>
    <w:p>
      <w:pPr>
        <w:pStyle w:val="277"/>
        <w:tabs>
          <w:tab w:val="left" w:pos="5678"/>
        </w:tabs>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lang w:val="en-US" w:eastAsia="zh-CN"/>
        </w:rPr>
        <w:t>联系人：</w:t>
      </w:r>
      <w:r>
        <w:rPr>
          <w:rFonts w:hint="eastAsia" w:ascii="仿宋" w:hAnsi="仿宋" w:eastAsia="仿宋" w:cs="仿宋"/>
          <w:color w:val="auto"/>
          <w:sz w:val="24"/>
          <w:u w:val="single"/>
          <w:lang w:val="en-US" w:eastAsia="zh-CN"/>
        </w:rPr>
        <w:t xml:space="preserve">  王工  </w:t>
      </w:r>
    </w:p>
    <w:p>
      <w:pPr>
        <w:pStyle w:val="277"/>
        <w:tabs>
          <w:tab w:val="left" w:pos="5678"/>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联系方式：</w:t>
      </w:r>
      <w:r>
        <w:rPr>
          <w:rFonts w:hint="eastAsia" w:ascii="仿宋" w:hAnsi="仿宋" w:eastAsia="仿宋" w:cs="仿宋"/>
          <w:color w:val="auto"/>
          <w:sz w:val="24"/>
          <w:u w:val="single"/>
          <w:lang w:val="en-US" w:eastAsia="zh-CN"/>
        </w:rPr>
        <w:t xml:space="preserve">  0898-65231544  </w:t>
      </w:r>
    </w:p>
    <w:p>
      <w:pPr>
        <w:pStyle w:val="277"/>
        <w:tabs>
          <w:tab w:val="left" w:pos="1573"/>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采</w:t>
      </w:r>
      <w:r>
        <w:rPr>
          <w:rFonts w:hint="eastAsia" w:ascii="仿宋" w:hAnsi="仿宋" w:eastAsia="仿宋" w:cs="仿宋"/>
          <w:color w:val="auto"/>
          <w:sz w:val="24"/>
        </w:rPr>
        <w:t>购代理机构信息</w:t>
      </w:r>
    </w:p>
    <w:p>
      <w:pPr>
        <w:pStyle w:val="277"/>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w:t>
      </w:r>
      <w:r>
        <w:rPr>
          <w:rFonts w:hint="eastAsia" w:ascii="仿宋" w:hAnsi="仿宋" w:eastAsia="仿宋" w:cs="仿宋"/>
          <w:color w:val="auto"/>
          <w:sz w:val="24"/>
        </w:rPr>
        <w:t xml:space="preserve"> 称：</w:t>
      </w:r>
      <w:r>
        <w:rPr>
          <w:rFonts w:hint="eastAsia" w:ascii="仿宋" w:hAnsi="仿宋" w:eastAsia="仿宋" w:cs="仿宋"/>
          <w:color w:val="auto"/>
          <w:sz w:val="24"/>
          <w:u w:val="single"/>
          <w:lang w:val="en-US" w:eastAsia="zh-CN"/>
        </w:rPr>
        <w:t>海南政辉招投标代理有限公司</w:t>
      </w:r>
    </w:p>
    <w:p>
      <w:pPr>
        <w:pStyle w:val="277"/>
        <w:tabs>
          <w:tab w:val="left" w:pos="567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海口市美兰区五指山路16-3号康业花园西湖苑G栋2A</w:t>
      </w:r>
    </w:p>
    <w:p>
      <w:pPr>
        <w:pStyle w:val="277"/>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u w:val="none"/>
          <w:lang w:val="en-US" w:eastAsia="zh-CN"/>
        </w:rPr>
        <w:t>邮 箱：</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"mailto:hnzhztb@163.com" </w:instrText>
      </w:r>
      <w:r>
        <w:rPr>
          <w:rFonts w:hint="eastAsia" w:ascii="仿宋" w:hAnsi="仿宋" w:eastAsia="仿宋" w:cs="仿宋"/>
          <w:color w:val="auto"/>
        </w:rPr>
        <w:fldChar w:fldCharType="separate"/>
      </w:r>
      <w:r>
        <w:rPr>
          <w:rFonts w:hint="eastAsia" w:ascii="仿宋" w:hAnsi="仿宋" w:eastAsia="仿宋" w:cs="仿宋"/>
          <w:color w:val="auto"/>
          <w:sz w:val="24"/>
          <w:szCs w:val="24"/>
          <w:u w:val="single"/>
          <w:lang w:val="en-US" w:eastAsia="zh-CN"/>
        </w:rPr>
        <w:t>hnzhztb@163.com</w:t>
      </w:r>
      <w:r>
        <w:rPr>
          <w:rFonts w:hint="eastAsia" w:ascii="仿宋" w:hAnsi="仿宋" w:eastAsia="仿宋" w:cs="仿宋"/>
          <w:color w:val="auto"/>
          <w:sz w:val="24"/>
          <w:szCs w:val="24"/>
          <w:u w:val="single"/>
          <w:lang w:val="en-US" w:eastAsia="zh-CN"/>
        </w:rPr>
        <w:fldChar w:fldCharType="end"/>
      </w:r>
    </w:p>
    <w:p>
      <w:pPr>
        <w:pStyle w:val="277"/>
        <w:tabs>
          <w:tab w:val="left" w:pos="5686"/>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rPr>
        <w:t>0898-66557609</w:t>
      </w:r>
    </w:p>
    <w:p>
      <w:pPr>
        <w:pStyle w:val="277"/>
        <w:tabs>
          <w:tab w:val="left" w:pos="1573"/>
        </w:tabs>
        <w:spacing w:after="0" w:line="360" w:lineRule="auto"/>
        <w:ind w:firstLine="480" w:firstLineChars="200"/>
        <w:jc w:val="left"/>
        <w:rPr>
          <w:rFonts w:hint="eastAsia" w:ascii="仿宋" w:hAnsi="仿宋" w:eastAsia="仿宋" w:cs="仿宋"/>
          <w:color w:val="auto"/>
          <w:sz w:val="24"/>
        </w:rPr>
      </w:pPr>
      <w:bookmarkStart w:id="24" w:name="bookmark59"/>
      <w:bookmarkEnd w:id="24"/>
      <w:r>
        <w:rPr>
          <w:rFonts w:hint="eastAsia" w:ascii="仿宋" w:hAnsi="仿宋" w:eastAsia="仿宋" w:cs="仿宋"/>
          <w:color w:val="auto"/>
          <w:sz w:val="24"/>
          <w:lang w:val="en-US" w:eastAsia="zh-CN"/>
        </w:rPr>
        <w:t>3.</w:t>
      </w:r>
      <w:r>
        <w:rPr>
          <w:rFonts w:hint="eastAsia" w:ascii="仿宋" w:hAnsi="仿宋" w:eastAsia="仿宋" w:cs="仿宋"/>
          <w:color w:val="auto"/>
          <w:sz w:val="24"/>
        </w:rPr>
        <w:t>项目联系方式</w:t>
      </w:r>
    </w:p>
    <w:p>
      <w:pPr>
        <w:pStyle w:val="277"/>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rPr>
        <w:t>项目联系人</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 xml:space="preserve"> 陈工         </w:t>
      </w:r>
    </w:p>
    <w:p>
      <w:pPr>
        <w:snapToGrid w:val="0"/>
        <w:spacing w:after="100" w:afterAutospacing="1" w:line="360" w:lineRule="auto"/>
        <w:ind w:firstLine="480" w:firstLineChars="200"/>
        <w:rPr>
          <w:rFonts w:hint="eastAsia" w:ascii="仿宋" w:hAnsi="仿宋" w:eastAsia="仿宋" w:cs="仿宋"/>
          <w:b/>
          <w:color w:val="auto"/>
          <w:sz w:val="44"/>
          <w:szCs w:val="44"/>
          <w:lang w:val="en-US" w:eastAsia="zh-CN"/>
        </w:rPr>
      </w:pPr>
      <w:r>
        <w:rPr>
          <w:rFonts w:hint="eastAsia" w:ascii="仿宋" w:hAnsi="仿宋" w:eastAsia="仿宋" w:cs="仿宋"/>
          <w:color w:val="auto"/>
          <w:sz w:val="24"/>
        </w:rPr>
        <w:t>电话：</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0898-66557609</w:t>
      </w:r>
      <w:r>
        <w:rPr>
          <w:rFonts w:hint="eastAsia" w:ascii="仿宋" w:hAnsi="仿宋" w:eastAsia="仿宋" w:cs="仿宋"/>
          <w:color w:val="auto"/>
          <w:sz w:val="24"/>
          <w:u w:val="single"/>
          <w:lang w:val="en-US" w:eastAsia="zh-CN"/>
        </w:rPr>
        <w:t xml:space="preserve">     </w:t>
      </w:r>
    </w:p>
    <w:p>
      <w:pPr>
        <w:pStyle w:val="277"/>
        <w:numPr>
          <w:ilvl w:val="0"/>
          <w:numId w:val="0"/>
        </w:numPr>
        <w:tabs>
          <w:tab w:val="left" w:pos="1006"/>
        </w:tabs>
        <w:wordWrap w:val="0"/>
        <w:spacing w:after="0" w:line="360" w:lineRule="auto"/>
        <w:jc w:val="left"/>
        <w:rPr>
          <w:rFonts w:hint="eastAsia" w:ascii="仿宋" w:hAnsi="仿宋" w:eastAsia="仿宋" w:cs="仿宋"/>
          <w:color w:val="auto"/>
          <w:sz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Cs/>
          <w:color w:val="auto"/>
          <w:sz w:val="24"/>
        </w:rPr>
        <w:br w:type="page"/>
      </w:r>
      <w:bookmarkStart w:id="25" w:name="_Toc264213354"/>
      <w:bookmarkStart w:id="26" w:name="_Toc11910"/>
      <w:r>
        <w:rPr>
          <w:rFonts w:hint="eastAsia" w:ascii="仿宋" w:hAnsi="仿宋" w:eastAsia="仿宋" w:cs="仿宋"/>
          <w:b/>
          <w:color w:val="auto"/>
          <w:sz w:val="44"/>
          <w:szCs w:val="44"/>
        </w:rPr>
        <w:t>第二章  投标人须知</w:t>
      </w:r>
      <w:bookmarkEnd w:id="25"/>
      <w:bookmarkEnd w:id="26"/>
    </w:p>
    <w:p>
      <w:pPr>
        <w:bidi w:val="0"/>
        <w:jc w:val="center"/>
        <w:rPr>
          <w:rFonts w:hint="eastAsia" w:ascii="仿宋" w:hAnsi="仿宋" w:eastAsia="仿宋" w:cs="仿宋"/>
          <w:b/>
          <w:bCs/>
          <w:color w:val="auto"/>
          <w:sz w:val="32"/>
          <w:szCs w:val="32"/>
          <w:lang w:val="en-US" w:eastAsia="zh-CN"/>
        </w:rPr>
      </w:pPr>
      <w:bookmarkStart w:id="27" w:name="_Toc222711785"/>
      <w:bookmarkStart w:id="28" w:name="_Toc5183"/>
      <w:bookmarkStart w:id="29" w:name="_Toc264213355"/>
      <w:bookmarkStart w:id="30" w:name="_Toc264182541"/>
    </w:p>
    <w:bookmarkEnd w:id="27"/>
    <w:bookmarkEnd w:id="28"/>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一、总则</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 名词解释</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1.1采购人：</w:t>
      </w:r>
      <w:r>
        <w:rPr>
          <w:rFonts w:hint="eastAsia" w:ascii="仿宋" w:hAnsi="仿宋" w:eastAsia="仿宋" w:cs="仿宋"/>
          <w:color w:val="auto"/>
          <w:sz w:val="24"/>
          <w:szCs w:val="24"/>
          <w:lang w:eastAsia="zh-CN"/>
        </w:rPr>
        <w:t>海口市人才劳动力交流服务中心</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海南政辉招投标代理有限公司</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1.3投标人：系指符合本项目采购要求相应资质、向招标方提交投标文件的货物制造厂商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代理商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投标单位</w:t>
      </w:r>
      <w:r>
        <w:rPr>
          <w:rFonts w:hint="eastAsia" w:ascii="仿宋" w:hAnsi="仿宋" w:eastAsia="仿宋" w:cs="仿宋"/>
          <w:color w:val="auto"/>
          <w:sz w:val="24"/>
          <w:szCs w:val="24"/>
        </w:rPr>
        <w:t>。在投标阶段称为供应商，在签订和履行合同阶段称为中标方、供货方或卖方。</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2．适用范围</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本招标文件仅适用于招标人组织的本次投标活动。</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3．合格的投标人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3.1 凡有能力按照本招标文件规定的要求交付货物和服务的投标单位均为合格的投标人。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3.2 投标人参加本次采购活动应当符合《中华人民共和国政府采购法》第二十二条的规定，并具备本招标文件第一章的“投标人资格要求”规定的条件。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补充说明：根据《政府采购法实施条例》及有关释义，银行、保险、石油石化、电力、电信运营商等有行业特殊情况的，其分支机构可参与投标。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3.3 </w:t>
      </w:r>
      <w:r>
        <w:rPr>
          <w:rFonts w:hint="eastAsia" w:ascii="仿宋" w:hAnsi="仿宋" w:eastAsia="仿宋" w:cs="仿宋"/>
          <w:color w:val="auto"/>
          <w:sz w:val="24"/>
          <w:szCs w:val="24"/>
          <w:lang w:val="en-US" w:eastAsia="zh-CN"/>
        </w:rPr>
        <w:t>除</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"https://baike.sogou.com/lemma/ShowInnerLink.htm?lemmaId=7589043&amp;ss_c=ssc.citiao.link" \t "https://baike.sogou.com/_blank"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单一来源采购</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项目外，为采购项目提供整体设计、规范编制或者项目管理、监理、检测等服务的供应商，不得再参加该采购项目的其他采购活动</w:t>
      </w:r>
      <w:r>
        <w:rPr>
          <w:rFonts w:hint="eastAsia" w:ascii="仿宋" w:hAnsi="仿宋" w:eastAsia="仿宋" w:cs="仿宋"/>
          <w:color w:val="auto"/>
          <w:sz w:val="24"/>
          <w:szCs w:val="24"/>
        </w:rPr>
        <w:t>。</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3.4 单位负责人为同一人或者存在直接控股、管理关系的不同</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，不得参加同一合同项下的政府采购活动。除单一来源采购项目外，为项目提供整体设计、规范编制或者项目管理，监理、检测等服务的</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，不得再参加该采购项目的其他采购活动。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3.5 投标人在本项目招标公告前三年内被列入失信被执行人、</w:t>
      </w:r>
      <w:r>
        <w:rPr>
          <w:rFonts w:hint="eastAsia" w:ascii="仿宋" w:hAnsi="仿宋" w:eastAsia="仿宋" w:cs="仿宋"/>
          <w:color w:val="auto"/>
          <w:sz w:val="24"/>
          <w:szCs w:val="24"/>
          <w:lang w:eastAsia="zh-CN"/>
        </w:rPr>
        <w:t>税收违法黑名单</w:t>
      </w:r>
      <w:r>
        <w:rPr>
          <w:rFonts w:hint="eastAsia" w:ascii="仿宋" w:hAnsi="仿宋" w:eastAsia="仿宋" w:cs="仿宋"/>
          <w:color w:val="auto"/>
          <w:sz w:val="24"/>
          <w:szCs w:val="24"/>
        </w:rPr>
        <w:t>、政府采购严重违法失信行为记录名单，以及存在其他不符合《中华人民共和国政府采购法》第二十二条规定条件的情况的投标人不得参与投标。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3.6 </w:t>
      </w:r>
      <w:r>
        <w:rPr>
          <w:rFonts w:hint="eastAsia" w:ascii="仿宋" w:hAnsi="仿宋" w:eastAsia="仿宋" w:cs="仿宋"/>
          <w:color w:val="auto"/>
          <w:sz w:val="24"/>
          <w:szCs w:val="24"/>
        </w:rPr>
        <w:t>两个以上的自然人、法人或者其他组织组成一个联合体，以一个</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的身份共同参加政府采购活动的，联合体任意成员存在不良信用记录的，视同联合体存在不良信用记录。</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 本章3.5款的信用记录以中国执行信息公开</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rPr>
        <w:t>信用中国（www.creditchina.gov.cn）、中国政府采购网（www.ccgp.gov.cn）上公布的信用记录为准。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4.联合体投标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4.2 本项目是否接受联合体投标：</w:t>
      </w:r>
      <w:r>
        <w:rPr>
          <w:rFonts w:hint="eastAsia" w:ascii="仿宋" w:hAnsi="仿宋" w:eastAsia="仿宋" w:cs="仿宋"/>
          <w:color w:val="auto"/>
          <w:sz w:val="24"/>
          <w:szCs w:val="24"/>
          <w:lang w:val="en-US" w:eastAsia="zh-CN"/>
        </w:rPr>
        <w:t>以招标文件第一章投标邀请函中申请人的资格要求规定为准。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．投标费用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无论招标投标过程中的做法和结果如何，投标人均自行承担所有与参加投标有关的全部费用。</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．招标文件的约束力</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本招标文件由</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负责解释。</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b/>
          <w:color w:val="auto"/>
          <w:sz w:val="24"/>
          <w:szCs w:val="24"/>
        </w:rPr>
        <w:t>二、招标文件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．招标文件的组成</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.l 招标文件由六部分组成，包括：</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第一章 投标邀请函</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第二章 投标人须知</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第三章 </w:t>
      </w:r>
      <w:r>
        <w:rPr>
          <w:rFonts w:hint="eastAsia" w:ascii="仿宋" w:hAnsi="仿宋" w:eastAsia="仿宋" w:cs="仿宋"/>
          <w:color w:val="auto"/>
          <w:sz w:val="24"/>
          <w:szCs w:val="24"/>
          <w:lang w:eastAsia="zh-CN"/>
        </w:rPr>
        <w:t>采购需求</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章 合同主要条款</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章 投标文件内容和格式</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第六章 </w:t>
      </w:r>
      <w:r>
        <w:rPr>
          <w:rFonts w:hint="eastAsia" w:ascii="仿宋" w:hAnsi="仿宋" w:eastAsia="仿宋" w:cs="仿宋"/>
          <w:color w:val="auto"/>
          <w:sz w:val="24"/>
          <w:szCs w:val="24"/>
          <w:lang w:val="en-US" w:eastAsia="zh-CN"/>
        </w:rPr>
        <w:t>评审办法和程序</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请仔细检查招标文件是否齐全，如有缺漏，请立即与招标人联系解决。</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．招标文件的澄清</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投标人在收到招标文件后，若有疑问需要澄清，应于投标截止时间15天前以书面形式（包括书面文字、传真等）向</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提出，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将以书面形式进行答复，同时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有权将答复内容分发给所有购买了此招标文件的投标人。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．招标文件的修改或补充</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.l 在投标截止时间前15天，</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可以书面通知的方式修改/补充招标文件。修改/补充通知作为招标文件的组成部分，对投标人起同等约束作用。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 当招标文件与修改/补充公告的内容相互矛盾时，以</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最后发出的修改/补充公告为准。</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.3 投标人收到修改/补充公告后，应在1个工作日内以书面形式回复</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，逾期不回者，被视为已收到修改/补充公告。</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.4 为使投标人有足够的时间按招标文件的修改/补充要求修正投标文件，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有权决定推迟投标截止日期和开标时间，并将此变更书面通知所有购买了此招标文件的投标人。</w:t>
      </w:r>
    </w:p>
    <w:p>
      <w:pPr>
        <w:snapToGrid w:val="0"/>
        <w:spacing w:line="52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三、投标文件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．投标文件的组成</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.1 投标文件应按“投标文件内容和格式”要求编制。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.2 若投标人未按招标文件的要求提供资料，或未对招标文件做出实质性响应，将可能导致投标文件被视为无效。</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．投标报价</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.1报价均须以人民币为计算单位。</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.3投标人应按开标一览表的要求报价，不能提供有选择的报价。</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.4中标候选人的报价如超过采购预算</w:t>
      </w:r>
      <w:r>
        <w:rPr>
          <w:rFonts w:hint="eastAsia" w:ascii="仿宋" w:hAnsi="仿宋" w:eastAsia="仿宋" w:cs="仿宋"/>
          <w:color w:val="auto"/>
          <w:sz w:val="24"/>
          <w:szCs w:val="24"/>
          <w:lang w:val="en-US" w:eastAsia="zh-CN"/>
        </w:rPr>
        <w:t>且</w:t>
      </w:r>
      <w:r>
        <w:rPr>
          <w:rFonts w:hint="eastAsia" w:ascii="仿宋" w:hAnsi="仿宋" w:eastAsia="仿宋" w:cs="仿宋"/>
          <w:color w:val="auto"/>
          <w:sz w:val="24"/>
          <w:szCs w:val="24"/>
        </w:rPr>
        <w:t>采购人不能支付的，采购人有权拒绝而递选下一个顺位的候选人。</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．投标保证金</w:t>
      </w:r>
      <w:r>
        <w:rPr>
          <w:rFonts w:hint="eastAsia" w:ascii="仿宋" w:hAnsi="仿宋" w:eastAsia="仿宋" w:cs="仿宋"/>
          <w:color w:val="auto"/>
          <w:sz w:val="24"/>
          <w:szCs w:val="24"/>
          <w:lang w:eastAsia="zh-CN"/>
        </w:rPr>
        <w:t>：不要求</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．投标有效期</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.l 投标有效期为从开标截止之日起计算的60天，有效期短于此规定的投标文件将被视为无效。</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 在特殊情况下，</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可于投标有效期满之前，征得投标人同意延长投标有效期，要求与答复均应以书面形式进行。</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．投标文件的签署及形式</w:t>
      </w:r>
    </w:p>
    <w:p>
      <w:pPr>
        <w:snapToGrid w:val="0"/>
        <w:spacing w:line="520" w:lineRule="exact"/>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投标文件</w:t>
      </w:r>
      <w:r>
        <w:rPr>
          <w:rFonts w:hint="eastAsia" w:ascii="仿宋" w:hAnsi="仿宋" w:eastAsia="仿宋" w:cs="仿宋"/>
          <w:b/>
          <w:bCs/>
          <w:color w:val="auto"/>
          <w:sz w:val="24"/>
          <w:szCs w:val="24"/>
          <w:lang w:val="en-US" w:eastAsia="zh-CN"/>
        </w:rPr>
        <w:t>电子版为</w:t>
      </w:r>
      <w:r>
        <w:rPr>
          <w:rFonts w:hint="eastAsia" w:ascii="仿宋" w:hAnsi="仿宋" w:eastAsia="仿宋" w:cs="仿宋"/>
          <w:b/>
          <w:bCs/>
          <w:color w:val="auto"/>
          <w:sz w:val="24"/>
          <w:szCs w:val="24"/>
        </w:rPr>
        <w:t>经法人代表或授权代表签署和加盖投标人公章，并逐页加盖投标人公章</w:t>
      </w:r>
      <w:r>
        <w:rPr>
          <w:rFonts w:hint="eastAsia" w:ascii="仿宋" w:hAnsi="仿宋" w:eastAsia="仿宋" w:cs="仿宋"/>
          <w:b/>
          <w:bCs/>
          <w:color w:val="auto"/>
          <w:sz w:val="24"/>
          <w:szCs w:val="24"/>
          <w:lang w:val="en-US" w:eastAsia="zh-CN"/>
        </w:rPr>
        <w:t xml:space="preserve">。 </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投标文件不得涂改和增删，如要修改错漏处，修改处必须由法人代表或授权代表签名、或盖公章。</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四、投标文件的递交</w:t>
      </w:r>
    </w:p>
    <w:p>
      <w:pPr>
        <w:snapToGrid w:val="0"/>
        <w:spacing w:line="520" w:lineRule="exact"/>
        <w:rPr>
          <w:rFonts w:hint="eastAsia" w:ascii="仿宋" w:hAnsi="仿宋" w:eastAsia="仿宋" w:cs="仿宋"/>
          <w:b/>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 xml:space="preserve">5. </w:t>
      </w:r>
      <w:r>
        <w:rPr>
          <w:rFonts w:hint="eastAsia" w:ascii="仿宋" w:hAnsi="仿宋" w:eastAsia="仿宋" w:cs="仿宋"/>
          <w:b/>
          <w:color w:val="auto"/>
          <w:sz w:val="24"/>
          <w:szCs w:val="24"/>
        </w:rPr>
        <w:t>投标文件的递交</w:t>
      </w:r>
      <w:r>
        <w:rPr>
          <w:rFonts w:hint="eastAsia" w:ascii="仿宋" w:hAnsi="仿宋" w:eastAsia="仿宋" w:cs="仿宋"/>
          <w:b/>
          <w:color w:val="auto"/>
          <w:sz w:val="24"/>
          <w:szCs w:val="24"/>
          <w:lang w:val="en-US" w:eastAsia="zh-CN"/>
        </w:rPr>
        <w:t>方式</w:t>
      </w:r>
    </w:p>
    <w:p>
      <w:pPr>
        <w:snapToGrid w:val="0"/>
        <w:spacing w:line="520" w:lineRule="exact"/>
        <w:ind w:firstLine="482" w:firstLineChars="200"/>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投标文件</w:t>
      </w:r>
      <w:r>
        <w:rPr>
          <w:rFonts w:hint="eastAsia" w:ascii="仿宋" w:hAnsi="仿宋" w:eastAsia="仿宋" w:cs="仿宋"/>
          <w:b/>
          <w:color w:val="auto"/>
          <w:sz w:val="24"/>
          <w:szCs w:val="24"/>
          <w:lang w:eastAsia="zh-CN"/>
        </w:rPr>
        <w:t>电子版</w:t>
      </w:r>
      <w:r>
        <w:rPr>
          <w:rFonts w:hint="eastAsia" w:ascii="仿宋" w:hAnsi="仿宋" w:eastAsia="仿宋" w:cs="仿宋"/>
          <w:b/>
          <w:color w:val="auto"/>
          <w:sz w:val="24"/>
          <w:szCs w:val="24"/>
          <w:lang w:val="en-US" w:eastAsia="zh-CN"/>
        </w:rPr>
        <w:t>系统上传提交，</w:t>
      </w:r>
      <w:r>
        <w:rPr>
          <w:rFonts w:hint="eastAsia" w:ascii="仿宋" w:hAnsi="仿宋" w:eastAsia="仿宋" w:cs="仿宋"/>
          <w:b/>
          <w:color w:val="auto"/>
          <w:sz w:val="24"/>
          <w:szCs w:val="24"/>
        </w:rPr>
        <w:t>未</w:t>
      </w:r>
      <w:r>
        <w:rPr>
          <w:rFonts w:hint="eastAsia" w:ascii="仿宋" w:hAnsi="仿宋" w:eastAsia="仿宋" w:cs="仿宋"/>
          <w:b/>
          <w:color w:val="auto"/>
          <w:sz w:val="24"/>
          <w:szCs w:val="24"/>
          <w:lang w:val="en-US" w:eastAsia="zh-CN"/>
        </w:rPr>
        <w:t>按规定在系统上传</w:t>
      </w:r>
      <w:r>
        <w:rPr>
          <w:rFonts w:hint="eastAsia" w:ascii="仿宋" w:hAnsi="仿宋" w:eastAsia="仿宋" w:cs="仿宋"/>
          <w:b/>
          <w:color w:val="auto"/>
          <w:sz w:val="24"/>
          <w:szCs w:val="24"/>
        </w:rPr>
        <w:t>投标文件</w:t>
      </w:r>
      <w:r>
        <w:rPr>
          <w:rFonts w:hint="eastAsia" w:ascii="仿宋" w:hAnsi="仿宋" w:eastAsia="仿宋" w:cs="仿宋"/>
          <w:b/>
          <w:color w:val="auto"/>
          <w:sz w:val="24"/>
          <w:szCs w:val="24"/>
          <w:lang w:eastAsia="zh-CN"/>
        </w:rPr>
        <w:t>电子版，</w:t>
      </w:r>
      <w:r>
        <w:rPr>
          <w:rFonts w:hint="eastAsia" w:ascii="仿宋" w:hAnsi="仿宋" w:eastAsia="仿宋" w:cs="仿宋"/>
          <w:b/>
          <w:color w:val="auto"/>
          <w:sz w:val="24"/>
          <w:szCs w:val="24"/>
          <w:lang w:val="en-US" w:eastAsia="zh-CN"/>
        </w:rPr>
        <w:t>或投标文件电子版未能正常解密,</w:t>
      </w:r>
      <w:r>
        <w:rPr>
          <w:rFonts w:hint="eastAsia" w:ascii="仿宋" w:hAnsi="仿宋" w:eastAsia="仿宋" w:cs="仿宋"/>
          <w:b/>
          <w:color w:val="auto"/>
          <w:sz w:val="24"/>
          <w:szCs w:val="24"/>
        </w:rPr>
        <w:t>按无效投标处理</w:t>
      </w:r>
      <w:r>
        <w:rPr>
          <w:rFonts w:hint="eastAsia" w:ascii="仿宋" w:hAnsi="仿宋" w:eastAsia="仿宋" w:cs="仿宋"/>
          <w:b/>
          <w:color w:val="auto"/>
          <w:sz w:val="24"/>
          <w:szCs w:val="24"/>
          <w:lang w:eastAsia="zh-CN"/>
        </w:rPr>
        <w:t>。</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．投标截止时间</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.l 投标人须在投标截止时间前将投标文件</w:t>
      </w:r>
      <w:r>
        <w:rPr>
          <w:rFonts w:hint="eastAsia" w:ascii="仿宋" w:hAnsi="仿宋" w:eastAsia="仿宋" w:cs="仿宋"/>
          <w:color w:val="auto"/>
          <w:sz w:val="24"/>
          <w:szCs w:val="24"/>
          <w:lang w:val="en-US" w:eastAsia="zh-CN"/>
        </w:rPr>
        <w:t>电子版上传到指定系统中</w:t>
      </w:r>
      <w:r>
        <w:rPr>
          <w:rFonts w:hint="eastAsia" w:ascii="仿宋" w:hAnsi="仿宋" w:eastAsia="仿宋" w:cs="仿宋"/>
          <w:color w:val="auto"/>
          <w:sz w:val="24"/>
          <w:szCs w:val="24"/>
        </w:rPr>
        <w:t>。</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若</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推迟了投标截止时间，应以公告的形式通知所有投标人。在这种情况下，</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、采购人和投标人的权利和义务均应以新的截止时间为准。</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在投标截止时间后递交的投标文件，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将拒绝接受。</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4 </w:t>
      </w:r>
      <w:r>
        <w:rPr>
          <w:rFonts w:hint="eastAsia" w:ascii="仿宋" w:hAnsi="仿宋" w:eastAsia="仿宋" w:cs="仿宋"/>
          <w:color w:val="auto"/>
          <w:sz w:val="24"/>
          <w:szCs w:val="24"/>
        </w:rPr>
        <w:t>在规定时间内提交投标文件的投标人不足3家，不得开标，本次招标失败。</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五、开标及评标</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．开标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.l </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按投标文件第一章规定的时间和地点进行开标，采购人代表、</w:t>
      </w:r>
      <w:r>
        <w:rPr>
          <w:rFonts w:hint="eastAsia" w:ascii="仿宋" w:hAnsi="仿宋" w:eastAsia="仿宋" w:cs="仿宋"/>
          <w:color w:val="auto"/>
          <w:sz w:val="24"/>
          <w:szCs w:val="24"/>
          <w:lang w:eastAsia="zh-CN"/>
        </w:rPr>
        <w:t>招标代理机构、投标人</w:t>
      </w:r>
      <w:r>
        <w:rPr>
          <w:rFonts w:hint="eastAsia" w:ascii="仿宋" w:hAnsi="仿宋" w:eastAsia="仿宋" w:cs="仿宋"/>
          <w:color w:val="auto"/>
          <w:sz w:val="24"/>
          <w:szCs w:val="24"/>
        </w:rPr>
        <w:t>有关工作人员</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如需</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参加。投标人</w:t>
      </w:r>
      <w:r>
        <w:rPr>
          <w:rFonts w:hint="eastAsia" w:ascii="仿宋" w:hAnsi="仿宋" w:eastAsia="仿宋" w:cs="仿宋"/>
          <w:color w:val="auto"/>
          <w:sz w:val="24"/>
          <w:szCs w:val="24"/>
          <w:lang w:val="en-US" w:eastAsia="zh-CN"/>
        </w:rPr>
        <w:t>可以</w:t>
      </w:r>
      <w:r>
        <w:rPr>
          <w:rFonts w:hint="eastAsia" w:ascii="仿宋" w:hAnsi="仿宋" w:eastAsia="仿宋" w:cs="仿宋"/>
          <w:color w:val="auto"/>
          <w:sz w:val="24"/>
          <w:szCs w:val="24"/>
        </w:rPr>
        <w:t>委派授权代表参加开标活动，参加开标的代表须持本人身份证件签名报到以证明其出席。</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政府采购主管部门、监督部门、国家公证机关公证员由其视情况决定是否派代表到现场进行监督。</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.3 开标时，投标人代表将</w:t>
      </w:r>
      <w:r>
        <w:rPr>
          <w:rFonts w:hint="eastAsia" w:ascii="仿宋" w:hAnsi="仿宋" w:eastAsia="仿宋" w:cs="仿宋"/>
          <w:color w:val="auto"/>
          <w:sz w:val="24"/>
          <w:szCs w:val="24"/>
          <w:lang w:val="en-US" w:eastAsia="zh-CN"/>
        </w:rPr>
        <w:t>解密</w:t>
      </w:r>
      <w:r>
        <w:rPr>
          <w:rFonts w:hint="eastAsia" w:ascii="仿宋" w:hAnsi="仿宋" w:eastAsia="仿宋" w:cs="仿宋"/>
          <w:color w:val="auto"/>
          <w:sz w:val="24"/>
          <w:szCs w:val="24"/>
        </w:rPr>
        <w:t>投标文件，公布每份投标文件中“开标一览表”的内容。</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．评标委员会</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评标委员会由技术、经济等方面的专家和</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代表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组成，其中技术、经济等方面的专家人数不得少于总数的2/3。该评标委员会独立工作，负责评审所有投标文件并确定中标侯选人。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.评标</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 xml:space="preserve">.1 除采购人代表、评标现场组织人员外，采购人的其他工作人员以及与评标工作无关的人员不得进入评标现场。 </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.2见“第</w:t>
      </w: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章 评审方法和程序”。</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关于政策性加分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所投分包(如不分包则指本项目)的所有投标产品进入当期节能清单的，其评标价=投标报价*（1-2%）；投标人所投产品满足此规定的，必须提供声明函。</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 所投分包(如不分包则指本项目)的所有投标产品进入当期环保清单的，其评标价=投标报价*（1-1%）；投标人所投产品满足此规定的，必须提供声明函。</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所投分包(如不分包则指本项目)的所有投标产品均为绿色产品的，均为</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绿色产品的，其评审价=报价*（1-4%）；超过一半产品为绿色产品的，其评审价=报价*（1-3%）；个别产品为绿色产品的，其评审价=报价*（1-2%）。</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所投产品满足此规定的，必须提供相关证明文件。</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纳入财政部公布的《政府采购自主创新产品目录》的货物和服务：</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.4.1采用最低评标价法评标的项目，对自主创新产品在评审时对其投标价格给予5％的价格扣除。</w:t>
      </w:r>
    </w:p>
    <w:p>
      <w:pPr>
        <w:snapToGrid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.4.2采用综合评分法评标的项目，对自主创新产品在价格评标项中，对自主创新产品给予价格评标总分值的5％的加分。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 投标人为小型和微型企业（含联合体）的情况：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 中小企业的认定标准：</w:t>
      </w:r>
    </w:p>
    <w:p>
      <w:pPr>
        <w:shd w:val="clear" w:color="auto" w:fill="auto"/>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（2）符合中小企业划分标准的个体工商户，在政府采购活动中视同中小企业。</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5.3</w:t>
      </w:r>
      <w:r>
        <w:rPr>
          <w:rFonts w:hint="eastAsia" w:ascii="仿宋" w:hAnsi="仿宋" w:eastAsia="仿宋" w:cs="仿宋"/>
          <w:color w:val="auto"/>
          <w:sz w:val="24"/>
          <w:szCs w:val="24"/>
        </w:rPr>
        <w:t>监狱企业视同为小型、微型企业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必须提供相关证明文件。</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5.4</w:t>
      </w:r>
      <w:r>
        <w:rPr>
          <w:rFonts w:hint="eastAsia" w:ascii="仿宋" w:hAnsi="仿宋" w:eastAsia="仿宋" w:cs="仿宋"/>
          <w:color w:val="auto"/>
          <w:sz w:val="24"/>
          <w:szCs w:val="24"/>
        </w:rPr>
        <w:t>残疾人福利性单位视同为小型、微型企业，必须如实填写“残疾人福利性单位声明函”（内容、格式见财库〔2017〕141 号）。</w:t>
      </w:r>
    </w:p>
    <w:p>
      <w:pPr>
        <w:spacing w:line="30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5.5</w:t>
      </w:r>
      <w:r>
        <w:rPr>
          <w:rFonts w:hint="eastAsia" w:ascii="仿宋" w:hAnsi="仿宋" w:eastAsia="仿宋" w:cs="仿宋"/>
          <w:color w:val="auto"/>
          <w:sz w:val="24"/>
          <w:szCs w:val="24"/>
        </w:rPr>
        <w:t xml:space="preserve"> 具体评审价说明：</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eastAsia="zh-CN"/>
        </w:rPr>
        <w:t>小微</w:t>
      </w:r>
      <w:r>
        <w:rPr>
          <w:rFonts w:hint="eastAsia" w:ascii="仿宋" w:hAnsi="仿宋" w:eastAsia="仿宋" w:cs="仿宋"/>
          <w:color w:val="auto"/>
          <w:sz w:val="24"/>
          <w:szCs w:val="24"/>
        </w:rPr>
        <w:t>企业，货物和服务项目评审价=报价*（1-</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为联合体报价，对于联合</w:t>
      </w:r>
      <w:r>
        <w:rPr>
          <w:rFonts w:hint="eastAsia" w:ascii="仿宋" w:hAnsi="仿宋" w:eastAsia="仿宋" w:cs="仿宋"/>
          <w:color w:val="auto"/>
          <w:sz w:val="24"/>
          <w:szCs w:val="24"/>
          <w:lang w:val="en-US" w:eastAsia="zh-CN"/>
        </w:rPr>
        <w:t>协议</w:t>
      </w:r>
      <w:r>
        <w:rPr>
          <w:rFonts w:hint="eastAsia" w:ascii="仿宋" w:hAnsi="仿宋" w:eastAsia="仿宋" w:cs="仿宋"/>
          <w:color w:val="auto"/>
          <w:sz w:val="24"/>
          <w:szCs w:val="24"/>
        </w:rPr>
        <w:t>或者分包意向协议约定小微企业的合同份额占到合同总金额30%以上的，货物和服务项目评审价=报价*（1-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2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ascii="仿宋" w:hAnsi="仿宋" w:eastAsia="仿宋" w:cs="仿宋"/>
          <w:b w:val="0"/>
          <w:bCs w:val="0"/>
          <w:i w:val="0"/>
          <w:iCs w:val="0"/>
          <w:color w:val="auto"/>
          <w:sz w:val="24"/>
          <w:szCs w:val="24"/>
          <w:lang w:eastAsia="zh-CN"/>
        </w:rPr>
      </w:pPr>
      <w:r>
        <w:rPr>
          <w:rFonts w:hint="eastAsia" w:ascii="仿宋" w:hAnsi="仿宋" w:eastAsia="仿宋" w:cs="仿宋"/>
          <w:b w:val="0"/>
          <w:bCs w:val="0"/>
          <w:i w:val="0"/>
          <w:iCs w:val="0"/>
          <w:color w:val="auto"/>
          <w:sz w:val="24"/>
          <w:szCs w:val="24"/>
          <w:lang w:eastAsia="zh-CN"/>
        </w:rPr>
        <w:t>（</w:t>
      </w:r>
      <w:r>
        <w:rPr>
          <w:rFonts w:hint="eastAsia" w:ascii="仿宋" w:hAnsi="仿宋" w:eastAsia="仿宋" w:cs="仿宋"/>
          <w:b w:val="0"/>
          <w:bCs w:val="0"/>
          <w:i w:val="0"/>
          <w:iCs w:val="0"/>
          <w:color w:val="auto"/>
          <w:sz w:val="24"/>
          <w:szCs w:val="24"/>
          <w:lang w:val="en-US" w:eastAsia="zh-CN"/>
        </w:rPr>
        <w:t>3</w:t>
      </w:r>
      <w:r>
        <w:rPr>
          <w:rFonts w:hint="eastAsia" w:ascii="仿宋" w:hAnsi="仿宋" w:eastAsia="仿宋" w:cs="仿宋"/>
          <w:b w:val="0"/>
          <w:bCs w:val="0"/>
          <w:i w:val="0"/>
          <w:i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中小企业</w:t>
      </w:r>
      <w:r>
        <w:rPr>
          <w:rFonts w:hint="eastAsia" w:ascii="仿宋" w:hAnsi="仿宋" w:eastAsia="仿宋" w:cs="仿宋"/>
          <w:color w:val="auto"/>
          <w:sz w:val="24"/>
          <w:szCs w:val="24"/>
        </w:rPr>
        <w:t>（含联合体）的，必须</w:t>
      </w:r>
      <w:bookmarkStart w:id="31" w:name="_Toc320093686"/>
      <w:r>
        <w:rPr>
          <w:rFonts w:hint="eastAsia" w:ascii="仿宋" w:hAnsi="仿宋" w:eastAsia="仿宋" w:cs="仿宋"/>
          <w:color w:val="auto"/>
          <w:sz w:val="24"/>
          <w:szCs w:val="24"/>
        </w:rPr>
        <w:t>如实填写“中小企业声明函”（内容、格式见财库〔</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46</w:t>
      </w:r>
      <w:r>
        <w:rPr>
          <w:rFonts w:hint="eastAsia" w:ascii="仿宋" w:hAnsi="仿宋" w:eastAsia="仿宋" w:cs="仿宋"/>
          <w:color w:val="auto"/>
          <w:sz w:val="24"/>
          <w:szCs w:val="24"/>
        </w:rPr>
        <w:t>号）</w:t>
      </w:r>
      <w:bookmarkEnd w:id="31"/>
      <w:r>
        <w:rPr>
          <w:rFonts w:hint="eastAsia" w:ascii="仿宋" w:hAnsi="仿宋" w:eastAsia="仿宋" w:cs="仿宋"/>
          <w:color w:val="auto"/>
          <w:sz w:val="24"/>
          <w:szCs w:val="24"/>
        </w:rPr>
        <w:t>，否则无效。</w:t>
      </w:r>
      <w:r>
        <w:rPr>
          <w:rFonts w:hint="eastAsia" w:ascii="仿宋" w:hAnsi="仿宋" w:eastAsia="仿宋" w:cs="仿宋"/>
          <w:b/>
          <w:color w:val="auto"/>
          <w:sz w:val="24"/>
          <w:szCs w:val="24"/>
        </w:rPr>
        <w:t>如有虚假骗取政策性加分，将依法承担相应责任。</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六、授标及签约</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．定标原则</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.1评标委员会将严格按照招标文件的要求和条件进行评标,根据评标办法推荐出一至三人为中标候选人，并标明排列顺序。采购人将确定排名第一</w:t>
      </w:r>
      <w:r>
        <w:rPr>
          <w:rFonts w:hint="eastAsia" w:ascii="仿宋" w:hAnsi="仿宋" w:eastAsia="仿宋" w:cs="仿宋"/>
          <w:color w:val="auto"/>
          <w:sz w:val="24"/>
          <w:szCs w:val="24"/>
          <w:lang w:val="en-US" w:eastAsia="zh-CN"/>
        </w:rPr>
        <w:t>和第二</w:t>
      </w:r>
      <w:r>
        <w:rPr>
          <w:rFonts w:hint="eastAsia" w:ascii="仿宋" w:hAnsi="仿宋" w:eastAsia="仿宋" w:cs="仿宋"/>
          <w:color w:val="auto"/>
          <w:sz w:val="24"/>
          <w:szCs w:val="24"/>
        </w:rPr>
        <w:t>的中标候选人为中标人并向其授予合同。排名第一</w:t>
      </w:r>
      <w:r>
        <w:rPr>
          <w:rFonts w:hint="eastAsia" w:ascii="仿宋" w:hAnsi="仿宋" w:eastAsia="仿宋" w:cs="仿宋"/>
          <w:color w:val="auto"/>
          <w:sz w:val="24"/>
          <w:szCs w:val="24"/>
          <w:lang w:val="en-US" w:eastAsia="zh-CN"/>
        </w:rPr>
        <w:t>和第二</w:t>
      </w:r>
      <w:r>
        <w:rPr>
          <w:rFonts w:hint="eastAsia" w:ascii="仿宋" w:hAnsi="仿宋" w:eastAsia="仿宋" w:cs="仿宋"/>
          <w:color w:val="auto"/>
          <w:sz w:val="24"/>
          <w:szCs w:val="24"/>
        </w:rPr>
        <w:t>的中标候选人因不可抗力或者自身原因不能履行合同，或者本文件规定应当提交履约保证金而在规定期限未能提交的，或者是评标委员会出现评标错误，被他人质疑后证实确有其事的，采购人将把合同授予排名第</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的中标候选人或重新组织招标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如此类推。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 xml:space="preserve">.2 </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将在指定的网站上公示</w:t>
      </w:r>
      <w:r>
        <w:rPr>
          <w:rFonts w:hint="eastAsia" w:ascii="仿宋" w:hAnsi="仿宋" w:eastAsia="仿宋" w:cs="仿宋"/>
          <w:color w:val="auto"/>
          <w:sz w:val="24"/>
          <w:szCs w:val="24"/>
          <w:lang w:val="en-US" w:eastAsia="zh-CN"/>
        </w:rPr>
        <w:t>中</w:t>
      </w:r>
      <w:r>
        <w:rPr>
          <w:rFonts w:hint="eastAsia" w:ascii="仿宋" w:hAnsi="仿宋" w:eastAsia="仿宋" w:cs="仿宋"/>
          <w:color w:val="auto"/>
          <w:sz w:val="24"/>
          <w:szCs w:val="24"/>
        </w:rPr>
        <w:t>标结果。</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质疑处理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 投标人如认为采购文件、采购过程和中标结果使自己的权益收到损害的，应在知道或应知道其权益受到损害之日起7个工作日内以书面形式向</w:t>
      </w:r>
      <w:r>
        <w:rPr>
          <w:rFonts w:hint="eastAsia" w:ascii="仿宋" w:hAnsi="仿宋" w:eastAsia="仿宋" w:cs="仿宋"/>
          <w:color w:val="auto"/>
          <w:sz w:val="24"/>
          <w:szCs w:val="24"/>
          <w:lang w:eastAsia="zh-CN"/>
        </w:rPr>
        <w:t>招标代理机构或采购人</w:t>
      </w:r>
      <w:r>
        <w:rPr>
          <w:rFonts w:hint="eastAsia" w:ascii="仿宋" w:hAnsi="仿宋" w:eastAsia="仿宋" w:cs="仿宋"/>
          <w:color w:val="auto"/>
          <w:sz w:val="24"/>
          <w:szCs w:val="24"/>
        </w:rPr>
        <w:t>提出质疑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并附相关证明材料</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质疑函格式详见海南省财政厅质疑函范本，未按照质疑函范本书写或未附相关证明材料的质疑均不受理）</w:t>
      </w:r>
      <w:r>
        <w:rPr>
          <w:rFonts w:hint="eastAsia" w:ascii="仿宋" w:hAnsi="仿宋" w:eastAsia="仿宋" w:cs="仿宋"/>
          <w:color w:val="auto"/>
          <w:sz w:val="24"/>
          <w:szCs w:val="24"/>
        </w:rPr>
        <w:t>。匿名、非书面形式、7个工作日之外的质疑均不予受理。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以邮寄、快递方式递交质疑函的，质疑人可以在质疑有效期内以清晰扫描及时将质疑事项告知代理机构，并提供邮寄件、快递件的有效查询方式。</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22.3</w:t>
      </w:r>
      <w:r>
        <w:rPr>
          <w:rFonts w:hint="eastAsia" w:ascii="仿宋" w:hAnsi="仿宋" w:eastAsia="仿宋" w:cs="仿宋"/>
          <w:color w:val="auto"/>
          <w:sz w:val="24"/>
          <w:szCs w:val="24"/>
        </w:rPr>
        <w:t>质疑函接收信息</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联系部门：</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—项目部</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联系电话及联系人：</w:t>
      </w:r>
      <w:r>
        <w:rPr>
          <w:rFonts w:hint="eastAsia" w:ascii="仿宋" w:hAnsi="仿宋" w:eastAsia="仿宋" w:cs="仿宋"/>
          <w:color w:val="auto"/>
          <w:sz w:val="24"/>
          <w:szCs w:val="24"/>
          <w:u w:val="single"/>
          <w:lang w:val="en-US" w:eastAsia="zh-CN"/>
        </w:rPr>
        <w:t xml:space="preserve">0898-66557609 、陈工         </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通讯地址：海口市五指山路康业花园西湖苑G栋2A</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有下列情形之一的，属于无效质疑，采购人或采购代理机构可不予受理：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（1）未在有效期限内提出质疑的；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（2）质疑未以书面形式提出的；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（3）所提交材料未明示属于质疑材料的；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（4）质疑事项已经进入投诉或者诉讼程序的；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在质疑有效期内未就同一环节一次性提出质疑的；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）其它不符合受理条件的情形。</w:t>
      </w:r>
    </w:p>
    <w:p>
      <w:pPr>
        <w:snapToGrid w:val="0"/>
        <w:spacing w:line="520" w:lineRule="exact"/>
        <w:ind w:firstLine="480"/>
        <w:rPr>
          <w:rFonts w:hint="eastAsia" w:ascii="仿宋" w:hAnsi="仿宋" w:eastAsia="仿宋" w:cs="仿宋"/>
          <w:bCs/>
          <w:color w:val="auto"/>
          <w:sz w:val="24"/>
          <w:szCs w:val="24"/>
        </w:rPr>
      </w:pPr>
      <w:r>
        <w:rPr>
          <w:rFonts w:hint="eastAsia" w:ascii="仿宋" w:hAnsi="仿宋" w:eastAsia="仿宋" w:cs="仿宋"/>
          <w:color w:val="auto"/>
          <w:sz w:val="24"/>
          <w:szCs w:val="24"/>
          <w:lang w:val="en-US" w:eastAsia="zh-CN"/>
        </w:rPr>
        <w:t>22.5</w:t>
      </w:r>
      <w:r>
        <w:rPr>
          <w:rFonts w:hint="eastAsia" w:ascii="仿宋" w:hAnsi="仿宋" w:eastAsia="仿宋" w:cs="仿宋"/>
          <w:color w:val="auto"/>
          <w:sz w:val="24"/>
          <w:szCs w:val="24"/>
        </w:rPr>
        <w:t>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（1）质疑函未使用财政部制定的政府采购供应商质疑函范本进行编写的；</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（2）质疑函内容不全的。</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22.6代理机构应于收到质疑函后一个工作日内对质疑函的形式进行审查，符合条件的质疑，应当受理并向质疑人发出质疑签收单。收到质疑函原件并向质疑人发出质疑签收单之日，为质疑正式受理之日。</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质疑函在质疑有效期内需要修改、补充的，以提交修改或补充的质疑函原件并发出质疑签收单之日作为质疑正式受理之日。</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．中标通知</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.l定标后,招标人应将定标结果通知所有的投标人。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.2中标人收到中标通知后，应在规定时间内到招标人处领取中标通知书，并办理相关手续。</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.3 中标通知书将是合同的一个组成部分。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．签订合同</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.l 中标人应按中标通知书规定的时间、地点与采购人签订中标合同，给采购人和招标人造成损失的，投标人还应承担赔偿责任。</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.2 投标文件、中标人的投标文件及评标过程中有关澄清文件均应作为合同附件。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．招标代理服务费</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参照《海南省物价局关于降低部分招标代理服务收费标准的通知》（琼价费管【2011】225号）文件规定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由中标人向海南政辉招投标代理有限公司支付。</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.其它</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本项目不召开答疑会。</w:t>
      </w:r>
    </w:p>
    <w:p>
      <w:pPr>
        <w:rPr>
          <w:rFonts w:hint="eastAsia" w:ascii="仿宋" w:hAnsi="仿宋" w:eastAsia="仿宋" w:cs="仿宋"/>
          <w:color w:val="auto"/>
          <w:sz w:val="24"/>
          <w:szCs w:val="24"/>
        </w:rPr>
      </w:pPr>
    </w:p>
    <w:p>
      <w:pPr>
        <w:snapToGrid w:val="0"/>
        <w:spacing w:line="520" w:lineRule="exact"/>
        <w:jc w:val="center"/>
        <w:outlineLvl w:val="0"/>
        <w:rPr>
          <w:rFonts w:hint="eastAsia" w:ascii="仿宋" w:hAnsi="仿宋" w:eastAsia="仿宋" w:cs="仿宋"/>
          <w:b/>
          <w:color w:val="auto"/>
          <w:sz w:val="24"/>
          <w:szCs w:val="24"/>
        </w:rPr>
        <w:sectPr>
          <w:footerReference r:id="rId6" w:type="first"/>
          <w:footerReference r:id="rId5"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start="1"/>
          <w:cols w:space="720" w:num="1"/>
          <w:titlePg/>
          <w:docGrid w:linePitch="312" w:charSpace="0"/>
        </w:sectPr>
      </w:pPr>
    </w:p>
    <w:bookmarkEnd w:id="29"/>
    <w:bookmarkEnd w:id="30"/>
    <w:p>
      <w:pPr>
        <w:keepNext w:val="0"/>
        <w:keepLines w:val="0"/>
        <w:pageBreakBefore w:val="0"/>
        <w:widowControl/>
        <w:shd w:val="clear" w:color="auto" w:fill="FFFFFF" w:themeFill="background1"/>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lang w:eastAsia="zh-CN"/>
        </w:rPr>
      </w:pPr>
      <w:bookmarkStart w:id="32" w:name="_Toc8861"/>
      <w:bookmarkStart w:id="33" w:name="_Toc26343"/>
      <w:r>
        <w:rPr>
          <w:rFonts w:hint="eastAsia" w:ascii="仿宋" w:hAnsi="仿宋" w:eastAsia="仿宋" w:cs="仿宋"/>
          <w:b/>
          <w:color w:val="auto"/>
          <w:sz w:val="44"/>
          <w:szCs w:val="44"/>
        </w:rPr>
        <w:t xml:space="preserve">第三章  </w:t>
      </w:r>
      <w:bookmarkEnd w:id="32"/>
      <w:r>
        <w:rPr>
          <w:rFonts w:hint="eastAsia" w:ascii="仿宋" w:hAnsi="仿宋" w:eastAsia="仿宋" w:cs="仿宋"/>
          <w:b/>
          <w:color w:val="auto"/>
          <w:sz w:val="44"/>
          <w:szCs w:val="44"/>
          <w:lang w:eastAsia="zh-CN"/>
        </w:rPr>
        <w:t>采购需求</w:t>
      </w:r>
    </w:p>
    <w:p>
      <w:pPr>
        <w:shd w:val="clear" w:color="auto" w:fill="FFFFFF" w:themeFill="background1"/>
        <w:tabs>
          <w:tab w:val="left" w:pos="7935"/>
        </w:tabs>
        <w:spacing w:line="360" w:lineRule="auto"/>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ab/>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（1）技术要求</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（一）职业测评和生涯规划</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lang w:val="zh-CN" w:eastAsia="zh-CN"/>
        </w:rPr>
        <w:t>组织专家导师以“专项活动”的方式，通过“一对一”、“职业测评”和“职业认知模拟”等多种模式，从职业方向、职业性格、职业能力、职业价值观、综合素质等方面，对大学生进行职业指导，同时通过测评系统平台生成人才标签，并形成职业测评分析报告，帮助大学生分析个人职业生涯发展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0"/>
        <w:textAlignment w:val="auto"/>
        <w:rPr>
          <w:rFonts w:hint="eastAsia" w:ascii="仿宋" w:hAnsi="仿宋" w:eastAsia="仿宋" w:cs="仿宋"/>
          <w:bCs/>
          <w:color w:val="auto"/>
          <w:sz w:val="32"/>
          <w:szCs w:val="32"/>
        </w:rPr>
      </w:pPr>
      <w:r>
        <w:rPr>
          <w:rFonts w:hint="eastAsia" w:ascii="仿宋" w:hAnsi="仿宋" w:eastAsia="仿宋" w:cs="仿宋"/>
          <w:bCs/>
          <w:color w:val="auto"/>
          <w:kern w:val="2"/>
          <w:sz w:val="32"/>
          <w:szCs w:val="32"/>
          <w:lang w:val="en-US" w:eastAsia="zh-CN" w:bidi="ar-SA"/>
        </w:rPr>
        <w:t>（二）</w:t>
      </w:r>
      <w:r>
        <w:rPr>
          <w:rFonts w:hint="eastAsia" w:ascii="仿宋" w:hAnsi="仿宋" w:eastAsia="仿宋" w:cs="仿宋"/>
          <w:b/>
          <w:bCs/>
          <w:color w:val="auto"/>
          <w:sz w:val="32"/>
          <w:szCs w:val="32"/>
        </w:rPr>
        <w:t>职业指导“公开课”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活动采用线上线下相结合的方式开展。其中，线上活动以导师开讲的模式，邀请专家导师围绕毕业生如何确定个人求职目标、如何正确看待面试、大学生就业路径解析等课题讲授“公开课”；线下活动以导师课题分享的方式，同时邀请行业领袖或企业负责人现场就行业洞察和职业发展，与大学生进行经验分享，通过对政策的讲解、行业分析、案例实训相结合的指导，帮助高校学生提升就业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b/>
          <w:color w:val="auto"/>
          <w:sz w:val="32"/>
          <w:szCs w:val="32"/>
        </w:rPr>
      </w:pPr>
      <w:r>
        <w:rPr>
          <w:rFonts w:hint="eastAsia" w:ascii="仿宋" w:hAnsi="仿宋" w:eastAsia="仿宋" w:cs="仿宋"/>
          <w:b/>
          <w:color w:val="auto"/>
          <w:kern w:val="2"/>
          <w:sz w:val="32"/>
          <w:szCs w:val="32"/>
          <w:lang w:val="en-US" w:eastAsia="zh-CN" w:bidi="ar-SA"/>
        </w:rPr>
        <w:t>（三）</w:t>
      </w:r>
      <w:r>
        <w:rPr>
          <w:rFonts w:hint="eastAsia" w:ascii="仿宋" w:hAnsi="仿宋" w:eastAsia="仿宋" w:cs="仿宋"/>
          <w:b/>
          <w:color w:val="auto"/>
          <w:sz w:val="32"/>
          <w:szCs w:val="32"/>
        </w:rPr>
        <w:t>活动</w:t>
      </w:r>
      <w:r>
        <w:rPr>
          <w:rFonts w:hint="eastAsia" w:ascii="仿宋" w:hAnsi="仿宋" w:eastAsia="仿宋" w:cs="仿宋"/>
          <w:b/>
          <w:color w:val="auto"/>
          <w:sz w:val="32"/>
          <w:szCs w:val="32"/>
          <w:lang w:eastAsia="zh-CN"/>
        </w:rPr>
        <w:t>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b/>
          <w:color w:val="auto"/>
          <w:sz w:val="32"/>
          <w:szCs w:val="32"/>
        </w:rPr>
        <w:t>1.</w:t>
      </w:r>
      <w:r>
        <w:rPr>
          <w:rFonts w:hint="eastAsia" w:ascii="仿宋" w:hAnsi="仿宋" w:eastAsia="仿宋" w:cs="仿宋"/>
          <w:color w:val="auto"/>
          <w:sz w:val="32"/>
          <w:szCs w:val="32"/>
          <w:lang w:val="zh-CN" w:eastAsia="zh-CN"/>
        </w:rPr>
        <w:t>项目</w:t>
      </w:r>
      <w:r>
        <w:rPr>
          <w:rFonts w:hint="eastAsia" w:ascii="仿宋" w:hAnsi="仿宋" w:eastAsia="仿宋" w:cs="仿宋"/>
          <w:color w:val="auto"/>
          <w:sz w:val="32"/>
          <w:szCs w:val="32"/>
          <w:lang w:val="en-US" w:eastAsia="zh-CN"/>
        </w:rPr>
        <w:t>活动</w:t>
      </w:r>
      <w:r>
        <w:rPr>
          <w:rFonts w:hint="eastAsia" w:ascii="仿宋" w:hAnsi="仿宋" w:eastAsia="仿宋" w:cs="仿宋"/>
          <w:color w:val="auto"/>
          <w:sz w:val="32"/>
          <w:szCs w:val="32"/>
          <w:lang w:val="zh-CN" w:eastAsia="zh-CN"/>
        </w:rPr>
        <w:t>共计</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lang w:val="zh-CN" w:eastAsia="zh-CN"/>
        </w:rPr>
        <w:t>场。其中，职业测评和生涯规划活动</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val="zh-CN" w:eastAsia="zh-CN"/>
        </w:rPr>
        <w:t>场，每场至少配备1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eastAsia="zh-CN"/>
        </w:rPr>
        <w:t>名省内外有多年从事行业经验的优质专家导师，</w:t>
      </w:r>
      <w:r>
        <w:rPr>
          <w:rFonts w:hint="eastAsia" w:ascii="仿宋" w:hAnsi="仿宋" w:eastAsia="仿宋" w:cs="仿宋"/>
          <w:color w:val="auto"/>
          <w:sz w:val="32"/>
          <w:szCs w:val="32"/>
          <w:lang w:val="en-US" w:eastAsia="zh-CN"/>
        </w:rPr>
        <w:t>其中具有高级职称的专家不少于5名。</w:t>
      </w:r>
      <w:r>
        <w:rPr>
          <w:rFonts w:hint="eastAsia" w:ascii="仿宋" w:hAnsi="仿宋" w:eastAsia="仿宋" w:cs="仿宋"/>
          <w:color w:val="auto"/>
          <w:sz w:val="32"/>
          <w:szCs w:val="32"/>
          <w:lang w:val="zh-CN" w:eastAsia="zh-CN"/>
        </w:rPr>
        <w:t>一对一测评结果形成测评数据库和分析材料；公开课</w:t>
      </w:r>
      <w:r>
        <w:rPr>
          <w:rFonts w:hint="eastAsia" w:ascii="仿宋" w:hAnsi="仿宋" w:eastAsia="仿宋" w:cs="仿宋"/>
          <w:color w:val="auto"/>
          <w:sz w:val="32"/>
          <w:szCs w:val="32"/>
          <w:lang w:val="en-US" w:eastAsia="zh-CN"/>
        </w:rPr>
        <w:t>48</w:t>
      </w:r>
      <w:r>
        <w:rPr>
          <w:rFonts w:hint="eastAsia" w:ascii="仿宋" w:hAnsi="仿宋" w:eastAsia="仿宋" w:cs="仿宋"/>
          <w:color w:val="auto"/>
          <w:sz w:val="32"/>
          <w:szCs w:val="32"/>
          <w:lang w:val="zh-CN" w:eastAsia="zh-CN"/>
        </w:rPr>
        <w:t>场，分为线上</w:t>
      </w:r>
      <w:r>
        <w:rPr>
          <w:rFonts w:hint="eastAsia" w:ascii="仿宋" w:hAnsi="仿宋" w:eastAsia="仿宋" w:cs="仿宋"/>
          <w:color w:val="auto"/>
          <w:sz w:val="32"/>
          <w:szCs w:val="32"/>
          <w:lang w:val="en-US" w:eastAsia="zh-CN"/>
        </w:rPr>
        <w:t>18场，线下30场。线上活动每场至少配备导师1名以上，线下活动</w:t>
      </w:r>
      <w:r>
        <w:rPr>
          <w:rFonts w:hint="eastAsia" w:ascii="仿宋" w:hAnsi="仿宋" w:eastAsia="仿宋" w:cs="仿宋"/>
          <w:color w:val="auto"/>
          <w:sz w:val="32"/>
          <w:szCs w:val="32"/>
          <w:lang w:val="zh-CN" w:eastAsia="zh-CN"/>
        </w:rPr>
        <w:t>每场至少配备导师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名以上，每场时长不少于</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val="zh-CN" w:eastAsia="zh-CN"/>
        </w:rPr>
        <w:t>个半小时，至少完成1-2个不同课题。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2.职业</w:t>
      </w:r>
      <w:r>
        <w:rPr>
          <w:rFonts w:hint="eastAsia" w:ascii="仿宋" w:hAnsi="仿宋" w:eastAsia="仿宋" w:cs="仿宋"/>
          <w:color w:val="auto"/>
          <w:sz w:val="32"/>
          <w:szCs w:val="32"/>
          <w:lang w:val="zh-CN" w:eastAsia="zh-CN"/>
        </w:rPr>
        <w:t>测评和生涯规划活动，以我</w:t>
      </w:r>
      <w:r>
        <w:rPr>
          <w:rFonts w:hint="eastAsia" w:ascii="仿宋" w:hAnsi="仿宋" w:eastAsia="仿宋" w:cs="仿宋"/>
          <w:color w:val="auto"/>
          <w:sz w:val="32"/>
          <w:szCs w:val="32"/>
          <w:lang w:val="en-US" w:eastAsia="zh-CN"/>
        </w:rPr>
        <w:t>市辖区高校青年人才就业服务站为活动载体，搭建校园活动主题平台，要求至少对接6家以上高校。</w:t>
      </w:r>
      <w:r>
        <w:rPr>
          <w:rFonts w:hint="eastAsia" w:ascii="仿宋" w:hAnsi="仿宋" w:eastAsia="仿宋" w:cs="仿宋"/>
          <w:color w:val="auto"/>
          <w:sz w:val="32"/>
          <w:szCs w:val="32"/>
          <w:shd w:val="clear" w:color="auto" w:fill="FFFFFF"/>
        </w:rPr>
        <w:t>活动现场</w:t>
      </w:r>
      <w:r>
        <w:rPr>
          <w:rFonts w:hint="eastAsia" w:ascii="仿宋" w:hAnsi="仿宋" w:eastAsia="仿宋" w:cs="仿宋"/>
          <w:color w:val="auto"/>
          <w:sz w:val="32"/>
          <w:szCs w:val="32"/>
          <w:shd w:val="clear" w:color="auto" w:fill="FFFFFF"/>
          <w:lang w:eastAsia="zh-CN"/>
        </w:rPr>
        <w:t>要</w:t>
      </w:r>
      <w:r>
        <w:rPr>
          <w:rFonts w:hint="eastAsia" w:ascii="仿宋" w:hAnsi="仿宋" w:eastAsia="仿宋" w:cs="仿宋"/>
          <w:color w:val="auto"/>
          <w:sz w:val="32"/>
          <w:szCs w:val="32"/>
          <w:shd w:val="clear" w:color="auto" w:fill="FFFFFF"/>
        </w:rPr>
        <w:t>进行特色</w:t>
      </w:r>
      <w:r>
        <w:rPr>
          <w:rFonts w:hint="eastAsia" w:ascii="仿宋" w:hAnsi="仿宋" w:eastAsia="仿宋" w:cs="仿宋"/>
          <w:color w:val="auto"/>
          <w:sz w:val="32"/>
          <w:szCs w:val="32"/>
          <w:shd w:val="clear" w:color="auto" w:fill="FFFFFF"/>
          <w:lang w:eastAsia="zh-CN"/>
        </w:rPr>
        <w:t>布</w:t>
      </w:r>
      <w:r>
        <w:rPr>
          <w:rFonts w:hint="eastAsia" w:ascii="仿宋" w:hAnsi="仿宋" w:eastAsia="仿宋" w:cs="仿宋"/>
          <w:color w:val="auto"/>
          <w:sz w:val="32"/>
          <w:szCs w:val="32"/>
          <w:shd w:val="clear" w:color="auto" w:fill="FFFFFF"/>
        </w:rPr>
        <w:t>展</w:t>
      </w:r>
      <w:r>
        <w:rPr>
          <w:rFonts w:hint="eastAsia" w:ascii="仿宋" w:hAnsi="仿宋" w:eastAsia="仿宋" w:cs="仿宋"/>
          <w:color w:val="auto"/>
          <w:sz w:val="32"/>
          <w:szCs w:val="32"/>
          <w:shd w:val="clear" w:color="auto" w:fill="FFFFFF"/>
          <w:lang w:eastAsia="zh-CN"/>
        </w:rPr>
        <w:t>，形成良好活动氛围和环境。同时，在活动前期要开展学生需求调研与宣传发动，广泛邀约学生参与，总计完成</w:t>
      </w:r>
      <w:r>
        <w:rPr>
          <w:rFonts w:hint="eastAsia" w:ascii="仿宋" w:hAnsi="仿宋" w:eastAsia="仿宋" w:cs="仿宋"/>
          <w:color w:val="auto"/>
          <w:sz w:val="32"/>
          <w:szCs w:val="32"/>
          <w:lang w:val="zh-CN" w:eastAsia="zh-CN"/>
        </w:rPr>
        <w:t>服务大学生不少于2000名</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w:t>
      </w:r>
      <w:r>
        <w:rPr>
          <w:rFonts w:hint="eastAsia" w:ascii="仿宋" w:hAnsi="仿宋" w:eastAsia="仿宋" w:cs="仿宋"/>
          <w:color w:val="auto"/>
          <w:sz w:val="32"/>
          <w:szCs w:val="32"/>
          <w:lang w:val="zh-CN" w:eastAsia="zh-CN"/>
        </w:rPr>
        <w:t>职业指导“公开课”以校园、园区或市场为活动载体，服务对象为有就业意愿的各类失业青年，每场活动要通过调查问卷、电话等对学生进行调研和邀约，并根据调研的需求，安排不同的课题。线上活动须选择优质平台，并将活动链接接入辖区各大</w:t>
      </w:r>
      <w:r>
        <w:rPr>
          <w:rFonts w:hint="eastAsia" w:ascii="仿宋" w:hAnsi="仿宋" w:eastAsia="仿宋" w:cs="仿宋"/>
          <w:color w:val="auto"/>
          <w:sz w:val="32"/>
          <w:szCs w:val="32"/>
          <w:lang w:val="en-US" w:eastAsia="zh-CN"/>
        </w:rPr>
        <w:t>高校，组织发动学生积极参与，并将活动制作成录播视频</w:t>
      </w:r>
      <w:r>
        <w:rPr>
          <w:rFonts w:hint="eastAsia" w:ascii="仿宋" w:hAnsi="仿宋" w:eastAsia="仿宋" w:cs="仿宋"/>
          <w:color w:val="auto"/>
          <w:sz w:val="32"/>
          <w:szCs w:val="32"/>
          <w:lang w:val="zh-CN" w:eastAsia="zh-CN"/>
        </w:rPr>
        <w:t>在官网播放，提供不间断在线服务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zh-CN" w:eastAsia="zh-CN"/>
        </w:rPr>
        <w:t>线下活动每场现场参与的学生至少</w:t>
      </w:r>
      <w:r>
        <w:rPr>
          <w:rFonts w:hint="eastAsia" w:ascii="仿宋" w:hAnsi="仿宋" w:eastAsia="仿宋" w:cs="仿宋"/>
          <w:color w:val="auto"/>
          <w:sz w:val="32"/>
          <w:szCs w:val="32"/>
          <w:lang w:val="en-US" w:eastAsia="zh-CN"/>
        </w:rPr>
        <w:t>60名以上。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lang w:eastAsia="zh-CN"/>
        </w:rPr>
        <w:t>有关</w:t>
      </w:r>
      <w:r>
        <w:rPr>
          <w:rFonts w:hint="eastAsia" w:ascii="仿宋" w:hAnsi="仿宋" w:eastAsia="仿宋" w:cs="仿宋"/>
          <w:b/>
          <w:color w:val="auto"/>
          <w:sz w:val="32"/>
          <w:szCs w:val="32"/>
        </w:rPr>
        <w:t>要求</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zh-CN" w:eastAsia="zh-CN" w:bidi="ar-SA"/>
        </w:rPr>
        <w:t>本项目是以高质量促进大学生充分就业为目标。参与招标的机构，应准确逐一针对项目目标要求和活动指标，制定高质量、高标准的执行方案并提供完成的量化指标，最大化促进毕业生的就业。活动所需的设备、平台等物资物料要最大限度满足活动需求，提高服务质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175"/>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w:t>
      </w:r>
      <w:r>
        <w:rPr>
          <w:rFonts w:hint="eastAsia" w:ascii="仿宋" w:hAnsi="仿宋" w:eastAsia="仿宋" w:cs="仿宋"/>
          <w:color w:val="auto"/>
          <w:sz w:val="32"/>
          <w:szCs w:val="32"/>
          <w:shd w:val="clear" w:color="auto" w:fill="FFFFFF"/>
          <w:lang w:val="en-US" w:eastAsia="zh-CN"/>
        </w:rPr>
        <w:t>活动要加大宣传力度，分为前中后三个阶段通过各类省、市级以上平面媒体、电视媒体、网络媒体、新媒体等多种报道形式，开展全方位、多角度、大容量的宣传和报道，扩大社会影响力。同时，整个项目开展全过程要进行全程的（图像、视频等）拍摄记录，活动结束后制作编辑时长不少于5分钟的项目宣传记录片，树立活动品牌。</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3.每场活动在结束后，根据采购单位的要求及时做好数据信息材料的收集、汇总、分析、反馈，并形成工作美篇和总结性汇报材料报采购单位。</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在中标公示结束后</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个工作日内，在采购单位指导下完善项目</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rPr>
        <w:t>具体执行方案，经认可后按时序进度落实，项目执行</w:t>
      </w:r>
      <w:r>
        <w:rPr>
          <w:rFonts w:hint="eastAsia" w:ascii="仿宋" w:hAnsi="仿宋" w:eastAsia="仿宋" w:cs="仿宋"/>
          <w:color w:val="auto"/>
          <w:sz w:val="32"/>
          <w:szCs w:val="32"/>
          <w:shd w:val="clear" w:color="auto" w:fill="FFFFFF"/>
          <w:lang w:eastAsia="zh-CN"/>
        </w:rPr>
        <w:t>过程</w:t>
      </w:r>
      <w:r>
        <w:rPr>
          <w:rFonts w:hint="eastAsia" w:ascii="仿宋" w:hAnsi="仿宋" w:eastAsia="仿宋" w:cs="仿宋"/>
          <w:color w:val="auto"/>
          <w:sz w:val="32"/>
          <w:szCs w:val="32"/>
          <w:shd w:val="clear" w:color="auto" w:fill="FFFFFF"/>
        </w:rPr>
        <w:t>中如确有需要</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方案进行变更的，应得到采购单位同意。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lang w:val="en-US" w:eastAsia="zh-CN"/>
        </w:rPr>
        <w:t>5.中标单位要建立</w:t>
      </w:r>
      <w:r>
        <w:rPr>
          <w:rFonts w:hint="eastAsia" w:ascii="仿宋" w:hAnsi="仿宋" w:eastAsia="仿宋" w:cs="仿宋"/>
          <w:bCs/>
          <w:color w:val="auto"/>
          <w:sz w:val="32"/>
          <w:szCs w:val="32"/>
          <w:lang w:val="en-GB"/>
        </w:rPr>
        <w:t>整个项目活动的安全保障</w:t>
      </w:r>
      <w:r>
        <w:rPr>
          <w:rFonts w:hint="eastAsia" w:ascii="仿宋" w:hAnsi="仿宋" w:eastAsia="仿宋" w:cs="仿宋"/>
          <w:bCs/>
          <w:color w:val="auto"/>
          <w:sz w:val="32"/>
          <w:szCs w:val="32"/>
          <w:lang w:val="en-GB" w:eastAsia="zh-CN"/>
        </w:rPr>
        <w:t>工作机制，制定安全工作预案</w:t>
      </w:r>
      <w:r>
        <w:rPr>
          <w:rFonts w:hint="eastAsia" w:ascii="仿宋" w:hAnsi="仿宋" w:eastAsia="仿宋" w:cs="仿宋"/>
          <w:bCs/>
          <w:color w:val="auto"/>
          <w:sz w:val="32"/>
          <w:szCs w:val="32"/>
          <w:lang w:val="en-GB"/>
        </w:rPr>
        <w:t>，</w:t>
      </w:r>
      <w:r>
        <w:rPr>
          <w:rFonts w:hint="eastAsia" w:ascii="仿宋" w:hAnsi="仿宋" w:eastAsia="仿宋" w:cs="仿宋"/>
          <w:bCs/>
          <w:color w:val="auto"/>
          <w:sz w:val="32"/>
          <w:szCs w:val="32"/>
          <w:lang w:val="en-GB" w:eastAsia="zh-CN"/>
        </w:rPr>
        <w:t>明确责任分工，在具体活动</w:t>
      </w:r>
      <w:r>
        <w:rPr>
          <w:rFonts w:hint="eastAsia" w:ascii="仿宋" w:hAnsi="仿宋" w:eastAsia="仿宋" w:cs="仿宋"/>
          <w:bCs/>
          <w:color w:val="auto"/>
          <w:sz w:val="32"/>
          <w:szCs w:val="32"/>
          <w:lang w:eastAsia="zh-CN"/>
        </w:rPr>
        <w:t>过程中，现场要安排安全、医疗保障人员，充分执行国家、省市</w:t>
      </w:r>
      <w:r>
        <w:rPr>
          <w:rFonts w:hint="eastAsia" w:ascii="仿宋" w:hAnsi="仿宋" w:eastAsia="仿宋" w:cs="仿宋"/>
          <w:bCs/>
          <w:color w:val="auto"/>
          <w:sz w:val="32"/>
          <w:szCs w:val="32"/>
        </w:rPr>
        <w:t>对项目活动</w:t>
      </w:r>
      <w:r>
        <w:rPr>
          <w:rFonts w:hint="eastAsia" w:ascii="仿宋" w:hAnsi="仿宋" w:eastAsia="仿宋" w:cs="仿宋"/>
          <w:bCs/>
          <w:color w:val="auto"/>
          <w:sz w:val="32"/>
          <w:szCs w:val="32"/>
          <w:lang w:eastAsia="zh-CN"/>
        </w:rPr>
        <w:t>的</w:t>
      </w:r>
      <w:r>
        <w:rPr>
          <w:rFonts w:hint="eastAsia" w:ascii="仿宋" w:hAnsi="仿宋" w:eastAsia="仿宋" w:cs="仿宋"/>
          <w:bCs/>
          <w:color w:val="auto"/>
          <w:sz w:val="32"/>
          <w:szCs w:val="32"/>
        </w:rPr>
        <w:t>安全保障工作</w:t>
      </w:r>
      <w:r>
        <w:rPr>
          <w:rFonts w:hint="eastAsia" w:ascii="仿宋" w:hAnsi="仿宋" w:eastAsia="仿宋" w:cs="仿宋"/>
          <w:bCs/>
          <w:color w:val="auto"/>
          <w:sz w:val="32"/>
          <w:szCs w:val="32"/>
          <w:lang w:eastAsia="zh-CN"/>
        </w:rPr>
        <w:t>要求</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（2）商务要求</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1、合同履行期限：自合同签订之日起至2024年12月30日（具体时间由采购单位根据工作实际开展进度进行调整）。</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2、服务地点：采购人指定地点。</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付款条件：分三期支付：①完成合同签订后，支付中标金额的30%首付款；②完成项目各项活动工作量的60%（以活动场次为准），验收合格的支付中标金额的40%；③完成所有项目并验收合格后，支付中标金额剩余的30%尾款。</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4、验收要求：按招标文件第三章“用户需求书”中服务内容及要求和国家行业标准进行验收。</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5、供应商必须根据自身资料如实编写响应文件。在中标结果公示期间，采购人有权对中标候选人所投资料进行核查，如发现与其响应文件中的描述不一，代理机构将报政府采购主管部门严肃处理。</w:t>
      </w:r>
    </w:p>
    <w:p>
      <w:pPr>
        <w:pStyle w:val="19"/>
        <w:keepNext w:val="0"/>
        <w:keepLines w:val="0"/>
        <w:pageBreakBefore w:val="0"/>
        <w:tabs>
          <w:tab w:val="left" w:pos="420"/>
        </w:tabs>
        <w:kinsoku/>
        <w:wordWrap/>
        <w:overflowPunct/>
        <w:topLinePunct w:val="0"/>
        <w:autoSpaceDE/>
        <w:autoSpaceDN/>
        <w:bidi w:val="0"/>
        <w:adjustRightInd/>
        <w:spacing w:line="580" w:lineRule="exact"/>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6、本项目选取前二名中标候选人为中标单位。项目活动和费用按整体项目具体内容的场次，由中标的两家单位进行对半分配。</w:t>
      </w: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both"/>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第四章 合同主要条款</w:t>
      </w:r>
      <w:bookmarkEnd w:id="33"/>
    </w:p>
    <w:p>
      <w:pPr>
        <w:shd w:val="clear" w:color="auto" w:fill="auto"/>
        <w:snapToGrid w:val="0"/>
        <w:spacing w:line="360" w:lineRule="auto"/>
        <w:jc w:val="center"/>
        <w:rPr>
          <w:rFonts w:hint="eastAsia" w:ascii="仿宋" w:hAnsi="仿宋" w:eastAsia="仿宋" w:cs="仿宋"/>
          <w:b/>
          <w:color w:val="auto"/>
          <w:sz w:val="24"/>
        </w:rPr>
      </w:pPr>
      <w:bookmarkStart w:id="34" w:name="_Toc264213366"/>
    </w:p>
    <w:p>
      <w:pPr>
        <w:shd w:val="clear" w:color="auto" w:fill="auto"/>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注：本合同仅为合同的参考文本，合同签订双方可根据项目的具体要求进行修订。</w:t>
      </w:r>
    </w:p>
    <w:p>
      <w:pPr>
        <w:shd w:val="clear" w:color="auto" w:fill="auto"/>
        <w:spacing w:line="360" w:lineRule="auto"/>
        <w:jc w:val="center"/>
        <w:rPr>
          <w:rFonts w:hint="eastAsia" w:ascii="仿宋" w:hAnsi="仿宋" w:eastAsia="仿宋" w:cs="仿宋"/>
          <w:b/>
          <w:color w:val="auto"/>
          <w:sz w:val="24"/>
        </w:rPr>
      </w:pPr>
    </w:p>
    <w:p>
      <w:pPr>
        <w:shd w:val="clear" w:color="auto" w:fill="auto"/>
        <w:spacing w:before="19"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通用合同条款</w:t>
      </w:r>
    </w:p>
    <w:p>
      <w:pPr>
        <w:shd w:val="clear" w:color="auto" w:fill="auto"/>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合同专用条款部分</w:t>
      </w:r>
    </w:p>
    <w:p>
      <w:pPr>
        <w:snapToGrid w:val="0"/>
        <w:spacing w:before="19" w:line="500" w:lineRule="exact"/>
        <w:rPr>
          <w:rFonts w:hint="eastAsia" w:ascii="仿宋" w:hAnsi="仿宋" w:eastAsia="仿宋" w:cs="仿宋"/>
          <w:color w:val="auto"/>
          <w:sz w:val="24"/>
          <w:szCs w:val="24"/>
        </w:rPr>
      </w:pP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甲方:</w:t>
      </w:r>
      <w:r>
        <w:rPr>
          <w:rFonts w:hint="eastAsia" w:ascii="仿宋" w:hAnsi="仿宋" w:eastAsia="仿宋" w:cs="仿宋"/>
          <w:b/>
          <w:bCs/>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乙方:</w:t>
      </w:r>
      <w:r>
        <w:rPr>
          <w:rFonts w:hint="eastAsia" w:ascii="仿宋" w:hAnsi="仿宋" w:eastAsia="仿宋" w:cs="仿宋"/>
          <w:b/>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p>
    <w:p>
      <w:pPr>
        <w:widowControl w:val="0"/>
        <w:snapToGrid w:val="0"/>
        <w:spacing w:line="360" w:lineRule="auto"/>
        <w:ind w:firstLine="480" w:firstLineChars="200"/>
        <w:rPr>
          <w:rFonts w:hint="eastAsia" w:ascii="仿宋" w:hAnsi="仿宋" w:eastAsia="仿宋" w:cs="仿宋"/>
          <w:b/>
          <w:color w:val="auto"/>
          <w:kern w:val="2"/>
          <w:sz w:val="24"/>
          <w:szCs w:val="24"/>
        </w:rPr>
      </w:pPr>
      <w:r>
        <w:rPr>
          <w:rFonts w:hint="eastAsia" w:ascii="仿宋" w:hAnsi="仿宋" w:eastAsia="仿宋" w:cs="仿宋"/>
          <w:color w:val="auto"/>
          <w:sz w:val="24"/>
          <w:szCs w:val="24"/>
        </w:rPr>
        <w:t>甲乙双方根据</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rPr>
        <w:t>一、合同标的及金额等(详见附件清单)</w:t>
      </w:r>
    </w:p>
    <w:tbl>
      <w:tblPr>
        <w:tblStyle w:val="44"/>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bookmarkStart w:id="35" w:name="_Toc462068968"/>
            <w:bookmarkStart w:id="36" w:name="_Toc417386176"/>
            <w:r>
              <w:rPr>
                <w:rFonts w:hint="eastAsia" w:ascii="仿宋" w:hAnsi="仿宋" w:eastAsia="仿宋" w:cs="仿宋"/>
                <w:b/>
                <w:color w:val="auto"/>
                <w:szCs w:val="21"/>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lang w:val="en-US" w:eastAsia="zh-CN"/>
              </w:rPr>
              <w:t>产品名称</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lang w:val="en-US" w:eastAsia="zh-CN"/>
              </w:rPr>
            </w:pPr>
            <w:r>
              <w:rPr>
                <w:rFonts w:hint="eastAsia" w:ascii="仿宋" w:hAnsi="仿宋" w:eastAsia="仿宋" w:cs="仿宋"/>
                <w:b/>
                <w:color w:val="auto"/>
                <w:szCs w:val="21"/>
                <w:lang w:val="en-US" w:eastAsia="zh-CN"/>
              </w:rPr>
              <w:t>品牌型号、规格配置</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3" w:firstLineChars="82"/>
              <w:jc w:val="both"/>
              <w:rPr>
                <w:rFonts w:hint="eastAsia" w:ascii="仿宋" w:hAnsi="仿宋" w:eastAsia="仿宋" w:cs="仿宋"/>
                <w:b/>
                <w:color w:val="auto"/>
                <w:szCs w:val="21"/>
              </w:rPr>
            </w:pPr>
            <w:r>
              <w:rPr>
                <w:rFonts w:hint="eastAsia" w:ascii="仿宋" w:hAnsi="仿宋" w:eastAsia="仿宋" w:cs="仿宋"/>
                <w:b/>
                <w:color w:val="auto"/>
                <w:szCs w:val="21"/>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4" w:firstLineChars="83"/>
              <w:jc w:val="center"/>
              <w:rPr>
                <w:rFonts w:hint="eastAsia" w:ascii="仿宋" w:hAnsi="仿宋" w:eastAsia="仿宋" w:cs="仿宋"/>
                <w:color w:val="auto"/>
                <w:szCs w:val="21"/>
              </w:rPr>
            </w:pPr>
            <w:r>
              <w:rPr>
                <w:rFonts w:hint="eastAsia" w:ascii="仿宋" w:hAnsi="仿宋" w:eastAsia="仿宋" w:cs="仿宋"/>
                <w:color w:val="auto"/>
                <w:szCs w:val="21"/>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Cs w:val="21"/>
              </w:rPr>
            </w:pPr>
            <w:r>
              <w:rPr>
                <w:rFonts w:hint="eastAsia" w:ascii="仿宋" w:hAnsi="仿宋" w:eastAsia="仿宋" w:cs="仿宋"/>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73" w:firstLineChars="82"/>
              <w:jc w:val="center"/>
              <w:rPr>
                <w:rFonts w:hint="eastAsia" w:ascii="仿宋" w:hAnsi="仿宋" w:eastAsia="仿宋" w:cs="仿宋"/>
                <w:color w:val="auto"/>
                <w:szCs w:val="21"/>
              </w:rPr>
            </w:pPr>
            <w:r>
              <w:rPr>
                <w:rFonts w:hint="eastAsia" w:ascii="仿宋" w:hAnsi="仿宋" w:eastAsia="仿宋" w:cs="仿宋"/>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仿宋" w:hAnsi="仿宋" w:eastAsia="仿宋" w:cs="仿宋"/>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（大写）</w:t>
            </w:r>
          </w:p>
        </w:tc>
      </w:tr>
    </w:tbl>
    <w:p>
      <w:pPr>
        <w:widowControl w:val="0"/>
        <w:snapToGrid w:val="0"/>
        <w:spacing w:before="19" w:line="360" w:lineRule="auto"/>
        <w:jc w:val="both"/>
        <w:rPr>
          <w:rFonts w:hint="eastAsia" w:ascii="仿宋" w:hAnsi="仿宋" w:eastAsia="仿宋" w:cs="仿宋"/>
          <w:b/>
          <w:color w:val="auto"/>
          <w:sz w:val="24"/>
          <w:szCs w:val="24"/>
        </w:rPr>
      </w:pP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rPr>
        <w:t>合同履行期限</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三、地点和方式</w:t>
      </w:r>
    </w:p>
    <w:p>
      <w:pPr>
        <w:numPr>
          <w:ilvl w:val="0"/>
          <w:numId w:val="0"/>
        </w:numPr>
        <w:snapToGrid w:val="0"/>
        <w:spacing w:line="360" w:lineRule="auto"/>
        <w:rPr>
          <w:rFonts w:hint="eastAsia" w:ascii="仿宋" w:hAnsi="仿宋" w:eastAsia="仿宋" w:cs="仿宋"/>
          <w:b/>
          <w:color w:val="auto"/>
          <w:sz w:val="28"/>
          <w:szCs w:val="28"/>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四、包装方式</w:t>
      </w:r>
    </w:p>
    <w:p>
      <w:pPr>
        <w:numPr>
          <w:ilvl w:val="0"/>
          <w:numId w:val="0"/>
        </w:numPr>
        <w:snapToGrid w:val="0"/>
        <w:spacing w:line="360" w:lineRule="auto"/>
        <w:rPr>
          <w:rFonts w:hint="eastAsia" w:ascii="仿宋" w:hAnsi="仿宋" w:eastAsia="仿宋" w:cs="仿宋"/>
          <w:b/>
          <w:color w:val="auto"/>
          <w:sz w:val="28"/>
          <w:szCs w:val="28"/>
        </w:rPr>
      </w:pPr>
    </w:p>
    <w:bookmarkEnd w:id="35"/>
    <w:bookmarkEnd w:id="36"/>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37" w:name="_Toc424563315"/>
      <w:bookmarkStart w:id="38" w:name="_Toc424716420"/>
      <w:bookmarkStart w:id="39" w:name="_Toc425425703"/>
      <w:bookmarkStart w:id="40" w:name="_Toc424566854"/>
      <w:r>
        <w:rPr>
          <w:rFonts w:hint="eastAsia" w:ascii="仿宋" w:hAnsi="仿宋" w:eastAsia="仿宋" w:cs="仿宋"/>
          <w:b/>
          <w:color w:val="auto"/>
          <w:sz w:val="24"/>
          <w:szCs w:val="24"/>
          <w:lang w:val="en-US" w:eastAsia="zh-CN"/>
        </w:rPr>
        <w:t>五、付款条件</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六、验收、交付标准和方法</w:t>
      </w:r>
    </w:p>
    <w:p>
      <w:pPr>
        <w:numPr>
          <w:ilvl w:val="0"/>
          <w:numId w:val="0"/>
        </w:numPr>
        <w:snapToGrid w:val="0"/>
        <w:spacing w:line="360" w:lineRule="auto"/>
        <w:rPr>
          <w:rFonts w:hint="eastAsia" w:ascii="仿宋" w:hAnsi="仿宋" w:eastAsia="仿宋" w:cs="仿宋"/>
          <w:b/>
          <w:color w:val="auto"/>
          <w:sz w:val="28"/>
          <w:szCs w:val="28"/>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七、质量保修范围和保修期限</w:t>
      </w:r>
    </w:p>
    <w:p>
      <w:pPr>
        <w:numPr>
          <w:ilvl w:val="0"/>
          <w:numId w:val="0"/>
        </w:numPr>
        <w:snapToGrid w:val="0"/>
        <w:spacing w:line="360" w:lineRule="auto"/>
        <w:rPr>
          <w:rFonts w:hint="eastAsia" w:ascii="仿宋" w:hAnsi="仿宋" w:eastAsia="仿宋" w:cs="仿宋"/>
          <w:b/>
          <w:color w:val="auto"/>
          <w:sz w:val="28"/>
          <w:szCs w:val="28"/>
          <w:lang w:val="en-US" w:eastAsia="zh-CN"/>
        </w:rPr>
      </w:pPr>
    </w:p>
    <w:bookmarkEnd w:id="37"/>
    <w:bookmarkEnd w:id="38"/>
    <w:bookmarkEnd w:id="39"/>
    <w:bookmarkEnd w:id="40"/>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八、违约赔偿</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41" w:name="_Toc417386177"/>
      <w:bookmarkStart w:id="42" w:name="_Toc462068969"/>
      <w:r>
        <w:rPr>
          <w:rFonts w:hint="eastAsia" w:ascii="仿宋" w:hAnsi="仿宋" w:eastAsia="仿宋" w:cs="仿宋"/>
          <w:b/>
          <w:color w:val="auto"/>
          <w:sz w:val="24"/>
          <w:szCs w:val="24"/>
          <w:lang w:val="en-US" w:eastAsia="zh-CN"/>
        </w:rPr>
        <w:t>九、合同纠纷处理</w:t>
      </w:r>
      <w:bookmarkEnd w:id="41"/>
      <w:bookmarkEnd w:id="42"/>
    </w:p>
    <w:p>
      <w:pPr>
        <w:tabs>
          <w:tab w:val="left" w:pos="1980"/>
        </w:tabs>
        <w:snapToGrid w:val="0"/>
        <w:spacing w:line="360" w:lineRule="auto"/>
        <w:ind w:firstLine="470" w:firstLineChars="196"/>
        <w:rPr>
          <w:rFonts w:hint="eastAsia" w:ascii="仿宋" w:hAnsi="仿宋" w:eastAsia="仿宋" w:cs="仿宋"/>
          <w:color w:val="auto"/>
          <w:sz w:val="24"/>
          <w:szCs w:val="24"/>
        </w:rPr>
      </w:pPr>
      <w:bookmarkStart w:id="43" w:name="_Toc462068970"/>
      <w:bookmarkStart w:id="44" w:name="_Toc417386178"/>
      <w:r>
        <w:rPr>
          <w:rFonts w:hint="eastAsia" w:ascii="仿宋" w:hAnsi="仿宋" w:eastAsia="仿宋" w:cs="仿宋"/>
          <w:color w:val="auto"/>
          <w:sz w:val="24"/>
          <w:szCs w:val="24"/>
        </w:rPr>
        <w:t>本合同履行过程中发生纠纷，应协商解决，协商不成，可向人民法院提起诉讼解决。</w:t>
      </w:r>
    </w:p>
    <w:p>
      <w:pPr>
        <w:snapToGrid w:val="0"/>
        <w:spacing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十</w:t>
      </w:r>
      <w:r>
        <w:rPr>
          <w:rFonts w:hint="eastAsia" w:ascii="仿宋" w:hAnsi="仿宋" w:eastAsia="仿宋" w:cs="仿宋"/>
          <w:b/>
          <w:color w:val="auto"/>
          <w:sz w:val="24"/>
          <w:szCs w:val="24"/>
        </w:rPr>
        <w:t>、合同生效</w:t>
      </w:r>
      <w:bookmarkEnd w:id="43"/>
      <w:bookmarkEnd w:id="44"/>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本合同由甲乙双方签字盖章后生效。</w:t>
      </w:r>
    </w:p>
    <w:p>
      <w:pPr>
        <w:snapToGrid w:val="0"/>
        <w:spacing w:line="360" w:lineRule="auto"/>
        <w:jc w:val="both"/>
        <w:rPr>
          <w:rFonts w:hint="eastAsia" w:ascii="仿宋" w:hAnsi="仿宋" w:eastAsia="仿宋" w:cs="仿宋"/>
          <w:b/>
          <w:color w:val="auto"/>
          <w:sz w:val="24"/>
          <w:szCs w:val="24"/>
        </w:rPr>
      </w:pPr>
      <w:bookmarkStart w:id="45" w:name="_Toc462068971"/>
      <w:bookmarkStart w:id="46" w:name="_Toc417386179"/>
      <w:r>
        <w:rPr>
          <w:rFonts w:hint="eastAsia" w:ascii="仿宋" w:hAnsi="仿宋" w:eastAsia="仿宋" w:cs="仿宋"/>
          <w:b/>
          <w:color w:val="auto"/>
          <w:sz w:val="24"/>
          <w:szCs w:val="24"/>
          <w:lang w:val="en-US" w:eastAsia="zh-CN"/>
        </w:rPr>
        <w:t>十一</w:t>
      </w:r>
      <w:r>
        <w:rPr>
          <w:rFonts w:hint="eastAsia" w:ascii="仿宋" w:hAnsi="仿宋" w:eastAsia="仿宋" w:cs="仿宋"/>
          <w:b/>
          <w:color w:val="auto"/>
          <w:sz w:val="24"/>
          <w:szCs w:val="24"/>
        </w:rPr>
        <w:t>、合同鉴证</w:t>
      </w:r>
      <w:bookmarkEnd w:id="45"/>
      <w:bookmarkEnd w:id="46"/>
    </w:p>
    <w:p>
      <w:pPr>
        <w:snapToGrid w:val="0"/>
        <w:spacing w:line="360" w:lineRule="auto"/>
        <w:ind w:firstLine="480" w:firstLineChars="200"/>
        <w:jc w:val="both"/>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仿宋" w:hAnsi="仿宋" w:eastAsia="仿宋" w:cs="仿宋"/>
          <w:b/>
          <w:color w:val="auto"/>
          <w:sz w:val="24"/>
          <w:szCs w:val="24"/>
        </w:rPr>
      </w:pPr>
      <w:bookmarkStart w:id="47" w:name="_Toc417386180"/>
      <w:bookmarkStart w:id="48" w:name="_Toc462068972"/>
      <w:r>
        <w:rPr>
          <w:rFonts w:hint="eastAsia" w:ascii="仿宋" w:hAnsi="仿宋" w:eastAsia="仿宋" w:cs="仿宋"/>
          <w:b/>
          <w:color w:val="auto"/>
          <w:sz w:val="24"/>
          <w:szCs w:val="24"/>
          <w:lang w:val="en-US" w:eastAsia="zh-CN"/>
        </w:rPr>
        <w:t>十二</w:t>
      </w:r>
      <w:r>
        <w:rPr>
          <w:rFonts w:hint="eastAsia" w:ascii="仿宋" w:hAnsi="仿宋" w:eastAsia="仿宋" w:cs="仿宋"/>
          <w:b/>
          <w:color w:val="auto"/>
          <w:sz w:val="24"/>
          <w:szCs w:val="24"/>
        </w:rPr>
        <w:t>、本合同的组成文件</w:t>
      </w:r>
      <w:bookmarkEnd w:id="47"/>
      <w:bookmarkEnd w:id="48"/>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1.合同通用条款和专用条款；</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2.招标文件、乙方的投标文件和评标时的澄清函（如有）；</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3.中标通知书；</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4.甲乙双方商定的其他必要文件。</w:t>
      </w:r>
    </w:p>
    <w:p>
      <w:pPr>
        <w:snapToGrid w:val="0"/>
        <w:spacing w:line="360" w:lineRule="auto"/>
        <w:ind w:firstLine="480" w:firstLineChars="200"/>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上述合同文件内容互为补充，如有不明确，由甲方负责解释。</w:t>
      </w:r>
    </w:p>
    <w:p>
      <w:pPr>
        <w:snapToGrid w:val="0"/>
        <w:spacing w:line="360" w:lineRule="auto"/>
        <w:jc w:val="both"/>
        <w:rPr>
          <w:rFonts w:hint="eastAsia" w:ascii="仿宋" w:hAnsi="仿宋" w:eastAsia="仿宋" w:cs="仿宋"/>
          <w:b/>
          <w:color w:val="auto"/>
          <w:sz w:val="24"/>
          <w:szCs w:val="24"/>
        </w:rPr>
      </w:pPr>
      <w:bookmarkStart w:id="49" w:name="_Toc462068973"/>
      <w:bookmarkStart w:id="50" w:name="_Toc417386181"/>
      <w:r>
        <w:rPr>
          <w:rFonts w:hint="eastAsia" w:ascii="仿宋" w:hAnsi="仿宋" w:eastAsia="仿宋" w:cs="仿宋"/>
          <w:b/>
          <w:color w:val="auto"/>
          <w:sz w:val="24"/>
          <w:szCs w:val="24"/>
          <w:lang w:val="en-US" w:eastAsia="zh-CN"/>
        </w:rPr>
        <w:t>十三</w:t>
      </w:r>
      <w:r>
        <w:rPr>
          <w:rFonts w:hint="eastAsia" w:ascii="仿宋" w:hAnsi="仿宋" w:eastAsia="仿宋" w:cs="仿宋"/>
          <w:b/>
          <w:color w:val="auto"/>
          <w:sz w:val="24"/>
          <w:szCs w:val="24"/>
        </w:rPr>
        <w:t>、合同备案</w:t>
      </w:r>
      <w:bookmarkEnd w:id="49"/>
      <w:bookmarkEnd w:id="50"/>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bCs/>
          <w:color w:val="auto"/>
          <w:sz w:val="24"/>
          <w:szCs w:val="24"/>
        </w:rPr>
        <w:t>本合同一式</w:t>
      </w:r>
      <w:r>
        <w:rPr>
          <w:rFonts w:hint="eastAsia" w:ascii="仿宋" w:hAnsi="仿宋" w:eastAsia="仿宋" w:cs="仿宋"/>
          <w:bCs/>
          <w:color w:val="auto"/>
          <w:sz w:val="24"/>
          <w:szCs w:val="24"/>
          <w:lang w:val="en-US" w:eastAsia="zh-CN"/>
        </w:rPr>
        <w:t>三</w:t>
      </w:r>
      <w:r>
        <w:rPr>
          <w:rFonts w:hint="eastAsia" w:ascii="仿宋" w:hAnsi="仿宋" w:eastAsia="仿宋" w:cs="仿宋"/>
          <w:bCs/>
          <w:color w:val="auto"/>
          <w:sz w:val="24"/>
          <w:szCs w:val="24"/>
        </w:rPr>
        <w:t>份，中文书写。甲方</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乙方</w:t>
      </w:r>
      <w:r>
        <w:rPr>
          <w:rFonts w:hint="eastAsia" w:ascii="仿宋" w:hAnsi="仿宋" w:eastAsia="仿宋" w:cs="仿宋"/>
          <w:bCs/>
          <w:color w:val="auto"/>
          <w:sz w:val="24"/>
          <w:szCs w:val="24"/>
          <w:lang w:val="en-US" w:eastAsia="zh-CN"/>
        </w:rPr>
        <w:t>和</w:t>
      </w:r>
      <w:r>
        <w:rPr>
          <w:rFonts w:hint="eastAsia" w:ascii="仿宋" w:hAnsi="仿宋" w:eastAsia="仿宋" w:cs="仿宋"/>
          <w:bCs/>
          <w:color w:val="auto"/>
          <w:sz w:val="24"/>
          <w:szCs w:val="24"/>
          <w:lang w:eastAsia="zh-CN"/>
        </w:rPr>
        <w:t>采购代理机构</w:t>
      </w:r>
      <w:r>
        <w:rPr>
          <w:rFonts w:hint="eastAsia" w:ascii="仿宋" w:hAnsi="仿宋" w:eastAsia="仿宋" w:cs="仿宋"/>
          <w:bCs/>
          <w:color w:val="auto"/>
          <w:sz w:val="24"/>
          <w:szCs w:val="24"/>
        </w:rPr>
        <w:t>执</w:t>
      </w:r>
      <w:r>
        <w:rPr>
          <w:rFonts w:hint="eastAsia" w:ascii="仿宋" w:hAnsi="仿宋" w:eastAsia="仿宋" w:cs="仿宋"/>
          <w:bCs/>
          <w:color w:val="auto"/>
          <w:sz w:val="24"/>
          <w:szCs w:val="24"/>
          <w:lang w:val="en-US" w:eastAsia="zh-CN"/>
        </w:rPr>
        <w:t>一</w:t>
      </w:r>
      <w:r>
        <w:rPr>
          <w:rFonts w:hint="eastAsia" w:ascii="仿宋" w:hAnsi="仿宋" w:eastAsia="仿宋" w:cs="仿宋"/>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仿宋" w:hAnsi="仿宋" w:eastAsia="仿宋" w:cs="仿宋"/>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b/>
          <w:color w:val="auto"/>
          <w:sz w:val="24"/>
          <w:szCs w:val="24"/>
        </w:rPr>
        <w:t>甲方：</w:t>
      </w:r>
      <w:r>
        <w:rPr>
          <w:rFonts w:hint="eastAsia" w:ascii="仿宋" w:hAnsi="仿宋" w:eastAsia="仿宋" w:cs="仿宋"/>
          <w:b/>
          <w:color w:val="auto"/>
          <w:sz w:val="24"/>
          <w:szCs w:val="24"/>
          <w:u w:val="single"/>
        </w:rPr>
        <w:t xml:space="preserve">                   （盖章）</w:t>
      </w:r>
      <w:r>
        <w:rPr>
          <w:rFonts w:hint="eastAsia" w:ascii="仿宋" w:hAnsi="仿宋" w:eastAsia="仿宋" w:cs="仿宋"/>
          <w:b/>
          <w:color w:val="auto"/>
          <w:sz w:val="24"/>
          <w:szCs w:val="24"/>
        </w:rPr>
        <w:t xml:space="preserve">      乙方：</w:t>
      </w:r>
      <w:r>
        <w:rPr>
          <w:rFonts w:hint="eastAsia" w:ascii="仿宋" w:hAnsi="仿宋" w:eastAsia="仿宋" w:cs="仿宋"/>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法定（或授权）代表人：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法定（或授权）代表人：</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开户行：</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开户行：</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户名：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户名：</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账</w:t>
      </w:r>
      <w:r>
        <w:rPr>
          <w:rFonts w:hint="eastAsia" w:ascii="仿宋" w:hAnsi="仿宋" w:eastAsia="仿宋" w:cs="仿宋"/>
          <w:color w:val="auto"/>
          <w:sz w:val="24"/>
          <w:szCs w:val="24"/>
        </w:rPr>
        <w:t>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账</w:t>
      </w:r>
      <w:r>
        <w:rPr>
          <w:rFonts w:hint="eastAsia" w:ascii="仿宋" w:hAnsi="仿宋" w:eastAsia="仿宋" w:cs="仿宋"/>
          <w:color w:val="auto"/>
          <w:sz w:val="24"/>
          <w:szCs w:val="24"/>
        </w:rPr>
        <w:t>号：</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日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b/>
          <w:color w:val="auto"/>
          <w:sz w:val="24"/>
          <w:szCs w:val="24"/>
        </w:rPr>
      </w:pPr>
      <w:r>
        <w:rPr>
          <w:rFonts w:hint="eastAsia" w:ascii="仿宋" w:hAnsi="仿宋" w:eastAsia="仿宋" w:cs="仿宋"/>
          <w:b/>
          <w:color w:val="auto"/>
          <w:sz w:val="24"/>
          <w:szCs w:val="24"/>
        </w:rPr>
        <w:t> </w:t>
      </w:r>
    </w:p>
    <w:p>
      <w:pPr>
        <w:snapToGrid w:val="0"/>
        <w:spacing w:line="360" w:lineRule="auto"/>
        <w:ind w:firstLine="425"/>
        <w:jc w:val="center"/>
        <w:outlineLvl w:val="0"/>
        <w:rPr>
          <w:rFonts w:hint="eastAsia" w:ascii="仿宋" w:hAnsi="仿宋" w:eastAsia="仿宋" w:cs="仿宋"/>
          <w:b/>
          <w:color w:val="auto"/>
          <w:sz w:val="24"/>
          <w:szCs w:val="24"/>
        </w:rPr>
        <w:sectPr>
          <w:footerReference r:id="rId7"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bookmarkStart w:id="51" w:name="_Toc14733"/>
      <w:r>
        <w:rPr>
          <w:rFonts w:hint="eastAsia" w:ascii="仿宋" w:hAnsi="仿宋" w:eastAsia="仿宋" w:cs="仿宋"/>
          <w:b/>
          <w:color w:val="auto"/>
          <w:sz w:val="44"/>
          <w:szCs w:val="44"/>
        </w:rPr>
        <w:t xml:space="preserve">第五章 </w:t>
      </w:r>
      <w:bookmarkEnd w:id="34"/>
      <w:r>
        <w:rPr>
          <w:rFonts w:hint="eastAsia" w:ascii="仿宋" w:hAnsi="仿宋" w:eastAsia="仿宋" w:cs="仿宋"/>
          <w:b/>
          <w:color w:val="auto"/>
          <w:sz w:val="44"/>
          <w:szCs w:val="44"/>
        </w:rPr>
        <w:t>投标文件内容和格式</w:t>
      </w:r>
      <w:bookmarkEnd w:id="51"/>
    </w:p>
    <w:p>
      <w:pPr>
        <w:rPr>
          <w:rFonts w:hint="eastAsia" w:ascii="仿宋" w:hAnsi="仿宋" w:eastAsia="仿宋" w:cs="仿宋"/>
          <w:color w:val="auto"/>
        </w:rPr>
      </w:pP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请供应商按照以下文件要求的格式、内容制作</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文件，并按以下顺序编制目录及页码，否则可能将影响对</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文件的评价。</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函</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开标</w:t>
      </w:r>
      <w:r>
        <w:rPr>
          <w:rFonts w:hint="eastAsia" w:ascii="仿宋" w:hAnsi="仿宋" w:eastAsia="仿宋" w:cs="仿宋"/>
          <w:color w:val="auto"/>
          <w:sz w:val="24"/>
          <w:szCs w:val="24"/>
        </w:rPr>
        <w:t>一览表</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分项报价明细表</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采购需求响应表</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法定代表人证明书</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授权委托书</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8、申请人的资格要求</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、参加政府采购活动前三年内，在经营活动中没有重大违法记录的声明函</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10、参加政府采购活动前三年内，无环保类行政处罚记录（提供声明函）</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11、具备《中华人民共和国政府采购法》第二十二条规定条件的承诺书</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不存在与参加本项目采购活动的其他供应商单位负责人为同一人或者存在直接控股、管理关系的承诺函</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中小企业声明函（没有可不提供）</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14、监狱企业证明文件（没有可不提供）</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15、残疾人福利性单位声明函（没有可不提供）</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认为需要的其</w:t>
      </w:r>
      <w:r>
        <w:rPr>
          <w:rFonts w:hint="eastAsia" w:ascii="仿宋" w:hAnsi="仿宋" w:eastAsia="仿宋" w:cs="仿宋"/>
          <w:color w:val="auto"/>
          <w:sz w:val="24"/>
          <w:szCs w:val="24"/>
          <w:lang w:val="en-US" w:eastAsia="zh-CN"/>
        </w:rPr>
        <w:t>他</w:t>
      </w:r>
      <w:r>
        <w:rPr>
          <w:rFonts w:hint="eastAsia" w:ascii="仿宋" w:hAnsi="仿宋" w:eastAsia="仿宋" w:cs="仿宋"/>
          <w:color w:val="auto"/>
          <w:sz w:val="24"/>
          <w:szCs w:val="24"/>
        </w:rPr>
        <w:t>材料</w:t>
      </w:r>
    </w:p>
    <w:p>
      <w:pPr>
        <w:spacing w:line="500" w:lineRule="exact"/>
        <w:ind w:firstLine="480" w:firstLineChars="200"/>
        <w:rPr>
          <w:rFonts w:hint="eastAsia" w:ascii="仿宋" w:hAnsi="仿宋" w:eastAsia="仿宋" w:cs="仿宋"/>
          <w:color w:val="auto"/>
          <w:sz w:val="24"/>
          <w:szCs w:val="24"/>
        </w:rPr>
      </w:pPr>
    </w:p>
    <w:p>
      <w:pPr>
        <w:pStyle w:val="14"/>
        <w:ind w:right="482"/>
        <w:jc w:val="center"/>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52" w:name="_Toc171325099"/>
      <w:bookmarkStart w:id="53" w:name="_Toc264213368"/>
      <w:bookmarkStart w:id="54" w:name="_Toc264213369"/>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55" w:name="_Toc8061"/>
      <w:r>
        <w:rPr>
          <w:rFonts w:hint="eastAsia" w:ascii="仿宋" w:hAnsi="仿宋" w:eastAsia="仿宋" w:cs="仿宋"/>
          <w:color w:val="auto"/>
          <w:lang w:val="en-US" w:eastAsia="zh-CN"/>
        </w:rPr>
        <w:t>1</w:t>
      </w:r>
      <w:r>
        <w:rPr>
          <w:rFonts w:hint="eastAsia" w:ascii="仿宋" w:hAnsi="仿宋" w:eastAsia="仿宋" w:cs="仿宋"/>
          <w:color w:val="auto"/>
        </w:rPr>
        <w:t>、投标函</w:t>
      </w:r>
      <w:bookmarkEnd w:id="55"/>
    </w:p>
    <w:p>
      <w:pPr>
        <w:pStyle w:val="14"/>
        <w:rPr>
          <w:rFonts w:hint="eastAsia" w:ascii="仿宋" w:hAnsi="仿宋" w:eastAsia="仿宋" w:cs="仿宋"/>
          <w:color w:val="auto"/>
        </w:rPr>
      </w:pPr>
    </w:p>
    <w:p>
      <w:pPr>
        <w:snapToGrid w:val="0"/>
        <w:spacing w:before="19"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w:t>
      </w:r>
    </w:p>
    <w:p>
      <w:pPr>
        <w:spacing w:before="19"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根据贵司  </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u w:val="single"/>
          <w:lang w:eastAsia="zh-CN"/>
        </w:rPr>
        <w:t>项目</w:t>
      </w:r>
      <w:r>
        <w:rPr>
          <w:rFonts w:hint="eastAsia" w:ascii="仿宋" w:hAnsi="仿宋" w:eastAsia="仿宋" w:cs="仿宋"/>
          <w:color w:val="auto"/>
          <w:sz w:val="24"/>
          <w:szCs w:val="24"/>
          <w:u w:val="single"/>
        </w:rPr>
        <w:t>编号：       ）</w:t>
      </w:r>
      <w:r>
        <w:rPr>
          <w:rFonts w:hint="eastAsia" w:ascii="仿宋" w:hAnsi="仿宋" w:eastAsia="仿宋" w:cs="仿宋"/>
          <w:color w:val="auto"/>
          <w:sz w:val="24"/>
          <w:szCs w:val="24"/>
        </w:rPr>
        <w:t>的投标邀请函，正式授权下述签字人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（姓名和职务）代表投标人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（投标单位名称），提交投标书。</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根据此函，我们宣布同意如下：</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我方接受招标文件的所有的条款和规定。</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我方同意按照招标文件第二章“投标人须知”的规定，本投标文件的有效期为从投标截止日期起计算的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60</w:t>
      </w:r>
      <w:r>
        <w:rPr>
          <w:rFonts w:hint="eastAsia" w:ascii="仿宋" w:hAnsi="仿宋" w:eastAsia="仿宋" w:cs="仿宋"/>
          <w:color w:val="auto"/>
          <w:sz w:val="24"/>
          <w:szCs w:val="24"/>
          <w:u w:val="single"/>
        </w:rPr>
        <w:t>天</w:t>
      </w:r>
      <w:r>
        <w:rPr>
          <w:rFonts w:hint="eastAsia" w:ascii="仿宋" w:hAnsi="仿宋" w:eastAsia="仿宋" w:cs="仿宋"/>
          <w:color w:val="auto"/>
          <w:sz w:val="24"/>
          <w:szCs w:val="24"/>
        </w:rPr>
        <w:t>，在此期间，本投标文件将始终对我方具有约束力，并可随时被接受。</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如果我方中标，我方将支付本次招标的服务费。</w:t>
      </w:r>
    </w:p>
    <w:p>
      <w:pPr>
        <w:snapToGrid w:val="0"/>
        <w:spacing w:line="480" w:lineRule="exact"/>
        <w:ind w:firstLine="570"/>
        <w:rPr>
          <w:rFonts w:hint="eastAsia" w:ascii="仿宋" w:hAnsi="仿宋" w:eastAsia="仿宋" w:cs="仿宋"/>
          <w:color w:val="auto"/>
          <w:sz w:val="24"/>
          <w:szCs w:val="24"/>
        </w:rPr>
      </w:pPr>
    </w:p>
    <w:p>
      <w:pPr>
        <w:rPr>
          <w:rFonts w:hint="eastAsia" w:ascii="仿宋" w:hAnsi="仿宋" w:eastAsia="仿宋" w:cs="仿宋"/>
          <w:color w:val="auto"/>
        </w:rPr>
      </w:pPr>
    </w:p>
    <w:p>
      <w:pPr>
        <w:pStyle w:val="14"/>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rPr>
        <w:t>（盖章）</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14"/>
        <w:ind w:right="482"/>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56" w:name="_Toc24245"/>
      <w:r>
        <w:rPr>
          <w:rFonts w:hint="eastAsia" w:ascii="仿宋" w:hAnsi="仿宋" w:eastAsia="仿宋" w:cs="仿宋"/>
          <w:color w:val="auto"/>
          <w:lang w:val="en-US" w:eastAsia="zh-CN"/>
        </w:rPr>
        <w:t>2</w:t>
      </w:r>
      <w:r>
        <w:rPr>
          <w:rFonts w:hint="eastAsia" w:ascii="仿宋" w:hAnsi="仿宋" w:eastAsia="仿宋" w:cs="仿宋"/>
          <w:color w:val="auto"/>
        </w:rPr>
        <w:t>、开标一览表</w:t>
      </w:r>
      <w:bookmarkEnd w:id="56"/>
    </w:p>
    <w:p>
      <w:pPr>
        <w:spacing w:line="360" w:lineRule="auto"/>
        <w:rPr>
          <w:rFonts w:hint="eastAsia" w:ascii="仿宋" w:hAnsi="仿宋" w:eastAsia="仿宋" w:cs="仿宋"/>
          <w:color w:val="auto"/>
          <w:sz w:val="24"/>
          <w:szCs w:val="24"/>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16" w:type="dxa"/>
            <w:gridSpan w:val="2"/>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“好就业”--海口市大学生就业能力测评和生涯规划职业指导服务活动</w:t>
            </w:r>
          </w:p>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响应包号</w:t>
            </w: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第一包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vMerge w:val="restart"/>
            <w:noWrap w:val="0"/>
            <w:vAlign w:val="center"/>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投标总价（元）</w:t>
            </w: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小写：</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u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vMerge w:val="continue"/>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交付期/服务期/工期</w:t>
            </w: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6" w:type="dxa"/>
            <w:gridSpan w:val="2"/>
            <w:noWrap w:val="0"/>
            <w:vAlign w:val="top"/>
          </w:tcPr>
          <w:p>
            <w:pPr>
              <w:pStyle w:val="40"/>
              <w:keepNext w:val="0"/>
              <w:keepLines w:val="0"/>
              <w:widowControl/>
              <w:suppressLineNumbers w:val="0"/>
              <w:spacing w:line="23" w:lineRule="atLeast"/>
              <w:jc w:val="both"/>
              <w:rPr>
                <w:rFonts w:hint="eastAsia" w:ascii="仿宋" w:hAnsi="仿宋" w:eastAsia="仿宋" w:cs="仿宋"/>
                <w:color w:val="auto"/>
                <w:sz w:val="24"/>
                <w:szCs w:val="24"/>
                <w:u w:val="none"/>
                <w:vertAlign w:val="baseline"/>
                <w:lang w:val="en-US" w:eastAsia="zh-CN" w:bidi="ar-SA"/>
              </w:rPr>
            </w:pPr>
            <w:r>
              <w:rPr>
                <w:rFonts w:hint="eastAsia" w:ascii="仿宋" w:hAnsi="仿宋" w:eastAsia="仿宋" w:cs="仿宋"/>
                <w:color w:val="auto"/>
                <w:sz w:val="24"/>
                <w:szCs w:val="24"/>
                <w:u w:val="none"/>
                <w:vertAlign w:val="baseline"/>
                <w:lang w:val="en-US" w:eastAsia="zh-CN" w:bidi="ar-SA"/>
              </w:rPr>
              <w:t>注： 1.本表中的报价应与报价明细表中的报价一致。</w:t>
            </w:r>
          </w:p>
          <w:p>
            <w:pPr>
              <w:pStyle w:val="40"/>
              <w:keepNext w:val="0"/>
              <w:keepLines w:val="0"/>
              <w:widowControl/>
              <w:suppressLineNumbers w:val="0"/>
              <w:spacing w:line="23" w:lineRule="atLeast"/>
              <w:jc w:val="both"/>
              <w:rPr>
                <w:rFonts w:hint="eastAsia" w:ascii="仿宋" w:hAnsi="仿宋" w:eastAsia="仿宋" w:cs="仿宋"/>
                <w:color w:val="auto"/>
                <w:sz w:val="24"/>
                <w:szCs w:val="24"/>
                <w:u w:val="none"/>
                <w:vertAlign w:val="baseline"/>
                <w:lang w:val="en-US" w:eastAsia="zh-CN" w:bidi="ar-SA"/>
              </w:rPr>
            </w:pPr>
            <w:r>
              <w:rPr>
                <w:rFonts w:hint="eastAsia" w:ascii="仿宋" w:hAnsi="仿宋" w:eastAsia="仿宋" w:cs="仿宋"/>
                <w:color w:val="auto"/>
                <w:sz w:val="24"/>
                <w:szCs w:val="24"/>
                <w:u w:val="none"/>
                <w:vertAlign w:val="baseline"/>
                <w:lang w:val="en-US" w:eastAsia="zh-CN" w:bidi="ar-SA"/>
              </w:rPr>
              <w:t>2.投标人如果需要对其它内容加以说明，可在</w:t>
            </w:r>
            <w:r>
              <w:rPr>
                <w:rFonts w:hint="eastAsia" w:ascii="仿宋" w:hAnsi="仿宋" w:eastAsia="仿宋" w:cs="仿宋"/>
                <w:color w:val="auto"/>
                <w:sz w:val="24"/>
                <w:szCs w:val="24"/>
                <w:u w:val="none"/>
                <w:vertAlign w:val="baseline"/>
                <w:lang w:val="en-US" w:eastAsia="zh-CN"/>
              </w:rPr>
              <w:t>交付期/服务期/工期</w:t>
            </w:r>
            <w:r>
              <w:rPr>
                <w:rFonts w:hint="eastAsia" w:ascii="仿宋" w:hAnsi="仿宋" w:eastAsia="仿宋" w:cs="仿宋"/>
                <w:color w:val="auto"/>
                <w:sz w:val="24"/>
                <w:szCs w:val="24"/>
                <w:u w:val="none"/>
                <w:vertAlign w:val="baseline"/>
                <w:lang w:val="en-US" w:eastAsia="zh-CN" w:bidi="ar-SA"/>
              </w:rPr>
              <w:t xml:space="preserve">一栏中填写。 </w:t>
            </w:r>
          </w:p>
        </w:tc>
      </w:tr>
    </w:tbl>
    <w:p>
      <w:pPr>
        <w:spacing w:line="360" w:lineRule="auto"/>
        <w:rPr>
          <w:rFonts w:hint="eastAsia" w:ascii="仿宋" w:hAnsi="仿宋" w:eastAsia="仿宋" w:cs="仿宋"/>
          <w:color w:val="auto"/>
          <w:sz w:val="24"/>
          <w:szCs w:val="24"/>
          <w:u w:val="none"/>
          <w:lang w:val="en-US"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lang w:val="en-US" w:eastAsia="zh-CN"/>
        </w:rPr>
        <w:t>人名称</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rPr>
        <w:t>（盖章）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法定代表人（或授权代理人）：</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lang w:eastAsia="zh-CN"/>
        </w:rPr>
        <w:t xml:space="preserve">           </w:t>
      </w:r>
      <w:r>
        <w:rPr>
          <w:rFonts w:hint="eastAsia" w:ascii="仿宋" w:hAnsi="仿宋" w:eastAsia="仿宋" w:cs="仿宋"/>
          <w:b/>
          <w:bCs/>
          <w:color w:val="auto"/>
          <w:sz w:val="24"/>
          <w:szCs w:val="24"/>
          <w:u w:val="single"/>
          <w:lang w:val="en-US" w:eastAsia="zh-CN"/>
        </w:rPr>
        <w:t xml:space="preserve">   （签字或盖章）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日期：</w:t>
      </w:r>
      <w:r>
        <w:rPr>
          <w:rFonts w:hint="eastAsia" w:ascii="仿宋" w:hAnsi="仿宋" w:eastAsia="仿宋" w:cs="仿宋"/>
          <w:b/>
          <w:bCs/>
          <w:color w:val="auto"/>
          <w:sz w:val="24"/>
          <w:szCs w:val="24"/>
          <w:u w:val="single"/>
          <w:lang w:val="en-US" w:eastAsia="zh-CN"/>
        </w:rPr>
        <w:t xml:space="preserve">                    </w:t>
      </w:r>
    </w:p>
    <w:p>
      <w:pPr>
        <w:rPr>
          <w:rFonts w:hint="eastAsia" w:ascii="仿宋" w:hAnsi="仿宋" w:eastAsia="仿宋" w:cs="仿宋"/>
          <w:color w:val="auto"/>
          <w:sz w:val="24"/>
          <w:szCs w:val="24"/>
          <w:lang w:eastAsia="zh-CN"/>
        </w:rPr>
      </w:pPr>
    </w:p>
    <w:p>
      <w:pPr>
        <w:rPr>
          <w:rFonts w:hint="eastAsia" w:ascii="仿宋" w:hAnsi="仿宋" w:eastAsia="仿宋" w:cs="仿宋"/>
          <w:color w:val="auto"/>
          <w:sz w:val="24"/>
          <w:szCs w:val="24"/>
          <w:lang w:eastAsia="zh-CN"/>
        </w:rPr>
      </w:pPr>
    </w:p>
    <w:p>
      <w:pPr>
        <w:pStyle w:val="279"/>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注：</w:t>
      </w:r>
      <w:r>
        <w:rPr>
          <w:rFonts w:hint="eastAsia" w:ascii="仿宋" w:hAnsi="仿宋" w:eastAsia="仿宋" w:cs="仿宋"/>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279"/>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2.本项目投标报价超过采购预算（最高限价）的将视为无效投标。</w:t>
      </w:r>
    </w:p>
    <w:p>
      <w:pPr>
        <w:spacing w:before="19" w:line="360" w:lineRule="auto"/>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7" w:name="_Toc28135"/>
      <w:r>
        <w:rPr>
          <w:rFonts w:hint="eastAsia" w:ascii="仿宋" w:hAnsi="仿宋" w:eastAsia="仿宋" w:cs="仿宋"/>
          <w:color w:val="auto"/>
          <w:lang w:val="en-US" w:eastAsia="zh-CN"/>
        </w:rPr>
        <w:t>3、分项报价明细表</w:t>
      </w:r>
      <w:bookmarkEnd w:id="57"/>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before="19"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 xml:space="preserve"> </w:t>
      </w:r>
      <w:r>
        <w:rPr>
          <w:rFonts w:hint="eastAsia" w:ascii="仿宋" w:hAnsi="仿宋" w:eastAsia="仿宋" w:cs="仿宋"/>
          <w:color w:val="auto"/>
          <w:sz w:val="24"/>
          <w:szCs w:val="24"/>
          <w:u w:val="single"/>
        </w:rPr>
        <w:t xml:space="preserve">       </w:t>
      </w:r>
    </w:p>
    <w:tbl>
      <w:tblPr>
        <w:tblStyle w:val="45"/>
        <w:tblW w:w="967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325"/>
        <w:gridCol w:w="2656"/>
        <w:gridCol w:w="946"/>
        <w:gridCol w:w="1297"/>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rPr>
              <w:t>序号</w:t>
            </w:r>
          </w:p>
        </w:tc>
        <w:tc>
          <w:tcPr>
            <w:tcW w:w="2325"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lang w:val="en-US" w:eastAsia="zh-CN"/>
              </w:rPr>
              <w:t>服务品目</w:t>
            </w: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lang w:val="en-US" w:eastAsia="zh-CN"/>
              </w:rPr>
              <w:t>服务内容</w:t>
            </w: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rPr>
              <w:t>数量</w:t>
            </w:r>
          </w:p>
        </w:tc>
        <w:tc>
          <w:tcPr>
            <w:tcW w:w="1297"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lang w:val="en-US" w:eastAsia="zh-CN"/>
              </w:rPr>
              <w:t>单位</w:t>
            </w: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w:t>
            </w:r>
          </w:p>
        </w:tc>
        <w:tc>
          <w:tcPr>
            <w:tcW w:w="2325" w:type="dxa"/>
            <w:vAlign w:val="center"/>
          </w:tcPr>
          <w:p>
            <w:pPr>
              <w:widowControl w:val="0"/>
              <w:autoSpaceDE w:val="0"/>
              <w:autoSpaceDN w:val="0"/>
              <w:adjustRightInd w:val="0"/>
              <w:jc w:val="left"/>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zh-CN" w:eastAsia="zh-CN"/>
              </w:rPr>
              <w:t>职业测评和生涯规划活动</w:t>
            </w: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6</w:t>
            </w:r>
          </w:p>
        </w:tc>
        <w:tc>
          <w:tcPr>
            <w:tcW w:w="1297"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场</w:t>
            </w: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2</w:t>
            </w:r>
          </w:p>
        </w:tc>
        <w:tc>
          <w:tcPr>
            <w:tcW w:w="2325" w:type="dxa"/>
            <w:vAlign w:val="center"/>
          </w:tcPr>
          <w:p>
            <w:pPr>
              <w:widowControl w:val="0"/>
              <w:autoSpaceDE w:val="0"/>
              <w:autoSpaceDN w:val="0"/>
              <w:adjustRightInd w:val="0"/>
              <w:jc w:val="left"/>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zh-CN" w:eastAsia="zh-CN"/>
              </w:rPr>
              <w:t>公开课</w:t>
            </w: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24</w:t>
            </w:r>
          </w:p>
        </w:tc>
        <w:tc>
          <w:tcPr>
            <w:tcW w:w="1297"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场</w:t>
            </w: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3</w:t>
            </w:r>
          </w:p>
        </w:tc>
        <w:tc>
          <w:tcPr>
            <w:tcW w:w="2325" w:type="dxa"/>
            <w:vAlign w:val="center"/>
          </w:tcPr>
          <w:p>
            <w:pPr>
              <w:widowControl w:val="0"/>
              <w:autoSpaceDE w:val="0"/>
              <w:autoSpaceDN w:val="0"/>
              <w:adjustRightInd w:val="0"/>
              <w:jc w:val="left"/>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zh-CN" w:eastAsia="zh-CN"/>
              </w:rPr>
              <w:t>职业测评和生涯规划活动</w:t>
            </w: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1000</w:t>
            </w:r>
          </w:p>
        </w:tc>
        <w:tc>
          <w:tcPr>
            <w:tcW w:w="1297"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人</w:t>
            </w: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4</w:t>
            </w:r>
          </w:p>
        </w:tc>
        <w:tc>
          <w:tcPr>
            <w:tcW w:w="2325" w:type="dxa"/>
            <w:vAlign w:val="center"/>
          </w:tcPr>
          <w:p>
            <w:pPr>
              <w:widowControl w:val="0"/>
              <w:autoSpaceDE w:val="0"/>
              <w:autoSpaceDN w:val="0"/>
              <w:adjustRightInd w:val="0"/>
              <w:jc w:val="left"/>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其他</w:t>
            </w: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rPr>
            </w:pPr>
          </w:p>
        </w:tc>
        <w:tc>
          <w:tcPr>
            <w:tcW w:w="1297"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bl>
    <w:p>
      <w:pPr>
        <w:spacing w:before="19" w:line="360" w:lineRule="auto"/>
        <w:rPr>
          <w:rFonts w:hint="eastAsia" w:ascii="仿宋" w:hAnsi="仿宋" w:eastAsia="仿宋" w:cs="仿宋"/>
          <w:color w:val="auto"/>
          <w:sz w:val="24"/>
          <w:szCs w:val="24"/>
          <w:lang w:val="en-US" w:eastAsia="zh-CN"/>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（盖章）  </w:t>
      </w: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b/>
          <w:bCs/>
          <w:color w:val="auto"/>
          <w:sz w:val="24"/>
          <w:szCs w:val="24"/>
          <w:u w:val="single"/>
          <w:lang w:val="en-US" w:eastAsia="zh-CN"/>
        </w:rPr>
        <w:t>（签字或盖章）</w:t>
      </w:r>
    </w:p>
    <w:p>
      <w:pPr>
        <w:rPr>
          <w:rFonts w:hint="eastAsia" w:ascii="仿宋" w:hAnsi="仿宋" w:eastAsia="仿宋" w:cs="仿宋"/>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r>
        <w:rPr>
          <w:rFonts w:hint="eastAsia" w:ascii="仿宋" w:hAnsi="仿宋" w:eastAsia="仿宋" w:cs="仿宋"/>
          <w:b/>
          <w:color w:val="auto"/>
          <w:sz w:val="24"/>
          <w:szCs w:val="24"/>
        </w:rPr>
        <w:t>注: 1、</w:t>
      </w:r>
      <w:r>
        <w:rPr>
          <w:rFonts w:hint="eastAsia" w:ascii="仿宋" w:hAnsi="仿宋" w:eastAsia="仿宋" w:cs="仿宋"/>
          <w:b/>
          <w:color w:val="auto"/>
          <w:sz w:val="24"/>
          <w:szCs w:val="24"/>
          <w:lang w:val="en-US" w:eastAsia="zh-CN"/>
        </w:rPr>
        <w:t>投标人必须按“分项报价明细表”的格式详细报出投标总价的各个组成部分的报价，否则作无效投标处理。</w:t>
      </w:r>
    </w:p>
    <w:p>
      <w:pPr>
        <w:numPr>
          <w:ilvl w:val="0"/>
          <w:numId w:val="4"/>
        </w:numPr>
        <w:tabs>
          <w:tab w:val="left" w:pos="360"/>
        </w:tabs>
        <w:snapToGrid w:val="0"/>
        <w:spacing w:line="360" w:lineRule="auto"/>
        <w:ind w:left="-15" w:leftChars="-7" w:right="-119" w:firstLine="472" w:firstLineChars="196"/>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分项报价明细表</w:t>
      </w:r>
      <w:r>
        <w:rPr>
          <w:rFonts w:hint="eastAsia" w:ascii="仿宋" w:hAnsi="仿宋" w:eastAsia="仿宋" w:cs="仿宋"/>
          <w:b/>
          <w:color w:val="auto"/>
          <w:sz w:val="24"/>
          <w:szCs w:val="24"/>
        </w:rPr>
        <w:t>格式不得自行改动</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行数可以自行添加</w:t>
      </w:r>
      <w:r>
        <w:rPr>
          <w:rFonts w:hint="eastAsia" w:ascii="仿宋" w:hAnsi="仿宋" w:eastAsia="仿宋" w:cs="仿宋"/>
          <w:b/>
          <w:color w:val="auto"/>
          <w:sz w:val="24"/>
          <w:szCs w:val="24"/>
        </w:rPr>
        <w:t>。</w:t>
      </w:r>
    </w:p>
    <w:p>
      <w:pPr>
        <w:numPr>
          <w:ilvl w:val="0"/>
          <w:numId w:val="0"/>
        </w:numPr>
        <w:tabs>
          <w:tab w:val="left" w:pos="360"/>
        </w:tabs>
        <w:snapToGrid w:val="0"/>
        <w:spacing w:line="360" w:lineRule="auto"/>
        <w:ind w:right="-119" w:rightChars="0"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3、“分项报价明细表”各分项报价合计应当与“开标一览表”报价合计相等。</w:t>
      </w:r>
    </w:p>
    <w:p>
      <w:pPr>
        <w:pStyle w:val="14"/>
        <w:spacing w:line="440" w:lineRule="exact"/>
        <w:ind w:firstLine="0"/>
        <w:rPr>
          <w:rFonts w:hint="eastAsia" w:ascii="仿宋" w:hAnsi="仿宋" w:eastAsia="仿宋" w:cs="仿宋"/>
          <w:bCs/>
          <w:color w:val="auto"/>
          <w:sz w:val="24"/>
          <w:szCs w:val="24"/>
        </w:rPr>
      </w:pPr>
      <w:r>
        <w:rPr>
          <w:rFonts w:hint="eastAsia" w:ascii="仿宋" w:hAnsi="仿宋" w:eastAsia="仿宋" w:cs="仿宋"/>
          <w:bCs/>
          <w:color w:val="auto"/>
          <w:sz w:val="24"/>
          <w:szCs w:val="24"/>
        </w:rPr>
        <w:t>　　　　　　　　</w:t>
      </w:r>
      <w:bookmarkEnd w:id="52"/>
      <w:bookmarkEnd w:id="53"/>
      <w:bookmarkStart w:id="58" w:name="_Toc264213367"/>
    </w:p>
    <w:p>
      <w:pPr>
        <w:pStyle w:val="14"/>
        <w:spacing w:line="440" w:lineRule="exact"/>
        <w:ind w:firstLine="0"/>
        <w:rPr>
          <w:rFonts w:hint="eastAsia" w:ascii="仿宋" w:hAnsi="仿宋" w:eastAsia="仿宋" w:cs="仿宋"/>
          <w:bCs/>
          <w:color w:val="auto"/>
          <w:sz w:val="24"/>
          <w:szCs w:val="24"/>
        </w:rPr>
      </w:pPr>
    </w:p>
    <w:p>
      <w:pPr>
        <w:pStyle w:val="14"/>
        <w:spacing w:line="440" w:lineRule="exact"/>
        <w:ind w:firstLine="0"/>
        <w:rPr>
          <w:rFonts w:hint="eastAsia" w:ascii="仿宋" w:hAnsi="仿宋" w:eastAsia="仿宋" w:cs="仿宋"/>
          <w:bCs/>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9" w:name="_Toc14833"/>
      <w:r>
        <w:rPr>
          <w:rFonts w:hint="eastAsia" w:ascii="仿宋" w:hAnsi="仿宋" w:eastAsia="仿宋" w:cs="仿宋"/>
          <w:color w:val="auto"/>
          <w:lang w:val="en-US" w:eastAsia="zh-CN"/>
        </w:rPr>
        <w:t>4、采购需求响应表</w:t>
      </w:r>
      <w:bookmarkEnd w:id="59"/>
    </w:p>
    <w:p>
      <w:pPr>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b/>
          <w:color w:val="auto"/>
          <w:sz w:val="24"/>
          <w:szCs w:val="24"/>
          <w:u w:val="single"/>
        </w:rPr>
      </w:pPr>
      <w:r>
        <w:rPr>
          <w:rFonts w:hint="eastAsia" w:ascii="仿宋" w:hAnsi="仿宋" w:eastAsia="仿宋" w:cs="仿宋"/>
          <w:color w:val="auto"/>
          <w:sz w:val="24"/>
          <w:szCs w:val="24"/>
        </w:rPr>
        <w:t>说明：投标人必须仔细阅读招标文件中所有“</w:t>
      </w:r>
      <w:r>
        <w:rPr>
          <w:rFonts w:hint="eastAsia" w:ascii="仿宋" w:hAnsi="仿宋" w:eastAsia="仿宋" w:cs="仿宋"/>
          <w:color w:val="auto"/>
          <w:sz w:val="24"/>
          <w:szCs w:val="24"/>
          <w:lang w:eastAsia="zh-CN"/>
        </w:rPr>
        <w:t>采购需求</w:t>
      </w:r>
      <w:r>
        <w:rPr>
          <w:rFonts w:hint="eastAsia" w:ascii="仿宋" w:hAnsi="仿宋" w:eastAsia="仿宋" w:cs="仿宋"/>
          <w:color w:val="auto"/>
          <w:sz w:val="24"/>
          <w:szCs w:val="24"/>
        </w:rPr>
        <w:t>”中的</w:t>
      </w:r>
      <w:r>
        <w:rPr>
          <w:rFonts w:hint="eastAsia" w:ascii="仿宋" w:hAnsi="仿宋" w:eastAsia="仿宋" w:cs="仿宋"/>
          <w:color w:val="auto"/>
          <w:sz w:val="24"/>
        </w:rPr>
        <w:t>技术</w:t>
      </w:r>
      <w:r>
        <w:rPr>
          <w:rFonts w:hint="eastAsia" w:ascii="仿宋" w:hAnsi="仿宋" w:eastAsia="仿宋" w:cs="仿宋"/>
          <w:color w:val="auto"/>
          <w:sz w:val="24"/>
          <w:lang w:eastAsia="zh-CN"/>
        </w:rPr>
        <w:t>（服务）要求</w:t>
      </w:r>
      <w:r>
        <w:rPr>
          <w:rFonts w:hint="eastAsia" w:ascii="仿宋" w:hAnsi="仿宋" w:eastAsia="仿宋" w:cs="仿宋"/>
          <w:color w:val="auto"/>
          <w:sz w:val="24"/>
        </w:rPr>
        <w:t>、相关功能要求</w:t>
      </w:r>
      <w:r>
        <w:rPr>
          <w:rFonts w:hint="eastAsia" w:ascii="仿宋" w:hAnsi="仿宋" w:eastAsia="仿宋" w:cs="仿宋"/>
          <w:color w:val="auto"/>
          <w:sz w:val="24"/>
          <w:lang w:eastAsia="zh-CN"/>
        </w:rPr>
        <w:t>、商务要求</w:t>
      </w:r>
      <w:r>
        <w:rPr>
          <w:rFonts w:hint="eastAsia" w:ascii="仿宋" w:hAnsi="仿宋" w:eastAsia="仿宋" w:cs="仿宋"/>
          <w:color w:val="auto"/>
          <w:sz w:val="24"/>
        </w:rPr>
        <w:t>等</w:t>
      </w:r>
      <w:r>
        <w:rPr>
          <w:rFonts w:hint="eastAsia" w:ascii="仿宋" w:hAnsi="仿宋" w:eastAsia="仿宋" w:cs="仿宋"/>
          <w:color w:val="auto"/>
          <w:sz w:val="24"/>
          <w:lang w:eastAsia="zh-CN"/>
        </w:rPr>
        <w:t>内容</w:t>
      </w:r>
      <w:r>
        <w:rPr>
          <w:rFonts w:hint="eastAsia" w:ascii="仿宋" w:hAnsi="仿宋" w:eastAsia="仿宋" w:cs="仿宋"/>
          <w:color w:val="auto"/>
          <w:sz w:val="24"/>
          <w:szCs w:val="24"/>
        </w:rPr>
        <w:t>，并对所有</w:t>
      </w:r>
      <w:r>
        <w:rPr>
          <w:rFonts w:hint="eastAsia" w:ascii="仿宋" w:hAnsi="仿宋" w:eastAsia="仿宋" w:cs="仿宋"/>
          <w:color w:val="auto"/>
          <w:sz w:val="24"/>
        </w:rPr>
        <w:t>技术</w:t>
      </w:r>
      <w:r>
        <w:rPr>
          <w:rFonts w:hint="eastAsia" w:ascii="仿宋" w:hAnsi="仿宋" w:eastAsia="仿宋" w:cs="仿宋"/>
          <w:color w:val="auto"/>
          <w:sz w:val="24"/>
          <w:lang w:eastAsia="zh-CN"/>
        </w:rPr>
        <w:t>（服务）要求</w:t>
      </w:r>
      <w:r>
        <w:rPr>
          <w:rFonts w:hint="eastAsia" w:ascii="仿宋" w:hAnsi="仿宋" w:eastAsia="仿宋" w:cs="仿宋"/>
          <w:color w:val="auto"/>
          <w:sz w:val="24"/>
        </w:rPr>
        <w:t>、相关功能要求</w:t>
      </w:r>
      <w:r>
        <w:rPr>
          <w:rFonts w:hint="eastAsia" w:ascii="仿宋" w:hAnsi="仿宋" w:eastAsia="仿宋" w:cs="仿宋"/>
          <w:color w:val="auto"/>
          <w:sz w:val="24"/>
          <w:lang w:eastAsia="zh-CN"/>
        </w:rPr>
        <w:t>、商务要求</w:t>
      </w:r>
      <w:r>
        <w:rPr>
          <w:rFonts w:hint="eastAsia" w:ascii="仿宋" w:hAnsi="仿宋" w:eastAsia="仿宋" w:cs="仿宋"/>
          <w:color w:val="auto"/>
          <w:sz w:val="24"/>
        </w:rPr>
        <w:t>等</w:t>
      </w:r>
      <w:r>
        <w:rPr>
          <w:rFonts w:hint="eastAsia" w:ascii="仿宋" w:hAnsi="仿宋" w:eastAsia="仿宋" w:cs="仿宋"/>
          <w:color w:val="auto"/>
          <w:sz w:val="24"/>
          <w:szCs w:val="24"/>
        </w:rPr>
        <w:t>列入下表，未列入下表的视作投标人不响应。</w:t>
      </w:r>
      <w:r>
        <w:rPr>
          <w:rFonts w:hint="eastAsia" w:ascii="仿宋" w:hAnsi="仿宋" w:eastAsia="仿宋" w:cs="仿宋"/>
          <w:b/>
          <w:color w:val="auto"/>
          <w:sz w:val="24"/>
          <w:szCs w:val="24"/>
          <w:u w:val="single"/>
        </w:rPr>
        <w:t>投标人必须根据所投产品</w:t>
      </w:r>
      <w:r>
        <w:rPr>
          <w:rFonts w:hint="eastAsia" w:ascii="仿宋" w:hAnsi="仿宋" w:eastAsia="仿宋" w:cs="仿宋"/>
          <w:b/>
          <w:color w:val="auto"/>
          <w:sz w:val="24"/>
          <w:u w:val="single"/>
          <w:lang w:eastAsia="zh-CN"/>
        </w:rPr>
        <w:t>、</w:t>
      </w:r>
      <w:r>
        <w:rPr>
          <w:rFonts w:hint="eastAsia" w:ascii="仿宋" w:hAnsi="仿宋" w:eastAsia="仿宋" w:cs="仿宋"/>
          <w:b/>
          <w:color w:val="auto"/>
          <w:sz w:val="24"/>
          <w:u w:val="single"/>
          <w:lang w:val="en-US" w:eastAsia="zh-CN"/>
        </w:rPr>
        <w:t>服务内容</w:t>
      </w:r>
      <w:r>
        <w:rPr>
          <w:rFonts w:hint="eastAsia" w:ascii="仿宋" w:hAnsi="仿宋" w:eastAsia="仿宋" w:cs="仿宋"/>
          <w:b/>
          <w:color w:val="auto"/>
          <w:sz w:val="24"/>
          <w:szCs w:val="24"/>
          <w:u w:val="single"/>
        </w:rPr>
        <w:t>的实际情况如实填写，</w:t>
      </w:r>
      <w:r>
        <w:rPr>
          <w:rFonts w:hint="eastAsia" w:ascii="仿宋" w:hAnsi="仿宋" w:eastAsia="仿宋" w:cs="仿宋"/>
          <w:b/>
          <w:color w:val="auto"/>
          <w:sz w:val="24"/>
          <w:szCs w:val="24"/>
          <w:u w:val="single"/>
          <w:lang w:eastAsia="zh-CN"/>
        </w:rPr>
        <w:t>采购人</w:t>
      </w:r>
      <w:r>
        <w:rPr>
          <w:rFonts w:hint="eastAsia" w:ascii="仿宋" w:hAnsi="仿宋" w:eastAsia="仿宋" w:cs="仿宋"/>
          <w:b/>
          <w:color w:val="auto"/>
          <w:sz w:val="24"/>
          <w:szCs w:val="24"/>
          <w:u w:val="single"/>
        </w:rPr>
        <w:t>有权要求投标</w:t>
      </w:r>
      <w:r>
        <w:rPr>
          <w:rFonts w:hint="eastAsia" w:ascii="仿宋" w:hAnsi="仿宋" w:eastAsia="仿宋" w:cs="仿宋"/>
          <w:b/>
          <w:color w:val="auto"/>
          <w:sz w:val="24"/>
          <w:szCs w:val="24"/>
          <w:u w:val="single"/>
          <w:lang w:eastAsia="zh-CN"/>
        </w:rPr>
        <w:t>人</w:t>
      </w:r>
      <w:r>
        <w:rPr>
          <w:rFonts w:hint="eastAsia" w:ascii="仿宋" w:hAnsi="仿宋" w:eastAsia="仿宋" w:cs="仿宋"/>
          <w:b/>
          <w:color w:val="auto"/>
          <w:sz w:val="24"/>
          <w:szCs w:val="24"/>
          <w:u w:val="single"/>
        </w:rPr>
        <w:t>在投标后进行产品测试，评委会如发现有虚假描述的，该投标文件作废标处理，并报政府采购主管部门严肃处理。</w:t>
      </w:r>
    </w:p>
    <w:tbl>
      <w:tblPr>
        <w:tblStyle w:val="4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项目/产品</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招标文件技术</w:t>
            </w:r>
            <w:r>
              <w:rPr>
                <w:rFonts w:hint="eastAsia" w:ascii="仿宋" w:hAnsi="仿宋" w:eastAsia="仿宋" w:cs="仿宋"/>
                <w:b/>
                <w:bCs/>
                <w:color w:val="auto"/>
                <w:szCs w:val="21"/>
                <w:lang w:eastAsia="zh-CN"/>
              </w:rPr>
              <w:t>（服务）</w:t>
            </w:r>
            <w:r>
              <w:rPr>
                <w:rFonts w:hint="eastAsia" w:ascii="仿宋" w:hAnsi="仿宋" w:eastAsia="仿宋" w:cs="仿宋"/>
                <w:b/>
                <w:bCs/>
                <w:color w:val="auto"/>
                <w:szCs w:val="21"/>
              </w:rPr>
              <w:t>/</w:t>
            </w:r>
            <w:r>
              <w:rPr>
                <w:rFonts w:hint="eastAsia" w:ascii="仿宋" w:hAnsi="仿宋" w:eastAsia="仿宋" w:cs="仿宋"/>
                <w:b/>
                <w:bCs/>
                <w:color w:val="auto"/>
                <w:szCs w:val="21"/>
                <w:lang w:eastAsia="zh-CN"/>
              </w:rPr>
              <w:t>相关</w:t>
            </w:r>
            <w:r>
              <w:rPr>
                <w:rFonts w:hint="eastAsia" w:ascii="仿宋" w:hAnsi="仿宋" w:eastAsia="仿宋" w:cs="仿宋"/>
                <w:b/>
                <w:bCs/>
                <w:color w:val="auto"/>
                <w:szCs w:val="21"/>
              </w:rPr>
              <w:t>功能/</w:t>
            </w:r>
            <w:r>
              <w:rPr>
                <w:rFonts w:hint="eastAsia" w:ascii="仿宋" w:hAnsi="仿宋" w:eastAsia="仿宋" w:cs="仿宋"/>
                <w:b/>
                <w:bCs/>
                <w:color w:val="auto"/>
                <w:szCs w:val="21"/>
                <w:lang w:eastAsia="zh-CN"/>
              </w:rPr>
              <w:t>商务等</w:t>
            </w:r>
            <w:r>
              <w:rPr>
                <w:rFonts w:hint="eastAsia" w:ascii="仿宋" w:hAnsi="仿宋" w:eastAsia="仿宋" w:cs="仿宋"/>
                <w:b/>
                <w:bCs/>
                <w:color w:val="auto"/>
                <w:szCs w:val="21"/>
              </w:rPr>
              <w:t>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Cs w:val="21"/>
              </w:rPr>
              <w:t>投标</w:t>
            </w:r>
            <w:r>
              <w:rPr>
                <w:rFonts w:hint="eastAsia" w:ascii="仿宋" w:hAnsi="仿宋" w:eastAsia="仿宋" w:cs="仿宋"/>
                <w:b/>
                <w:bCs/>
                <w:color w:val="auto"/>
                <w:szCs w:val="21"/>
                <w:lang w:eastAsia="zh-CN"/>
              </w:rPr>
              <w:t>文件</w:t>
            </w:r>
            <w:r>
              <w:rPr>
                <w:rFonts w:hint="eastAsia" w:ascii="仿宋" w:hAnsi="仿宋" w:eastAsia="仿宋" w:cs="仿宋"/>
                <w:b/>
                <w:bCs/>
                <w:color w:val="auto"/>
                <w:szCs w:val="21"/>
              </w:rPr>
              <w:t>技术</w:t>
            </w:r>
            <w:r>
              <w:rPr>
                <w:rFonts w:hint="eastAsia" w:ascii="仿宋" w:hAnsi="仿宋" w:eastAsia="仿宋" w:cs="仿宋"/>
                <w:b/>
                <w:bCs/>
                <w:color w:val="auto"/>
                <w:szCs w:val="21"/>
                <w:lang w:eastAsia="zh-CN"/>
              </w:rPr>
              <w:t>（服务）</w:t>
            </w:r>
            <w:r>
              <w:rPr>
                <w:rFonts w:hint="eastAsia" w:ascii="仿宋" w:hAnsi="仿宋" w:eastAsia="仿宋" w:cs="仿宋"/>
                <w:b/>
                <w:bCs/>
                <w:color w:val="auto"/>
                <w:szCs w:val="21"/>
              </w:rPr>
              <w:t>/</w:t>
            </w:r>
            <w:r>
              <w:rPr>
                <w:rFonts w:hint="eastAsia" w:ascii="仿宋" w:hAnsi="仿宋" w:eastAsia="仿宋" w:cs="仿宋"/>
                <w:b/>
                <w:bCs/>
                <w:color w:val="auto"/>
                <w:szCs w:val="21"/>
                <w:lang w:eastAsia="zh-CN"/>
              </w:rPr>
              <w:t>相关</w:t>
            </w:r>
            <w:r>
              <w:rPr>
                <w:rFonts w:hint="eastAsia" w:ascii="仿宋" w:hAnsi="仿宋" w:eastAsia="仿宋" w:cs="仿宋"/>
                <w:b/>
                <w:bCs/>
                <w:color w:val="auto"/>
                <w:szCs w:val="21"/>
              </w:rPr>
              <w:t>功能/</w:t>
            </w:r>
            <w:r>
              <w:rPr>
                <w:rFonts w:hint="eastAsia" w:ascii="仿宋" w:hAnsi="仿宋" w:eastAsia="仿宋" w:cs="仿宋"/>
                <w:b/>
                <w:bCs/>
                <w:color w:val="auto"/>
                <w:szCs w:val="21"/>
                <w:lang w:eastAsia="zh-CN"/>
              </w:rPr>
              <w:t>商务等内容</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Cs/>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w:t>
      </w:r>
      <w:r>
        <w:rPr>
          <w:rFonts w:hint="eastAsia" w:ascii="仿宋" w:hAnsi="仿宋" w:eastAsia="仿宋" w:cs="仿宋"/>
          <w:bCs/>
          <w:color w:val="auto"/>
          <w:sz w:val="24"/>
          <w:szCs w:val="24"/>
        </w:rPr>
        <w:t>称：</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（盖章）  </w:t>
      </w:r>
      <w:r>
        <w:rPr>
          <w:rFonts w:hint="eastAsia" w:ascii="仿宋" w:hAnsi="仿宋" w:eastAsia="仿宋" w:cs="仿宋"/>
          <w:bCs/>
          <w:color w:val="auto"/>
          <w:sz w:val="24"/>
          <w:szCs w:val="24"/>
        </w:rPr>
        <w:t xml:space="preserve">                   授权代表：</w:t>
      </w:r>
      <w:r>
        <w:rPr>
          <w:rFonts w:hint="eastAsia" w:ascii="仿宋" w:hAnsi="仿宋" w:eastAsia="仿宋" w:cs="仿宋"/>
          <w:b/>
          <w:bCs/>
          <w:color w:val="auto"/>
          <w:sz w:val="24"/>
          <w:szCs w:val="24"/>
          <w:u w:val="single"/>
          <w:lang w:val="en-US" w:eastAsia="zh-CN"/>
        </w:rPr>
        <w:t>（签字或盖章）</w:t>
      </w:r>
    </w:p>
    <w:p>
      <w:pPr>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
          <w:color w:val="auto"/>
          <w:sz w:val="24"/>
          <w:szCs w:val="24"/>
          <w:u w:val="single"/>
        </w:rPr>
        <w:t>此表后面按响应顺序附上第三章中要求的各产品资质文件、检测报告等复印件</w:t>
      </w:r>
      <w:r>
        <w:rPr>
          <w:rFonts w:hint="eastAsia" w:ascii="仿宋" w:hAnsi="仿宋" w:eastAsia="仿宋" w:cs="仿宋"/>
          <w:b/>
          <w:color w:val="auto"/>
          <w:sz w:val="24"/>
          <w:szCs w:val="24"/>
        </w:rPr>
        <w:t>（如有），否则视为不满足</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3、偏离情况说明分正偏离、完全响应、负偏离，分别表示优于要求、满足要求、不满足要求。</w:t>
      </w:r>
      <w:r>
        <w:rPr>
          <w:rFonts w:hint="eastAsia" w:ascii="仿宋" w:hAnsi="仿宋" w:eastAsia="仿宋" w:cs="仿宋"/>
          <w:b/>
          <w:bCs/>
          <w:color w:val="auto"/>
          <w:sz w:val="24"/>
          <w:szCs w:val="24"/>
          <w:u w:val="single"/>
        </w:rPr>
        <w:t>评委评审时不能只根据供应商填写的偏离情况说明来判断是否响应</w:t>
      </w:r>
      <w:r>
        <w:rPr>
          <w:rFonts w:hint="eastAsia" w:ascii="仿宋" w:hAnsi="仿宋" w:eastAsia="仿宋" w:cs="仿宋"/>
          <w:bCs/>
          <w:color w:val="auto"/>
          <w:sz w:val="24"/>
          <w:szCs w:val="24"/>
        </w:rPr>
        <w:t>，而应认真查阅“投标</w:t>
      </w:r>
      <w:r>
        <w:rPr>
          <w:rFonts w:hint="eastAsia" w:ascii="仿宋" w:hAnsi="仿宋" w:eastAsia="仿宋" w:cs="仿宋"/>
          <w:bCs/>
          <w:color w:val="auto"/>
          <w:sz w:val="24"/>
          <w:szCs w:val="24"/>
          <w:lang w:eastAsia="zh-CN"/>
        </w:rPr>
        <w:t>文件</w:t>
      </w:r>
      <w:r>
        <w:rPr>
          <w:rFonts w:hint="eastAsia" w:ascii="仿宋" w:hAnsi="仿宋" w:eastAsia="仿宋" w:cs="仿宋"/>
          <w:bCs/>
          <w:color w:val="auto"/>
          <w:sz w:val="24"/>
          <w:szCs w:val="24"/>
        </w:rPr>
        <w:t>技术</w:t>
      </w:r>
      <w:r>
        <w:rPr>
          <w:rFonts w:hint="eastAsia" w:ascii="仿宋" w:hAnsi="仿宋" w:eastAsia="仿宋" w:cs="仿宋"/>
          <w:bCs/>
          <w:color w:val="auto"/>
          <w:sz w:val="24"/>
          <w:szCs w:val="24"/>
          <w:lang w:eastAsia="zh-CN"/>
        </w:rPr>
        <w:t>（服务）</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相关</w:t>
      </w:r>
      <w:r>
        <w:rPr>
          <w:rFonts w:hint="eastAsia" w:ascii="仿宋" w:hAnsi="仿宋" w:eastAsia="仿宋" w:cs="仿宋"/>
          <w:bCs/>
          <w:color w:val="auto"/>
          <w:sz w:val="24"/>
          <w:szCs w:val="24"/>
        </w:rPr>
        <w:t>功能/</w:t>
      </w:r>
      <w:r>
        <w:rPr>
          <w:rFonts w:hint="eastAsia" w:ascii="仿宋" w:hAnsi="仿宋" w:eastAsia="仿宋" w:cs="仿宋"/>
          <w:bCs/>
          <w:color w:val="auto"/>
          <w:sz w:val="24"/>
          <w:szCs w:val="24"/>
          <w:lang w:eastAsia="zh-CN"/>
        </w:rPr>
        <w:t>商务等内容</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的</w:t>
      </w:r>
      <w:r>
        <w:rPr>
          <w:rFonts w:hint="eastAsia" w:ascii="仿宋" w:hAnsi="仿宋" w:eastAsia="仿宋" w:cs="仿宋"/>
          <w:bCs/>
          <w:color w:val="auto"/>
          <w:sz w:val="24"/>
          <w:szCs w:val="24"/>
        </w:rPr>
        <w:t>内容以及相关的资料（如有）判断是否满足要求。</w:t>
      </w:r>
    </w:p>
    <w:p>
      <w:pPr>
        <w:snapToGrid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4、</w:t>
      </w:r>
      <w:r>
        <w:rPr>
          <w:rFonts w:hint="eastAsia" w:ascii="仿宋" w:hAnsi="仿宋" w:eastAsia="仿宋" w:cs="仿宋"/>
          <w:b/>
          <w:color w:val="auto"/>
          <w:sz w:val="24"/>
          <w:szCs w:val="24"/>
        </w:rPr>
        <w:t>“页码索引”指“投标</w:t>
      </w:r>
      <w:r>
        <w:rPr>
          <w:rFonts w:hint="eastAsia" w:ascii="仿宋" w:hAnsi="仿宋" w:eastAsia="仿宋" w:cs="仿宋"/>
          <w:b/>
          <w:color w:val="auto"/>
          <w:sz w:val="24"/>
          <w:szCs w:val="24"/>
          <w:lang w:eastAsia="zh-CN"/>
        </w:rPr>
        <w:t>文件</w:t>
      </w:r>
      <w:r>
        <w:rPr>
          <w:rFonts w:hint="eastAsia" w:ascii="仿宋" w:hAnsi="仿宋" w:eastAsia="仿宋" w:cs="仿宋"/>
          <w:b/>
          <w:color w:val="auto"/>
          <w:sz w:val="24"/>
          <w:szCs w:val="24"/>
        </w:rPr>
        <w:t>技术</w:t>
      </w:r>
      <w:r>
        <w:rPr>
          <w:rFonts w:hint="eastAsia" w:ascii="仿宋" w:hAnsi="仿宋" w:eastAsia="仿宋" w:cs="仿宋"/>
          <w:b/>
          <w:color w:val="auto"/>
          <w:sz w:val="24"/>
          <w:szCs w:val="24"/>
          <w:lang w:eastAsia="zh-CN"/>
        </w:rPr>
        <w:t>（服务）</w:t>
      </w:r>
      <w:r>
        <w:rPr>
          <w:rFonts w:hint="eastAsia" w:ascii="仿宋" w:hAnsi="仿宋" w:eastAsia="仿宋" w:cs="仿宋"/>
          <w:b/>
          <w:color w:val="auto"/>
          <w:sz w:val="24"/>
          <w:szCs w:val="24"/>
        </w:rPr>
        <w:t>/</w:t>
      </w:r>
      <w:r>
        <w:rPr>
          <w:rFonts w:hint="eastAsia" w:ascii="仿宋" w:hAnsi="仿宋" w:eastAsia="仿宋" w:cs="仿宋"/>
          <w:b/>
          <w:color w:val="auto"/>
          <w:sz w:val="24"/>
          <w:szCs w:val="24"/>
          <w:lang w:eastAsia="zh-CN"/>
        </w:rPr>
        <w:t>相关</w:t>
      </w:r>
      <w:r>
        <w:rPr>
          <w:rFonts w:hint="eastAsia" w:ascii="仿宋" w:hAnsi="仿宋" w:eastAsia="仿宋" w:cs="仿宋"/>
          <w:b/>
          <w:color w:val="auto"/>
          <w:sz w:val="24"/>
          <w:szCs w:val="24"/>
        </w:rPr>
        <w:t>功能/</w:t>
      </w:r>
      <w:r>
        <w:rPr>
          <w:rFonts w:hint="eastAsia" w:ascii="仿宋" w:hAnsi="仿宋" w:eastAsia="仿宋" w:cs="仿宋"/>
          <w:b/>
          <w:color w:val="auto"/>
          <w:sz w:val="24"/>
          <w:szCs w:val="24"/>
          <w:lang w:eastAsia="zh-CN"/>
        </w:rPr>
        <w:t>商务等内容</w:t>
      </w:r>
      <w:r>
        <w:rPr>
          <w:rFonts w:hint="eastAsia" w:ascii="仿宋" w:hAnsi="仿宋" w:eastAsia="仿宋" w:cs="仿宋"/>
          <w:b/>
          <w:color w:val="auto"/>
          <w:sz w:val="24"/>
          <w:szCs w:val="24"/>
        </w:rPr>
        <w:t>”所对应的证明材料在供应商</w:t>
      </w:r>
      <w:r>
        <w:rPr>
          <w:rFonts w:hint="eastAsia" w:ascii="仿宋" w:hAnsi="仿宋" w:eastAsia="仿宋" w:cs="仿宋"/>
          <w:b/>
          <w:color w:val="auto"/>
          <w:sz w:val="24"/>
          <w:szCs w:val="24"/>
          <w:lang w:val="en-US" w:eastAsia="zh-CN"/>
        </w:rPr>
        <w:t>投标</w:t>
      </w:r>
      <w:r>
        <w:rPr>
          <w:rFonts w:hint="eastAsia" w:ascii="仿宋" w:hAnsi="仿宋" w:eastAsia="仿宋" w:cs="仿宋"/>
          <w:b/>
          <w:color w:val="auto"/>
          <w:sz w:val="24"/>
          <w:szCs w:val="24"/>
        </w:rPr>
        <w:t>文件中的页码。</w:t>
      </w:r>
    </w:p>
    <w:p>
      <w:pPr>
        <w:snapToGrid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bookmarkEnd w:id="58"/>
    </w:p>
    <w:p>
      <w:pPr>
        <w:numPr>
          <w:ilvl w:val="0"/>
          <w:numId w:val="5"/>
        </w:num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供应商简介</w:t>
      </w: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numPr>
          <w:ilvl w:val="0"/>
          <w:numId w:val="0"/>
        </w:numPr>
        <w:jc w:val="both"/>
        <w:rPr>
          <w:rFonts w:hint="eastAsia" w:ascii="仿宋" w:hAnsi="仿宋" w:eastAsia="仿宋" w:cs="仿宋"/>
          <w:b/>
          <w:bCs/>
          <w:color w:val="auto"/>
          <w:sz w:val="32"/>
          <w:szCs w:val="32"/>
          <w:lang w:val="en-US" w:eastAsia="zh-CN"/>
        </w:rPr>
      </w:pPr>
    </w:p>
    <w:p>
      <w:pPr>
        <w:numPr>
          <w:ilvl w:val="0"/>
          <w:numId w:val="0"/>
        </w:numPr>
        <w:jc w:val="both"/>
        <w:rPr>
          <w:rFonts w:hint="eastAsia" w:ascii="仿宋" w:hAnsi="仿宋" w:eastAsia="仿宋" w:cs="仿宋"/>
          <w:b/>
          <w:bCs/>
          <w:color w:val="auto"/>
          <w:sz w:val="32"/>
          <w:szCs w:val="32"/>
          <w:lang w:val="en-US" w:eastAsia="zh-CN"/>
        </w:rPr>
      </w:pPr>
    </w:p>
    <w:p>
      <w:pPr>
        <w:numPr>
          <w:ilvl w:val="0"/>
          <w:numId w:val="0"/>
        </w:numPr>
        <w:jc w:val="both"/>
        <w:rPr>
          <w:rFonts w:hint="eastAsia" w:ascii="仿宋" w:hAnsi="仿宋" w:eastAsia="仿宋" w:cs="仿宋"/>
          <w:b/>
          <w:bCs/>
          <w:color w:val="auto"/>
          <w:sz w:val="32"/>
          <w:szCs w:val="32"/>
          <w:lang w:val="en-US" w:eastAsia="zh-CN"/>
        </w:rPr>
      </w:pPr>
    </w:p>
    <w:p>
      <w:pPr>
        <w:rPr>
          <w:rFonts w:hint="eastAsia" w:ascii="仿宋" w:hAnsi="仿宋" w:eastAsia="仿宋" w:cs="仿宋"/>
          <w:b/>
          <w:bCs/>
          <w:color w:val="auto"/>
          <w:sz w:val="32"/>
          <w:szCs w:val="32"/>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0" w:name="_Toc2144"/>
      <w:r>
        <w:rPr>
          <w:rFonts w:hint="eastAsia" w:ascii="仿宋" w:hAnsi="仿宋" w:eastAsia="仿宋" w:cs="仿宋"/>
          <w:color w:val="auto"/>
          <w:lang w:val="en-US" w:eastAsia="zh-CN"/>
        </w:rPr>
        <w:t>6、法定代表人证明书</w:t>
      </w:r>
      <w:bookmarkEnd w:id="60"/>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none"/>
        </w:rPr>
        <w:t>签名</w:t>
      </w:r>
      <w:r>
        <w:rPr>
          <w:rFonts w:hint="eastAsia" w:ascii="仿宋" w:hAnsi="仿宋" w:eastAsia="仿宋" w:cs="仿宋"/>
          <w:color w:val="auto"/>
          <w:sz w:val="24"/>
          <w:szCs w:val="24"/>
          <w:u w:val="none"/>
          <w:lang w:eastAsia="zh-CN"/>
        </w:rPr>
        <w:t>或盖章</w:t>
      </w:r>
      <w:r>
        <w:rPr>
          <w:rFonts w:hint="eastAsia" w:ascii="仿宋" w:hAnsi="仿宋" w:eastAsia="仿宋" w:cs="仿宋"/>
          <w:color w:val="auto"/>
          <w:sz w:val="24"/>
          <w:szCs w:val="24"/>
        </w:rPr>
        <w:t>）</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160" w:firstLineChars="215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b/>
          <w:color w:val="auto"/>
          <w:sz w:val="24"/>
          <w:szCs w:val="24"/>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1" w:name="_Toc26398"/>
      <w:r>
        <w:rPr>
          <w:rFonts w:hint="eastAsia" w:ascii="仿宋" w:hAnsi="仿宋" w:eastAsia="仿宋" w:cs="仿宋"/>
          <w:color w:val="auto"/>
          <w:lang w:val="en-US" w:eastAsia="zh-CN"/>
        </w:rPr>
        <w:t>7、授权委托书</w:t>
      </w:r>
      <w:bookmarkEnd w:id="61"/>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本授权书声明：</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受托人：姓名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出生日期：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身 份 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兹委托受托人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代表我方参加</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组织的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项目（招标编号：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）的政府采购活动，并授权其全权办理以下事宜：</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1、参加投标活动；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2、出席开标评标会议；</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3、签订与中标事宜有关的合同；</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snapToGrid w:val="0"/>
        <w:spacing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委托期限：至上述事宜处理完毕止。</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附：受托人身份证复印件</w:t>
      </w:r>
    </w:p>
    <w:p>
      <w:pPr>
        <w:snapToGrid w:val="0"/>
        <w:spacing w:line="360" w:lineRule="auto"/>
        <w:ind w:firstLine="3840" w:firstLineChars="1600"/>
        <w:rPr>
          <w:rFonts w:hint="eastAsia" w:ascii="仿宋" w:hAnsi="仿宋" w:eastAsia="仿宋" w:cs="仿宋"/>
          <w:color w:val="auto"/>
          <w:sz w:val="24"/>
          <w:szCs w:val="24"/>
        </w:rPr>
      </w:pPr>
    </w:p>
    <w:p>
      <w:pPr>
        <w:pStyle w:val="14"/>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14"/>
        <w:rPr>
          <w:rFonts w:hint="eastAsia" w:ascii="仿宋" w:hAnsi="仿宋" w:eastAsia="仿宋" w:cs="仿宋"/>
          <w:color w:val="auto"/>
        </w:rPr>
      </w:pP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（签字或盖章）</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受托人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          </w:t>
      </w:r>
    </w:p>
    <w:p>
      <w:pPr>
        <w:snapToGrid w:val="0"/>
        <w:spacing w:line="360" w:lineRule="auto"/>
        <w:ind w:firstLine="3840" w:firstLineChars="160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委托单位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（公章）          </w:t>
      </w:r>
    </w:p>
    <w:p>
      <w:pPr>
        <w:snapToGrid w:val="0"/>
        <w:spacing w:line="360" w:lineRule="auto"/>
        <w:ind w:firstLine="352" w:firstLineChars="147"/>
        <w:jc w:val="right"/>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5"/>
        <w:bidi w:val="0"/>
        <w:jc w:val="center"/>
        <w:rPr>
          <w:rFonts w:hint="eastAsia" w:ascii="仿宋" w:hAnsi="仿宋" w:eastAsia="仿宋" w:cs="仿宋"/>
          <w:color w:val="auto"/>
          <w:lang w:val="en-US" w:eastAsia="zh-CN"/>
        </w:rPr>
      </w:pPr>
      <w:bookmarkStart w:id="62" w:name="_Toc1974"/>
      <w:bookmarkStart w:id="63" w:name="_Toc28022"/>
      <w:r>
        <w:rPr>
          <w:rFonts w:hint="eastAsia" w:ascii="仿宋" w:hAnsi="仿宋" w:eastAsia="仿宋" w:cs="仿宋"/>
          <w:color w:val="auto"/>
          <w:lang w:val="en-US" w:eastAsia="zh-CN"/>
        </w:rPr>
        <w:t>8、申请人的资格要求</w:t>
      </w:r>
      <w:bookmarkEnd w:id="62"/>
      <w:bookmarkEnd w:id="63"/>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（1）在中华人民共和国注册，具有独立承担民事责任能力（需提供营业执照、税务登记证、组织机构代码证复印件，或者三证合一复印件）</w:t>
      </w:r>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（2）具有良好的商业信誉和健全的财务会计制度（提供承诺函，格式自拟）</w:t>
      </w:r>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（3）具有依法缴纳税收的良好记录（提供承诺函，格式自拟）</w:t>
      </w:r>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（4）具有依法缴纳社会保障资金的良好记录（提供承诺函，格式自拟）；</w:t>
      </w:r>
    </w:p>
    <w:p>
      <w:pPr>
        <w:pStyle w:val="277"/>
        <w:shd w:val="clear" w:color="auto" w:fill="auto"/>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（5）具有《人力资源服务许可证》提供证书复印件加盖公章。</w:t>
      </w: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bookmarkEnd w:id="54"/>
    <w:p>
      <w:pPr>
        <w:pStyle w:val="5"/>
        <w:keepNext/>
        <w:keepLines/>
        <w:numPr>
          <w:ilvl w:val="0"/>
          <w:numId w:val="0"/>
        </w:numPr>
        <w:spacing w:before="260" w:after="260" w:line="416" w:lineRule="auto"/>
        <w:rPr>
          <w:rFonts w:hint="eastAsia" w:ascii="仿宋" w:hAnsi="仿宋" w:eastAsia="仿宋" w:cs="仿宋"/>
          <w:color w:val="auto"/>
          <w:lang w:val="en-US" w:eastAsia="zh-CN"/>
        </w:rPr>
      </w:pPr>
      <w:bookmarkStart w:id="64" w:name="_Toc24232"/>
      <w:bookmarkStart w:id="65" w:name="_Toc18619"/>
      <w:bookmarkStart w:id="66" w:name="_Toc13835"/>
      <w:bookmarkStart w:id="67" w:name="_Toc19635"/>
      <w:bookmarkStart w:id="68" w:name="_Toc264213370"/>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9、参加政府采购活动前三年内，在经营活动中没有重大违法记录的声明函</w:t>
      </w:r>
      <w:bookmarkEnd w:id="64"/>
    </w:p>
    <w:p>
      <w:pPr>
        <w:shd w:val="clear" w:color="auto" w:fill="FFFFFF"/>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 xml:space="preserve"> </w:t>
      </w:r>
      <w:r>
        <w:rPr>
          <w:rFonts w:hint="eastAsia" w:ascii="仿宋" w:hAnsi="仿宋" w:eastAsia="仿宋" w:cs="仿宋"/>
          <w:color w:val="auto"/>
          <w:sz w:val="24"/>
          <w:szCs w:val="24"/>
        </w:rPr>
        <w:t>）货物及服务的招标采购活动，我司声明如下：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1、参加政府采购活动前三年内，在经营活动中没有重大违法记录。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招标</w:t>
      </w:r>
      <w:r>
        <w:rPr>
          <w:rFonts w:hint="eastAsia" w:ascii="仿宋" w:hAnsi="仿宋" w:eastAsia="仿宋" w:cs="仿宋"/>
          <w:color w:val="auto"/>
          <w:sz w:val="24"/>
          <w:szCs w:val="24"/>
        </w:rPr>
        <w:t>公告前三年内，我司在经营活动中没有被</w:t>
      </w:r>
      <w:r>
        <w:rPr>
          <w:rFonts w:hint="eastAsia" w:ascii="仿宋" w:hAnsi="仿宋" w:eastAsia="仿宋" w:cs="仿宋"/>
          <w:color w:val="auto"/>
          <w:sz w:val="24"/>
          <w:szCs w:val="24"/>
          <w:lang w:val="en-US" w:eastAsia="zh-CN"/>
        </w:rPr>
        <w:t>列入</w:t>
      </w:r>
      <w:r>
        <w:rPr>
          <w:rFonts w:hint="eastAsia" w:ascii="仿宋" w:hAnsi="仿宋" w:eastAsia="仿宋" w:cs="仿宋"/>
          <w:color w:val="auto"/>
          <w:sz w:val="24"/>
          <w:szCs w:val="24"/>
        </w:rPr>
        <w:t>中国执行信息公开网</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lang w:val="en-US" w:eastAsia="zh-CN"/>
        </w:rPr>
        <w:t>的“失信被执行人”、信用中国(www.creditchina.gov.cn)的“重大税收违法失信主体”、“政府采购严重违法失信行为记录名单”和中国政府采购网(www.ccgp.gov.cn)的“政府采购严重违法失信行为记录名单”等</w:t>
      </w:r>
      <w:r>
        <w:rPr>
          <w:rFonts w:hint="eastAsia" w:ascii="仿宋" w:hAnsi="仿宋" w:eastAsia="仿宋" w:cs="仿宋"/>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auto"/>
          <w:sz w:val="32"/>
          <w:szCs w:val="32"/>
          <w:lang w:val="en-US" w:eastAsia="zh-CN"/>
        </w:rPr>
      </w:pPr>
      <w:bookmarkStart w:id="69" w:name="_Toc8723"/>
      <w:bookmarkStart w:id="70" w:name="_Toc4274"/>
      <w:bookmarkStart w:id="71" w:name="_Toc2437"/>
      <w:r>
        <w:rPr>
          <w:rFonts w:hint="eastAsia" w:ascii="仿宋" w:hAnsi="仿宋" w:eastAsia="仿宋" w:cs="仿宋"/>
          <w:b/>
          <w:color w:val="auto"/>
          <w:sz w:val="32"/>
          <w:szCs w:val="32"/>
          <w:lang w:val="en-US" w:eastAsia="zh-CN"/>
        </w:rPr>
        <w:t>10、参加政府采购活动前三年内，无环保类行政处罚记录声明函</w:t>
      </w:r>
      <w:bookmarkEnd w:id="69"/>
      <w:bookmarkEnd w:id="70"/>
      <w:bookmarkEnd w:id="71"/>
    </w:p>
    <w:p>
      <w:pPr>
        <w:keepNext w:val="0"/>
        <w:keepLines w:val="0"/>
        <w:widowControl/>
        <w:suppressLineNumbers w:val="0"/>
        <w:jc w:val="left"/>
        <w:rPr>
          <w:rFonts w:hint="eastAsia" w:ascii="仿宋" w:hAnsi="仿宋" w:eastAsia="仿宋" w:cs="仿宋"/>
          <w:b/>
          <w:bCs/>
          <w:color w:val="auto"/>
          <w:kern w:val="0"/>
          <w:sz w:val="28"/>
          <w:szCs w:val="28"/>
          <w:lang w:val="en-US" w:eastAsia="zh-CN" w:bidi="ar"/>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56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kern w:val="0"/>
          <w:sz w:val="28"/>
          <w:szCs w:val="28"/>
          <w:lang w:val="en-US" w:eastAsia="zh-CN" w:bidi="ar"/>
        </w:rPr>
        <w:t xml:space="preserve"> </w:t>
      </w: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）货物及服务的招标采购活动，我司声明</w:t>
      </w:r>
      <w:r>
        <w:rPr>
          <w:rFonts w:hint="eastAsia" w:ascii="仿宋" w:hAnsi="仿宋" w:eastAsia="仿宋" w:cs="仿宋"/>
          <w:color w:val="auto"/>
          <w:sz w:val="24"/>
          <w:szCs w:val="24"/>
          <w:lang w:val="en-US" w:eastAsia="zh-CN"/>
        </w:rPr>
        <w:t>参加政府采购活动前三年内，无环保类行政处罚记录。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2" w:name="_Toc26555"/>
      <w:r>
        <w:rPr>
          <w:rFonts w:hint="eastAsia" w:ascii="仿宋" w:hAnsi="仿宋" w:eastAsia="仿宋" w:cs="仿宋"/>
          <w:color w:val="auto"/>
          <w:lang w:val="en-US" w:eastAsia="zh-CN"/>
        </w:rPr>
        <w:t>11、具备《中华人民共和国政府采购法》第二十二条规定条件的承诺书</w:t>
      </w:r>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本公司作为参加本次</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 xml:space="preserve"> </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 xml:space="preserve">，现郑重承诺具备以下条件（《中华人民共和国政府采购法》第二十二条）：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具有独立承担民事责任的能力；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具有良好的商业信誉和健全的财务会计制度；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具有履行合同所必需的设备和专业技术能力；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具有依法缴纳税收和社会保障资金的良好记录；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参加本次政府采购活动前三年内，在经营活动中没有重大违法违规记录；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14"/>
        <w:rPr>
          <w:rFonts w:hint="eastAsia"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p>
    <w:p>
      <w:pPr>
        <w:pStyle w:val="14"/>
        <w:rPr>
          <w:rFonts w:hint="eastAsia" w:ascii="仿宋" w:hAnsi="仿宋" w:eastAsia="仿宋" w:cs="仿宋"/>
          <w:color w:val="auto"/>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盖</w:t>
      </w:r>
      <w:r>
        <w:rPr>
          <w:rFonts w:hint="eastAsia" w:ascii="仿宋" w:hAnsi="仿宋" w:eastAsia="仿宋" w:cs="仿宋"/>
          <w:color w:val="auto"/>
          <w:sz w:val="24"/>
          <w:szCs w:val="24"/>
          <w:u w:val="single"/>
        </w:rPr>
        <w:t>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ind w:firstLine="482" w:firstLineChars="200"/>
        <w:jc w:val="center"/>
        <w:rPr>
          <w:rFonts w:hint="eastAsia" w:ascii="仿宋" w:hAnsi="仿宋" w:eastAsia="仿宋" w:cs="仿宋"/>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3" w:name="_Toc27898"/>
      <w:r>
        <w:rPr>
          <w:rFonts w:hint="eastAsia" w:ascii="仿宋" w:hAnsi="仿宋" w:eastAsia="仿宋" w:cs="仿宋"/>
          <w:color w:val="auto"/>
          <w:lang w:val="en-US" w:eastAsia="zh-CN"/>
        </w:rPr>
        <w:t>12、不存在与参加本项目采购活动的其他投标人单位负责人为同一人或者存在直接控股、管理关系的承诺函</w:t>
      </w:r>
      <w:bookmarkEnd w:id="73"/>
    </w:p>
    <w:p>
      <w:pPr>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w:t>
      </w:r>
      <w:r>
        <w:rPr>
          <w:rFonts w:hint="eastAsia" w:ascii="仿宋" w:hAnsi="仿宋" w:eastAsia="仿宋" w:cs="仿宋"/>
          <w:color w:val="auto"/>
          <w:sz w:val="24"/>
          <w:szCs w:val="24"/>
          <w:lang w:val="en-US" w:eastAsia="zh-CN"/>
        </w:rPr>
        <w:t>郑重承诺</w:t>
      </w:r>
      <w:r>
        <w:rPr>
          <w:rFonts w:hint="eastAsia" w:ascii="仿宋" w:hAnsi="仿宋" w:eastAsia="仿宋" w:cs="仿宋"/>
          <w:color w:val="auto"/>
          <w:sz w:val="24"/>
          <w:szCs w:val="24"/>
        </w:rPr>
        <w:t>如下：</w:t>
      </w:r>
    </w:p>
    <w:p>
      <w:pPr>
        <w:spacing w:line="360" w:lineRule="auto"/>
        <w:ind w:firstLine="482" w:firstLineChars="20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我公司在参加该项目招标采购活动中，不存在与参加本项目采购活动的其他投标人单位负责人为同一人或者存在直接控股、管理关系。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14"/>
        <w:rPr>
          <w:rFonts w:hint="eastAsia" w:ascii="仿宋" w:hAnsi="仿宋" w:eastAsia="仿宋" w:cs="仿宋"/>
          <w:color w:val="auto"/>
        </w:rPr>
      </w:pPr>
    </w:p>
    <w:p>
      <w:pPr>
        <w:spacing w:line="440" w:lineRule="exact"/>
        <w:ind w:firstLine="480" w:firstLineChars="200"/>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4" w:name="_Toc24014"/>
      <w:r>
        <w:rPr>
          <w:rFonts w:hint="eastAsia" w:ascii="仿宋" w:hAnsi="仿宋" w:eastAsia="仿宋" w:cs="仿宋"/>
          <w:color w:val="auto"/>
          <w:lang w:val="en-US" w:eastAsia="zh-CN"/>
        </w:rPr>
        <w:t>13、中小企业声明函（工程、服务）</w:t>
      </w:r>
      <w:bookmarkEnd w:id="74"/>
    </w:p>
    <w:p>
      <w:pPr>
        <w:spacing w:after="0" w:line="360" w:lineRule="auto"/>
        <w:ind w:right="2"/>
        <w:jc w:val="both"/>
        <w:rPr>
          <w:rFonts w:hint="eastAsia" w:ascii="仿宋" w:hAnsi="仿宋" w:eastAsia="仿宋" w:cs="仿宋"/>
          <w:b w:val="0"/>
          <w:bCs/>
          <w:color w:val="auto"/>
          <w:sz w:val="24"/>
          <w:szCs w:val="24"/>
        </w:rPr>
      </w:pP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本公司(联合体)郑重声明，根据《政府采购促进中小企业发展管理办法》(财库﹝</w:t>
      </w:r>
      <w:r>
        <w:rPr>
          <w:rFonts w:hint="eastAsia" w:ascii="仿宋" w:hAnsi="仿宋" w:eastAsia="仿宋" w:cs="仿宋"/>
          <w:b w:val="0"/>
          <w:bCs/>
          <w:color w:val="auto"/>
          <w:sz w:val="24"/>
          <w:szCs w:val="24"/>
          <w:lang w:eastAsia="zh-CN"/>
        </w:rPr>
        <w:t>202</w:t>
      </w:r>
      <w:r>
        <w:rPr>
          <w:rFonts w:hint="eastAsia" w:ascii="仿宋" w:hAnsi="仿宋" w:eastAsia="仿宋" w:cs="仿宋"/>
          <w:b w:val="0"/>
          <w:bCs/>
          <w:color w:val="auto"/>
          <w:sz w:val="24"/>
          <w:szCs w:val="24"/>
          <w:lang w:val="en-US" w:eastAsia="zh-CN"/>
        </w:rPr>
        <w:t>0</w:t>
      </w:r>
      <w:r>
        <w:rPr>
          <w:rFonts w:hint="eastAsia" w:ascii="仿宋" w:hAnsi="仿宋" w:eastAsia="仿宋" w:cs="仿宋"/>
          <w:b w:val="0"/>
          <w:bCs/>
          <w:color w:val="auto"/>
          <w:sz w:val="24"/>
          <w:szCs w:val="24"/>
        </w:rPr>
        <w:t>﹞46号)的规定，本公司(联合体)参加</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(单位名称</w:t>
      </w:r>
      <w:r>
        <w:rPr>
          <w:rFonts w:hint="eastAsia" w:ascii="仿宋" w:hAnsi="仿宋" w:eastAsia="仿宋" w:cs="仿宋"/>
          <w:b w:val="0"/>
          <w:bCs/>
          <w:color w:val="auto"/>
          <w:sz w:val="24"/>
          <w:szCs w:val="24"/>
        </w:rPr>
        <w:t>)的</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(项目名称)</w:t>
      </w:r>
      <w:r>
        <w:rPr>
          <w:rFonts w:hint="eastAsia" w:ascii="仿宋" w:hAnsi="仿宋" w:eastAsia="仿宋" w:cs="仿宋"/>
          <w:b w:val="0"/>
          <w:bCs/>
          <w:color w:val="auto"/>
          <w:sz w:val="24"/>
          <w:szCs w:val="24"/>
        </w:rPr>
        <w:t>采购活动，工程的施工单位全部为符合政策要求的中小企业(或者</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服务全部由符合政策要求的中小企业承接)。相关企业(含联合体中的中小企业、签订分包意向协议的中小企业)的具体情况如下</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万元¹，属于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u w:val="single"/>
          <w:lang w:eastAsia="zh-CN"/>
        </w:rPr>
      </w:pP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i w:val="0"/>
          <w:iCs w:val="0"/>
          <w:color w:val="auto"/>
          <w:sz w:val="24"/>
          <w:szCs w:val="24"/>
          <w:u w:val="none"/>
          <w:lang w:eastAsia="zh-CN"/>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企业名称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盖章</w:t>
      </w:r>
      <w:r>
        <w:rPr>
          <w:rFonts w:hint="eastAsia" w:ascii="仿宋" w:hAnsi="仿宋" w:eastAsia="仿宋" w:cs="仿宋"/>
          <w:b w:val="0"/>
          <w:bCs/>
          <w:color w:val="auto"/>
          <w:sz w:val="24"/>
          <w:szCs w:val="24"/>
          <w:lang w:eastAsia="zh-CN"/>
        </w:rPr>
        <w:t>）：</w:t>
      </w: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日期</w:t>
      </w:r>
      <w:r>
        <w:rPr>
          <w:rFonts w:hint="eastAsia" w:ascii="仿宋" w:hAnsi="仿宋" w:eastAsia="仿宋" w:cs="仿宋"/>
          <w:b w:val="0"/>
          <w:bCs/>
          <w:color w:val="auto"/>
          <w:sz w:val="24"/>
          <w:szCs w:val="24"/>
          <w:lang w:eastAsia="zh-CN"/>
        </w:rPr>
        <w:t>：</w:t>
      </w: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rPr>
      </w:pPr>
    </w:p>
    <w:p>
      <w:pPr>
        <w:bidi w:val="0"/>
        <w:rPr>
          <w:rFonts w:hint="eastAsia" w:ascii="仿宋" w:hAnsi="仿宋" w:eastAsia="仿宋" w:cs="仿宋"/>
          <w:color w:val="auto"/>
          <w:sz w:val="24"/>
          <w:szCs w:val="24"/>
          <w:lang w:val="en-US" w:eastAsia="zh-CN"/>
        </w:rPr>
      </w:pPr>
      <w:r>
        <w:rPr>
          <w:rFonts w:hint="eastAsia" w:ascii="仿宋" w:hAnsi="仿宋" w:eastAsia="仿宋" w:cs="仿宋"/>
          <w:b w:val="0"/>
          <w:bCs/>
          <w:color w:val="auto"/>
          <w:sz w:val="24"/>
          <w:szCs w:val="24"/>
        </w:rPr>
        <w:t>¹从业人员、营业收入、资产总额填报上一年度数据，无上一年度数据的新成立企业可不填报。</w:t>
      </w:r>
    </w:p>
    <w:p>
      <w:pPr>
        <w:bidi w:val="0"/>
        <w:rPr>
          <w:rFonts w:hint="eastAsia" w:ascii="仿宋" w:hAnsi="仿宋" w:eastAsia="仿宋" w:cs="仿宋"/>
          <w:color w:val="auto"/>
          <w:sz w:val="24"/>
          <w:szCs w:val="24"/>
          <w:lang w:val="en-US" w:eastAsia="zh-CN"/>
        </w:rPr>
      </w:pPr>
    </w:p>
    <w:p>
      <w:pPr>
        <w:spacing w:after="0" w:line="360" w:lineRule="auto"/>
        <w:ind w:right="2"/>
        <w:jc w:val="center"/>
        <w:rPr>
          <w:rFonts w:hint="eastAsia" w:ascii="仿宋" w:hAnsi="仿宋" w:eastAsia="仿宋" w:cs="仿宋"/>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5" w:name="_Toc26651"/>
      <w:r>
        <w:rPr>
          <w:rFonts w:hint="eastAsia" w:ascii="仿宋" w:hAnsi="仿宋" w:eastAsia="仿宋" w:cs="仿宋"/>
          <w:color w:val="auto"/>
          <w:lang w:val="en-US" w:eastAsia="zh-CN"/>
        </w:rPr>
        <w:t>14、监狱企业证明文件</w:t>
      </w:r>
      <w:bookmarkEnd w:id="75"/>
    </w:p>
    <w:p>
      <w:pPr>
        <w:spacing w:after="0" w:line="360" w:lineRule="auto"/>
        <w:ind w:left="420" w:firstLine="420"/>
        <w:rPr>
          <w:rFonts w:hint="eastAsia" w:ascii="仿宋" w:hAnsi="仿宋" w:eastAsia="仿宋" w:cs="仿宋"/>
          <w:color w:val="auto"/>
          <w:sz w:val="24"/>
          <w:szCs w:val="24"/>
        </w:rPr>
      </w:pPr>
    </w:p>
    <w:p>
      <w:pPr>
        <w:spacing w:after="0" w:line="360" w:lineRule="auto"/>
        <w:ind w:left="420" w:firstLine="420"/>
        <w:rPr>
          <w:rFonts w:hint="eastAsia" w:ascii="仿宋" w:hAnsi="仿宋" w:eastAsia="仿宋" w:cs="仿宋"/>
          <w:color w:val="auto"/>
          <w:sz w:val="24"/>
          <w:szCs w:val="24"/>
        </w:rPr>
      </w:pPr>
      <w:r>
        <w:rPr>
          <w:rFonts w:hint="eastAsia" w:ascii="仿宋" w:hAnsi="仿宋" w:eastAsia="仿宋" w:cs="仿宋"/>
          <w:color w:val="auto"/>
          <w:sz w:val="24"/>
          <w:szCs w:val="24"/>
        </w:rPr>
        <w:t>享受政策优惠的监狱企业须提供由省级以上监狱管理局、戒毒管理局（含新疆生产建设兵团）出具的属于监狱企业的证明文件。</w:t>
      </w:r>
    </w:p>
    <w:p>
      <w:pPr>
        <w:pStyle w:val="4"/>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6" w:name="_Toc20881"/>
      <w:r>
        <w:rPr>
          <w:rFonts w:hint="eastAsia" w:ascii="仿宋" w:hAnsi="仿宋" w:eastAsia="仿宋" w:cs="仿宋"/>
          <w:color w:val="auto"/>
          <w:lang w:val="en-US" w:eastAsia="zh-CN"/>
        </w:rPr>
        <w:t>15、残疾人福利性单位声明函</w:t>
      </w:r>
      <w:bookmarkEnd w:id="76"/>
    </w:p>
    <w:p>
      <w:pPr>
        <w:spacing w:line="588" w:lineRule="exact"/>
        <w:ind w:firstLine="504" w:firstLineChars="200"/>
        <w:rPr>
          <w:rFonts w:hint="eastAsia" w:ascii="仿宋" w:hAnsi="仿宋" w:eastAsia="仿宋" w:cs="仿宋"/>
          <w:color w:val="auto"/>
          <w:spacing w:val="6"/>
          <w:sz w:val="24"/>
          <w:szCs w:val="24"/>
        </w:rPr>
      </w:pP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p>
    <w:p>
      <w:pPr>
        <w:pStyle w:val="4"/>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bookmarkEnd w:id="65"/>
    <w:bookmarkEnd w:id="66"/>
    <w:bookmarkEnd w:id="67"/>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bCs/>
          <w:color w:val="auto"/>
          <w:sz w:val="32"/>
          <w:szCs w:val="32"/>
          <w:lang w:val="en-US" w:eastAsia="zh-CN" w:bidi="ar-SA"/>
        </w:rPr>
      </w:pPr>
      <w:bookmarkStart w:id="77" w:name="_Toc24564"/>
      <w:r>
        <w:rPr>
          <w:rFonts w:hint="eastAsia" w:ascii="仿宋" w:hAnsi="仿宋" w:eastAsia="仿宋" w:cs="仿宋"/>
          <w:b/>
          <w:bCs/>
          <w:color w:val="auto"/>
          <w:sz w:val="32"/>
          <w:szCs w:val="32"/>
          <w:lang w:val="en-US" w:eastAsia="zh-CN" w:bidi="ar-SA"/>
        </w:rPr>
        <w:t>16、投标人认为需要的其他材料</w:t>
      </w: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color w:val="auto"/>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第六章  评审办法和程序</w:t>
      </w:r>
      <w:bookmarkEnd w:id="77"/>
    </w:p>
    <w:p>
      <w:pPr>
        <w:snapToGrid w:val="0"/>
        <w:jc w:val="center"/>
        <w:rPr>
          <w:rFonts w:hint="eastAsia" w:ascii="仿宋" w:hAnsi="仿宋" w:eastAsia="仿宋" w:cs="仿宋"/>
          <w:b/>
          <w:color w:val="auto"/>
          <w:spacing w:val="10"/>
          <w:sz w:val="24"/>
          <w:szCs w:val="24"/>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一、总则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1、根据《中华人民共和国政府采购法》、《中华人民共和国政府采购法实施条例》、《政府采购货物和服务招标投标管理办法》等法律制度，结合采购项目特点制定本评标办法。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2、评标工作应遵循公平、公正、科学及择优的原则，并以相同的评标程序和标准对待所有的投标人。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3、评标委员会按照招标文件规定的评标方法和标准进行评标，并独立履行下列职责：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（1）熟悉和理解招标文件；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2</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审查、评价投标文件是否符合招标文件的商务、技术等实质性要求；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（3）根据需要要求采购人对招标文件作出解释；根据需要要求投标人对投标文件有关事项作出</w:t>
      </w:r>
      <w:r>
        <w:rPr>
          <w:rFonts w:hint="eastAsia" w:ascii="仿宋" w:hAnsi="仿宋" w:eastAsia="仿宋" w:cs="仿宋"/>
          <w:color w:val="auto"/>
          <w:kern w:val="0"/>
          <w:sz w:val="24"/>
          <w:szCs w:val="24"/>
          <w:shd w:val="clear" w:color="auto" w:fill="FFFFFF"/>
        </w:rPr>
        <w:t>澄清或者说明</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4</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对投标文件进行比较和评价；</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5</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确定中标候选人名单，以及根据采购人委托直接确定中标人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（6）起草评标报告并进行签署；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（7）向采购人、财政部门或者其他监督部门报告非法干预评标工作的行为；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（8）法律、法规和规章规定的其他职责。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二、评审办法和程序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rPr>
      </w:pPr>
      <w:r>
        <w:rPr>
          <w:rFonts w:hint="eastAsia" w:ascii="仿宋" w:hAnsi="仿宋" w:eastAsia="仿宋" w:cs="仿宋"/>
          <w:b/>
          <w:color w:val="auto"/>
          <w:sz w:val="24"/>
          <w:szCs w:val="24"/>
          <w:lang w:val="en-US" w:eastAsia="zh-CN"/>
        </w:rPr>
        <w:t>1、</w:t>
      </w:r>
      <w:r>
        <w:rPr>
          <w:rFonts w:hint="eastAsia" w:ascii="仿宋" w:hAnsi="仿宋" w:eastAsia="仿宋" w:cs="仿宋"/>
          <w:b/>
          <w:color w:val="auto"/>
          <w:sz w:val="24"/>
          <w:szCs w:val="24"/>
        </w:rPr>
        <w:t>评审办法和步骤</w:t>
      </w:r>
      <w:r>
        <w:rPr>
          <w:rFonts w:hint="eastAsia" w:ascii="仿宋" w:hAnsi="仿宋" w:eastAsia="仿宋" w:cs="仿宋"/>
          <w:b/>
          <w:color w:val="auto"/>
          <w:kern w:val="0"/>
          <w:sz w:val="24"/>
          <w:szCs w:val="24"/>
          <w:lang w:val="en-US" w:eastAsia="zh-CN" w:bidi="ar"/>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评标办法采用综合评分法。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评标步骤：先进行资格审查，然后由评标委员会进行符合性审查以及技术、商务的详细评审。只有通过资格审查、符合性审查的投标人才能进入详细评审。</w:t>
      </w:r>
    </w:p>
    <w:p>
      <w:pPr>
        <w:spacing w:line="360" w:lineRule="auto"/>
        <w:ind w:firstLine="482" w:firstLineChars="200"/>
        <w:rPr>
          <w:rFonts w:hint="eastAsia" w:ascii="仿宋" w:hAnsi="仿宋" w:eastAsia="仿宋" w:cs="仿宋"/>
          <w:b/>
          <w:color w:val="auto"/>
          <w:sz w:val="24"/>
          <w:szCs w:val="24"/>
        </w:rPr>
      </w:pPr>
      <w:bookmarkStart w:id="78" w:name="_Toc462068984"/>
      <w:bookmarkStart w:id="79" w:name="_Toc417386191"/>
      <w:bookmarkStart w:id="80" w:name="_Toc491437839"/>
      <w:r>
        <w:rPr>
          <w:rFonts w:hint="eastAsia" w:ascii="仿宋" w:hAnsi="仿宋" w:eastAsia="仿宋" w:cs="仿宋"/>
          <w:b/>
          <w:color w:val="auto"/>
          <w:sz w:val="24"/>
          <w:szCs w:val="24"/>
          <w:lang w:val="en-US" w:eastAsia="zh-CN"/>
        </w:rPr>
        <w:t>2、</w:t>
      </w:r>
      <w:r>
        <w:rPr>
          <w:rFonts w:hint="eastAsia" w:ascii="仿宋" w:hAnsi="仿宋" w:eastAsia="仿宋" w:cs="仿宋"/>
          <w:b/>
          <w:color w:val="auto"/>
          <w:sz w:val="24"/>
          <w:szCs w:val="24"/>
        </w:rPr>
        <w:t>资格</w:t>
      </w:r>
      <w:bookmarkEnd w:id="78"/>
      <w:bookmarkEnd w:id="79"/>
      <w:bookmarkEnd w:id="80"/>
      <w:r>
        <w:rPr>
          <w:rFonts w:hint="eastAsia" w:ascii="仿宋" w:hAnsi="仿宋" w:eastAsia="仿宋" w:cs="仿宋"/>
          <w:b/>
          <w:color w:val="auto"/>
          <w:sz w:val="24"/>
          <w:szCs w:val="24"/>
        </w:rPr>
        <w:t>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根据财政部第87号令第四十四条的规定，采购人、</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对投标人的资格进行审查。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采购人、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根据“资格审查表”（附表1）对投标人的资格性进行评审，只有对“资格评审表”（附表1）所列各项作出实质性响应的投标文件才能通过资格评审。有以下情况的将不能通过初步评审：</w:t>
      </w:r>
    </w:p>
    <w:p>
      <w:pPr>
        <w:numPr>
          <w:ilvl w:val="0"/>
          <w:numId w:val="7"/>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投标人未能满足投标人资格要求的；</w:t>
      </w:r>
    </w:p>
    <w:p>
      <w:pPr>
        <w:numPr>
          <w:ilvl w:val="0"/>
          <w:numId w:val="7"/>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投标有效期不足的；</w:t>
      </w:r>
    </w:p>
    <w:p>
      <w:pPr>
        <w:numPr>
          <w:ilvl w:val="0"/>
          <w:numId w:val="7"/>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不符合招标文件规定的其它条件。</w:t>
      </w:r>
    </w:p>
    <w:p>
      <w:pPr>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通过资格审查的投标人不足三家，则本次招标失败。</w:t>
      </w:r>
    </w:p>
    <w:p>
      <w:pPr>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、符合性审查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判断投标文件的响应与否只根据投标文件本身，而不寻求外部证据。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评标委员会在符合性审查中，对算术错误的修正原则如下:</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开标一览表内容与投标文件中明细表内容不一致的，以开标一览表为准</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投标文件的大写金额和小写金额不一致的，以大写金额为准；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总价金额与按单价汇总金额不一致的，以单价金额计算结果为准；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单价金额小数点有明显错位的，以总价为准并修改单价。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若投标人不同意以上修正，投标文件将视为无效。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评标委员会认为投标人的报价明显低于其他通过符合性审查投标人的报价，有可能影响产品质量或者不能诚信履约的，将要求其在评标现场接到通知后</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分钟内提供书面说明，必要时提交相关证明材料。投标人不能证明其报价合理性的，评标委员会将其作为无效投标处理。</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通过符合性审查的投标人不足三家，则本次招标失败。</w:t>
      </w:r>
    </w:p>
    <w:p>
      <w:pPr>
        <w:spacing w:line="360" w:lineRule="auto"/>
        <w:rPr>
          <w:rFonts w:hint="eastAsia" w:ascii="仿宋" w:hAnsi="仿宋" w:eastAsia="仿宋" w:cs="仿宋"/>
          <w:b/>
          <w:color w:val="auto"/>
          <w:sz w:val="24"/>
          <w:szCs w:val="24"/>
        </w:rPr>
      </w:pPr>
      <w:bookmarkStart w:id="81" w:name="_Toc491437840"/>
      <w:bookmarkStart w:id="82" w:name="_Toc417386192"/>
      <w:bookmarkStart w:id="83" w:name="_Toc462068985"/>
      <w:r>
        <w:rPr>
          <w:rFonts w:hint="eastAsia" w:ascii="仿宋" w:hAnsi="仿宋" w:eastAsia="仿宋" w:cs="仿宋"/>
          <w:b/>
          <w:color w:val="auto"/>
          <w:sz w:val="24"/>
          <w:szCs w:val="24"/>
          <w:lang w:val="en-US" w:eastAsia="zh-CN"/>
        </w:rPr>
        <w:t>4</w:t>
      </w:r>
      <w:r>
        <w:rPr>
          <w:rFonts w:hint="eastAsia" w:ascii="仿宋" w:hAnsi="仿宋" w:eastAsia="仿宋" w:cs="仿宋"/>
          <w:b/>
          <w:color w:val="auto"/>
          <w:sz w:val="24"/>
          <w:szCs w:val="24"/>
        </w:rPr>
        <w:t>、详细评审</w:t>
      </w:r>
      <w:bookmarkEnd w:id="81"/>
      <w:bookmarkEnd w:id="82"/>
      <w:bookmarkEnd w:id="8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评标委员会根据评审办法对通过初步评审的投标文件进行详细评审，并进行技术和商务的评审打分</w:t>
      </w:r>
      <w:r>
        <w:rPr>
          <w:rFonts w:hint="eastAsia" w:ascii="仿宋" w:hAnsi="仿宋" w:eastAsia="仿宋" w:cs="仿宋"/>
          <w:color w:val="auto"/>
          <w:sz w:val="24"/>
          <w:szCs w:val="24"/>
          <w:lang w:eastAsia="zh-CN"/>
        </w:rPr>
        <w:t>，</w:t>
      </w:r>
      <w:r>
        <w:rPr>
          <w:rFonts w:hint="eastAsia" w:ascii="仿宋" w:hAnsi="仿宋" w:eastAsia="仿宋" w:cs="仿宋"/>
          <w:b/>
          <w:bCs/>
          <w:color w:val="auto"/>
          <w:kern w:val="0"/>
          <w:sz w:val="24"/>
          <w:szCs w:val="24"/>
        </w:rPr>
        <w:t>非单一产品采购项目，多家投标人提供的核心产品品牌相同的，按一家投标人</w:t>
      </w:r>
      <w:r>
        <w:rPr>
          <w:rFonts w:hint="eastAsia" w:ascii="仿宋" w:hAnsi="仿宋" w:eastAsia="仿宋" w:cs="仿宋"/>
          <w:b/>
          <w:bCs/>
          <w:color w:val="auto"/>
          <w:sz w:val="24"/>
          <w:szCs w:val="24"/>
        </w:rPr>
        <w:t>计算。评审后得分最高的同品牌投标人获得中标人推荐资格；评审得分相同的，由评标委员会按照“（8）综合评分及其统计”规定的方式确定；上述方式仍无法确定的可采取随机抽取方式确定；其他同品牌投标人不作为中标候选人。</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技术、商务评分：</w:t>
      </w:r>
      <w:r>
        <w:rPr>
          <w:rFonts w:hint="eastAsia" w:ascii="仿宋" w:hAnsi="仿宋" w:eastAsia="仿宋" w:cs="仿宋"/>
          <w:color w:val="auto"/>
          <w:sz w:val="24"/>
          <w:szCs w:val="24"/>
          <w:lang w:val="en-US" w:eastAsia="zh-CN"/>
        </w:rPr>
        <w:t>按招标文件中规定的评标方法和标准，对未作无效投标处理的投标文件进行技术、服务、商务等方面评估，综合比较与评价，</w:t>
      </w:r>
      <w:r>
        <w:rPr>
          <w:rFonts w:hint="eastAsia" w:ascii="仿宋" w:hAnsi="仿宋" w:eastAsia="仿宋" w:cs="仿宋"/>
          <w:color w:val="auto"/>
          <w:sz w:val="24"/>
          <w:szCs w:val="24"/>
        </w:rPr>
        <w:t>具体评审的内容详见（附表</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价格分=(基准价／投标报价)×价格权值×100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如投标人满足第二章第</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条“关于政策性加分”规定的，应按该条规定对投标人的评标价进行调整。</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技术、商务及价格权重分配</w:t>
      </w:r>
      <w:r>
        <w:rPr>
          <w:rFonts w:hint="eastAsia" w:ascii="仿宋" w:hAnsi="仿宋" w:eastAsia="仿宋" w:cs="仿宋"/>
          <w:color w:val="auto"/>
          <w:sz w:val="24"/>
          <w:szCs w:val="24"/>
          <w:lang w:eastAsia="zh-CN"/>
        </w:rPr>
        <w:t>详见</w:t>
      </w:r>
      <w:r>
        <w:rPr>
          <w:rFonts w:hint="eastAsia" w:ascii="仿宋" w:hAnsi="仿宋" w:eastAsia="仿宋" w:cs="仿宋"/>
          <w:color w:val="auto"/>
          <w:sz w:val="24"/>
          <w:szCs w:val="24"/>
          <w:lang w:val="en-US" w:eastAsia="zh-CN"/>
        </w:rPr>
        <w:t>技术、商务评分表。</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（6）复核：评分汇总结束后，评标委员会应当进行复核，特别要对拟推荐为中标候选人的、报价最低的、投标文件被认定为无效的进行重点复核。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（7）评标报告：评标委员会推荐中标候选人后，应当向采购人出具评标报告。评标报告应当包括下列内容：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1）招标公告刊登的媒体名称、开标日期和地点；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2）获取招标文件的投标人名单和评标委员会成员名单；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3）评标方法和标准；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4）开标记录和评标情况及说明，包括无效投标人名单及原因；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5）评标结果和中标候选人排序表；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6）评标委员会授标建议；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（9）定标程序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1)评标委员会将评标情况写出书面报告，推荐中标候选人。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2)采购代理机构在评标结束后2个工作日内将评标报告送采购人。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3)采购人在收到评标报告后5个工作日内，按照评标报告中推荐的中标候选人顺序确定中标人。</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4)根据采购人确定的中标人，采购代理机构在招标文件第一章公告发布媒介上发布中标公告，</w:t>
      </w:r>
      <w:r>
        <w:rPr>
          <w:rFonts w:hint="eastAsia" w:ascii="仿宋" w:hAnsi="仿宋" w:eastAsia="仿宋" w:cs="仿宋"/>
          <w:color w:val="auto"/>
          <w:kern w:val="0"/>
          <w:sz w:val="24"/>
          <w:szCs w:val="24"/>
          <w:shd w:val="clear" w:color="auto" w:fill="FFFFFF"/>
        </w:rPr>
        <w:t>在公告中标结果的同时，采购人或者采购代理机构应当向中标人发出中标通知书</w:t>
      </w:r>
      <w:r>
        <w:rPr>
          <w:rFonts w:hint="eastAsia" w:ascii="仿宋" w:hAnsi="仿宋" w:eastAsia="仿宋" w:cs="仿宋"/>
          <w:color w:val="auto"/>
          <w:kern w:val="0"/>
          <w:sz w:val="24"/>
          <w:szCs w:val="24"/>
          <w:shd w:val="clear" w:color="auto" w:fill="FFFFFF"/>
          <w:lang w:eastAsia="zh-CN"/>
        </w:rPr>
        <w:t>。</w:t>
      </w:r>
    </w:p>
    <w:p>
      <w:pPr>
        <w:spacing w:line="360" w:lineRule="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5、评审注意事项</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（1）投标人应当书面澄清、说明或者更正。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①按财政部规定应当在评标时不予承认的投标文件内容事项；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②投标文件中已经明确的内容事项；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rPr>
      </w:pPr>
      <w:r>
        <w:rPr>
          <w:rFonts w:hint="eastAsia" w:ascii="仿宋" w:hAnsi="仿宋" w:eastAsia="仿宋" w:cs="仿宋"/>
          <w:b/>
          <w:color w:val="auto"/>
          <w:kern w:val="0"/>
          <w:sz w:val="24"/>
          <w:szCs w:val="24"/>
          <w:lang w:val="en-US" w:eastAsia="zh-CN" w:bidi="ar"/>
        </w:rPr>
        <w:t xml:space="preserve">注：评标委员会当积极履行澄清、说明或者更正的职责，不得滥用权力。投标人的投标文件应当要求澄清、说明或者更正的，不得未经澄清、说明或者更正而直接作无效投标处理。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color w:val="auto"/>
        </w:rPr>
      </w:pPr>
      <w:r>
        <w:rPr>
          <w:rFonts w:hint="eastAsia" w:ascii="仿宋" w:hAnsi="仿宋" w:eastAsia="仿宋" w:cs="仿宋"/>
          <w:b w:val="0"/>
          <w:bCs w:val="0"/>
          <w:color w:val="auto"/>
          <w:lang w:eastAsia="zh-CN"/>
        </w:rPr>
        <w:t>（</w:t>
      </w:r>
      <w:r>
        <w:rPr>
          <w:rFonts w:hint="eastAsia" w:ascii="仿宋" w:hAnsi="仿宋" w:eastAsia="仿宋" w:cs="仿宋"/>
          <w:b w:val="0"/>
          <w:bCs w:val="0"/>
          <w:color w:val="auto"/>
          <w:lang w:val="en-US" w:eastAsia="zh-CN"/>
        </w:rPr>
        <w:t>2</w:t>
      </w:r>
      <w:r>
        <w:rPr>
          <w:rFonts w:hint="eastAsia" w:ascii="仿宋" w:hAnsi="仿宋" w:eastAsia="仿宋" w:cs="仿宋"/>
          <w:b w:val="0"/>
          <w:bCs w:val="0"/>
          <w:color w:val="auto"/>
          <w:lang w:eastAsia="zh-CN"/>
        </w:rPr>
        <w:t>）</w:t>
      </w:r>
      <w:r>
        <w:rPr>
          <w:rFonts w:hint="eastAsia" w:ascii="仿宋" w:hAnsi="仿宋" w:eastAsia="仿宋" w:cs="仿宋"/>
          <w:b w:val="0"/>
          <w:bCs w:val="0"/>
          <w:color w:val="auto"/>
          <w:kern w:val="0"/>
          <w:sz w:val="24"/>
          <w:szCs w:val="24"/>
          <w:lang w:val="en-US" w:eastAsia="zh-CN" w:bidi="ar"/>
        </w:rPr>
        <w:t>评标专家在政府采购活动中承担以下义务：</w:t>
      </w:r>
      <w:r>
        <w:rPr>
          <w:rFonts w:hint="eastAsia" w:ascii="仿宋" w:hAnsi="仿宋" w:eastAsia="仿宋" w:cs="仿宋"/>
          <w:b/>
          <w:color w:val="auto"/>
          <w:kern w:val="0"/>
          <w:sz w:val="24"/>
          <w:szCs w:val="24"/>
          <w:lang w:val="en-US" w:eastAsia="zh-CN" w:bidi="ar"/>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1）遵守评审工作纪律；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2）按照客观、公正、审慎的原则，根据招标文件规定的评审程序、评审方法和评审标准进行独立评审；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3）不得泄露评审文件、评审情况和在评审过程中获悉的商业秘密；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4）及时向监督部门报告评审过程中采购人向评审专家做倾向性、误导性的解释或者说明，投标人行贿、提供虚假材料或者串通、受到的非法干预情况等违法违规行为；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5）发现招标文件内容违反国家有关强制性规定或者存在歧义、重大缺陷导致评审工作无法进行时，停止评审并向采购人书面说明情况；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6）配合答复处理投标人的询问、质疑和投诉等事项；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7）法律、法规和规章规定的其他义务。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（3）评审专家与参加采购活动的供应商存在下列利害关系之一的,应当回避:</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1）参加采购活动前三年内,与供应商存在劳动关系,或者担任过供应商的董事、监事,或者是供应商的控股股东或实际控制人；</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2）与供应商的法定代表人或者负责人有夫妻、直系血亲、三代以内旁系血亲或者近姻亲关系；</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3）与供应商有其他可能影响政府采购活动公平、公正进行的关系。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（4）评审专家不得有下列行为：</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确定参与评标至评标结束前私自接触供应商；</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在评标过程中擅离职守，影响评标程序正常进行；</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记录、复制或者带走任何评标资料。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color w:val="auto"/>
        </w:rPr>
      </w:pPr>
      <w:r>
        <w:rPr>
          <w:rFonts w:hint="eastAsia" w:ascii="仿宋" w:hAnsi="仿宋" w:eastAsia="仿宋" w:cs="仿宋"/>
          <w:b w:val="0"/>
          <w:bCs/>
          <w:color w:val="auto"/>
          <w:kern w:val="0"/>
          <w:sz w:val="24"/>
          <w:szCs w:val="24"/>
          <w:lang w:val="en-US" w:eastAsia="zh-CN" w:bidi="ar"/>
        </w:rPr>
        <w:t xml:space="preserve">（4）评审专家在政府采购活动中应当遵守以下工作纪律：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1）遵行《政府采购法》第十二条和《政府采购法实施条例》第九条及财政部关于回避的规定。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2）在评审工作开始前，评审委员会成员应当自觉将通讯工具或者相关电子设备统一存放于封闭评标区储物柜中保管或存放至指定位置统一管理。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3）评标过程中，不得与外界联系，因发生不可预见情况，确实需要与外界联系的，应当在采购单位监督人员监督之下办理。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5）在评标过程中和评标结束后，不得记录、复制或带走任何评标资料，除因规定的义务外，不得向外界透露评标内容。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6）服从招标代理机构工作人员的现场秩序管理。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7）遵守有关廉洁自律规定，不得私下接触投标人，不得收受投标人及有关业务单位和个人的财物或好处，不得接受采购人的请托。</w:t>
      </w:r>
    </w:p>
    <w:p>
      <w:pP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pPr>
    </w:p>
    <w:p>
      <w:pPr>
        <w:shd w:val="clear" w:color="auto" w:fill="FFFFFF"/>
        <w:tabs>
          <w:tab w:val="left" w:pos="720"/>
        </w:tabs>
        <w:snapToGrid w:val="0"/>
        <w:spacing w:line="360" w:lineRule="auto"/>
        <w:ind w:firstLine="482" w:firstLineChars="200"/>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附表</w:t>
      </w:r>
      <w:r>
        <w:rPr>
          <w:rFonts w:hint="eastAsia" w:ascii="仿宋" w:hAnsi="仿宋" w:eastAsia="仿宋" w:cs="仿宋"/>
          <w:b/>
          <w:bCs/>
          <w:color w:val="auto"/>
          <w:sz w:val="32"/>
          <w:szCs w:val="32"/>
          <w:lang w:val="en-US" w:eastAsia="zh-CN"/>
        </w:rPr>
        <w:t>1:</w:t>
      </w: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84" w:name="_Toc29097"/>
      <w:r>
        <w:rPr>
          <w:rFonts w:hint="eastAsia" w:ascii="仿宋" w:hAnsi="仿宋" w:eastAsia="仿宋" w:cs="仿宋"/>
          <w:color w:val="auto"/>
        </w:rPr>
        <w:t>1</w:t>
      </w:r>
      <w:bookmarkStart w:id="85" w:name="_Toc491437841"/>
      <w:r>
        <w:rPr>
          <w:rFonts w:hint="eastAsia" w:ascii="仿宋" w:hAnsi="仿宋" w:eastAsia="仿宋" w:cs="仿宋"/>
          <w:color w:val="auto"/>
          <w:lang w:eastAsia="zh-CN"/>
        </w:rPr>
        <w:t>、</w:t>
      </w:r>
      <w:r>
        <w:rPr>
          <w:rFonts w:hint="eastAsia" w:ascii="仿宋" w:hAnsi="仿宋" w:eastAsia="仿宋" w:cs="仿宋"/>
          <w:color w:val="auto"/>
        </w:rPr>
        <w:t>资格审查表</w:t>
      </w:r>
      <w:bookmarkEnd w:id="84"/>
      <w:bookmarkEnd w:id="85"/>
    </w:p>
    <w:p>
      <w:pPr>
        <w:shd w:val="clear" w:color="auto" w:fill="FFFFFF"/>
        <w:spacing w:line="360" w:lineRule="auto"/>
        <w:rPr>
          <w:rFonts w:hint="eastAsia" w:ascii="仿宋" w:hAnsi="仿宋" w:eastAsia="仿宋" w:cs="仿宋"/>
          <w:color w:val="auto"/>
          <w:sz w:val="24"/>
          <w:szCs w:val="24"/>
        </w:rPr>
      </w:pPr>
    </w:p>
    <w:p>
      <w:pPr>
        <w:shd w:val="clear" w:color="auto" w:fill="FFFFFF"/>
        <w:spacing w:line="360" w:lineRule="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p>
    <w:p>
      <w:pPr>
        <w:shd w:val="clear" w:color="auto" w:fill="FFFFFF"/>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p>
    <w:tbl>
      <w:tblPr>
        <w:tblStyle w:val="44"/>
        <w:tblW w:w="93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3151"/>
        <w:gridCol w:w="2894"/>
        <w:gridCol w:w="703"/>
        <w:gridCol w:w="865"/>
        <w:gridCol w:w="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315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审查项目</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评议内容</w:t>
            </w:r>
            <w:r>
              <w:rPr>
                <w:rFonts w:hint="eastAsia" w:ascii="仿宋" w:hAnsi="仿宋" w:eastAsia="仿宋" w:cs="仿宋"/>
                <w:color w:val="auto"/>
                <w:sz w:val="24"/>
                <w:szCs w:val="24"/>
              </w:rPr>
              <w:t>（无效投标认定条件）</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投标人1</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投标人2</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在中华人民共和国注册，具有独立承担民事责任能力</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需提供营业执照、税务登记证、组织机构代码证复印件，或者三证合一复印件</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具有良好的商业信誉和健全的财务会计制度</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提供承诺函，格式自拟</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具有依法缴纳税收的良好记录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提供承诺函，格式自拟</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具有依法缴纳社会保障资金的良好记录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提供承诺函，格式自拟</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参加政府采购活动前三年内，在经营活动中没有重大违法记录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提供声明函</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参加政府采购活动前三年内，无环保类行政处罚记录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提供声明函</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具备《中华人民共和国政府采购法》第二十二条规定的条件</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提供承诺书</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不存在与参加本项目采购活动的其他投标人单位负责人为同一人或者存在直接控股、管理关系</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提供承诺函</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人力资源服务许可证</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提供证书复印件加盖公章</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938"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color w:val="auto"/>
                <w:sz w:val="24"/>
                <w:szCs w:val="24"/>
              </w:rPr>
            </w:pPr>
            <w:r>
              <w:rPr>
                <w:rFonts w:hint="eastAsia" w:ascii="仿宋" w:hAnsi="仿宋" w:eastAsia="仿宋" w:cs="仿宋"/>
                <w:b/>
                <w:color w:val="auto"/>
                <w:sz w:val="24"/>
                <w:szCs w:val="24"/>
              </w:rPr>
              <w:t>结         论</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bl>
    <w:p>
      <w:pPr>
        <w:shd w:val="clear" w:color="auto" w:fill="FFFFFF"/>
        <w:rPr>
          <w:rFonts w:hint="eastAsia" w:ascii="仿宋" w:hAnsi="仿宋" w:eastAsia="仿宋" w:cs="仿宋"/>
          <w:color w:val="auto"/>
          <w:sz w:val="24"/>
          <w:szCs w:val="24"/>
        </w:rPr>
      </w:pP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1、表中只需填写“√/通过”或“×/不通过”。</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shd w:val="clear" w:color="auto" w:fill="FFFFFF"/>
        <w:spacing w:line="360" w:lineRule="auto"/>
        <w:rPr>
          <w:rFonts w:hint="eastAsia" w:ascii="仿宋" w:hAnsi="仿宋" w:eastAsia="仿宋" w:cs="仿宋"/>
          <w:color w:val="auto"/>
          <w:sz w:val="24"/>
          <w:szCs w:val="24"/>
        </w:rPr>
      </w:pP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r>
        <w:rPr>
          <w:rFonts w:hint="eastAsia" w:ascii="仿宋" w:hAnsi="仿宋" w:eastAsia="仿宋" w:cs="仿宋"/>
          <w:color w:val="auto"/>
          <w:sz w:val="24"/>
          <w:szCs w:val="24"/>
        </w:rPr>
        <w:t xml:space="preserve">采购人代表：                            </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代表：</w:t>
      </w: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海南政辉招投标代理有限公司</w:t>
      </w:r>
    </w:p>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年   月   日</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bidi w:val="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附表</w:t>
      </w:r>
      <w:r>
        <w:rPr>
          <w:rFonts w:hint="eastAsia" w:ascii="仿宋" w:hAnsi="仿宋" w:eastAsia="仿宋" w:cs="仿宋"/>
          <w:b/>
          <w:bCs/>
          <w:color w:val="auto"/>
          <w:sz w:val="32"/>
          <w:szCs w:val="32"/>
          <w:lang w:eastAsia="zh-CN"/>
        </w:rPr>
        <w:t>2：</w:t>
      </w: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86" w:name="_Toc28253"/>
      <w:r>
        <w:rPr>
          <w:rFonts w:hint="eastAsia" w:ascii="仿宋" w:hAnsi="仿宋" w:eastAsia="仿宋" w:cs="仿宋"/>
          <w:color w:val="auto"/>
          <w:lang w:val="en-US" w:eastAsia="zh-CN"/>
        </w:rPr>
        <w:t>2、</w:t>
      </w:r>
      <w:r>
        <w:rPr>
          <w:rFonts w:hint="eastAsia" w:ascii="仿宋" w:hAnsi="仿宋" w:eastAsia="仿宋" w:cs="仿宋"/>
          <w:color w:val="auto"/>
          <w:lang w:eastAsia="zh-CN"/>
        </w:rPr>
        <w:t>符合性</w:t>
      </w:r>
      <w:r>
        <w:rPr>
          <w:rFonts w:hint="eastAsia" w:ascii="仿宋" w:hAnsi="仿宋" w:eastAsia="仿宋" w:cs="仿宋"/>
          <w:color w:val="auto"/>
        </w:rPr>
        <w:t>审查表</w:t>
      </w:r>
      <w:bookmarkEnd w:id="86"/>
    </w:p>
    <w:p>
      <w:pPr>
        <w:shd w:val="clear" w:color="auto" w:fill="FFFFFF"/>
        <w:spacing w:line="360" w:lineRule="auto"/>
        <w:rPr>
          <w:rFonts w:hint="eastAsia" w:ascii="仿宋" w:hAnsi="仿宋" w:eastAsia="仿宋" w:cs="仿宋"/>
          <w:color w:val="auto"/>
          <w:sz w:val="24"/>
          <w:szCs w:val="24"/>
        </w:rPr>
      </w:pPr>
    </w:p>
    <w:p>
      <w:pPr>
        <w:shd w:val="clear" w:color="auto" w:fill="FFFFFF"/>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项目编号：</w:t>
      </w:r>
      <w:r>
        <w:rPr>
          <w:rFonts w:hint="eastAsia" w:ascii="仿宋" w:hAnsi="仿宋" w:eastAsia="仿宋" w:cs="仿宋"/>
          <w:color w:val="auto"/>
          <w:sz w:val="24"/>
          <w:szCs w:val="24"/>
          <w:u w:val="single"/>
          <w:lang w:val="en-US" w:eastAsia="zh-CN"/>
        </w:rPr>
        <w:t xml:space="preserve">                 </w:t>
      </w:r>
    </w:p>
    <w:tbl>
      <w:tblPr>
        <w:tblStyle w:val="44"/>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909"/>
        <w:gridCol w:w="3347"/>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审查项目</w:t>
            </w:r>
          </w:p>
        </w:tc>
        <w:tc>
          <w:tcPr>
            <w:tcW w:w="334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评议内容</w:t>
            </w:r>
            <w:r>
              <w:rPr>
                <w:rFonts w:hint="eastAsia" w:ascii="仿宋" w:hAnsi="仿宋" w:eastAsia="仿宋" w:cs="仿宋"/>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设备雷同性检查</w:t>
            </w:r>
          </w:p>
        </w:tc>
        <w:tc>
          <w:tcPr>
            <w:tcW w:w="334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是否满足上传投标文件的电脑MAC地址、CPU序列号、硬盘序列号中不存在两项及以上相同的情形</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投标文件符合性 </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投标文件的有效性、完整性</w:t>
            </w:r>
          </w:p>
        </w:tc>
        <w:tc>
          <w:tcPr>
            <w:tcW w:w="334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报价项目完整性</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kern w:val="28"/>
                <w:sz w:val="24"/>
                <w:szCs w:val="24"/>
              </w:rPr>
            </w:pPr>
            <w:r>
              <w:rPr>
                <w:rFonts w:hint="eastAsia" w:ascii="仿宋" w:hAnsi="仿宋" w:eastAsia="仿宋" w:cs="仿宋"/>
                <w:color w:val="auto"/>
                <w:kern w:val="28"/>
                <w:sz w:val="24"/>
                <w:szCs w:val="24"/>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909"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投标有效期</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909"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投标报价</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是否超过最高限价或预算金额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lang w:eastAsia="zh-CN"/>
              </w:rPr>
            </w:pPr>
            <w:r>
              <w:rPr>
                <w:rFonts w:hint="eastAsia" w:ascii="仿宋" w:hAnsi="仿宋" w:eastAsia="仿宋" w:cs="仿宋"/>
                <w:color w:val="auto"/>
                <w:sz w:val="24"/>
              </w:rPr>
              <w:t>合同履行期限</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无其他无效认定条件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5256"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ind w:left="1350"/>
              <w:rPr>
                <w:rFonts w:hint="eastAsia" w:ascii="仿宋" w:hAnsi="仿宋" w:eastAsia="仿宋" w:cs="仿宋"/>
                <w:color w:val="auto"/>
                <w:sz w:val="24"/>
                <w:szCs w:val="24"/>
              </w:rPr>
            </w:pPr>
            <w:r>
              <w:rPr>
                <w:rFonts w:hint="eastAsia" w:ascii="仿宋" w:hAnsi="仿宋" w:eastAsia="仿宋" w:cs="仿宋"/>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bl>
    <w:p>
      <w:pPr>
        <w:shd w:val="clear" w:color="auto" w:fill="FFFFFF"/>
        <w:rPr>
          <w:rFonts w:hint="eastAsia" w:ascii="仿宋" w:hAnsi="仿宋" w:eastAsia="仿宋" w:cs="仿宋"/>
          <w:color w:val="auto"/>
          <w:sz w:val="24"/>
          <w:szCs w:val="24"/>
        </w:rPr>
      </w:pPr>
    </w:p>
    <w:p>
      <w:pPr>
        <w:shd w:val="clear" w:color="auto" w:fill="FFFFFF"/>
        <w:spacing w:line="48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1、表中只需填写“√/通过”或“×/不通过”。</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shd w:val="clear" w:color="auto" w:fill="FFFFFF"/>
        <w:spacing w:line="360" w:lineRule="auto"/>
        <w:rPr>
          <w:rFonts w:hint="eastAsia" w:ascii="仿宋" w:hAnsi="仿宋" w:eastAsia="仿宋" w:cs="仿宋"/>
          <w:color w:val="auto"/>
          <w:sz w:val="24"/>
          <w:szCs w:val="24"/>
        </w:rPr>
      </w:pP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r>
        <w:rPr>
          <w:rFonts w:hint="eastAsia" w:ascii="仿宋" w:hAnsi="仿宋" w:eastAsia="仿宋" w:cs="仿宋"/>
          <w:color w:val="auto"/>
          <w:sz w:val="24"/>
          <w:szCs w:val="24"/>
        </w:rPr>
        <w:t>评  委：</w:t>
      </w: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p>
    <w:bookmarkEnd w:id="68"/>
    <w:p>
      <w:pPr>
        <w:jc w:val="both"/>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87" w:name="_Toc11988"/>
      <w:bookmarkStart w:id="88" w:name="_Toc4148"/>
      <w:bookmarkStart w:id="89" w:name="_Toc417386194"/>
      <w:bookmarkStart w:id="90" w:name="_Toc28682"/>
    </w:p>
    <w:bookmarkEnd w:id="87"/>
    <w:bookmarkEnd w:id="88"/>
    <w:bookmarkEnd w:id="89"/>
    <w:bookmarkEnd w:id="90"/>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附表3</w:t>
      </w:r>
      <w:bookmarkStart w:id="91" w:name="_Toc425425722"/>
      <w:bookmarkStart w:id="92" w:name="_Toc491437842"/>
      <w:r>
        <w:rPr>
          <w:rFonts w:hint="eastAsia" w:ascii="仿宋" w:hAnsi="仿宋" w:eastAsia="仿宋" w:cs="仿宋"/>
          <w:b/>
          <w:bCs/>
          <w:color w:val="auto"/>
          <w:sz w:val="32"/>
          <w:szCs w:val="32"/>
          <w:lang w:val="en-US" w:eastAsia="zh-CN"/>
        </w:rPr>
        <w:t>:</w:t>
      </w:r>
    </w:p>
    <w:bookmarkEnd w:id="91"/>
    <w:bookmarkEnd w:id="92"/>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93" w:name="_Toc27003"/>
      <w:r>
        <w:rPr>
          <w:rFonts w:hint="eastAsia" w:ascii="仿宋" w:hAnsi="仿宋" w:eastAsia="仿宋" w:cs="仿宋"/>
          <w:color w:val="auto"/>
          <w:lang w:val="en-US" w:eastAsia="zh-CN"/>
        </w:rPr>
        <w:t>3、技术、商务评分表</w:t>
      </w:r>
      <w:bookmarkEnd w:id="93"/>
    </w:p>
    <w:p>
      <w:pPr>
        <w:spacing w:line="360" w:lineRule="auto"/>
        <w:jc w:val="both"/>
        <w:rPr>
          <w:rFonts w:hint="eastAsia" w:ascii="仿宋" w:hAnsi="仿宋" w:eastAsia="仿宋" w:cs="仿宋"/>
          <w:color w:val="auto"/>
          <w:sz w:val="24"/>
          <w:szCs w:val="24"/>
        </w:rPr>
      </w:pPr>
    </w:p>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kern w:val="28"/>
          <w:sz w:val="24"/>
          <w:szCs w:val="24"/>
          <w:u w:val="single"/>
          <w:lang w:val="en-US" w:eastAsia="zh-CN"/>
        </w:rPr>
        <w:t xml:space="preserve">                   </w:t>
      </w:r>
    </w:p>
    <w:p>
      <w:pPr>
        <w:spacing w:line="360" w:lineRule="auto"/>
        <w:jc w:val="both"/>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评标项目</w:t>
            </w:r>
          </w:p>
        </w:tc>
        <w:tc>
          <w:tcPr>
            <w:tcW w:w="1826"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评标分值</w:t>
            </w:r>
          </w:p>
        </w:tc>
        <w:tc>
          <w:tcPr>
            <w:tcW w:w="4870"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widowControl/>
              <w:snapToGrid w:val="0"/>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总体策划</w:t>
            </w:r>
          </w:p>
          <w:p>
            <w:pPr>
              <w:widowControl/>
              <w:snapToGrid w:val="0"/>
              <w:jc w:val="center"/>
              <w:rPr>
                <w:rFonts w:hint="eastAsia" w:ascii="仿宋" w:hAnsi="仿宋" w:eastAsia="仿宋" w:cs="仿宋"/>
                <w:color w:val="auto"/>
                <w:sz w:val="32"/>
                <w:szCs w:val="32"/>
              </w:rPr>
            </w:pPr>
            <w:r>
              <w:rPr>
                <w:rFonts w:hint="eastAsia" w:ascii="仿宋" w:hAnsi="仿宋" w:eastAsia="仿宋" w:cs="宋体"/>
                <w:color w:val="auto"/>
                <w:sz w:val="24"/>
                <w:lang w:val="en-US" w:eastAsia="zh-CN"/>
              </w:rPr>
              <w:t>方案</w:t>
            </w:r>
          </w:p>
        </w:tc>
        <w:tc>
          <w:tcPr>
            <w:tcW w:w="1826" w:type="dxa"/>
            <w:noWrap w:val="0"/>
            <w:vAlign w:val="center"/>
          </w:tcPr>
          <w:p>
            <w:pPr>
              <w:widowControl/>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20</w:t>
            </w:r>
          </w:p>
        </w:tc>
        <w:tc>
          <w:tcPr>
            <w:tcW w:w="4870" w:type="dxa"/>
            <w:noWrap w:val="0"/>
            <w:vAlign w:val="center"/>
          </w:tcPr>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根据供应商提供的总体策划方案：包括但不限于背景分析、活动思路、具体实施计划、项目宣传方案、活动质量保障措施方案等</w:t>
            </w:r>
            <w:r>
              <w:rPr>
                <w:rFonts w:hint="eastAsia" w:ascii="仿宋" w:hAnsi="仿宋" w:eastAsia="仿宋" w:cs="仿宋"/>
                <w:color w:val="auto"/>
                <w:sz w:val="24"/>
              </w:rPr>
              <w:t>内容进行评比。</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仿宋"/>
                <w:color w:val="auto"/>
                <w:sz w:val="24"/>
                <w:lang w:val="en-US" w:eastAsia="zh-CN"/>
              </w:rPr>
              <w:t>大学生就业能力测评+生涯规划执行方案</w:t>
            </w:r>
          </w:p>
        </w:tc>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宋体"/>
                <w:color w:val="auto"/>
                <w:sz w:val="24"/>
              </w:rPr>
              <w:t>20</w:t>
            </w:r>
          </w:p>
        </w:tc>
        <w:tc>
          <w:tcPr>
            <w:tcW w:w="4870" w:type="dxa"/>
            <w:noWrap w:val="0"/>
            <w:vAlign w:val="center"/>
          </w:tcPr>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根据供应商提供的</w:t>
            </w:r>
            <w:r>
              <w:rPr>
                <w:rFonts w:hint="eastAsia" w:ascii="仿宋" w:hAnsi="仿宋" w:eastAsia="仿宋" w:cs="仿宋"/>
                <w:color w:val="auto"/>
                <w:sz w:val="24"/>
                <w:lang w:val="en-US" w:eastAsia="zh-CN"/>
              </w:rPr>
              <w:t>大学生就业能力测评+生涯规划执行方案</w:t>
            </w:r>
            <w:r>
              <w:rPr>
                <w:rFonts w:hint="eastAsia" w:ascii="仿宋" w:hAnsi="仿宋" w:eastAsia="仿宋" w:cs="仿宋"/>
                <w:color w:val="auto"/>
                <w:sz w:val="24"/>
              </w:rPr>
              <w:t>：包括但不限于</w:t>
            </w:r>
            <w:r>
              <w:rPr>
                <w:rFonts w:hint="eastAsia" w:ascii="仿宋" w:hAnsi="仿宋" w:eastAsia="仿宋" w:cs="仿宋"/>
                <w:color w:val="auto"/>
                <w:sz w:val="24"/>
                <w:lang w:val="en-US" w:eastAsia="zh-CN"/>
              </w:rPr>
              <w:t>执行规划、实施方案、技术方案、服务团队方案</w:t>
            </w:r>
            <w:r>
              <w:rPr>
                <w:rFonts w:hint="eastAsia" w:ascii="仿宋" w:hAnsi="仿宋" w:eastAsia="仿宋" w:cs="仿宋"/>
                <w:color w:val="auto"/>
                <w:sz w:val="24"/>
              </w:rPr>
              <w:t>等内容进行评比</w:t>
            </w:r>
            <w:r>
              <w:rPr>
                <w:rFonts w:hint="eastAsia" w:ascii="仿宋" w:hAnsi="仿宋" w:eastAsia="仿宋" w:cs="仿宋"/>
                <w:color w:val="auto"/>
                <w:sz w:val="24"/>
                <w:lang w:eastAsia="zh-CN"/>
              </w:rPr>
              <w:t>。</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仿宋"/>
                <w:color w:val="auto"/>
                <w:sz w:val="24"/>
                <w:lang w:val="en-US" w:eastAsia="zh-CN"/>
              </w:rPr>
              <w:t>职业指导公开课</w:t>
            </w:r>
            <w:r>
              <w:rPr>
                <w:rFonts w:hint="eastAsia" w:ascii="仿宋" w:hAnsi="仿宋" w:eastAsia="仿宋" w:cs="仿宋"/>
                <w:color w:val="auto"/>
                <w:sz w:val="24"/>
              </w:rPr>
              <w:t>执行方案</w:t>
            </w:r>
          </w:p>
        </w:tc>
        <w:tc>
          <w:tcPr>
            <w:tcW w:w="1826" w:type="dxa"/>
            <w:noWrap w:val="0"/>
            <w:vAlign w:val="center"/>
          </w:tcPr>
          <w:p>
            <w:pPr>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20</w:t>
            </w:r>
          </w:p>
        </w:tc>
        <w:tc>
          <w:tcPr>
            <w:tcW w:w="4870" w:type="dxa"/>
            <w:noWrap w:val="0"/>
            <w:vAlign w:val="top"/>
          </w:tcPr>
          <w:p>
            <w:pPr>
              <w:snapToGrid w:val="0"/>
              <w:spacing w:line="360" w:lineRule="auto"/>
              <w:jc w:val="left"/>
              <w:rPr>
                <w:rFonts w:hint="eastAsia" w:ascii="仿宋" w:hAnsi="仿宋" w:eastAsia="仿宋" w:cs="宋体"/>
                <w:color w:val="auto"/>
                <w:sz w:val="24"/>
                <w:lang w:eastAsia="zh-CN"/>
              </w:rPr>
            </w:pPr>
            <w:r>
              <w:rPr>
                <w:rFonts w:hint="eastAsia" w:ascii="仿宋" w:hAnsi="仿宋" w:eastAsia="仿宋" w:cs="宋体"/>
                <w:color w:val="auto"/>
                <w:sz w:val="24"/>
              </w:rPr>
              <w:t>根据供应商提供的</w:t>
            </w:r>
            <w:r>
              <w:rPr>
                <w:rFonts w:hint="eastAsia" w:ascii="仿宋" w:hAnsi="仿宋" w:eastAsia="仿宋" w:cs="仿宋"/>
                <w:color w:val="auto"/>
                <w:sz w:val="24"/>
                <w:lang w:val="en-US" w:eastAsia="zh-CN"/>
              </w:rPr>
              <w:t>职业指导公开课</w:t>
            </w:r>
            <w:r>
              <w:rPr>
                <w:rFonts w:hint="eastAsia" w:ascii="仿宋" w:hAnsi="仿宋" w:eastAsia="仿宋" w:cs="仿宋"/>
                <w:color w:val="auto"/>
                <w:sz w:val="24"/>
              </w:rPr>
              <w:t>执行方案</w:t>
            </w:r>
            <w:r>
              <w:rPr>
                <w:rFonts w:hint="eastAsia" w:ascii="仿宋" w:hAnsi="仿宋" w:eastAsia="仿宋" w:cs="宋体"/>
                <w:color w:val="auto"/>
                <w:sz w:val="24"/>
              </w:rPr>
              <w:t>：</w:t>
            </w:r>
            <w:r>
              <w:rPr>
                <w:rFonts w:hint="eastAsia" w:ascii="仿宋" w:hAnsi="仿宋" w:eastAsia="仿宋" w:cs="仿宋"/>
                <w:color w:val="auto"/>
                <w:sz w:val="24"/>
                <w:lang w:val="en-US" w:eastAsia="zh-CN"/>
              </w:rPr>
              <w:t>执行规划、实施方案、技术方案、服务团队方案</w:t>
            </w:r>
            <w:r>
              <w:rPr>
                <w:rFonts w:hint="eastAsia" w:ascii="仿宋" w:hAnsi="仿宋" w:eastAsia="仿宋" w:cs="仿宋"/>
                <w:color w:val="auto"/>
                <w:sz w:val="24"/>
              </w:rPr>
              <w:t>等内容进行评比</w:t>
            </w:r>
            <w:r>
              <w:rPr>
                <w:rFonts w:hint="eastAsia" w:ascii="仿宋" w:hAnsi="仿宋" w:eastAsia="仿宋" w:cs="宋体"/>
                <w:color w:val="auto"/>
                <w:sz w:val="24"/>
                <w:lang w:eastAsia="zh-CN"/>
              </w:rPr>
              <w:t>。</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_GB2312"/>
                <w:color w:val="auto"/>
                <w:sz w:val="24"/>
                <w:lang w:val="zh-TW"/>
              </w:rPr>
            </w:pPr>
            <w:r>
              <w:rPr>
                <w:rFonts w:hint="eastAsia" w:ascii="仿宋" w:hAnsi="仿宋" w:eastAsia="仿宋" w:cs="仿宋_GB2312"/>
                <w:color w:val="auto"/>
                <w:sz w:val="24"/>
                <w:lang w:val="en-US" w:eastAsia="zh-CN"/>
              </w:rPr>
              <w:t>安全</w:t>
            </w:r>
            <w:r>
              <w:rPr>
                <w:rFonts w:hint="eastAsia" w:ascii="仿宋" w:hAnsi="仿宋" w:eastAsia="仿宋" w:cs="仿宋_GB2312"/>
                <w:color w:val="auto"/>
                <w:sz w:val="24"/>
                <w:lang w:val="zh-TW"/>
              </w:rPr>
              <w:t>应急</w:t>
            </w:r>
          </w:p>
          <w:p>
            <w:pPr>
              <w:snapToGrid w:val="0"/>
              <w:jc w:val="center"/>
              <w:rPr>
                <w:rFonts w:hint="eastAsia" w:ascii="仿宋" w:hAnsi="仿宋" w:eastAsia="仿宋" w:cs="仿宋"/>
                <w:color w:val="auto"/>
                <w:sz w:val="32"/>
                <w:szCs w:val="32"/>
              </w:rPr>
            </w:pPr>
            <w:r>
              <w:rPr>
                <w:rFonts w:hint="eastAsia" w:ascii="仿宋" w:hAnsi="仿宋" w:eastAsia="仿宋" w:cs="仿宋_GB2312"/>
                <w:color w:val="auto"/>
                <w:sz w:val="24"/>
                <w:lang w:val="en-US" w:eastAsia="zh-CN"/>
              </w:rPr>
              <w:t>方案</w:t>
            </w:r>
          </w:p>
        </w:tc>
        <w:tc>
          <w:tcPr>
            <w:tcW w:w="1826" w:type="dxa"/>
            <w:noWrap w:val="0"/>
            <w:vAlign w:val="center"/>
          </w:tcPr>
          <w:p>
            <w:pPr>
              <w:snapToGrid w:val="0"/>
              <w:jc w:val="center"/>
              <w:rPr>
                <w:rFonts w:hint="eastAsia" w:ascii="仿宋" w:hAnsi="仿宋" w:eastAsia="仿宋" w:cs="仿宋"/>
                <w:color w:val="auto"/>
                <w:sz w:val="32"/>
                <w:szCs w:val="32"/>
                <w:lang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ascii="仿宋" w:hAnsi="仿宋" w:eastAsia="仿宋" w:cs="仿宋_GB2312"/>
                <w:color w:val="auto"/>
                <w:sz w:val="24"/>
                <w:lang w:val="zh-TW" w:eastAsia="zh-TW"/>
              </w:rPr>
            </w:pPr>
            <w:r>
              <w:rPr>
                <w:rFonts w:hint="eastAsia" w:ascii="仿宋" w:hAnsi="仿宋" w:eastAsia="仿宋" w:cs="仿宋_GB2312"/>
                <w:color w:val="auto"/>
                <w:sz w:val="24"/>
                <w:lang w:val="zh-TW" w:eastAsia="zh-TW"/>
              </w:rPr>
              <w:t>根据</w:t>
            </w:r>
            <w:r>
              <w:rPr>
                <w:rFonts w:hint="eastAsia" w:ascii="仿宋" w:hAnsi="仿宋" w:eastAsia="仿宋" w:cs="仿宋_GB2312"/>
                <w:color w:val="auto"/>
                <w:sz w:val="24"/>
              </w:rPr>
              <w:t>供应商</w:t>
            </w:r>
            <w:r>
              <w:rPr>
                <w:rFonts w:hint="eastAsia" w:ascii="仿宋" w:hAnsi="仿宋" w:eastAsia="仿宋" w:cs="仿宋_GB2312"/>
                <w:color w:val="auto"/>
                <w:sz w:val="24"/>
                <w:lang w:val="en-US" w:eastAsia="zh-CN"/>
              </w:rPr>
              <w:t>提供的安全应急方案</w:t>
            </w:r>
            <w:r>
              <w:rPr>
                <w:rFonts w:hint="eastAsia" w:ascii="仿宋" w:hAnsi="仿宋" w:eastAsia="仿宋" w:cs="仿宋_GB2312"/>
                <w:color w:val="auto"/>
                <w:sz w:val="24"/>
                <w:lang w:val="zh-TW"/>
              </w:rPr>
              <w:t>：包括但不限于</w:t>
            </w:r>
            <w:r>
              <w:rPr>
                <w:rFonts w:hint="eastAsia" w:ascii="仿宋" w:hAnsi="仿宋" w:eastAsia="仿宋" w:cs="仿宋_GB2312"/>
                <w:color w:val="auto"/>
                <w:sz w:val="24"/>
                <w:lang w:val="en-US" w:eastAsia="zh-CN"/>
              </w:rPr>
              <w:t>安全管理</w:t>
            </w:r>
            <w:r>
              <w:rPr>
                <w:rFonts w:hint="eastAsia" w:ascii="仿宋" w:hAnsi="仿宋" w:eastAsia="仿宋" w:cs="仿宋_GB2312"/>
                <w:color w:val="auto"/>
                <w:sz w:val="24"/>
                <w:lang w:val="zh-TW"/>
              </w:rPr>
              <w:t>方案、</w:t>
            </w:r>
            <w:r>
              <w:rPr>
                <w:rFonts w:hint="eastAsia" w:ascii="仿宋" w:hAnsi="仿宋" w:eastAsia="仿宋" w:cs="仿宋_GB2312"/>
                <w:color w:val="auto"/>
                <w:sz w:val="24"/>
                <w:lang w:val="en-US" w:eastAsia="zh-CN"/>
              </w:rPr>
              <w:t>应急保障措施、突发事件应急预案、消防安全应急预案</w:t>
            </w:r>
            <w:r>
              <w:rPr>
                <w:rFonts w:hint="eastAsia" w:ascii="仿宋" w:hAnsi="仿宋" w:eastAsia="仿宋" w:cs="仿宋_GB2312"/>
                <w:color w:val="auto"/>
                <w:sz w:val="24"/>
                <w:lang w:val="zh-TW"/>
              </w:rPr>
              <w:t>等</w:t>
            </w:r>
            <w:r>
              <w:rPr>
                <w:rFonts w:hint="eastAsia" w:ascii="仿宋" w:hAnsi="仿宋" w:eastAsia="仿宋" w:cs="仿宋_GB2312"/>
                <w:color w:val="auto"/>
                <w:sz w:val="24"/>
                <w:lang w:val="en-US" w:eastAsia="zh-CN"/>
              </w:rPr>
              <w:t>内容</w:t>
            </w:r>
            <w:r>
              <w:rPr>
                <w:rFonts w:hint="eastAsia" w:ascii="仿宋" w:hAnsi="仿宋" w:eastAsia="仿宋" w:cs="仿宋_GB2312"/>
                <w:color w:val="auto"/>
                <w:sz w:val="24"/>
                <w:lang w:val="zh-TW" w:eastAsia="zh-TW"/>
              </w:rPr>
              <w:t>进行综合</w:t>
            </w:r>
            <w:r>
              <w:rPr>
                <w:rFonts w:hint="eastAsia" w:ascii="仿宋" w:hAnsi="仿宋" w:eastAsia="仿宋" w:cs="仿宋_GB2312"/>
                <w:color w:val="auto"/>
                <w:sz w:val="24"/>
                <w:lang w:val="zh-TW"/>
              </w:rPr>
              <w:t>评比</w:t>
            </w:r>
            <w:r>
              <w:rPr>
                <w:rFonts w:hint="eastAsia" w:ascii="仿宋" w:hAnsi="仿宋" w:eastAsia="仿宋" w:cs="仿宋_GB2312"/>
                <w:color w:val="auto"/>
                <w:sz w:val="24"/>
                <w:lang w:val="zh-TW" w:eastAsia="zh-TW"/>
              </w:rPr>
              <w:t>：</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1）方案科学，内容细致全面，对本项目针对性强，能完全满足采购需求，可行性高的得</w:t>
            </w:r>
            <w:r>
              <w:rPr>
                <w:rFonts w:hint="eastAsia" w:ascii="仿宋" w:hAnsi="仿宋" w:eastAsia="仿宋" w:cs="仿宋_GB2312"/>
                <w:color w:val="auto"/>
                <w:sz w:val="24"/>
                <w:lang w:val="en-US" w:eastAsia="zh-CN"/>
              </w:rPr>
              <w:t>5</w:t>
            </w:r>
            <w:r>
              <w:rPr>
                <w:rFonts w:hint="eastAsia" w:ascii="仿宋" w:hAnsi="仿宋" w:eastAsia="仿宋" w:cs="仿宋_GB2312"/>
                <w:color w:val="auto"/>
                <w:sz w:val="24"/>
              </w:rPr>
              <w:t>分；</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2）方案合理，内容完整，对本项目具有一定针对性，能满足采购需求，具有可行性的得</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3）方案存在不足，内容不完整，对本项目不具备针对性，不能满足采购需求，可行性不强的得</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w:t>
            </w:r>
          </w:p>
          <w:p>
            <w:pPr>
              <w:snapToGrid w:val="0"/>
              <w:spacing w:line="360" w:lineRule="auto"/>
              <w:jc w:val="left"/>
              <w:rPr>
                <w:rFonts w:hint="eastAsia" w:ascii="仿宋" w:hAnsi="仿宋" w:eastAsia="仿宋" w:cs="仿宋"/>
                <w:color w:val="auto"/>
                <w:sz w:val="32"/>
                <w:szCs w:val="32"/>
              </w:rPr>
            </w:pPr>
            <w:r>
              <w:rPr>
                <w:rFonts w:hint="eastAsia" w:ascii="仿宋" w:hAnsi="仿宋" w:eastAsia="仿宋" w:cs="仿宋_GB2312"/>
                <w:color w:val="auto"/>
                <w:sz w:val="24"/>
              </w:rPr>
              <w:t>4）</w:t>
            </w:r>
            <w:r>
              <w:rPr>
                <w:rFonts w:ascii="仿宋" w:hAnsi="仿宋" w:eastAsia="仿宋" w:cs="仿宋"/>
                <w:color w:val="auto"/>
                <w:sz w:val="24"/>
              </w:rPr>
              <w:t>不提供不得分</w:t>
            </w:r>
            <w:r>
              <w:rPr>
                <w:rFonts w:hint="eastAsia" w:ascii="仿宋" w:hAnsi="仿宋" w:eastAsia="仿宋"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项目负责人</w:t>
            </w:r>
          </w:p>
        </w:tc>
        <w:tc>
          <w:tcPr>
            <w:tcW w:w="1826" w:type="dxa"/>
            <w:noWrap w:val="0"/>
            <w:vAlign w:val="center"/>
          </w:tcPr>
          <w:p>
            <w:pPr>
              <w:snapToGrid w:val="0"/>
              <w:jc w:val="center"/>
              <w:rPr>
                <w:rFonts w:hint="default" w:ascii="仿宋" w:hAnsi="仿宋" w:eastAsia="仿宋" w:cs="宋体"/>
                <w:color w:val="auto"/>
                <w:sz w:val="24"/>
                <w:lang w:val="en-US"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项目负责人具有本科或以上学历，且具有5年或以上从事同类项目的经验的得5分，</w:t>
            </w:r>
          </w:p>
          <w:p>
            <w:pPr>
              <w:pStyle w:val="2"/>
              <w:jc w:val="both"/>
              <w:rPr>
                <w:rFonts w:hint="default"/>
                <w:color w:val="auto"/>
                <w:lang w:val="en-US" w:eastAsia="zh-CN"/>
              </w:rPr>
            </w:pPr>
            <w:r>
              <w:rPr>
                <w:rFonts w:hint="eastAsia" w:ascii="仿宋" w:hAnsi="仿宋" w:eastAsia="仿宋" w:cs="仿宋_GB2312"/>
                <w:color w:val="auto"/>
                <w:sz w:val="24"/>
                <w:lang w:val="en-US" w:eastAsia="zh-CN"/>
              </w:rPr>
              <w:t>注：提供学历证书和身份证复印件及承诺函加盖公章，不提供不得分。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rPr>
              <w:t>项目承诺</w:t>
            </w:r>
          </w:p>
        </w:tc>
        <w:tc>
          <w:tcPr>
            <w:tcW w:w="1826" w:type="dxa"/>
            <w:noWrap w:val="0"/>
            <w:vAlign w:val="center"/>
          </w:tcPr>
          <w:p>
            <w:pPr>
              <w:snapToGrid w:val="0"/>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ascii="仿宋" w:hAnsi="仿宋" w:eastAsia="仿宋" w:cs="仿宋_GB2312"/>
                <w:color w:val="auto"/>
                <w:sz w:val="24"/>
                <w:lang w:val="zh-TW" w:eastAsia="zh-TW"/>
              </w:rPr>
            </w:pPr>
            <w:r>
              <w:rPr>
                <w:rFonts w:hint="eastAsia" w:ascii="仿宋" w:hAnsi="仿宋" w:eastAsia="仿宋" w:cs="仿宋_GB2312"/>
                <w:color w:val="auto"/>
                <w:sz w:val="24"/>
                <w:lang w:val="zh-TW" w:eastAsia="zh-TW"/>
              </w:rPr>
              <w:t>投标人提供项目承诺，满足以下全部要求的得5分，否则不得分。</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eastAsia="zh-TW"/>
              </w:rPr>
              <w:t>1）人员</w:t>
            </w:r>
            <w:r>
              <w:rPr>
                <w:rFonts w:hint="eastAsia" w:ascii="仿宋" w:hAnsi="仿宋" w:eastAsia="仿宋" w:cs="仿宋_GB2312"/>
                <w:color w:val="auto"/>
                <w:sz w:val="24"/>
                <w:lang w:val="zh-TW"/>
              </w:rPr>
              <w:t>严格按照招标文件及投标承诺配置；</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rPr>
              <w:t>2</w:t>
            </w:r>
            <w:r>
              <w:rPr>
                <w:rFonts w:hint="eastAsia" w:ascii="仿宋" w:hAnsi="仿宋" w:eastAsia="仿宋" w:cs="仿宋_GB2312"/>
                <w:color w:val="auto"/>
                <w:sz w:val="24"/>
                <w:lang w:val="zh-TW" w:eastAsia="zh-TW"/>
              </w:rPr>
              <w:t>）服务</w:t>
            </w:r>
            <w:r>
              <w:rPr>
                <w:rFonts w:hint="eastAsia" w:ascii="仿宋" w:hAnsi="仿宋" w:eastAsia="仿宋" w:cs="仿宋_GB2312"/>
                <w:color w:val="auto"/>
                <w:sz w:val="24"/>
                <w:lang w:val="zh-TW"/>
              </w:rPr>
              <w:t>质量达到招标文件要求；</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rPr>
              <w:t>3</w:t>
            </w:r>
            <w:r>
              <w:rPr>
                <w:rFonts w:hint="eastAsia" w:ascii="仿宋" w:hAnsi="仿宋" w:eastAsia="仿宋" w:cs="仿宋_GB2312"/>
                <w:color w:val="auto"/>
                <w:sz w:val="24"/>
                <w:lang w:val="zh-TW" w:eastAsia="zh-TW"/>
              </w:rPr>
              <w:t>）对</w:t>
            </w:r>
            <w:r>
              <w:rPr>
                <w:rFonts w:hint="eastAsia" w:ascii="仿宋" w:hAnsi="仿宋" w:eastAsia="仿宋" w:cs="仿宋_GB2312"/>
                <w:color w:val="auto"/>
                <w:sz w:val="24"/>
                <w:lang w:val="zh-TW"/>
              </w:rPr>
              <w:t>未能达到的管理要求承担管理责任。</w:t>
            </w:r>
          </w:p>
          <w:p>
            <w:pPr>
              <w:snapToGrid w:val="0"/>
              <w:spacing w:line="360" w:lineRule="auto"/>
              <w:jc w:val="left"/>
              <w:rPr>
                <w:rFonts w:hint="eastAsia" w:ascii="仿宋" w:hAnsi="仿宋" w:eastAsia="仿宋" w:cs="仿宋_GB2312"/>
                <w:color w:val="auto"/>
                <w:sz w:val="24"/>
              </w:rPr>
            </w:pPr>
            <w:r>
              <w:rPr>
                <w:rFonts w:hint="eastAsia" w:ascii="仿宋" w:hAnsi="仿宋" w:eastAsia="仿宋" w:cs="仿宋_GB2312"/>
                <w:color w:val="auto"/>
                <w:sz w:val="24"/>
                <w:lang w:val="zh-TW"/>
              </w:rPr>
              <w:t>评分依据：提供《项目承诺函》（格式自定）作为得分依据，未提供承诺函或承诺内容不满足要求不得分。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24"/>
              </w:rPr>
              <w:t>业绩</w:t>
            </w:r>
          </w:p>
        </w:tc>
        <w:tc>
          <w:tcPr>
            <w:tcW w:w="1826" w:type="dxa"/>
            <w:noWrap w:val="0"/>
            <w:vAlign w:val="center"/>
          </w:tcPr>
          <w:p>
            <w:pPr>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15</w:t>
            </w:r>
          </w:p>
        </w:tc>
        <w:tc>
          <w:tcPr>
            <w:tcW w:w="4870" w:type="dxa"/>
            <w:noWrap w:val="0"/>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2020年至本项目开标时间截止，供应商完成的类似案例项目（合同服务内容中包含但不限于招聘与公共就业服务、职业指导与生涯规划服务、授课与培训服务等相关内容，执行过其中一项相关内容均得分）单笔合同，每提供一份得5分。满分15分。</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24"/>
              </w:rPr>
              <w:t>证明材料：提供合同复印件并加盖公章。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24"/>
              </w:rPr>
              <w:t>投标报价</w:t>
            </w:r>
          </w:p>
        </w:tc>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宋体"/>
                <w:color w:val="auto"/>
                <w:sz w:val="24"/>
              </w:rPr>
              <w:t>10</w:t>
            </w:r>
          </w:p>
        </w:tc>
        <w:tc>
          <w:tcPr>
            <w:tcW w:w="4870" w:type="dxa"/>
            <w:noWrap w:val="0"/>
            <w:vAlign w:val="center"/>
          </w:tcPr>
          <w:p>
            <w:pPr>
              <w:spacing w:line="360" w:lineRule="auto"/>
              <w:rPr>
                <w:rFonts w:hint="eastAsia" w:ascii="仿宋" w:hAnsi="仿宋" w:eastAsia="仿宋" w:cs="仿宋"/>
                <w:color w:val="auto"/>
                <w:sz w:val="32"/>
                <w:szCs w:val="32"/>
              </w:rPr>
            </w:pPr>
            <w:r>
              <w:rPr>
                <w:rFonts w:hint="eastAsia" w:ascii="仿宋" w:hAnsi="仿宋" w:eastAsia="仿宋" w:cs="仿宋"/>
                <w:color w:val="auto"/>
                <w:sz w:val="24"/>
              </w:rPr>
              <w:t>满足采购文件要求且投标价格最低的投标报价为评标基准价，其价格分为满分，价格分统一按照下列公式计算：供应商报价得分=(评标基准价／投标报价)×价格权值×100</w:t>
            </w:r>
          </w:p>
        </w:tc>
      </w:tr>
    </w:tbl>
    <w:p>
      <w:pPr>
        <w:spacing w:line="360" w:lineRule="auto"/>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评委：</w:t>
      </w:r>
    </w:p>
    <w:p>
      <w:pPr>
        <w:rPr>
          <w:rFonts w:hint="eastAsia" w:ascii="仿宋" w:hAnsi="仿宋" w:eastAsia="仿宋" w:cs="仿宋"/>
          <w:color w:val="auto"/>
        </w:rPr>
      </w:pPr>
    </w:p>
    <w:p>
      <w:pPr>
        <w:spacing w:line="360" w:lineRule="auto"/>
        <w:rPr>
          <w:rFonts w:hint="eastAsia" w:ascii="仿宋" w:hAnsi="仿宋" w:eastAsia="仿宋" w:cs="仿宋"/>
          <w:color w:val="auto"/>
          <w:sz w:val="24"/>
          <w:szCs w:val="24"/>
        </w:rPr>
      </w:pPr>
    </w:p>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modern"/>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9B40B651"/>
    <w:multiLevelType w:val="singleLevel"/>
    <w:tmpl w:val="9B40B651"/>
    <w:lvl w:ilvl="0" w:tentative="0">
      <w:start w:val="5"/>
      <w:numFmt w:val="decimal"/>
      <w:suff w:val="nothing"/>
      <w:lvlText w:val="%1、"/>
      <w:lvlJc w:val="left"/>
    </w:lvl>
  </w:abstractNum>
  <w:abstractNum w:abstractNumId="2">
    <w:nsid w:val="B2C2E46E"/>
    <w:multiLevelType w:val="singleLevel"/>
    <w:tmpl w:val="B2C2E46E"/>
    <w:lvl w:ilvl="0" w:tentative="0">
      <w:start w:val="2"/>
      <w:numFmt w:val="decimal"/>
      <w:suff w:val="nothing"/>
      <w:lvlText w:val="%1、"/>
      <w:lvlJc w:val="left"/>
    </w:lvl>
  </w:abstractNum>
  <w:abstractNum w:abstractNumId="3">
    <w:nsid w:val="DD8549C2"/>
    <w:multiLevelType w:val="singleLevel"/>
    <w:tmpl w:val="DD8549C2"/>
    <w:lvl w:ilvl="0" w:tentative="0">
      <w:start w:val="2"/>
      <w:numFmt w:val="decimal"/>
      <w:suff w:val="nothing"/>
      <w:lvlText w:val="%1、"/>
      <w:lvlJc w:val="left"/>
    </w:lvl>
  </w:abstractNum>
  <w:abstractNum w:abstractNumId="4">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5">
    <w:nsid w:val="00000039"/>
    <w:multiLevelType w:val="multilevel"/>
    <w:tmpl w:val="00000039"/>
    <w:lvl w:ilvl="0" w:tentative="0">
      <w:start w:val="1"/>
      <w:numFmt w:val="decimal"/>
      <w:pStyle w:val="179"/>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6">
    <w:nsid w:val="3A6E3BF8"/>
    <w:multiLevelType w:val="multilevel"/>
    <w:tmpl w:val="3A6E3BF8"/>
    <w:lvl w:ilvl="0" w:tentative="0">
      <w:start w:val="1"/>
      <w:numFmt w:val="bullet"/>
      <w:pStyle w:val="147"/>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1ZDUzZmIzNmMwZTU5NzViMGYzMTU2ZGZiZWIwODAifQ=="/>
  </w:docVars>
  <w:rsids>
    <w:rsidRoot w:val="00172A27"/>
    <w:rsid w:val="00000A6E"/>
    <w:rsid w:val="00003333"/>
    <w:rsid w:val="0000494D"/>
    <w:rsid w:val="00005E32"/>
    <w:rsid w:val="0001191C"/>
    <w:rsid w:val="0001231B"/>
    <w:rsid w:val="00013B67"/>
    <w:rsid w:val="00014FDF"/>
    <w:rsid w:val="00017496"/>
    <w:rsid w:val="00017497"/>
    <w:rsid w:val="00017957"/>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7600"/>
    <w:rsid w:val="002A7A6D"/>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70E3"/>
    <w:rsid w:val="003176ED"/>
    <w:rsid w:val="00322C13"/>
    <w:rsid w:val="00323C9A"/>
    <w:rsid w:val="00324647"/>
    <w:rsid w:val="00324FCD"/>
    <w:rsid w:val="00331E84"/>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B2463"/>
    <w:rsid w:val="005B5C40"/>
    <w:rsid w:val="005B62AA"/>
    <w:rsid w:val="005C0FDC"/>
    <w:rsid w:val="005C380B"/>
    <w:rsid w:val="005C5A99"/>
    <w:rsid w:val="005C67BA"/>
    <w:rsid w:val="005C7D55"/>
    <w:rsid w:val="005D0099"/>
    <w:rsid w:val="005D1874"/>
    <w:rsid w:val="005D51DA"/>
    <w:rsid w:val="005D5AA2"/>
    <w:rsid w:val="005D60DE"/>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4893"/>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2E1DF4"/>
    <w:rsid w:val="0284386F"/>
    <w:rsid w:val="02CA5B29"/>
    <w:rsid w:val="03237D85"/>
    <w:rsid w:val="038572FC"/>
    <w:rsid w:val="04422539"/>
    <w:rsid w:val="04596BFD"/>
    <w:rsid w:val="04854E8E"/>
    <w:rsid w:val="04C74740"/>
    <w:rsid w:val="05F928F6"/>
    <w:rsid w:val="05FB189C"/>
    <w:rsid w:val="062A31D9"/>
    <w:rsid w:val="06B86A37"/>
    <w:rsid w:val="06E240A7"/>
    <w:rsid w:val="07036AE8"/>
    <w:rsid w:val="073A6419"/>
    <w:rsid w:val="078E29F0"/>
    <w:rsid w:val="07B928A0"/>
    <w:rsid w:val="07C0300F"/>
    <w:rsid w:val="083D654E"/>
    <w:rsid w:val="084A1910"/>
    <w:rsid w:val="084E21CE"/>
    <w:rsid w:val="086D489D"/>
    <w:rsid w:val="08DA68F8"/>
    <w:rsid w:val="090A5596"/>
    <w:rsid w:val="09916534"/>
    <w:rsid w:val="09A41A65"/>
    <w:rsid w:val="09AB73CE"/>
    <w:rsid w:val="09B7036B"/>
    <w:rsid w:val="09DB3168"/>
    <w:rsid w:val="09DC0D80"/>
    <w:rsid w:val="0B112FE3"/>
    <w:rsid w:val="0B2E62F4"/>
    <w:rsid w:val="0BC41F0B"/>
    <w:rsid w:val="0BC63EC1"/>
    <w:rsid w:val="0BDB7AF8"/>
    <w:rsid w:val="0C10220C"/>
    <w:rsid w:val="0C347089"/>
    <w:rsid w:val="0C741F9E"/>
    <w:rsid w:val="0CB15052"/>
    <w:rsid w:val="0CF62FCD"/>
    <w:rsid w:val="0D1518E6"/>
    <w:rsid w:val="0D5B5A94"/>
    <w:rsid w:val="0D994A20"/>
    <w:rsid w:val="0DA13636"/>
    <w:rsid w:val="0DAA1136"/>
    <w:rsid w:val="0E4133C3"/>
    <w:rsid w:val="0EE22B2A"/>
    <w:rsid w:val="0F6F6CF0"/>
    <w:rsid w:val="0F7658DF"/>
    <w:rsid w:val="0F9D62FF"/>
    <w:rsid w:val="0FB9648C"/>
    <w:rsid w:val="10E74960"/>
    <w:rsid w:val="113E4EBD"/>
    <w:rsid w:val="11716136"/>
    <w:rsid w:val="119D1DD6"/>
    <w:rsid w:val="11EF7B3C"/>
    <w:rsid w:val="12046484"/>
    <w:rsid w:val="12296A3A"/>
    <w:rsid w:val="12341544"/>
    <w:rsid w:val="1266384F"/>
    <w:rsid w:val="128D0D77"/>
    <w:rsid w:val="13122B78"/>
    <w:rsid w:val="132F1DE9"/>
    <w:rsid w:val="13333433"/>
    <w:rsid w:val="133C0869"/>
    <w:rsid w:val="1343304A"/>
    <w:rsid w:val="14101189"/>
    <w:rsid w:val="14505DC8"/>
    <w:rsid w:val="153B0062"/>
    <w:rsid w:val="156D7ADD"/>
    <w:rsid w:val="1575437F"/>
    <w:rsid w:val="15962639"/>
    <w:rsid w:val="15CB46BF"/>
    <w:rsid w:val="15D80C40"/>
    <w:rsid w:val="16140981"/>
    <w:rsid w:val="162529E5"/>
    <w:rsid w:val="164141B0"/>
    <w:rsid w:val="16C80C8C"/>
    <w:rsid w:val="16F5728B"/>
    <w:rsid w:val="17311440"/>
    <w:rsid w:val="17551F4D"/>
    <w:rsid w:val="17793CA9"/>
    <w:rsid w:val="181D5453"/>
    <w:rsid w:val="185D555D"/>
    <w:rsid w:val="197D4711"/>
    <w:rsid w:val="19CD4E6A"/>
    <w:rsid w:val="1A5960C9"/>
    <w:rsid w:val="1A7F18ED"/>
    <w:rsid w:val="1A9E7F35"/>
    <w:rsid w:val="1AA5336C"/>
    <w:rsid w:val="1AAB623F"/>
    <w:rsid w:val="1AE847D6"/>
    <w:rsid w:val="1B084B3A"/>
    <w:rsid w:val="1B6F3710"/>
    <w:rsid w:val="1BC20F73"/>
    <w:rsid w:val="1C9F6EEC"/>
    <w:rsid w:val="1CAC597A"/>
    <w:rsid w:val="1CF9329B"/>
    <w:rsid w:val="1D0F49CA"/>
    <w:rsid w:val="1D50131F"/>
    <w:rsid w:val="1D8113BB"/>
    <w:rsid w:val="1DA65082"/>
    <w:rsid w:val="1E0E3AB1"/>
    <w:rsid w:val="1E2E4AB7"/>
    <w:rsid w:val="1E4970E6"/>
    <w:rsid w:val="1E6628C1"/>
    <w:rsid w:val="1EEE4DB4"/>
    <w:rsid w:val="1EF76F98"/>
    <w:rsid w:val="1F0E4FEE"/>
    <w:rsid w:val="1F4F7C08"/>
    <w:rsid w:val="1F8C1A4D"/>
    <w:rsid w:val="1FFF7465"/>
    <w:rsid w:val="20395E08"/>
    <w:rsid w:val="208117F2"/>
    <w:rsid w:val="20C1007B"/>
    <w:rsid w:val="210F210F"/>
    <w:rsid w:val="212467B9"/>
    <w:rsid w:val="2164401D"/>
    <w:rsid w:val="21C24503"/>
    <w:rsid w:val="221014FF"/>
    <w:rsid w:val="22401962"/>
    <w:rsid w:val="22496173"/>
    <w:rsid w:val="224A1413"/>
    <w:rsid w:val="22A30143"/>
    <w:rsid w:val="22CA3922"/>
    <w:rsid w:val="22D84B36"/>
    <w:rsid w:val="22FB53BC"/>
    <w:rsid w:val="2308730A"/>
    <w:rsid w:val="23785CA1"/>
    <w:rsid w:val="24C62CE1"/>
    <w:rsid w:val="25354086"/>
    <w:rsid w:val="25476612"/>
    <w:rsid w:val="25A322C5"/>
    <w:rsid w:val="25A95A70"/>
    <w:rsid w:val="260C4BC5"/>
    <w:rsid w:val="26625F8D"/>
    <w:rsid w:val="26C86FBB"/>
    <w:rsid w:val="27160EE4"/>
    <w:rsid w:val="278F6D5F"/>
    <w:rsid w:val="27CC3909"/>
    <w:rsid w:val="27FC6437"/>
    <w:rsid w:val="2808439B"/>
    <w:rsid w:val="28241AC9"/>
    <w:rsid w:val="282C070E"/>
    <w:rsid w:val="283C75B5"/>
    <w:rsid w:val="284608A2"/>
    <w:rsid w:val="28BB57D4"/>
    <w:rsid w:val="28BB61E6"/>
    <w:rsid w:val="298F502D"/>
    <w:rsid w:val="2A57723E"/>
    <w:rsid w:val="2A853341"/>
    <w:rsid w:val="2AC17C0C"/>
    <w:rsid w:val="2AC82E3D"/>
    <w:rsid w:val="2B0A1597"/>
    <w:rsid w:val="2B3D286A"/>
    <w:rsid w:val="2BDD20FE"/>
    <w:rsid w:val="2BDD5594"/>
    <w:rsid w:val="2BE63DC9"/>
    <w:rsid w:val="2C311298"/>
    <w:rsid w:val="2CE95C51"/>
    <w:rsid w:val="2D1953A6"/>
    <w:rsid w:val="2D2E0C20"/>
    <w:rsid w:val="2D4349FC"/>
    <w:rsid w:val="2D9B1BC0"/>
    <w:rsid w:val="2E2508C2"/>
    <w:rsid w:val="2E50757E"/>
    <w:rsid w:val="2E766B73"/>
    <w:rsid w:val="2EB1070A"/>
    <w:rsid w:val="2ECA525E"/>
    <w:rsid w:val="2F293597"/>
    <w:rsid w:val="2F6228C3"/>
    <w:rsid w:val="301C46CB"/>
    <w:rsid w:val="30687BAB"/>
    <w:rsid w:val="30846927"/>
    <w:rsid w:val="30922223"/>
    <w:rsid w:val="30FF0F6B"/>
    <w:rsid w:val="316F7CCB"/>
    <w:rsid w:val="31BA0E98"/>
    <w:rsid w:val="323631AC"/>
    <w:rsid w:val="326E7863"/>
    <w:rsid w:val="32955B2F"/>
    <w:rsid w:val="333227E4"/>
    <w:rsid w:val="336E7A12"/>
    <w:rsid w:val="33C1323B"/>
    <w:rsid w:val="33CB2BE0"/>
    <w:rsid w:val="340946CA"/>
    <w:rsid w:val="342F71B3"/>
    <w:rsid w:val="34922FBF"/>
    <w:rsid w:val="34B144DA"/>
    <w:rsid w:val="35773565"/>
    <w:rsid w:val="35A32C3E"/>
    <w:rsid w:val="35CF7198"/>
    <w:rsid w:val="35D915E8"/>
    <w:rsid w:val="35E26360"/>
    <w:rsid w:val="35F8284B"/>
    <w:rsid w:val="36347B53"/>
    <w:rsid w:val="3660023F"/>
    <w:rsid w:val="369D0C44"/>
    <w:rsid w:val="36C32BCF"/>
    <w:rsid w:val="36D51139"/>
    <w:rsid w:val="37226814"/>
    <w:rsid w:val="37264077"/>
    <w:rsid w:val="37BD3D7C"/>
    <w:rsid w:val="37F4701F"/>
    <w:rsid w:val="385F65ED"/>
    <w:rsid w:val="386115E2"/>
    <w:rsid w:val="386B4B50"/>
    <w:rsid w:val="387218C0"/>
    <w:rsid w:val="38B30C88"/>
    <w:rsid w:val="38C458C7"/>
    <w:rsid w:val="38E36885"/>
    <w:rsid w:val="38F038C6"/>
    <w:rsid w:val="398D10DE"/>
    <w:rsid w:val="39A06F00"/>
    <w:rsid w:val="39BC4A4B"/>
    <w:rsid w:val="3A414072"/>
    <w:rsid w:val="3A867327"/>
    <w:rsid w:val="3A9E5660"/>
    <w:rsid w:val="3B2F7211"/>
    <w:rsid w:val="3B4B3E88"/>
    <w:rsid w:val="3B6959D5"/>
    <w:rsid w:val="3B8C77E4"/>
    <w:rsid w:val="3BB5748F"/>
    <w:rsid w:val="3BD038C5"/>
    <w:rsid w:val="3C812E4B"/>
    <w:rsid w:val="3CBF2520"/>
    <w:rsid w:val="3CE147F8"/>
    <w:rsid w:val="3D852C00"/>
    <w:rsid w:val="3D976D74"/>
    <w:rsid w:val="3DE32A8D"/>
    <w:rsid w:val="3E1675C3"/>
    <w:rsid w:val="3E182116"/>
    <w:rsid w:val="3E350391"/>
    <w:rsid w:val="3E482089"/>
    <w:rsid w:val="3E6566FF"/>
    <w:rsid w:val="3EC0602F"/>
    <w:rsid w:val="3F107541"/>
    <w:rsid w:val="3F325B94"/>
    <w:rsid w:val="3FE1012A"/>
    <w:rsid w:val="40AD2461"/>
    <w:rsid w:val="40B71A11"/>
    <w:rsid w:val="40BE56B0"/>
    <w:rsid w:val="40E85247"/>
    <w:rsid w:val="410A340F"/>
    <w:rsid w:val="413D595F"/>
    <w:rsid w:val="4214206C"/>
    <w:rsid w:val="422E074F"/>
    <w:rsid w:val="427F3BD8"/>
    <w:rsid w:val="43532C55"/>
    <w:rsid w:val="438E2FAB"/>
    <w:rsid w:val="43C35154"/>
    <w:rsid w:val="43C56CD4"/>
    <w:rsid w:val="43E97C54"/>
    <w:rsid w:val="44352B7E"/>
    <w:rsid w:val="443F1622"/>
    <w:rsid w:val="44753270"/>
    <w:rsid w:val="451D4101"/>
    <w:rsid w:val="455E1D51"/>
    <w:rsid w:val="45F04F59"/>
    <w:rsid w:val="466A47B2"/>
    <w:rsid w:val="46AF3D16"/>
    <w:rsid w:val="47016961"/>
    <w:rsid w:val="471966C9"/>
    <w:rsid w:val="47261603"/>
    <w:rsid w:val="472745EF"/>
    <w:rsid w:val="47614FC0"/>
    <w:rsid w:val="477E6B67"/>
    <w:rsid w:val="47970D91"/>
    <w:rsid w:val="47CF30DE"/>
    <w:rsid w:val="485D2F5F"/>
    <w:rsid w:val="488719D6"/>
    <w:rsid w:val="492E5555"/>
    <w:rsid w:val="49802948"/>
    <w:rsid w:val="498252F2"/>
    <w:rsid w:val="4A12441C"/>
    <w:rsid w:val="4A1B5B70"/>
    <w:rsid w:val="4A357132"/>
    <w:rsid w:val="4A7145BD"/>
    <w:rsid w:val="4AF01318"/>
    <w:rsid w:val="4C2D2905"/>
    <w:rsid w:val="4C321213"/>
    <w:rsid w:val="4C747573"/>
    <w:rsid w:val="4D402587"/>
    <w:rsid w:val="4D5E5408"/>
    <w:rsid w:val="4DB766CD"/>
    <w:rsid w:val="4DD11207"/>
    <w:rsid w:val="4E791BD4"/>
    <w:rsid w:val="4EE918B0"/>
    <w:rsid w:val="4F253E42"/>
    <w:rsid w:val="4F3F0F06"/>
    <w:rsid w:val="4F6E71AD"/>
    <w:rsid w:val="4FD62F25"/>
    <w:rsid w:val="4FFC6D80"/>
    <w:rsid w:val="50454A71"/>
    <w:rsid w:val="51280750"/>
    <w:rsid w:val="5175023D"/>
    <w:rsid w:val="517A1354"/>
    <w:rsid w:val="51EF0764"/>
    <w:rsid w:val="528B5C90"/>
    <w:rsid w:val="53823120"/>
    <w:rsid w:val="539662B8"/>
    <w:rsid w:val="53ED1C72"/>
    <w:rsid w:val="541C372E"/>
    <w:rsid w:val="54232555"/>
    <w:rsid w:val="542727C8"/>
    <w:rsid w:val="542E3693"/>
    <w:rsid w:val="54496A8F"/>
    <w:rsid w:val="544D41F2"/>
    <w:rsid w:val="545C77C4"/>
    <w:rsid w:val="546E1AAF"/>
    <w:rsid w:val="54904CA5"/>
    <w:rsid w:val="549E1A6D"/>
    <w:rsid w:val="55047AE9"/>
    <w:rsid w:val="550A37C6"/>
    <w:rsid w:val="55454FB4"/>
    <w:rsid w:val="555D50D9"/>
    <w:rsid w:val="556818F6"/>
    <w:rsid w:val="557649F6"/>
    <w:rsid w:val="56190555"/>
    <w:rsid w:val="566932AD"/>
    <w:rsid w:val="566C6117"/>
    <w:rsid w:val="56BD74F1"/>
    <w:rsid w:val="57051FF6"/>
    <w:rsid w:val="574842A3"/>
    <w:rsid w:val="58534258"/>
    <w:rsid w:val="58CC23D2"/>
    <w:rsid w:val="58E7141B"/>
    <w:rsid w:val="595763FF"/>
    <w:rsid w:val="59745DBA"/>
    <w:rsid w:val="59CA2D41"/>
    <w:rsid w:val="5A0A5595"/>
    <w:rsid w:val="5A126180"/>
    <w:rsid w:val="5AD64A98"/>
    <w:rsid w:val="5ADD34EB"/>
    <w:rsid w:val="5B546895"/>
    <w:rsid w:val="5B621853"/>
    <w:rsid w:val="5C952069"/>
    <w:rsid w:val="5D0572FA"/>
    <w:rsid w:val="5D141DAB"/>
    <w:rsid w:val="5D20456B"/>
    <w:rsid w:val="5D2C1206"/>
    <w:rsid w:val="5D7D058E"/>
    <w:rsid w:val="5DA2386A"/>
    <w:rsid w:val="5E46515B"/>
    <w:rsid w:val="5E56272E"/>
    <w:rsid w:val="5EAD1AEC"/>
    <w:rsid w:val="5ED062AA"/>
    <w:rsid w:val="5F3D6A1D"/>
    <w:rsid w:val="5F400B61"/>
    <w:rsid w:val="5FD14F78"/>
    <w:rsid w:val="6074044E"/>
    <w:rsid w:val="60837D72"/>
    <w:rsid w:val="61F763F4"/>
    <w:rsid w:val="61F8006A"/>
    <w:rsid w:val="62371607"/>
    <w:rsid w:val="62740FB9"/>
    <w:rsid w:val="629504EF"/>
    <w:rsid w:val="62956B85"/>
    <w:rsid w:val="62F361B8"/>
    <w:rsid w:val="63113EEC"/>
    <w:rsid w:val="63BF40D6"/>
    <w:rsid w:val="64173E2F"/>
    <w:rsid w:val="641E6C54"/>
    <w:rsid w:val="64B10749"/>
    <w:rsid w:val="64B463BC"/>
    <w:rsid w:val="64BF71EB"/>
    <w:rsid w:val="64CB19E3"/>
    <w:rsid w:val="64F04C2B"/>
    <w:rsid w:val="6524176C"/>
    <w:rsid w:val="65FA21F8"/>
    <w:rsid w:val="65FC333D"/>
    <w:rsid w:val="66421124"/>
    <w:rsid w:val="66543EAF"/>
    <w:rsid w:val="668337C3"/>
    <w:rsid w:val="66F06435"/>
    <w:rsid w:val="671549CB"/>
    <w:rsid w:val="67242CF7"/>
    <w:rsid w:val="672C55DE"/>
    <w:rsid w:val="67C43A69"/>
    <w:rsid w:val="683B1FA6"/>
    <w:rsid w:val="687D2DAE"/>
    <w:rsid w:val="68E2624C"/>
    <w:rsid w:val="6912425E"/>
    <w:rsid w:val="69A73AAF"/>
    <w:rsid w:val="69AF6F0A"/>
    <w:rsid w:val="69BC6107"/>
    <w:rsid w:val="6A150F45"/>
    <w:rsid w:val="6AD71E41"/>
    <w:rsid w:val="6AEC0F5A"/>
    <w:rsid w:val="6AF87579"/>
    <w:rsid w:val="6C021E54"/>
    <w:rsid w:val="6C1A636C"/>
    <w:rsid w:val="6C2B055A"/>
    <w:rsid w:val="6C305B70"/>
    <w:rsid w:val="6C577398"/>
    <w:rsid w:val="6CBE0B6A"/>
    <w:rsid w:val="6D7F1EF2"/>
    <w:rsid w:val="6D8617C0"/>
    <w:rsid w:val="6E401346"/>
    <w:rsid w:val="6E4D7797"/>
    <w:rsid w:val="6EDD3624"/>
    <w:rsid w:val="6F052B2A"/>
    <w:rsid w:val="6F303007"/>
    <w:rsid w:val="6FCD0F21"/>
    <w:rsid w:val="70366BF4"/>
    <w:rsid w:val="705A0421"/>
    <w:rsid w:val="70FC0717"/>
    <w:rsid w:val="71C8064A"/>
    <w:rsid w:val="72233A82"/>
    <w:rsid w:val="72677DF9"/>
    <w:rsid w:val="728B0B87"/>
    <w:rsid w:val="72E22C6E"/>
    <w:rsid w:val="732C42E4"/>
    <w:rsid w:val="733078DA"/>
    <w:rsid w:val="73813F0A"/>
    <w:rsid w:val="73B40E35"/>
    <w:rsid w:val="741310B3"/>
    <w:rsid w:val="74AD6C8D"/>
    <w:rsid w:val="74E44B91"/>
    <w:rsid w:val="75192934"/>
    <w:rsid w:val="755A1920"/>
    <w:rsid w:val="762D3121"/>
    <w:rsid w:val="763037D3"/>
    <w:rsid w:val="768C087D"/>
    <w:rsid w:val="76C9078F"/>
    <w:rsid w:val="77D04C25"/>
    <w:rsid w:val="785D3773"/>
    <w:rsid w:val="79075EA2"/>
    <w:rsid w:val="79226CD6"/>
    <w:rsid w:val="796C5940"/>
    <w:rsid w:val="7A424618"/>
    <w:rsid w:val="7A4E4623"/>
    <w:rsid w:val="7A647308"/>
    <w:rsid w:val="7AAF4688"/>
    <w:rsid w:val="7AF732CC"/>
    <w:rsid w:val="7B38062F"/>
    <w:rsid w:val="7B555E04"/>
    <w:rsid w:val="7C093CE8"/>
    <w:rsid w:val="7CA7295E"/>
    <w:rsid w:val="7CD5350A"/>
    <w:rsid w:val="7D1A38E1"/>
    <w:rsid w:val="7D541560"/>
    <w:rsid w:val="7DBE3B64"/>
    <w:rsid w:val="7DC527A8"/>
    <w:rsid w:val="7E5C261D"/>
    <w:rsid w:val="7EBE52FA"/>
    <w:rsid w:val="7F74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1"/>
    <w:next w:val="1"/>
    <w:link w:val="79"/>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12"/>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1"/>
    <w:qFormat/>
    <w:uiPriority w:val="99"/>
    <w:pPr>
      <w:keepNext/>
      <w:keepLines/>
      <w:widowControl w:val="0"/>
      <w:spacing w:before="260" w:after="260" w:line="415" w:lineRule="auto"/>
      <w:jc w:val="both"/>
      <w:outlineLvl w:val="2"/>
    </w:pPr>
    <w:rPr>
      <w:b/>
      <w:kern w:val="2"/>
      <w:sz w:val="32"/>
    </w:rPr>
  </w:style>
  <w:style w:type="paragraph" w:styleId="7">
    <w:name w:val="heading 4"/>
    <w:basedOn w:val="1"/>
    <w:next w:val="1"/>
    <w:link w:val="13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7"/>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9">
    <w:name w:val="heading 6"/>
    <w:basedOn w:val="1"/>
    <w:next w:val="1"/>
    <w:link w:val="118"/>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89"/>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11">
    <w:name w:val="heading 8"/>
    <w:basedOn w:val="1"/>
    <w:next w:val="1"/>
    <w:link w:val="68"/>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2">
    <w:name w:val="heading 9"/>
    <w:basedOn w:val="1"/>
    <w:next w:val="1"/>
    <w:link w:val="63"/>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6">
    <w:name w:val="Default Paragraph Font"/>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3"/>
    <w:link w:val="84"/>
    <w:autoRedefine/>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3">
    <w:name w:val="caption"/>
    <w:basedOn w:val="1"/>
    <w:next w:val="1"/>
    <w:link w:val="94"/>
    <w:autoRedefine/>
    <w:qFormat/>
    <w:uiPriority w:val="0"/>
    <w:pPr>
      <w:widowControl w:val="0"/>
      <w:spacing w:line="360" w:lineRule="auto"/>
      <w:jc w:val="center"/>
    </w:pPr>
    <w:rPr>
      <w:rFonts w:ascii="Cambria" w:hAnsi="Cambria" w:eastAsia="黑体"/>
      <w:sz w:val="24"/>
    </w:rPr>
  </w:style>
  <w:style w:type="paragraph" w:styleId="13">
    <w:name w:val="toc 7"/>
    <w:basedOn w:val="1"/>
    <w:next w:val="1"/>
    <w:autoRedefine/>
    <w:qFormat/>
    <w:uiPriority w:val="0"/>
    <w:pPr>
      <w:widowControl w:val="0"/>
      <w:ind w:left="2520" w:leftChars="1200"/>
      <w:jc w:val="both"/>
    </w:pPr>
    <w:rPr>
      <w:rFonts w:ascii="Calibri" w:hAnsi="Calibri"/>
      <w:kern w:val="2"/>
      <w:szCs w:val="22"/>
    </w:rPr>
  </w:style>
  <w:style w:type="paragraph" w:styleId="14">
    <w:name w:val="Normal Indent"/>
    <w:basedOn w:val="1"/>
    <w:next w:val="1"/>
    <w:link w:val="77"/>
    <w:autoRedefine/>
    <w:qFormat/>
    <w:uiPriority w:val="0"/>
    <w:pPr>
      <w:widowControl w:val="0"/>
      <w:ind w:firstLine="420"/>
      <w:jc w:val="both"/>
    </w:pPr>
    <w:rPr>
      <w:kern w:val="2"/>
    </w:rPr>
  </w:style>
  <w:style w:type="paragraph" w:styleId="15">
    <w:name w:val="Document Map"/>
    <w:basedOn w:val="1"/>
    <w:link w:val="87"/>
    <w:autoRedefine/>
    <w:qFormat/>
    <w:uiPriority w:val="99"/>
    <w:pPr>
      <w:shd w:val="clear" w:color="auto" w:fill="000080"/>
    </w:pPr>
  </w:style>
  <w:style w:type="paragraph" w:styleId="16">
    <w:name w:val="annotation text"/>
    <w:basedOn w:val="1"/>
    <w:link w:val="71"/>
    <w:autoRedefine/>
    <w:qFormat/>
    <w:uiPriority w:val="0"/>
  </w:style>
  <w:style w:type="paragraph" w:styleId="17">
    <w:name w:val="Body Text 3"/>
    <w:basedOn w:val="1"/>
    <w:autoRedefine/>
    <w:qFormat/>
    <w:uiPriority w:val="0"/>
    <w:pPr>
      <w:widowControl w:val="0"/>
      <w:jc w:val="center"/>
    </w:pPr>
    <w:rPr>
      <w:rFonts w:ascii="宋体"/>
      <w:kern w:val="2"/>
      <w:sz w:val="28"/>
    </w:rPr>
  </w:style>
  <w:style w:type="paragraph" w:styleId="18">
    <w:name w:val="Body Text"/>
    <w:basedOn w:val="1"/>
    <w:next w:val="1"/>
    <w:link w:val="116"/>
    <w:autoRedefine/>
    <w:qFormat/>
    <w:uiPriority w:val="99"/>
    <w:pPr>
      <w:spacing w:after="120"/>
    </w:pPr>
  </w:style>
  <w:style w:type="paragraph" w:styleId="19">
    <w:name w:val="Body Text Indent"/>
    <w:basedOn w:val="1"/>
    <w:next w:val="20"/>
    <w:link w:val="67"/>
    <w:autoRedefine/>
    <w:qFormat/>
    <w:uiPriority w:val="99"/>
    <w:pPr>
      <w:widowControl w:val="0"/>
      <w:ind w:firstLine="630"/>
      <w:jc w:val="both"/>
    </w:pPr>
    <w:rPr>
      <w:rFonts w:ascii="宋体"/>
      <w:kern w:val="2"/>
      <w:sz w:val="28"/>
    </w:rPr>
  </w:style>
  <w:style w:type="paragraph" w:styleId="20">
    <w:name w:val="Body Text First Indent 2"/>
    <w:basedOn w:val="19"/>
    <w:next w:val="18"/>
    <w:link w:val="66"/>
    <w:autoRedefine/>
    <w:qFormat/>
    <w:uiPriority w:val="99"/>
    <w:pPr>
      <w:widowControl/>
      <w:spacing w:after="120"/>
      <w:ind w:left="420" w:leftChars="200" w:firstLine="420" w:firstLineChars="200"/>
      <w:jc w:val="left"/>
    </w:pPr>
    <w:rPr>
      <w:rFonts w:ascii="Calibri" w:hAnsi="Calibri"/>
      <w:sz w:val="21"/>
      <w:szCs w:val="22"/>
    </w:rPr>
  </w:style>
  <w:style w:type="paragraph" w:styleId="21">
    <w:name w:val="toc 5"/>
    <w:basedOn w:val="1"/>
    <w:next w:val="1"/>
    <w:autoRedefine/>
    <w:qFormat/>
    <w:uiPriority w:val="0"/>
    <w:pPr>
      <w:widowControl w:val="0"/>
      <w:ind w:left="1680" w:leftChars="800"/>
      <w:jc w:val="both"/>
    </w:pPr>
    <w:rPr>
      <w:rFonts w:ascii="Calibri" w:hAnsi="Calibri"/>
      <w:kern w:val="2"/>
      <w:szCs w:val="22"/>
    </w:rPr>
  </w:style>
  <w:style w:type="paragraph" w:styleId="22">
    <w:name w:val="toc 3"/>
    <w:basedOn w:val="1"/>
    <w:next w:val="1"/>
    <w:autoRedefine/>
    <w:qFormat/>
    <w:uiPriority w:val="39"/>
    <w:pPr>
      <w:ind w:left="840" w:leftChars="400"/>
    </w:pPr>
  </w:style>
  <w:style w:type="paragraph" w:styleId="23">
    <w:name w:val="Plain Text"/>
    <w:basedOn w:val="1"/>
    <w:link w:val="128"/>
    <w:autoRedefine/>
    <w:qFormat/>
    <w:uiPriority w:val="99"/>
    <w:pPr>
      <w:widowControl w:val="0"/>
      <w:spacing w:line="360" w:lineRule="auto"/>
      <w:jc w:val="both"/>
    </w:pPr>
    <w:rPr>
      <w:rFonts w:ascii="宋体" w:hAnsi="Courier New"/>
      <w:spacing w:val="-8"/>
      <w:kern w:val="2"/>
      <w:sz w:val="24"/>
    </w:rPr>
  </w:style>
  <w:style w:type="paragraph" w:styleId="24">
    <w:name w:val="toc 8"/>
    <w:basedOn w:val="1"/>
    <w:next w:val="1"/>
    <w:autoRedefine/>
    <w:qFormat/>
    <w:uiPriority w:val="0"/>
    <w:pPr>
      <w:widowControl w:val="0"/>
      <w:ind w:left="2940" w:leftChars="1400"/>
      <w:jc w:val="both"/>
    </w:pPr>
    <w:rPr>
      <w:rFonts w:ascii="Calibri" w:hAnsi="Calibri"/>
      <w:kern w:val="2"/>
      <w:szCs w:val="22"/>
    </w:rPr>
  </w:style>
  <w:style w:type="paragraph" w:styleId="25">
    <w:name w:val="Date"/>
    <w:basedOn w:val="1"/>
    <w:next w:val="1"/>
    <w:link w:val="135"/>
    <w:autoRedefine/>
    <w:qFormat/>
    <w:uiPriority w:val="99"/>
    <w:pPr>
      <w:widowControl w:val="0"/>
      <w:jc w:val="both"/>
    </w:pPr>
    <w:rPr>
      <w:rFonts w:eastAsia="仿宋_GB2312"/>
      <w:kern w:val="2"/>
      <w:sz w:val="32"/>
    </w:rPr>
  </w:style>
  <w:style w:type="paragraph" w:styleId="26">
    <w:name w:val="Body Text Indent 2"/>
    <w:basedOn w:val="1"/>
    <w:link w:val="117"/>
    <w:autoRedefine/>
    <w:qFormat/>
    <w:uiPriority w:val="99"/>
    <w:pPr>
      <w:widowControl w:val="0"/>
      <w:spacing w:before="120"/>
      <w:ind w:firstLine="525"/>
      <w:jc w:val="both"/>
    </w:pPr>
    <w:rPr>
      <w:rFonts w:ascii="宋体" w:eastAsia="仿宋_GB2312"/>
      <w:kern w:val="2"/>
      <w:sz w:val="28"/>
    </w:rPr>
  </w:style>
  <w:style w:type="paragraph" w:styleId="27">
    <w:name w:val="Balloon Text"/>
    <w:basedOn w:val="1"/>
    <w:link w:val="137"/>
    <w:autoRedefine/>
    <w:qFormat/>
    <w:uiPriority w:val="99"/>
    <w:rPr>
      <w:sz w:val="18"/>
      <w:szCs w:val="18"/>
    </w:rPr>
  </w:style>
  <w:style w:type="paragraph" w:styleId="28">
    <w:name w:val="footer"/>
    <w:basedOn w:val="1"/>
    <w:link w:val="127"/>
    <w:autoRedefine/>
    <w:qFormat/>
    <w:uiPriority w:val="99"/>
    <w:pPr>
      <w:widowControl w:val="0"/>
      <w:tabs>
        <w:tab w:val="center" w:pos="4153"/>
        <w:tab w:val="right" w:pos="8306"/>
      </w:tabs>
      <w:autoSpaceDE w:val="0"/>
      <w:autoSpaceDN w:val="0"/>
      <w:adjustRightInd w:val="0"/>
      <w:snapToGrid w:val="0"/>
    </w:pPr>
    <w:rPr>
      <w:rFonts w:ascii="宋体"/>
      <w:sz w:val="18"/>
    </w:rPr>
  </w:style>
  <w:style w:type="paragraph" w:styleId="29">
    <w:name w:val="toc 1"/>
    <w:basedOn w:val="1"/>
    <w:next w:val="1"/>
    <w:autoRedefine/>
    <w:qFormat/>
    <w:uiPriority w:val="39"/>
    <w:pPr>
      <w:spacing w:before="120" w:after="120"/>
    </w:pPr>
    <w:rPr>
      <w:b/>
      <w:bCs/>
      <w:caps/>
      <w:sz w:val="20"/>
    </w:rPr>
  </w:style>
  <w:style w:type="paragraph" w:styleId="30">
    <w:name w:val="toc 4"/>
    <w:basedOn w:val="1"/>
    <w:next w:val="1"/>
    <w:autoRedefine/>
    <w:qFormat/>
    <w:uiPriority w:val="39"/>
    <w:pPr>
      <w:widowControl w:val="0"/>
      <w:ind w:left="1260" w:leftChars="600"/>
      <w:jc w:val="both"/>
    </w:pPr>
    <w:rPr>
      <w:kern w:val="2"/>
    </w:rPr>
  </w:style>
  <w:style w:type="paragraph" w:styleId="31">
    <w:name w:val="Subtitle"/>
    <w:basedOn w:val="1"/>
    <w:next w:val="1"/>
    <w:link w:val="119"/>
    <w:autoRedefine/>
    <w:qFormat/>
    <w:uiPriority w:val="0"/>
    <w:pPr>
      <w:widowControl w:val="0"/>
      <w:spacing w:before="240" w:after="60" w:line="312" w:lineRule="auto"/>
      <w:jc w:val="center"/>
      <w:outlineLvl w:val="1"/>
    </w:pPr>
    <w:rPr>
      <w:rFonts w:ascii="Cambria" w:hAnsi="Cambria"/>
      <w:b/>
      <w:bCs/>
      <w:kern w:val="28"/>
      <w:sz w:val="32"/>
      <w:szCs w:val="32"/>
    </w:rPr>
  </w:style>
  <w:style w:type="paragraph" w:styleId="32">
    <w:name w:val="footnote text"/>
    <w:basedOn w:val="1"/>
    <w:autoRedefine/>
    <w:unhideWhenUsed/>
    <w:qFormat/>
    <w:uiPriority w:val="99"/>
    <w:pPr>
      <w:snapToGrid w:val="0"/>
      <w:jc w:val="left"/>
    </w:pPr>
    <w:rPr>
      <w:sz w:val="18"/>
      <w:szCs w:val="18"/>
    </w:rPr>
  </w:style>
  <w:style w:type="paragraph" w:styleId="33">
    <w:name w:val="toc 6"/>
    <w:basedOn w:val="1"/>
    <w:next w:val="1"/>
    <w:autoRedefine/>
    <w:qFormat/>
    <w:uiPriority w:val="0"/>
    <w:pPr>
      <w:widowControl w:val="0"/>
      <w:ind w:left="2100" w:leftChars="1000"/>
      <w:jc w:val="both"/>
    </w:pPr>
    <w:rPr>
      <w:rFonts w:ascii="Calibri" w:hAnsi="Calibri"/>
      <w:kern w:val="2"/>
      <w:szCs w:val="22"/>
    </w:rPr>
  </w:style>
  <w:style w:type="paragraph" w:styleId="34">
    <w:name w:val="Body Text Indent 3"/>
    <w:basedOn w:val="1"/>
    <w:autoRedefine/>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5">
    <w:name w:val="toc 2"/>
    <w:basedOn w:val="1"/>
    <w:next w:val="1"/>
    <w:autoRedefine/>
    <w:qFormat/>
    <w:uiPriority w:val="39"/>
    <w:pPr>
      <w:ind w:left="420" w:leftChars="200"/>
    </w:pPr>
  </w:style>
  <w:style w:type="paragraph" w:styleId="36">
    <w:name w:val="toc 9"/>
    <w:basedOn w:val="1"/>
    <w:next w:val="1"/>
    <w:autoRedefine/>
    <w:qFormat/>
    <w:uiPriority w:val="0"/>
    <w:pPr>
      <w:widowControl w:val="0"/>
      <w:ind w:left="3360" w:leftChars="1600"/>
      <w:jc w:val="both"/>
    </w:pPr>
    <w:rPr>
      <w:rFonts w:ascii="Calibri" w:hAnsi="Calibri"/>
      <w:kern w:val="2"/>
      <w:szCs w:val="22"/>
    </w:rPr>
  </w:style>
  <w:style w:type="paragraph" w:styleId="37">
    <w:name w:val="Body Text 2"/>
    <w:basedOn w:val="1"/>
    <w:link w:val="113"/>
    <w:autoRedefine/>
    <w:qFormat/>
    <w:uiPriority w:val="0"/>
    <w:pPr>
      <w:widowControl w:val="0"/>
      <w:jc w:val="both"/>
    </w:pPr>
    <w:rPr>
      <w:kern w:val="2"/>
      <w:sz w:val="28"/>
    </w:rPr>
  </w:style>
  <w:style w:type="paragraph" w:styleId="38">
    <w:name w:val="Message Header"/>
    <w:basedOn w:val="18"/>
    <w:autoRedefine/>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9">
    <w:name w:val="HTML Preformatted"/>
    <w:basedOn w:val="1"/>
    <w:link w:val="120"/>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40">
    <w:name w:val="Normal (Web)"/>
    <w:basedOn w:val="1"/>
    <w:autoRedefine/>
    <w:qFormat/>
    <w:uiPriority w:val="99"/>
    <w:pPr>
      <w:spacing w:before="100" w:beforeAutospacing="1" w:after="100" w:afterAutospacing="1"/>
    </w:pPr>
    <w:rPr>
      <w:rFonts w:hint="eastAsia" w:ascii="宋体" w:hAnsi="宋体"/>
      <w:sz w:val="24"/>
      <w:szCs w:val="24"/>
    </w:rPr>
  </w:style>
  <w:style w:type="paragraph" w:styleId="41">
    <w:name w:val="Title"/>
    <w:basedOn w:val="1"/>
    <w:next w:val="1"/>
    <w:link w:val="90"/>
    <w:autoRedefine/>
    <w:qFormat/>
    <w:uiPriority w:val="99"/>
    <w:pPr>
      <w:widowControl w:val="0"/>
      <w:spacing w:before="240" w:after="60"/>
      <w:jc w:val="center"/>
      <w:outlineLvl w:val="0"/>
    </w:pPr>
    <w:rPr>
      <w:rFonts w:ascii="Cambria" w:hAnsi="Cambria"/>
      <w:b/>
      <w:bCs/>
      <w:kern w:val="2"/>
      <w:sz w:val="32"/>
      <w:szCs w:val="32"/>
      <w:lang w:eastAsia="en-US"/>
    </w:rPr>
  </w:style>
  <w:style w:type="paragraph" w:styleId="42">
    <w:name w:val="annotation subject"/>
    <w:basedOn w:val="16"/>
    <w:next w:val="16"/>
    <w:link w:val="62"/>
    <w:autoRedefine/>
    <w:qFormat/>
    <w:uiPriority w:val="99"/>
    <w:rPr>
      <w:b/>
      <w:bCs/>
    </w:rPr>
  </w:style>
  <w:style w:type="paragraph" w:styleId="43">
    <w:name w:val="Body Text First Indent"/>
    <w:basedOn w:val="18"/>
    <w:autoRedefine/>
    <w:qFormat/>
    <w:uiPriority w:val="0"/>
    <w:pPr>
      <w:ind w:firstLine="420" w:firstLineChars="100"/>
    </w:pPr>
  </w:style>
  <w:style w:type="table" w:styleId="45">
    <w:name w:val="Table Grid"/>
    <w:basedOn w:val="44"/>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autoRedefine/>
    <w:qFormat/>
    <w:uiPriority w:val="99"/>
    <w:rPr>
      <w:b/>
      <w:bCs/>
    </w:rPr>
  </w:style>
  <w:style w:type="character" w:styleId="48">
    <w:name w:val="page number"/>
    <w:basedOn w:val="46"/>
    <w:autoRedefine/>
    <w:qFormat/>
    <w:uiPriority w:val="0"/>
  </w:style>
  <w:style w:type="character" w:styleId="49">
    <w:name w:val="FollowedHyperlink"/>
    <w:autoRedefine/>
    <w:qFormat/>
    <w:uiPriority w:val="99"/>
    <w:rPr>
      <w:color w:val="800080"/>
      <w:u w:val="single"/>
    </w:rPr>
  </w:style>
  <w:style w:type="character" w:styleId="50">
    <w:name w:val="Emphasis"/>
    <w:autoRedefine/>
    <w:qFormat/>
    <w:uiPriority w:val="99"/>
    <w:rPr>
      <w:rFonts w:cs="Times New Roman"/>
    </w:rPr>
  </w:style>
  <w:style w:type="character" w:styleId="51">
    <w:name w:val="HTML Definition"/>
    <w:autoRedefine/>
    <w:qFormat/>
    <w:uiPriority w:val="99"/>
    <w:rPr>
      <w:rFonts w:cs="Times New Roman"/>
    </w:rPr>
  </w:style>
  <w:style w:type="character" w:styleId="52">
    <w:name w:val="HTML Typewriter"/>
    <w:autoRedefine/>
    <w:qFormat/>
    <w:uiPriority w:val="99"/>
    <w:rPr>
      <w:rFonts w:ascii="宋体" w:hAnsi="宋体" w:eastAsia="宋体" w:cs="宋体"/>
      <w:sz w:val="24"/>
      <w:szCs w:val="24"/>
    </w:rPr>
  </w:style>
  <w:style w:type="character" w:styleId="53">
    <w:name w:val="HTML Variable"/>
    <w:autoRedefine/>
    <w:qFormat/>
    <w:uiPriority w:val="99"/>
    <w:rPr>
      <w:rFonts w:cs="Times New Roman"/>
    </w:rPr>
  </w:style>
  <w:style w:type="character" w:styleId="54">
    <w:name w:val="Hyperlink"/>
    <w:basedOn w:val="46"/>
    <w:autoRedefine/>
    <w:qFormat/>
    <w:uiPriority w:val="99"/>
    <w:rPr>
      <w:color w:val="0000FF"/>
      <w:u w:val="single"/>
    </w:rPr>
  </w:style>
  <w:style w:type="character" w:styleId="55">
    <w:name w:val="HTML Code"/>
    <w:autoRedefine/>
    <w:qFormat/>
    <w:uiPriority w:val="99"/>
    <w:rPr>
      <w:rFonts w:ascii="Courier New" w:hAnsi="Courier New" w:cs="Times New Roman"/>
      <w:sz w:val="20"/>
    </w:rPr>
  </w:style>
  <w:style w:type="character" w:styleId="56">
    <w:name w:val="annotation reference"/>
    <w:autoRedefine/>
    <w:qFormat/>
    <w:uiPriority w:val="99"/>
    <w:rPr>
      <w:sz w:val="21"/>
      <w:szCs w:val="21"/>
    </w:rPr>
  </w:style>
  <w:style w:type="character" w:styleId="57">
    <w:name w:val="HTML Cite"/>
    <w:autoRedefine/>
    <w:qFormat/>
    <w:uiPriority w:val="99"/>
    <w:rPr>
      <w:rFonts w:cs="Times New Roman"/>
    </w:rPr>
  </w:style>
  <w:style w:type="character" w:customStyle="1" w:styleId="58">
    <w:name w:val="ds-reads-app-special"/>
    <w:autoRedefine/>
    <w:qFormat/>
    <w:uiPriority w:val="99"/>
    <w:rPr>
      <w:rFonts w:cs="Times New Roman"/>
      <w:color w:val="FFFFFF"/>
      <w:shd w:val="clear" w:color="auto" w:fill="F94A47"/>
    </w:rPr>
  </w:style>
  <w:style w:type="character" w:customStyle="1" w:styleId="59">
    <w:name w:val="正文首行缩进 2 Char"/>
    <w:basedOn w:val="60"/>
    <w:autoRedefine/>
    <w:qFormat/>
    <w:uiPriority w:val="99"/>
  </w:style>
  <w:style w:type="character" w:customStyle="1" w:styleId="60">
    <w:name w:val="正文文本缩进 Char"/>
    <w:autoRedefine/>
    <w:qFormat/>
    <w:uiPriority w:val="0"/>
    <w:rPr>
      <w:rFonts w:ascii="Calibri" w:hAnsi="Calibri" w:eastAsia="宋体"/>
      <w:kern w:val="2"/>
      <w:sz w:val="21"/>
      <w:szCs w:val="22"/>
      <w:lang w:val="en-US" w:eastAsia="zh-CN" w:bidi="ar-SA"/>
    </w:rPr>
  </w:style>
  <w:style w:type="character" w:customStyle="1" w:styleId="61">
    <w:name w:val="font101"/>
    <w:autoRedefine/>
    <w:qFormat/>
    <w:uiPriority w:val="99"/>
    <w:rPr>
      <w:rFonts w:ascii="宋体" w:hAnsi="宋体" w:eastAsia="宋体" w:cs="宋体"/>
      <w:color w:val="000000"/>
      <w:sz w:val="21"/>
      <w:szCs w:val="21"/>
      <w:u w:val="none"/>
    </w:rPr>
  </w:style>
  <w:style w:type="character" w:customStyle="1" w:styleId="62">
    <w:name w:val="批注主题 Char"/>
    <w:link w:val="42"/>
    <w:autoRedefine/>
    <w:qFormat/>
    <w:uiPriority w:val="99"/>
    <w:rPr>
      <w:rFonts w:eastAsia="宋体"/>
      <w:b/>
      <w:bCs/>
      <w:sz w:val="21"/>
      <w:lang w:val="en-US" w:eastAsia="zh-CN" w:bidi="ar-SA"/>
    </w:rPr>
  </w:style>
  <w:style w:type="character" w:customStyle="1" w:styleId="63">
    <w:name w:val="标题 9 Char"/>
    <w:link w:val="12"/>
    <w:autoRedefine/>
    <w:qFormat/>
    <w:uiPriority w:val="0"/>
    <w:rPr>
      <w:rFonts w:ascii="Cambria" w:hAnsi="Cambria"/>
      <w:kern w:val="2"/>
      <w:sz w:val="21"/>
      <w:szCs w:val="21"/>
    </w:rPr>
  </w:style>
  <w:style w:type="character" w:customStyle="1" w:styleId="64">
    <w:name w:val="font21"/>
    <w:basedOn w:val="46"/>
    <w:autoRedefine/>
    <w:qFormat/>
    <w:uiPriority w:val="0"/>
    <w:rPr>
      <w:rFonts w:hint="default" w:ascii="Arial" w:hAnsi="Arial" w:cs="Arial"/>
      <w:color w:val="000000"/>
      <w:sz w:val="20"/>
      <w:szCs w:val="20"/>
      <w:u w:val="none"/>
    </w:rPr>
  </w:style>
  <w:style w:type="character" w:customStyle="1" w:styleId="65">
    <w:name w:val="font91"/>
    <w:autoRedefine/>
    <w:qFormat/>
    <w:uiPriority w:val="99"/>
    <w:rPr>
      <w:rFonts w:ascii="Arial" w:hAnsi="Arial" w:cs="Arial"/>
      <w:color w:val="000000"/>
      <w:sz w:val="21"/>
      <w:szCs w:val="21"/>
      <w:u w:val="none"/>
    </w:rPr>
  </w:style>
  <w:style w:type="character" w:customStyle="1" w:styleId="66">
    <w:name w:val="正文首行缩进 2 Char1"/>
    <w:basedOn w:val="67"/>
    <w:link w:val="20"/>
    <w:autoRedefine/>
    <w:qFormat/>
    <w:uiPriority w:val="0"/>
  </w:style>
  <w:style w:type="character" w:customStyle="1" w:styleId="67">
    <w:name w:val="正文文本缩进 Char1"/>
    <w:link w:val="19"/>
    <w:autoRedefine/>
    <w:qFormat/>
    <w:uiPriority w:val="99"/>
    <w:rPr>
      <w:rFonts w:ascii="宋体"/>
      <w:kern w:val="2"/>
      <w:sz w:val="28"/>
    </w:rPr>
  </w:style>
  <w:style w:type="character" w:customStyle="1" w:styleId="68">
    <w:name w:val="标题 8 Char"/>
    <w:link w:val="11"/>
    <w:autoRedefine/>
    <w:qFormat/>
    <w:uiPriority w:val="0"/>
    <w:rPr>
      <w:rFonts w:ascii="Cambria" w:hAnsi="Cambria"/>
      <w:kern w:val="2"/>
      <w:sz w:val="24"/>
      <w:szCs w:val="24"/>
    </w:rPr>
  </w:style>
  <w:style w:type="character" w:customStyle="1" w:styleId="69">
    <w:name w:val="样式 小四 段前: 3 磅 段后: 3 磅 行距: 1.5 倍行距 Char"/>
    <w:link w:val="70"/>
    <w:autoRedefine/>
    <w:qFormat/>
    <w:uiPriority w:val="0"/>
    <w:rPr>
      <w:rFonts w:eastAsia="宋体" w:cs="宋体"/>
      <w:kern w:val="2"/>
      <w:sz w:val="24"/>
      <w:lang w:val="en-US" w:eastAsia="zh-CN" w:bidi="ar-SA"/>
    </w:rPr>
  </w:style>
  <w:style w:type="paragraph" w:customStyle="1" w:styleId="70">
    <w:name w:val="样式 小四 段前: 3 磅 段后: 3 磅 行距: 1.5 倍行距"/>
    <w:basedOn w:val="1"/>
    <w:link w:val="69"/>
    <w:autoRedefine/>
    <w:qFormat/>
    <w:uiPriority w:val="0"/>
    <w:pPr>
      <w:widowControl w:val="0"/>
      <w:spacing w:before="60" w:after="60" w:line="360" w:lineRule="auto"/>
      <w:ind w:firstLine="540" w:firstLineChars="225"/>
      <w:jc w:val="both"/>
    </w:pPr>
    <w:rPr>
      <w:rFonts w:cs="宋体"/>
      <w:kern w:val="2"/>
      <w:sz w:val="24"/>
    </w:rPr>
  </w:style>
  <w:style w:type="character" w:customStyle="1" w:styleId="71">
    <w:name w:val="批注文字 Char2"/>
    <w:link w:val="16"/>
    <w:autoRedefine/>
    <w:qFormat/>
    <w:uiPriority w:val="0"/>
    <w:rPr>
      <w:rFonts w:eastAsia="宋体"/>
      <w:sz w:val="21"/>
      <w:lang w:val="en-US" w:eastAsia="zh-CN" w:bidi="ar-SA"/>
    </w:rPr>
  </w:style>
  <w:style w:type="character" w:customStyle="1" w:styleId="72">
    <w:name w:val="lei.text Char"/>
    <w:link w:val="73"/>
    <w:autoRedefine/>
    <w:qFormat/>
    <w:uiPriority w:val="0"/>
    <w:rPr>
      <w:rFonts w:ascii="宋体" w:hAnsi="Tahoma"/>
      <w:sz w:val="24"/>
      <w:lang w:val="en-US" w:eastAsia="zh-CN" w:bidi="ar-SA"/>
    </w:rPr>
  </w:style>
  <w:style w:type="paragraph" w:customStyle="1" w:styleId="73">
    <w:name w:val="lei.text"/>
    <w:link w:val="72"/>
    <w:autoRedefine/>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4">
    <w:name w:val="Title Char1"/>
    <w:autoRedefine/>
    <w:qFormat/>
    <w:locked/>
    <w:uiPriority w:val="99"/>
    <w:rPr>
      <w:rFonts w:ascii="Cambria" w:hAnsi="Cambria" w:eastAsia="宋体" w:cs="Times New Roman"/>
      <w:b/>
      <w:bCs/>
      <w:sz w:val="32"/>
      <w:szCs w:val="32"/>
    </w:rPr>
  </w:style>
  <w:style w:type="character" w:customStyle="1" w:styleId="75">
    <w:name w:val="bord"/>
    <w:basedOn w:val="46"/>
    <w:autoRedefine/>
    <w:qFormat/>
    <w:uiPriority w:val="0"/>
  </w:style>
  <w:style w:type="character" w:customStyle="1" w:styleId="76">
    <w:name w:val="current"/>
    <w:autoRedefine/>
    <w:qFormat/>
    <w:uiPriority w:val="99"/>
    <w:rPr>
      <w:rFonts w:cs="Times New Roman"/>
      <w:b/>
      <w:color w:val="FF0084"/>
    </w:rPr>
  </w:style>
  <w:style w:type="character" w:customStyle="1" w:styleId="77">
    <w:name w:val="正文缩进 Char1"/>
    <w:link w:val="14"/>
    <w:autoRedefine/>
    <w:qFormat/>
    <w:uiPriority w:val="0"/>
    <w:rPr>
      <w:rFonts w:eastAsia="宋体"/>
      <w:kern w:val="2"/>
      <w:sz w:val="21"/>
      <w:lang w:val="en-US" w:eastAsia="zh-CN" w:bidi="ar-SA"/>
    </w:rPr>
  </w:style>
  <w:style w:type="character" w:customStyle="1" w:styleId="78">
    <w:name w:val="A4"/>
    <w:autoRedefine/>
    <w:qFormat/>
    <w:uiPriority w:val="0"/>
    <w:rPr>
      <w:rFonts w:cs="新宋体"/>
      <w:color w:val="000000"/>
    </w:rPr>
  </w:style>
  <w:style w:type="character" w:customStyle="1" w:styleId="79">
    <w:name w:val="标题 1 Char"/>
    <w:link w:val="4"/>
    <w:autoRedefine/>
    <w:qFormat/>
    <w:uiPriority w:val="0"/>
    <w:rPr>
      <w:b/>
      <w:bCs/>
      <w:kern w:val="44"/>
      <w:sz w:val="44"/>
      <w:szCs w:val="44"/>
    </w:rPr>
  </w:style>
  <w:style w:type="character" w:customStyle="1" w:styleId="80">
    <w:name w:val="标题 字符2"/>
    <w:autoRedefine/>
    <w:qFormat/>
    <w:uiPriority w:val="99"/>
    <w:rPr>
      <w:rFonts w:ascii="等线 Light" w:hAnsi="等线 Light" w:eastAsia="等线 Light" w:cs="Times New Roman"/>
      <w:b/>
      <w:bCs/>
      <w:sz w:val="32"/>
      <w:szCs w:val="32"/>
    </w:rPr>
  </w:style>
  <w:style w:type="character" w:customStyle="1" w:styleId="81">
    <w:name w:val="页脚 字符1"/>
    <w:autoRedefine/>
    <w:semiHidden/>
    <w:qFormat/>
    <w:uiPriority w:val="99"/>
    <w:rPr>
      <w:rFonts w:ascii="Times New Roman" w:hAnsi="Times New Roman" w:eastAsia="宋体" w:cs="Times New Roman"/>
      <w:sz w:val="18"/>
      <w:szCs w:val="18"/>
    </w:rPr>
  </w:style>
  <w:style w:type="character" w:customStyle="1" w:styleId="82">
    <w:name w:val="Footer Char1"/>
    <w:autoRedefine/>
    <w:semiHidden/>
    <w:qFormat/>
    <w:locked/>
    <w:uiPriority w:val="99"/>
    <w:rPr>
      <w:rFonts w:ascii="Times New Roman" w:hAnsi="Times New Roman" w:eastAsia="宋体" w:cs="Times New Roman"/>
      <w:sz w:val="18"/>
      <w:szCs w:val="18"/>
    </w:rPr>
  </w:style>
  <w:style w:type="character" w:customStyle="1" w:styleId="83">
    <w:name w:val="Char Char1"/>
    <w:autoRedefine/>
    <w:qFormat/>
    <w:uiPriority w:val="0"/>
    <w:rPr>
      <w:rFonts w:ascii="宋体" w:hAnsi="Courier New" w:eastAsia="宋体"/>
      <w:kern w:val="2"/>
      <w:sz w:val="21"/>
      <w:lang w:val="en-US" w:eastAsia="zh-CN" w:bidi="ar-SA"/>
    </w:rPr>
  </w:style>
  <w:style w:type="character" w:customStyle="1" w:styleId="84">
    <w:name w:val="页眉 Char"/>
    <w:link w:val="2"/>
    <w:autoRedefine/>
    <w:qFormat/>
    <w:uiPriority w:val="99"/>
    <w:rPr>
      <w:rFonts w:ascii="宋体" w:eastAsia="宋体"/>
      <w:sz w:val="18"/>
      <w:lang w:val="en-US" w:eastAsia="zh-CN" w:bidi="ar-SA"/>
    </w:rPr>
  </w:style>
  <w:style w:type="character" w:customStyle="1" w:styleId="85">
    <w:name w:val="Underrubrik1 Char Char"/>
    <w:autoRedefine/>
    <w:qFormat/>
    <w:uiPriority w:val="99"/>
    <w:rPr>
      <w:rFonts w:ascii="Arial" w:hAnsi="Arial"/>
      <w:b/>
      <w:color w:val="000000"/>
      <w:sz w:val="30"/>
    </w:rPr>
  </w:style>
  <w:style w:type="character" w:customStyle="1" w:styleId="86">
    <w:name w:val="页眉 字符1"/>
    <w:autoRedefine/>
    <w:semiHidden/>
    <w:qFormat/>
    <w:uiPriority w:val="99"/>
    <w:rPr>
      <w:rFonts w:ascii="Times New Roman" w:hAnsi="Times New Roman" w:eastAsia="宋体" w:cs="Times New Roman"/>
      <w:sz w:val="18"/>
      <w:szCs w:val="18"/>
    </w:rPr>
  </w:style>
  <w:style w:type="character" w:customStyle="1" w:styleId="87">
    <w:name w:val="文档结构图 Char"/>
    <w:link w:val="15"/>
    <w:autoRedefine/>
    <w:qFormat/>
    <w:uiPriority w:val="99"/>
    <w:rPr>
      <w:sz w:val="21"/>
      <w:shd w:val="clear" w:color="auto" w:fill="000080"/>
    </w:rPr>
  </w:style>
  <w:style w:type="character" w:customStyle="1" w:styleId="88">
    <w:name w:val="font71"/>
    <w:autoRedefine/>
    <w:qFormat/>
    <w:uiPriority w:val="0"/>
    <w:rPr>
      <w:rFonts w:hint="default" w:ascii="Arial" w:hAnsi="Arial" w:cs="Arial"/>
      <w:color w:val="000000"/>
      <w:sz w:val="20"/>
      <w:szCs w:val="20"/>
      <w:u w:val="none"/>
    </w:rPr>
  </w:style>
  <w:style w:type="character" w:customStyle="1" w:styleId="89">
    <w:name w:val="标题 7 Char"/>
    <w:link w:val="10"/>
    <w:autoRedefine/>
    <w:qFormat/>
    <w:uiPriority w:val="0"/>
    <w:rPr>
      <w:rFonts w:ascii="Calibri" w:hAnsi="Calibri"/>
      <w:b/>
      <w:bCs/>
      <w:kern w:val="2"/>
      <w:sz w:val="24"/>
      <w:szCs w:val="24"/>
    </w:rPr>
  </w:style>
  <w:style w:type="character" w:customStyle="1" w:styleId="90">
    <w:name w:val="标题 Char"/>
    <w:link w:val="41"/>
    <w:autoRedefine/>
    <w:qFormat/>
    <w:uiPriority w:val="99"/>
    <w:rPr>
      <w:rFonts w:ascii="Cambria" w:hAnsi="Cambria"/>
      <w:b/>
      <w:bCs/>
      <w:kern w:val="2"/>
      <w:sz w:val="32"/>
      <w:szCs w:val="32"/>
      <w:lang w:eastAsia="en-US"/>
    </w:rPr>
  </w:style>
  <w:style w:type="character" w:customStyle="1" w:styleId="91">
    <w:name w:val="标题 3 Char1"/>
    <w:link w:val="6"/>
    <w:autoRedefine/>
    <w:qFormat/>
    <w:uiPriority w:val="99"/>
    <w:rPr>
      <w:rFonts w:eastAsia="宋体"/>
      <w:b/>
      <w:kern w:val="2"/>
      <w:sz w:val="32"/>
      <w:lang w:val="en-US" w:eastAsia="zh-CN" w:bidi="ar-SA"/>
    </w:rPr>
  </w:style>
  <w:style w:type="character" w:customStyle="1" w:styleId="92">
    <w:name w:val="style11"/>
    <w:autoRedefine/>
    <w:qFormat/>
    <w:uiPriority w:val="0"/>
    <w:rPr>
      <w:rFonts w:eastAsia="宋体"/>
      <w:kern w:val="2"/>
      <w:sz w:val="20"/>
      <w:szCs w:val="20"/>
      <w:lang w:val="en-US" w:eastAsia="zh-CN" w:bidi="ar-SA"/>
    </w:rPr>
  </w:style>
  <w:style w:type="character" w:customStyle="1" w:styleId="93">
    <w:name w:val="正文文本缩进 2 字符1"/>
    <w:autoRedefine/>
    <w:semiHidden/>
    <w:qFormat/>
    <w:uiPriority w:val="99"/>
    <w:rPr>
      <w:rFonts w:ascii="Times New Roman" w:hAnsi="Times New Roman" w:eastAsia="宋体" w:cs="Times New Roman"/>
      <w:sz w:val="20"/>
      <w:szCs w:val="20"/>
    </w:rPr>
  </w:style>
  <w:style w:type="character" w:customStyle="1" w:styleId="94">
    <w:name w:val="题注 Char"/>
    <w:link w:val="3"/>
    <w:autoRedefine/>
    <w:qFormat/>
    <w:uiPriority w:val="0"/>
    <w:rPr>
      <w:rFonts w:ascii="Cambria" w:hAnsi="Cambria" w:eastAsia="黑体"/>
      <w:sz w:val="24"/>
    </w:rPr>
  </w:style>
  <w:style w:type="character" w:customStyle="1" w:styleId="95">
    <w:name w:val="apple-converted-space"/>
    <w:autoRedefine/>
    <w:qFormat/>
    <w:uiPriority w:val="99"/>
    <w:rPr>
      <w:rFonts w:cs="Times New Roman"/>
    </w:rPr>
  </w:style>
  <w:style w:type="character" w:customStyle="1" w:styleId="96">
    <w:name w:val="*正文 Char Char"/>
    <w:link w:val="97"/>
    <w:autoRedefine/>
    <w:qFormat/>
    <w:uiPriority w:val="0"/>
    <w:rPr>
      <w:rFonts w:ascii="宋体" w:hAnsi="宋体"/>
      <w:snapToGrid/>
      <w:sz w:val="24"/>
      <w:szCs w:val="24"/>
    </w:rPr>
  </w:style>
  <w:style w:type="paragraph" w:customStyle="1" w:styleId="97">
    <w:name w:val="*正文"/>
    <w:basedOn w:val="1"/>
    <w:link w:val="96"/>
    <w:autoRedefine/>
    <w:qFormat/>
    <w:uiPriority w:val="0"/>
    <w:pPr>
      <w:widowControl w:val="0"/>
      <w:spacing w:line="360" w:lineRule="auto"/>
      <w:ind w:firstLine="200" w:firstLineChars="200"/>
      <w:jc w:val="both"/>
    </w:pPr>
    <w:rPr>
      <w:rFonts w:ascii="宋体" w:hAnsi="宋体"/>
      <w:sz w:val="24"/>
      <w:szCs w:val="24"/>
    </w:rPr>
  </w:style>
  <w:style w:type="character" w:customStyle="1" w:styleId="98">
    <w:name w:val="Char Char5"/>
    <w:autoRedefine/>
    <w:qFormat/>
    <w:uiPriority w:val="99"/>
    <w:rPr>
      <w:rFonts w:ascii="宋体" w:hAnsi="Courier New" w:eastAsia="宋体" w:cs="Times New Roman"/>
      <w:kern w:val="2"/>
      <w:sz w:val="21"/>
      <w:lang w:val="en-US" w:eastAsia="zh-CN" w:bidi="ar-SA"/>
    </w:rPr>
  </w:style>
  <w:style w:type="character" w:customStyle="1" w:styleId="99">
    <w:name w:val="批注文字 字符1"/>
    <w:autoRedefine/>
    <w:semiHidden/>
    <w:qFormat/>
    <w:locked/>
    <w:uiPriority w:val="99"/>
    <w:rPr>
      <w:rFonts w:ascii="Times New Roman" w:hAnsi="Times New Roman" w:eastAsia="宋体" w:cs="Times New Roman"/>
      <w:sz w:val="20"/>
      <w:szCs w:val="20"/>
    </w:rPr>
  </w:style>
  <w:style w:type="character" w:customStyle="1" w:styleId="100">
    <w:name w:val="标题 字符1"/>
    <w:autoRedefine/>
    <w:qFormat/>
    <w:uiPriority w:val="99"/>
    <w:rPr>
      <w:rFonts w:ascii="等线 Light" w:hAnsi="等线 Light" w:cs="Times New Roman"/>
      <w:b/>
      <w:bCs/>
      <w:sz w:val="32"/>
      <w:szCs w:val="32"/>
    </w:rPr>
  </w:style>
  <w:style w:type="character" w:customStyle="1" w:styleId="101">
    <w:name w:val="普通文字 Char Char1"/>
    <w:autoRedefine/>
    <w:qFormat/>
    <w:uiPriority w:val="99"/>
    <w:rPr>
      <w:rFonts w:ascii="宋体" w:hAnsi="Courier New" w:eastAsia="宋体" w:cs="Times New Roman"/>
      <w:kern w:val="2"/>
      <w:sz w:val="21"/>
      <w:lang w:val="en-US" w:eastAsia="zh-CN" w:bidi="ar-SA"/>
    </w:rPr>
  </w:style>
  <w:style w:type="character" w:customStyle="1" w:styleId="102">
    <w:name w:val="批注文字 Char1"/>
    <w:autoRedefine/>
    <w:qFormat/>
    <w:uiPriority w:val="0"/>
    <w:rPr>
      <w:rFonts w:ascii="Calibri" w:hAnsi="Calibri" w:eastAsia="宋体"/>
      <w:kern w:val="2"/>
      <w:sz w:val="21"/>
      <w:szCs w:val="22"/>
      <w:lang w:val="en-US" w:eastAsia="zh-CN" w:bidi="ar-SA"/>
    </w:rPr>
  </w:style>
  <w:style w:type="character" w:customStyle="1" w:styleId="103">
    <w:name w:val="正文1 Char"/>
    <w:link w:val="104"/>
    <w:autoRedefine/>
    <w:qFormat/>
    <w:uiPriority w:val="0"/>
    <w:rPr>
      <w:rFonts w:ascii="宋体"/>
      <w:sz w:val="34"/>
      <w:lang w:val="en-US" w:eastAsia="zh-CN" w:bidi="ar-SA"/>
    </w:rPr>
  </w:style>
  <w:style w:type="paragraph" w:customStyle="1" w:styleId="104">
    <w:name w:val="正文1"/>
    <w:link w:val="103"/>
    <w:autoRedefine/>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5">
    <w:name w:val="ask-title2"/>
    <w:autoRedefine/>
    <w:qFormat/>
    <w:uiPriority w:val="99"/>
    <w:rPr>
      <w:rFonts w:cs="Times New Roman"/>
    </w:rPr>
  </w:style>
  <w:style w:type="character" w:customStyle="1" w:styleId="106">
    <w:name w:val="Header Char1"/>
    <w:autoRedefine/>
    <w:semiHidden/>
    <w:qFormat/>
    <w:locked/>
    <w:uiPriority w:val="99"/>
    <w:rPr>
      <w:rFonts w:ascii="Times New Roman" w:hAnsi="Times New Roman" w:eastAsia="宋体" w:cs="Times New Roman"/>
      <w:sz w:val="18"/>
      <w:szCs w:val="18"/>
    </w:rPr>
  </w:style>
  <w:style w:type="character" w:customStyle="1" w:styleId="107">
    <w:name w:val="标题 5 Char"/>
    <w:link w:val="8"/>
    <w:autoRedefine/>
    <w:qFormat/>
    <w:uiPriority w:val="0"/>
    <w:rPr>
      <w:rFonts w:ascii="Calibri" w:hAnsi="Calibri"/>
      <w:b/>
      <w:bCs/>
      <w:kern w:val="2"/>
      <w:sz w:val="28"/>
      <w:szCs w:val="28"/>
    </w:rPr>
  </w:style>
  <w:style w:type="character" w:customStyle="1" w:styleId="108">
    <w:name w:val="正文文本缩进 字符1"/>
    <w:autoRedefine/>
    <w:semiHidden/>
    <w:qFormat/>
    <w:uiPriority w:val="99"/>
    <w:rPr>
      <w:rFonts w:ascii="Times New Roman" w:hAnsi="Times New Roman" w:eastAsia="宋体" w:cs="Times New Roman"/>
      <w:sz w:val="20"/>
      <w:szCs w:val="20"/>
    </w:rPr>
  </w:style>
  <w:style w:type="character" w:customStyle="1" w:styleId="109">
    <w:name w:val="my正文 Char"/>
    <w:link w:val="110"/>
    <w:autoRedefine/>
    <w:qFormat/>
    <w:uiPriority w:val="0"/>
    <w:rPr>
      <w:sz w:val="24"/>
      <w:szCs w:val="24"/>
      <w:lang w:val="en-US" w:eastAsia="zh-CN"/>
    </w:rPr>
  </w:style>
  <w:style w:type="paragraph" w:customStyle="1" w:styleId="110">
    <w:name w:val="my正文"/>
    <w:basedOn w:val="1"/>
    <w:link w:val="109"/>
    <w:autoRedefine/>
    <w:qFormat/>
    <w:uiPriority w:val="0"/>
    <w:pPr>
      <w:widowControl w:val="0"/>
      <w:spacing w:line="360" w:lineRule="auto"/>
      <w:ind w:firstLine="480" w:firstLineChars="200"/>
      <w:jc w:val="both"/>
    </w:pPr>
    <w:rPr>
      <w:sz w:val="24"/>
      <w:szCs w:val="24"/>
    </w:rPr>
  </w:style>
  <w:style w:type="character" w:customStyle="1" w:styleId="111">
    <w:name w:val="main_tdbg_760"/>
    <w:autoRedefine/>
    <w:qFormat/>
    <w:uiPriority w:val="0"/>
    <w:rPr>
      <w:rFonts w:ascii="Verdana" w:hAnsi="Verdana"/>
      <w:kern w:val="0"/>
      <w:szCs w:val="20"/>
      <w:lang w:eastAsia="en-US"/>
    </w:rPr>
  </w:style>
  <w:style w:type="character" w:customStyle="1" w:styleId="112">
    <w:name w:val="标题 2 Char"/>
    <w:link w:val="5"/>
    <w:autoRedefine/>
    <w:qFormat/>
    <w:uiPriority w:val="9"/>
    <w:rPr>
      <w:rFonts w:ascii="Arial" w:hAnsi="Arial" w:eastAsia="黑体"/>
      <w:b/>
      <w:bCs/>
      <w:sz w:val="32"/>
      <w:szCs w:val="32"/>
    </w:rPr>
  </w:style>
  <w:style w:type="character" w:customStyle="1" w:styleId="113">
    <w:name w:val="正文文本 2 Char"/>
    <w:link w:val="37"/>
    <w:autoRedefine/>
    <w:qFormat/>
    <w:uiPriority w:val="0"/>
    <w:rPr>
      <w:kern w:val="2"/>
      <w:sz w:val="28"/>
    </w:rPr>
  </w:style>
  <w:style w:type="character" w:customStyle="1" w:styleId="114">
    <w:name w:val="批注文字 Char"/>
    <w:autoRedefine/>
    <w:qFormat/>
    <w:uiPriority w:val="0"/>
    <w:rPr>
      <w:rFonts w:eastAsia="宋体" w:cs="Times New Roman"/>
      <w:kern w:val="2"/>
      <w:sz w:val="24"/>
      <w:szCs w:val="24"/>
      <w:lang w:val="en-US" w:eastAsia="zh-CN" w:bidi="ar-SA"/>
    </w:rPr>
  </w:style>
  <w:style w:type="character" w:customStyle="1" w:styleId="115">
    <w:name w:val="font31"/>
    <w:basedOn w:val="46"/>
    <w:autoRedefine/>
    <w:qFormat/>
    <w:uiPriority w:val="0"/>
    <w:rPr>
      <w:rFonts w:hint="eastAsia" w:ascii="宋体" w:hAnsi="宋体" w:eastAsia="宋体" w:cs="宋体"/>
      <w:color w:val="000000"/>
      <w:sz w:val="20"/>
      <w:szCs w:val="20"/>
      <w:u w:val="none"/>
    </w:rPr>
  </w:style>
  <w:style w:type="character" w:customStyle="1" w:styleId="116">
    <w:name w:val="正文文本 Char"/>
    <w:link w:val="18"/>
    <w:autoRedefine/>
    <w:qFormat/>
    <w:uiPriority w:val="99"/>
    <w:rPr>
      <w:sz w:val="21"/>
    </w:rPr>
  </w:style>
  <w:style w:type="character" w:customStyle="1" w:styleId="117">
    <w:name w:val="正文文本缩进 2 Char"/>
    <w:link w:val="26"/>
    <w:autoRedefine/>
    <w:qFormat/>
    <w:uiPriority w:val="99"/>
    <w:rPr>
      <w:rFonts w:ascii="宋体" w:eastAsia="仿宋_GB2312"/>
      <w:kern w:val="2"/>
      <w:sz w:val="28"/>
    </w:rPr>
  </w:style>
  <w:style w:type="character" w:customStyle="1" w:styleId="118">
    <w:name w:val="标题 6 Char"/>
    <w:link w:val="9"/>
    <w:autoRedefine/>
    <w:qFormat/>
    <w:uiPriority w:val="0"/>
    <w:rPr>
      <w:rFonts w:ascii="Arial" w:hAnsi="Arial" w:eastAsia="黑体"/>
      <w:b/>
      <w:bCs/>
      <w:sz w:val="24"/>
      <w:szCs w:val="24"/>
    </w:rPr>
  </w:style>
  <w:style w:type="character" w:customStyle="1" w:styleId="119">
    <w:name w:val="副标题 Char"/>
    <w:link w:val="31"/>
    <w:autoRedefine/>
    <w:qFormat/>
    <w:uiPriority w:val="0"/>
    <w:rPr>
      <w:rFonts w:ascii="Cambria" w:hAnsi="Cambria"/>
      <w:b/>
      <w:bCs/>
      <w:kern w:val="28"/>
      <w:sz w:val="32"/>
      <w:szCs w:val="32"/>
    </w:rPr>
  </w:style>
  <w:style w:type="character" w:customStyle="1" w:styleId="120">
    <w:name w:val="HTML 预设格式 Char"/>
    <w:link w:val="39"/>
    <w:autoRedefine/>
    <w:qFormat/>
    <w:uiPriority w:val="99"/>
    <w:rPr>
      <w:rFonts w:ascii="宋体" w:hAnsi="宋体"/>
      <w:sz w:val="24"/>
      <w:szCs w:val="24"/>
    </w:rPr>
  </w:style>
  <w:style w:type="character" w:customStyle="1" w:styleId="121">
    <w:name w:val="H2 Char"/>
    <w:autoRedefine/>
    <w:qFormat/>
    <w:uiPriority w:val="0"/>
    <w:rPr>
      <w:rFonts w:eastAsia="宋体"/>
      <w:b/>
      <w:kern w:val="10"/>
      <w:sz w:val="28"/>
      <w:lang w:val="en-US" w:eastAsia="zh-CN" w:bidi="ar-SA"/>
    </w:rPr>
  </w:style>
  <w:style w:type="character" w:customStyle="1" w:styleId="122">
    <w:name w:val="正文缩进 Char"/>
    <w:autoRedefine/>
    <w:qFormat/>
    <w:uiPriority w:val="0"/>
  </w:style>
  <w:style w:type="character" w:customStyle="1" w:styleId="123">
    <w:name w:val="ds-reads-from"/>
    <w:autoRedefine/>
    <w:qFormat/>
    <w:uiPriority w:val="99"/>
    <w:rPr>
      <w:rFonts w:cs="Times New Roman"/>
    </w:rPr>
  </w:style>
  <w:style w:type="character" w:customStyle="1" w:styleId="124">
    <w:name w:val="样式3 Char Char"/>
    <w:link w:val="125"/>
    <w:autoRedefine/>
    <w:qFormat/>
    <w:locked/>
    <w:uiPriority w:val="99"/>
    <w:rPr>
      <w:rFonts w:ascii="宋体" w:hAnsi="Courier New"/>
      <w:sz w:val="24"/>
    </w:rPr>
  </w:style>
  <w:style w:type="paragraph" w:customStyle="1" w:styleId="125">
    <w:name w:val="样式3"/>
    <w:basedOn w:val="23"/>
    <w:link w:val="124"/>
    <w:autoRedefine/>
    <w:qFormat/>
    <w:uiPriority w:val="99"/>
    <w:pPr>
      <w:spacing w:line="240" w:lineRule="atLeast"/>
      <w:outlineLvl w:val="0"/>
    </w:pPr>
    <w:rPr>
      <w:spacing w:val="0"/>
      <w:kern w:val="0"/>
    </w:rPr>
  </w:style>
  <w:style w:type="character" w:customStyle="1" w:styleId="126">
    <w:name w:val="标题 3 Char"/>
    <w:autoRedefine/>
    <w:qFormat/>
    <w:uiPriority w:val="9"/>
    <w:rPr>
      <w:rFonts w:eastAsia="宋体"/>
      <w:b/>
      <w:kern w:val="2"/>
      <w:sz w:val="32"/>
      <w:lang w:val="en-US" w:eastAsia="zh-CN" w:bidi="ar-SA"/>
    </w:rPr>
  </w:style>
  <w:style w:type="character" w:customStyle="1" w:styleId="127">
    <w:name w:val="页脚 Char"/>
    <w:link w:val="28"/>
    <w:autoRedefine/>
    <w:qFormat/>
    <w:uiPriority w:val="99"/>
    <w:rPr>
      <w:rFonts w:ascii="宋体" w:eastAsia="宋体"/>
      <w:sz w:val="18"/>
      <w:lang w:val="en-US" w:eastAsia="zh-CN" w:bidi="ar-SA"/>
    </w:rPr>
  </w:style>
  <w:style w:type="character" w:customStyle="1" w:styleId="128">
    <w:name w:val="纯文本 Char"/>
    <w:link w:val="23"/>
    <w:autoRedefine/>
    <w:qFormat/>
    <w:uiPriority w:val="99"/>
    <w:rPr>
      <w:rFonts w:ascii="宋体" w:hAnsi="Courier New" w:eastAsia="宋体"/>
      <w:spacing w:val="-8"/>
      <w:kern w:val="2"/>
      <w:sz w:val="24"/>
      <w:lang w:val="en-US" w:eastAsia="zh-CN" w:bidi="ar-SA"/>
    </w:rPr>
  </w:style>
  <w:style w:type="character" w:customStyle="1" w:styleId="129">
    <w:name w:val="Plain Text Char1"/>
    <w:autoRedefine/>
    <w:semiHidden/>
    <w:qFormat/>
    <w:locked/>
    <w:uiPriority w:val="99"/>
    <w:rPr>
      <w:rFonts w:ascii="宋体" w:hAnsi="Courier New" w:eastAsia="宋体" w:cs="Courier New"/>
      <w:sz w:val="21"/>
      <w:szCs w:val="21"/>
    </w:rPr>
  </w:style>
  <w:style w:type="character" w:customStyle="1" w:styleId="130">
    <w:name w:val="标题 4 Char"/>
    <w:link w:val="7"/>
    <w:autoRedefine/>
    <w:qFormat/>
    <w:uiPriority w:val="0"/>
    <w:rPr>
      <w:rFonts w:ascii="Arial" w:hAnsi="Arial" w:eastAsia="黑体"/>
      <w:b/>
      <w:bCs/>
      <w:sz w:val="28"/>
      <w:szCs w:val="28"/>
    </w:rPr>
  </w:style>
  <w:style w:type="character" w:customStyle="1" w:styleId="131">
    <w:name w:val="p141"/>
    <w:autoRedefine/>
    <w:qFormat/>
    <w:uiPriority w:val="99"/>
    <w:rPr>
      <w:sz w:val="21"/>
    </w:rPr>
  </w:style>
  <w:style w:type="character" w:customStyle="1" w:styleId="132">
    <w:name w:val="textfont1"/>
    <w:autoRedefine/>
    <w:qFormat/>
    <w:uiPriority w:val="0"/>
    <w:rPr>
      <w:sz w:val="22"/>
    </w:rPr>
  </w:style>
  <w:style w:type="character" w:customStyle="1" w:styleId="133">
    <w:name w:val="ds-unread-count"/>
    <w:autoRedefine/>
    <w:qFormat/>
    <w:uiPriority w:val="99"/>
    <w:rPr>
      <w:rFonts w:cs="Times New Roman"/>
      <w:b/>
      <w:color w:val="EE3322"/>
    </w:rPr>
  </w:style>
  <w:style w:type="character" w:customStyle="1" w:styleId="134">
    <w:name w:val="Body Text Indent Char1"/>
    <w:autoRedefine/>
    <w:semiHidden/>
    <w:qFormat/>
    <w:locked/>
    <w:uiPriority w:val="99"/>
    <w:rPr>
      <w:rFonts w:ascii="Times New Roman" w:hAnsi="Times New Roman" w:eastAsia="宋体" w:cs="Times New Roman"/>
      <w:sz w:val="20"/>
      <w:szCs w:val="20"/>
    </w:rPr>
  </w:style>
  <w:style w:type="character" w:customStyle="1" w:styleId="135">
    <w:name w:val="日期 Char"/>
    <w:link w:val="25"/>
    <w:autoRedefine/>
    <w:qFormat/>
    <w:locked/>
    <w:uiPriority w:val="99"/>
    <w:rPr>
      <w:rFonts w:eastAsia="仿宋_GB2312"/>
      <w:kern w:val="2"/>
      <w:sz w:val="32"/>
    </w:rPr>
  </w:style>
  <w:style w:type="character" w:customStyle="1" w:styleId="136">
    <w:name w:val="纯文本 字符1"/>
    <w:autoRedefine/>
    <w:semiHidden/>
    <w:qFormat/>
    <w:uiPriority w:val="99"/>
    <w:rPr>
      <w:rFonts w:ascii="等线" w:hAnsi="Courier New" w:cs="Courier New"/>
      <w:sz w:val="20"/>
      <w:szCs w:val="20"/>
    </w:rPr>
  </w:style>
  <w:style w:type="character" w:customStyle="1" w:styleId="137">
    <w:name w:val="批注框文本 Char"/>
    <w:link w:val="27"/>
    <w:autoRedefine/>
    <w:qFormat/>
    <w:uiPriority w:val="99"/>
    <w:rPr>
      <w:sz w:val="18"/>
      <w:szCs w:val="18"/>
    </w:rPr>
  </w:style>
  <w:style w:type="character" w:customStyle="1" w:styleId="138">
    <w:name w:val="Body Text Indent 2 Char1"/>
    <w:autoRedefine/>
    <w:semiHidden/>
    <w:qFormat/>
    <w:locked/>
    <w:uiPriority w:val="99"/>
    <w:rPr>
      <w:rFonts w:ascii="Times New Roman" w:hAnsi="Times New Roman" w:eastAsia="宋体" w:cs="Times New Roman"/>
      <w:sz w:val="20"/>
      <w:szCs w:val="20"/>
    </w:rPr>
  </w:style>
  <w:style w:type="character" w:customStyle="1" w:styleId="139">
    <w:name w:val="font81"/>
    <w:autoRedefine/>
    <w:qFormat/>
    <w:uiPriority w:val="99"/>
    <w:rPr>
      <w:rFonts w:ascii="新宋体" w:hAnsi="新宋体" w:eastAsia="新宋体" w:cs="新宋体"/>
      <w:color w:val="000000"/>
      <w:sz w:val="21"/>
      <w:szCs w:val="21"/>
      <w:u w:val="none"/>
    </w:rPr>
  </w:style>
  <w:style w:type="paragraph" w:customStyle="1" w:styleId="140">
    <w:name w:val="正文文本缩进1"/>
    <w:basedOn w:val="1"/>
    <w:autoRedefine/>
    <w:qFormat/>
    <w:uiPriority w:val="99"/>
    <w:pPr>
      <w:spacing w:after="120"/>
      <w:ind w:left="420" w:leftChars="200"/>
    </w:pPr>
    <w:rPr>
      <w:sz w:val="34"/>
    </w:rPr>
  </w:style>
  <w:style w:type="paragraph" w:customStyle="1" w:styleId="141">
    <w:name w:val="xl10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2">
    <w:name w:val="正文格式"/>
    <w:basedOn w:val="1"/>
    <w:autoRedefine/>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3">
    <w:name w:val="xl100"/>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4">
    <w:name w:val="xl93"/>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5">
    <w:name w:val="Char"/>
    <w:basedOn w:val="1"/>
    <w:autoRedefine/>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6">
    <w:name w:val="xl78"/>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7">
    <w:name w:val="Item List"/>
    <w:basedOn w:val="1"/>
    <w:autoRedefine/>
    <w:qFormat/>
    <w:uiPriority w:val="99"/>
    <w:pPr>
      <w:numPr>
        <w:ilvl w:val="0"/>
        <w:numId w:val="1"/>
      </w:numPr>
      <w:spacing w:before="120" w:after="40"/>
    </w:pPr>
    <w:rPr>
      <w:rFonts w:ascii="Arial" w:hAnsi="Arial" w:cs="Arial"/>
      <w:sz w:val="18"/>
      <w:szCs w:val="18"/>
    </w:rPr>
  </w:style>
  <w:style w:type="paragraph" w:customStyle="1" w:styleId="148">
    <w:name w:val="xl32"/>
    <w:basedOn w:val="1"/>
    <w:autoRedefine/>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9">
    <w:name w:val="xl7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50">
    <w:name w:val="Li"/>
    <w:basedOn w:val="1"/>
    <w:autoRedefine/>
    <w:qFormat/>
    <w:uiPriority w:val="0"/>
    <w:rPr>
      <w:rFonts w:ascii="Calibri" w:hAnsi="Calibri"/>
      <w:sz w:val="24"/>
      <w:lang w:val="en-GB" w:eastAsia="en-GB"/>
    </w:rPr>
  </w:style>
  <w:style w:type="paragraph" w:customStyle="1" w:styleId="151">
    <w:name w:val="xl88"/>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2">
    <w:name w:val="样式 标题 2 + Times New Roman 四号 非加粗 段前: 5 磅 段后: 0 磅 行距: 固定值 20..."/>
    <w:basedOn w:val="5"/>
    <w:autoRedefine/>
    <w:qFormat/>
    <w:uiPriority w:val="99"/>
    <w:pPr>
      <w:spacing w:before="100" w:after="0" w:line="400" w:lineRule="exact"/>
    </w:pPr>
    <w:rPr>
      <w:rFonts w:ascii="Times New Roman" w:hAnsi="Times New Roman" w:cs="宋体"/>
      <w:b w:val="0"/>
      <w:bCs w:val="0"/>
      <w:sz w:val="28"/>
      <w:szCs w:val="20"/>
    </w:rPr>
  </w:style>
  <w:style w:type="paragraph" w:customStyle="1" w:styleId="153">
    <w:name w:val="xl77"/>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4">
    <w:name w:val="xl105"/>
    <w:basedOn w:val="1"/>
    <w:autoRedefine/>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5">
    <w:name w:val="列出段落5"/>
    <w:basedOn w:val="1"/>
    <w:autoRedefine/>
    <w:qFormat/>
    <w:uiPriority w:val="99"/>
    <w:pPr>
      <w:widowControl w:val="0"/>
      <w:ind w:firstLine="420" w:firstLineChars="200"/>
      <w:jc w:val="both"/>
    </w:pPr>
    <w:rPr>
      <w:kern w:val="2"/>
      <w:szCs w:val="24"/>
    </w:rPr>
  </w:style>
  <w:style w:type="paragraph" w:customStyle="1" w:styleId="156">
    <w:name w:val="Table Paragraph"/>
    <w:basedOn w:val="1"/>
    <w:autoRedefine/>
    <w:qFormat/>
    <w:uiPriority w:val="1"/>
    <w:rPr>
      <w:rFonts w:ascii="宋体" w:hAnsi="宋体" w:cs="宋体"/>
      <w:sz w:val="22"/>
      <w:lang w:eastAsia="en-US"/>
    </w:rPr>
  </w:style>
  <w:style w:type="paragraph" w:customStyle="1" w:styleId="157">
    <w:name w:val="xl7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8">
    <w:name w:val="版权页资料信息"/>
    <w:autoRedefine/>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9">
    <w:name w:val="表格非标题文字"/>
    <w:basedOn w:val="1"/>
    <w:autoRedefine/>
    <w:qFormat/>
    <w:uiPriority w:val="99"/>
    <w:pPr>
      <w:snapToGrid w:val="0"/>
      <w:spacing w:before="80" w:after="40"/>
    </w:pPr>
    <w:rPr>
      <w:rFonts w:ascii="Arial" w:hAnsi="Arial" w:cs="Arial"/>
      <w:sz w:val="18"/>
      <w:szCs w:val="18"/>
    </w:rPr>
  </w:style>
  <w:style w:type="paragraph" w:customStyle="1" w:styleId="160">
    <w:name w:val="方案正文"/>
    <w:basedOn w:val="1"/>
    <w:autoRedefine/>
    <w:qFormat/>
    <w:uiPriority w:val="0"/>
    <w:pPr>
      <w:spacing w:beforeLines="50" w:afterLines="50" w:line="360" w:lineRule="auto"/>
      <w:ind w:firstLine="200" w:firstLineChars="200"/>
    </w:pPr>
    <w:rPr>
      <w:sz w:val="28"/>
      <w:szCs w:val="28"/>
    </w:rPr>
  </w:style>
  <w:style w:type="paragraph" w:customStyle="1" w:styleId="161">
    <w:name w:val="font13"/>
    <w:basedOn w:val="1"/>
    <w:autoRedefine/>
    <w:qFormat/>
    <w:uiPriority w:val="0"/>
    <w:pPr>
      <w:spacing w:before="100" w:beforeAutospacing="1" w:after="100" w:afterAutospacing="1"/>
    </w:pPr>
    <w:rPr>
      <w:rFonts w:ascii="宋体" w:hAnsi="宋体" w:cs="宋体"/>
      <w:sz w:val="18"/>
      <w:szCs w:val="18"/>
    </w:rPr>
  </w:style>
  <w:style w:type="paragraph" w:customStyle="1" w:styleId="162">
    <w:name w:val="1"/>
    <w:basedOn w:val="1"/>
    <w:autoRedefine/>
    <w:qFormat/>
    <w:uiPriority w:val="0"/>
    <w:pPr>
      <w:spacing w:after="160" w:line="240" w:lineRule="exact"/>
    </w:pPr>
  </w:style>
  <w:style w:type="paragraph" w:customStyle="1" w:styleId="163">
    <w:name w:val="列出段落4"/>
    <w:basedOn w:val="1"/>
    <w:autoRedefine/>
    <w:qFormat/>
    <w:uiPriority w:val="99"/>
    <w:pPr>
      <w:widowControl w:val="0"/>
      <w:ind w:firstLine="420" w:firstLineChars="200"/>
      <w:jc w:val="both"/>
    </w:pPr>
    <w:rPr>
      <w:kern w:val="2"/>
      <w:szCs w:val="24"/>
    </w:rPr>
  </w:style>
  <w:style w:type="paragraph" w:customStyle="1" w:styleId="164">
    <w:name w:val="xl95"/>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5">
    <w:name w:val="xl102"/>
    <w:basedOn w:val="1"/>
    <w:autoRedefine/>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6">
    <w:name w:val="333"/>
    <w:basedOn w:val="5"/>
    <w:next w:val="5"/>
    <w:autoRedefine/>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7">
    <w:name w:val="xl99"/>
    <w:basedOn w:val="1"/>
    <w:autoRedefine/>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8">
    <w:name w:val="图例"/>
    <w:basedOn w:val="1"/>
    <w:autoRedefine/>
    <w:qFormat/>
    <w:uiPriority w:val="0"/>
    <w:pPr>
      <w:widowControl w:val="0"/>
      <w:spacing w:before="120" w:after="120" w:line="360" w:lineRule="auto"/>
      <w:jc w:val="center"/>
    </w:pPr>
    <w:rPr>
      <w:rFonts w:eastAsia="仿宋_GB2312"/>
      <w:b/>
      <w:kern w:val="2"/>
    </w:rPr>
  </w:style>
  <w:style w:type="paragraph" w:customStyle="1" w:styleId="169">
    <w:name w:val="lei.header3"/>
    <w:next w:val="73"/>
    <w:autoRedefine/>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70">
    <w:name w:val="列出段落[858D7CFB-ED40-4347-BF05-701D383B685F][858D7CFB-ED40-4347-BF05-701D383B685F]"/>
    <w:basedOn w:val="1"/>
    <w:autoRedefine/>
    <w:qFormat/>
    <w:uiPriority w:val="0"/>
    <w:pPr>
      <w:ind w:firstLine="420" w:firstLineChars="200"/>
    </w:pPr>
  </w:style>
  <w:style w:type="paragraph" w:customStyle="1" w:styleId="171">
    <w:name w:val="正文首行缩进两字符"/>
    <w:basedOn w:val="1"/>
    <w:autoRedefine/>
    <w:qFormat/>
    <w:uiPriority w:val="0"/>
    <w:pPr>
      <w:widowControl w:val="0"/>
      <w:spacing w:line="360" w:lineRule="auto"/>
      <w:ind w:firstLine="200" w:firstLineChars="200"/>
      <w:jc w:val="both"/>
    </w:pPr>
    <w:rPr>
      <w:rFonts w:ascii="Calibri" w:hAnsi="Calibri"/>
      <w:kern w:val="2"/>
      <w:szCs w:val="24"/>
    </w:rPr>
  </w:style>
  <w:style w:type="paragraph" w:customStyle="1" w:styleId="172">
    <w:name w:val="Default Paragraph Font Para Char"/>
    <w:basedOn w:val="1"/>
    <w:autoRedefine/>
    <w:qFormat/>
    <w:uiPriority w:val="0"/>
    <w:pPr>
      <w:spacing w:after="160" w:line="240" w:lineRule="exact"/>
    </w:pPr>
    <w:rPr>
      <w:rFonts w:ascii="Verdana" w:hAnsi="Verdana"/>
      <w:sz w:val="20"/>
      <w:lang w:eastAsia="en-US"/>
    </w:rPr>
  </w:style>
  <w:style w:type="paragraph" w:customStyle="1" w:styleId="173">
    <w:name w:val="列出段落11"/>
    <w:basedOn w:val="1"/>
    <w:autoRedefine/>
    <w:qFormat/>
    <w:uiPriority w:val="99"/>
    <w:pPr>
      <w:widowControl w:val="0"/>
      <w:ind w:firstLine="420" w:firstLineChars="200"/>
      <w:jc w:val="both"/>
    </w:pPr>
    <w:rPr>
      <w:kern w:val="2"/>
      <w:szCs w:val="24"/>
    </w:rPr>
  </w:style>
  <w:style w:type="paragraph" w:customStyle="1" w:styleId="174">
    <w:name w:val="Char Char Char"/>
    <w:basedOn w:val="1"/>
    <w:autoRedefine/>
    <w:qFormat/>
    <w:uiPriority w:val="99"/>
    <w:pPr>
      <w:spacing w:after="160" w:line="240" w:lineRule="exact"/>
    </w:pPr>
    <w:rPr>
      <w:rFonts w:ascii="Verdana" w:hAnsi="Verdana" w:cs="Verdana"/>
      <w:szCs w:val="21"/>
      <w:lang w:eastAsia="en-US"/>
    </w:rPr>
  </w:style>
  <w:style w:type="paragraph" w:customStyle="1" w:styleId="175">
    <w:name w:val="_Style 13"/>
    <w:basedOn w:val="1"/>
    <w:autoRedefine/>
    <w:qFormat/>
    <w:uiPriority w:val="99"/>
    <w:pPr>
      <w:widowControl w:val="0"/>
      <w:spacing w:after="160" w:line="240" w:lineRule="exact"/>
      <w:jc w:val="both"/>
    </w:pPr>
    <w:rPr>
      <w:kern w:val="2"/>
    </w:rPr>
  </w:style>
  <w:style w:type="paragraph" w:customStyle="1" w:styleId="176">
    <w:name w:val="xl8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7">
    <w:name w:val="Char Char Char Char"/>
    <w:basedOn w:val="1"/>
    <w:autoRedefine/>
    <w:qFormat/>
    <w:uiPriority w:val="99"/>
    <w:pPr>
      <w:spacing w:after="160" w:line="240" w:lineRule="exact"/>
    </w:pPr>
    <w:rPr>
      <w:rFonts w:ascii="Verdana" w:hAnsi="Verdana"/>
      <w:sz w:val="20"/>
      <w:lang w:eastAsia="en-US"/>
    </w:rPr>
  </w:style>
  <w:style w:type="paragraph" w:customStyle="1" w:styleId="178">
    <w:name w:val="Char Char Char Char Char Char Char"/>
    <w:basedOn w:val="1"/>
    <w:autoRedefine/>
    <w:qFormat/>
    <w:uiPriority w:val="99"/>
    <w:pPr>
      <w:widowControl w:val="0"/>
      <w:jc w:val="both"/>
    </w:pPr>
    <w:rPr>
      <w:kern w:val="2"/>
      <w:szCs w:val="24"/>
    </w:rPr>
  </w:style>
  <w:style w:type="paragraph" w:customStyle="1" w:styleId="179">
    <w:name w:val="段标题1"/>
    <w:basedOn w:val="1"/>
    <w:autoRedefine/>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80">
    <w:name w:val="T图形题注"/>
    <w:basedOn w:val="1"/>
    <w:next w:val="1"/>
    <w:autoRedefine/>
    <w:qFormat/>
    <w:uiPriority w:val="0"/>
    <w:pPr>
      <w:spacing w:line="360" w:lineRule="auto"/>
      <w:jc w:val="center"/>
    </w:pPr>
    <w:rPr>
      <w:rFonts w:ascii="Calibri" w:hAnsi="Calibri" w:eastAsia="黑体"/>
      <w:b/>
      <w:kern w:val="2"/>
      <w:szCs w:val="21"/>
    </w:rPr>
  </w:style>
  <w:style w:type="paragraph" w:customStyle="1" w:styleId="181">
    <w:name w:val="正文3"/>
    <w:autoRedefine/>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2">
    <w:name w:val="font8"/>
    <w:basedOn w:val="1"/>
    <w:autoRedefine/>
    <w:qFormat/>
    <w:uiPriority w:val="0"/>
    <w:pPr>
      <w:spacing w:before="100" w:beforeAutospacing="1" w:after="100" w:afterAutospacing="1"/>
    </w:pPr>
    <w:rPr>
      <w:rFonts w:ascii="宋体" w:hAnsi="宋体" w:cs="宋体"/>
      <w:sz w:val="20"/>
    </w:rPr>
  </w:style>
  <w:style w:type="paragraph" w:customStyle="1" w:styleId="183">
    <w:name w:val="样式 正文缩进 + 首行缩进:  2 字符"/>
    <w:basedOn w:val="14"/>
    <w:autoRedefine/>
    <w:qFormat/>
    <w:uiPriority w:val="0"/>
    <w:pPr>
      <w:spacing w:line="360" w:lineRule="auto"/>
      <w:ind w:firstLine="480" w:firstLineChars="200"/>
    </w:pPr>
    <w:rPr>
      <w:rFonts w:cs="宋体"/>
      <w:sz w:val="24"/>
    </w:rPr>
  </w:style>
  <w:style w:type="paragraph" w:customStyle="1" w:styleId="184">
    <w:name w:val="Char Char2"/>
    <w:basedOn w:val="1"/>
    <w:autoRedefine/>
    <w:qFormat/>
    <w:uiPriority w:val="0"/>
    <w:pPr>
      <w:spacing w:line="400" w:lineRule="exact"/>
      <w:jc w:val="center"/>
    </w:pPr>
    <w:rPr>
      <w:rFonts w:ascii="Verdana" w:hAnsi="Verdana"/>
      <w:lang w:eastAsia="en-US"/>
    </w:rPr>
  </w:style>
  <w:style w:type="paragraph" w:customStyle="1" w:styleId="185">
    <w:name w:val="列出段落1"/>
    <w:basedOn w:val="1"/>
    <w:autoRedefine/>
    <w:qFormat/>
    <w:uiPriority w:val="0"/>
    <w:pPr>
      <w:ind w:firstLine="420" w:firstLineChars="200"/>
    </w:pPr>
  </w:style>
  <w:style w:type="paragraph" w:customStyle="1" w:styleId="186">
    <w:name w:val="xl89"/>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7">
    <w:name w:val="Char16"/>
    <w:basedOn w:val="1"/>
    <w:autoRedefine/>
    <w:qFormat/>
    <w:uiPriority w:val="0"/>
    <w:pPr>
      <w:spacing w:after="160" w:line="240" w:lineRule="exact"/>
    </w:pPr>
    <w:rPr>
      <w:rFonts w:ascii="Verdana" w:hAnsi="Verdana"/>
      <w:sz w:val="20"/>
      <w:lang w:eastAsia="en-US"/>
    </w:rPr>
  </w:style>
  <w:style w:type="paragraph" w:customStyle="1" w:styleId="188">
    <w:name w:val="_Style 1"/>
    <w:basedOn w:val="1"/>
    <w:next w:val="1"/>
    <w:autoRedefine/>
    <w:qFormat/>
    <w:uiPriority w:val="34"/>
    <w:pPr>
      <w:widowControl w:val="0"/>
      <w:ind w:firstLine="420" w:firstLineChars="200"/>
      <w:jc w:val="both"/>
    </w:pPr>
    <w:rPr>
      <w:kern w:val="2"/>
      <w:szCs w:val="24"/>
    </w:rPr>
  </w:style>
  <w:style w:type="paragraph" w:customStyle="1" w:styleId="189">
    <w:name w:val="Message Header First"/>
    <w:basedOn w:val="38"/>
    <w:next w:val="38"/>
    <w:autoRedefine/>
    <w:qFormat/>
    <w:uiPriority w:val="0"/>
  </w:style>
  <w:style w:type="paragraph" w:customStyle="1" w:styleId="190">
    <w:name w:val="font12"/>
    <w:basedOn w:val="1"/>
    <w:autoRedefine/>
    <w:qFormat/>
    <w:uiPriority w:val="0"/>
    <w:pPr>
      <w:spacing w:before="100" w:beforeAutospacing="1" w:after="100" w:afterAutospacing="1"/>
    </w:pPr>
    <w:rPr>
      <w:rFonts w:ascii="宋体" w:hAnsi="宋体" w:cs="宋体"/>
      <w:color w:val="000000"/>
      <w:sz w:val="20"/>
    </w:rPr>
  </w:style>
  <w:style w:type="paragraph" w:customStyle="1" w:styleId="191">
    <w:name w:val="正文 A"/>
    <w:autoRedefine/>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2">
    <w:name w:val="xl70"/>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styleId="193">
    <w:name w:val="List Paragraph"/>
    <w:basedOn w:val="1"/>
    <w:autoRedefine/>
    <w:qFormat/>
    <w:uiPriority w:val="34"/>
    <w:pPr>
      <w:ind w:firstLine="420" w:firstLineChars="200"/>
    </w:pPr>
  </w:style>
  <w:style w:type="paragraph" w:customStyle="1" w:styleId="194">
    <w:name w:val="版权声明"/>
    <w:basedOn w:val="1"/>
    <w:autoRedefine/>
    <w:qFormat/>
    <w:uiPriority w:val="0"/>
    <w:pPr>
      <w:autoSpaceDE w:val="0"/>
      <w:autoSpaceDN w:val="0"/>
      <w:snapToGrid w:val="0"/>
      <w:spacing w:line="360" w:lineRule="auto"/>
      <w:ind w:left="1134"/>
      <w:jc w:val="both"/>
      <w:textAlignment w:val="bottom"/>
    </w:pPr>
    <w:rPr>
      <w:kern w:val="2"/>
    </w:rPr>
  </w:style>
  <w:style w:type="paragraph" w:customStyle="1" w:styleId="195">
    <w:name w:val="Char Char Char1"/>
    <w:basedOn w:val="1"/>
    <w:autoRedefine/>
    <w:qFormat/>
    <w:uiPriority w:val="0"/>
    <w:pPr>
      <w:spacing w:after="160" w:line="240" w:lineRule="exact"/>
    </w:pPr>
    <w:rPr>
      <w:rFonts w:ascii="Calibri" w:hAnsi="Calibri"/>
      <w:kern w:val="2"/>
      <w:szCs w:val="24"/>
    </w:rPr>
  </w:style>
  <w:style w:type="paragraph" w:customStyle="1" w:styleId="196">
    <w:name w:val="列出段落3"/>
    <w:basedOn w:val="1"/>
    <w:autoRedefine/>
    <w:qFormat/>
    <w:uiPriority w:val="99"/>
    <w:pPr>
      <w:widowControl w:val="0"/>
      <w:ind w:firstLine="420" w:firstLineChars="200"/>
      <w:jc w:val="both"/>
    </w:pPr>
    <w:rPr>
      <w:kern w:val="2"/>
      <w:szCs w:val="24"/>
    </w:rPr>
  </w:style>
  <w:style w:type="paragraph" w:customStyle="1" w:styleId="197">
    <w:name w:val="xl112"/>
    <w:basedOn w:val="1"/>
    <w:autoRedefine/>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8">
    <w:name w:val="Default"/>
    <w:basedOn w:val="1"/>
    <w:autoRedefine/>
    <w:qFormat/>
    <w:uiPriority w:val="99"/>
    <w:pPr>
      <w:autoSpaceDE w:val="0"/>
      <w:autoSpaceDN w:val="0"/>
      <w:adjustRightInd w:val="0"/>
    </w:pPr>
    <w:rPr>
      <w:color w:val="000000"/>
      <w:sz w:val="24"/>
    </w:rPr>
  </w:style>
  <w:style w:type="paragraph" w:customStyle="1" w:styleId="199">
    <w:name w:val="p0"/>
    <w:basedOn w:val="1"/>
    <w:autoRedefine/>
    <w:qFormat/>
    <w:uiPriority w:val="0"/>
    <w:pPr>
      <w:jc w:val="both"/>
    </w:pPr>
    <w:rPr>
      <w:szCs w:val="21"/>
    </w:rPr>
  </w:style>
  <w:style w:type="paragraph" w:customStyle="1" w:styleId="200">
    <w:name w:val="xl104"/>
    <w:basedOn w:val="1"/>
    <w:autoRedefine/>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1">
    <w:name w:val="章节题目"/>
    <w:basedOn w:val="202"/>
    <w:next w:val="1"/>
    <w:autoRedefine/>
    <w:qFormat/>
    <w:uiPriority w:val="0"/>
    <w:pPr>
      <w:spacing w:before="720" w:after="400" w:line="540" w:lineRule="atLeast"/>
      <w:ind w:right="2160"/>
    </w:pPr>
    <w:rPr>
      <w:rFonts w:ascii="Times New Roman" w:hAnsi="Times New Roman"/>
      <w:spacing w:val="-40"/>
      <w:sz w:val="60"/>
    </w:rPr>
  </w:style>
  <w:style w:type="paragraph" w:customStyle="1" w:styleId="202">
    <w:name w:val="基准标题"/>
    <w:basedOn w:val="1"/>
    <w:next w:val="18"/>
    <w:autoRedefine/>
    <w:qFormat/>
    <w:uiPriority w:val="0"/>
    <w:pPr>
      <w:keepNext/>
      <w:keepLines/>
      <w:spacing w:before="140" w:line="220" w:lineRule="atLeast"/>
    </w:pPr>
    <w:rPr>
      <w:rFonts w:ascii="Arial" w:hAnsi="Arial"/>
      <w:spacing w:val="-4"/>
      <w:kern w:val="28"/>
      <w:sz w:val="22"/>
    </w:rPr>
  </w:style>
  <w:style w:type="paragraph" w:customStyle="1" w:styleId="203">
    <w:name w:val="列出段落12"/>
    <w:basedOn w:val="1"/>
    <w:autoRedefine/>
    <w:qFormat/>
    <w:uiPriority w:val="0"/>
    <w:pPr>
      <w:ind w:firstLine="420" w:firstLineChars="200"/>
    </w:pPr>
  </w:style>
  <w:style w:type="paragraph" w:customStyle="1" w:styleId="204">
    <w:name w:val="xl97"/>
    <w:basedOn w:val="1"/>
    <w:autoRedefine/>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5">
    <w:name w:val="Char1 Char Char Char Char Char Char1"/>
    <w:basedOn w:val="1"/>
    <w:autoRedefine/>
    <w:qFormat/>
    <w:uiPriority w:val="99"/>
    <w:pPr>
      <w:widowControl w:val="0"/>
      <w:spacing w:after="160" w:line="240" w:lineRule="exact"/>
      <w:jc w:val="both"/>
    </w:pPr>
    <w:rPr>
      <w:kern w:val="2"/>
    </w:rPr>
  </w:style>
  <w:style w:type="paragraph" w:customStyle="1" w:styleId="206">
    <w:name w:val="xl92"/>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7">
    <w:name w:val="xl115"/>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8">
    <w:name w:val="xl8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9">
    <w:name w:val="Char Char Char Char Char Char"/>
    <w:basedOn w:val="1"/>
    <w:autoRedefine/>
    <w:qFormat/>
    <w:uiPriority w:val="0"/>
    <w:pPr>
      <w:spacing w:after="160" w:line="240" w:lineRule="exact"/>
    </w:pPr>
    <w:rPr>
      <w:rFonts w:ascii="Verdana" w:hAnsi="Verdana" w:cs="Verdana"/>
      <w:szCs w:val="21"/>
      <w:lang w:eastAsia="en-US"/>
    </w:rPr>
  </w:style>
  <w:style w:type="paragraph" w:customStyle="1" w:styleId="210">
    <w:name w:val="xl8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1">
    <w:name w:val="示例×："/>
    <w:basedOn w:val="1"/>
    <w:autoRedefine/>
    <w:qFormat/>
    <w:uiPriority w:val="99"/>
    <w:pPr>
      <w:jc w:val="both"/>
    </w:pPr>
    <w:rPr>
      <w:rFonts w:ascii="宋体"/>
      <w:sz w:val="18"/>
      <w:szCs w:val="18"/>
    </w:rPr>
  </w:style>
  <w:style w:type="paragraph" w:customStyle="1" w:styleId="212">
    <w:name w:val="xl117"/>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3">
    <w:name w:val="列表段落1"/>
    <w:basedOn w:val="1"/>
    <w:autoRedefine/>
    <w:qFormat/>
    <w:uiPriority w:val="34"/>
    <w:pPr>
      <w:widowControl w:val="0"/>
      <w:spacing w:line="360" w:lineRule="auto"/>
      <w:ind w:firstLine="420" w:firstLineChars="200"/>
      <w:jc w:val="both"/>
    </w:pPr>
    <w:rPr>
      <w:rFonts w:ascii="宋体"/>
      <w:kern w:val="2"/>
      <w:sz w:val="24"/>
      <w:szCs w:val="24"/>
    </w:rPr>
  </w:style>
  <w:style w:type="paragraph" w:customStyle="1" w:styleId="214">
    <w:name w:val="样式1"/>
    <w:basedOn w:val="1"/>
    <w:autoRedefine/>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5">
    <w:name w:val="font6"/>
    <w:basedOn w:val="1"/>
    <w:autoRedefine/>
    <w:qFormat/>
    <w:uiPriority w:val="0"/>
    <w:pPr>
      <w:spacing w:before="100" w:beforeAutospacing="1" w:after="100" w:afterAutospacing="1"/>
    </w:pPr>
    <w:rPr>
      <w:rFonts w:ascii="宋体" w:hAnsi="宋体" w:cs="宋体"/>
      <w:sz w:val="18"/>
      <w:szCs w:val="18"/>
    </w:rPr>
  </w:style>
  <w:style w:type="paragraph" w:customStyle="1" w:styleId="216">
    <w:name w:val="xl9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7">
    <w:name w:val="xl8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8">
    <w:name w:val="文档正文"/>
    <w:basedOn w:val="1"/>
    <w:autoRedefine/>
    <w:qFormat/>
    <w:uiPriority w:val="0"/>
    <w:pPr>
      <w:widowControl w:val="0"/>
      <w:adjustRightInd w:val="0"/>
      <w:ind w:firstLine="567"/>
      <w:jc w:val="both"/>
      <w:textAlignment w:val="baseline"/>
    </w:pPr>
    <w:rPr>
      <w:rFonts w:ascii="长城仿宋" w:eastAsia="仿宋_GB2312"/>
      <w:sz w:val="28"/>
    </w:rPr>
  </w:style>
  <w:style w:type="paragraph" w:customStyle="1" w:styleId="219">
    <w:name w:val="xl110"/>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0">
    <w:name w:val="xl8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1">
    <w:name w:val="xl11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2">
    <w:name w:val="List Paragraph_32a8a71d-9d51-41db-9a20-0e87fd3ab526"/>
    <w:basedOn w:val="1"/>
    <w:autoRedefine/>
    <w:qFormat/>
    <w:uiPriority w:val="99"/>
    <w:pPr>
      <w:widowControl w:val="0"/>
      <w:ind w:firstLine="420" w:firstLineChars="200"/>
      <w:jc w:val="both"/>
    </w:pPr>
    <w:rPr>
      <w:kern w:val="2"/>
      <w:szCs w:val="24"/>
    </w:rPr>
  </w:style>
  <w:style w:type="paragraph" w:customStyle="1" w:styleId="223">
    <w:name w:val="lei.txt"/>
    <w:basedOn w:val="1"/>
    <w:autoRedefine/>
    <w:qFormat/>
    <w:uiPriority w:val="0"/>
    <w:pPr>
      <w:widowControl w:val="0"/>
      <w:spacing w:line="360" w:lineRule="auto"/>
      <w:ind w:firstLine="480" w:firstLineChars="200"/>
      <w:jc w:val="both"/>
      <w:textAlignment w:val="center"/>
    </w:pPr>
    <w:rPr>
      <w:kern w:val="2"/>
      <w:sz w:val="24"/>
      <w:szCs w:val="24"/>
    </w:rPr>
  </w:style>
  <w:style w:type="paragraph" w:customStyle="1" w:styleId="224">
    <w:name w:val="TOC Heading"/>
    <w:basedOn w:val="4"/>
    <w:next w:val="1"/>
    <w:autoRedefine/>
    <w:qFormat/>
    <w:uiPriority w:val="39"/>
    <w:pPr>
      <w:widowControl w:val="0"/>
      <w:spacing w:line="576" w:lineRule="auto"/>
      <w:jc w:val="both"/>
      <w:outlineLvl w:val="9"/>
    </w:pPr>
    <w:rPr>
      <w:rFonts w:ascii="Calibri" w:hAnsi="Calibri"/>
    </w:rPr>
  </w:style>
  <w:style w:type="paragraph" w:customStyle="1" w:styleId="225">
    <w:name w:val="Char Char1 Char Char Char Char Char Char"/>
    <w:basedOn w:val="1"/>
    <w:autoRedefine/>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6">
    <w:name w:val="列出段落2"/>
    <w:basedOn w:val="1"/>
    <w:autoRedefine/>
    <w:qFormat/>
    <w:uiPriority w:val="99"/>
    <w:pPr>
      <w:widowControl w:val="0"/>
      <w:ind w:firstLine="420" w:firstLineChars="200"/>
      <w:jc w:val="both"/>
    </w:pPr>
    <w:rPr>
      <w:kern w:val="2"/>
      <w:szCs w:val="24"/>
    </w:rPr>
  </w:style>
  <w:style w:type="paragraph" w:customStyle="1" w:styleId="227">
    <w:name w:val="lei.header1"/>
    <w:next w:val="228"/>
    <w:autoRedefine/>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8">
    <w:name w:val="lei.header2"/>
    <w:next w:val="1"/>
    <w:autoRedefine/>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9">
    <w:name w:val="xl7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0">
    <w:name w:val="xl7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1">
    <w:name w:val="xl108"/>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2">
    <w:name w:val="xl79"/>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3">
    <w:name w:val="￥正文"/>
    <w:basedOn w:val="1"/>
    <w:autoRedefine/>
    <w:qFormat/>
    <w:uiPriority w:val="0"/>
    <w:pPr>
      <w:widowControl w:val="0"/>
      <w:spacing w:line="360" w:lineRule="auto"/>
      <w:ind w:firstLine="200" w:firstLineChars="200"/>
      <w:jc w:val="both"/>
    </w:pPr>
    <w:rPr>
      <w:rFonts w:ascii="Calibri" w:hAnsi="Calibri"/>
      <w:kern w:val="2"/>
      <w:sz w:val="24"/>
      <w:szCs w:val="24"/>
    </w:rPr>
  </w:style>
  <w:style w:type="paragraph" w:customStyle="1" w:styleId="234">
    <w:name w:val="Char Char"/>
    <w:basedOn w:val="1"/>
    <w:autoRedefine/>
    <w:qFormat/>
    <w:uiPriority w:val="0"/>
    <w:pPr>
      <w:spacing w:after="160" w:line="240" w:lineRule="exact"/>
    </w:pPr>
    <w:rPr>
      <w:rFonts w:ascii="Verdana" w:hAnsi="Verdana" w:eastAsia="仿宋_GB2312"/>
      <w:sz w:val="24"/>
      <w:lang w:eastAsia="en-US"/>
    </w:rPr>
  </w:style>
  <w:style w:type="paragraph" w:customStyle="1" w:styleId="235">
    <w:name w:val="xl94"/>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6">
    <w:name w:val="xl8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7">
    <w:name w:val="xl103"/>
    <w:basedOn w:val="1"/>
    <w:autoRedefine/>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8">
    <w:name w:val="font9"/>
    <w:basedOn w:val="1"/>
    <w:autoRedefine/>
    <w:qFormat/>
    <w:uiPriority w:val="0"/>
    <w:pPr>
      <w:spacing w:before="100" w:beforeAutospacing="1" w:after="100" w:afterAutospacing="1"/>
    </w:pPr>
    <w:rPr>
      <w:rFonts w:ascii="宋体" w:hAnsi="宋体" w:cs="宋体"/>
      <w:color w:val="000000"/>
      <w:sz w:val="20"/>
    </w:rPr>
  </w:style>
  <w:style w:type="paragraph" w:customStyle="1" w:styleId="239">
    <w:name w:val="TOC 标题1"/>
    <w:basedOn w:val="4"/>
    <w:next w:val="1"/>
    <w:autoRedefine/>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40">
    <w:name w:val="Char1"/>
    <w:basedOn w:val="1"/>
    <w:autoRedefine/>
    <w:qFormat/>
    <w:uiPriority w:val="0"/>
    <w:pPr>
      <w:spacing w:after="160" w:line="240" w:lineRule="exact"/>
    </w:pPr>
    <w:rPr>
      <w:rFonts w:ascii="Verdana" w:hAnsi="Verdana"/>
      <w:sz w:val="20"/>
      <w:lang w:eastAsia="en-US"/>
    </w:rPr>
  </w:style>
  <w:style w:type="paragraph" w:customStyle="1" w:styleId="241">
    <w:name w:val="标题4"/>
    <w:basedOn w:val="7"/>
    <w:autoRedefine/>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2">
    <w:name w:val="Char21"/>
    <w:basedOn w:val="1"/>
    <w:autoRedefine/>
    <w:qFormat/>
    <w:uiPriority w:val="99"/>
    <w:pPr>
      <w:spacing w:after="160" w:line="240" w:lineRule="exact"/>
    </w:pPr>
    <w:rPr>
      <w:rFonts w:ascii="Verdana" w:hAnsi="Verdana"/>
      <w:sz w:val="20"/>
      <w:lang w:eastAsia="en-US"/>
    </w:rPr>
  </w:style>
  <w:style w:type="paragraph" w:customStyle="1" w:styleId="243">
    <w:name w:val="xl87"/>
    <w:basedOn w:val="1"/>
    <w:autoRedefine/>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4">
    <w:name w:val="表格"/>
    <w:basedOn w:val="1"/>
    <w:autoRedefine/>
    <w:qFormat/>
    <w:uiPriority w:val="99"/>
    <w:pPr>
      <w:widowControl w:val="0"/>
      <w:spacing w:line="400" w:lineRule="exact"/>
      <w:jc w:val="both"/>
    </w:pPr>
    <w:rPr>
      <w:kern w:val="2"/>
      <w:sz w:val="24"/>
      <w:szCs w:val="24"/>
    </w:rPr>
  </w:style>
  <w:style w:type="paragraph" w:customStyle="1" w:styleId="245">
    <w:name w:val="正文2"/>
    <w:basedOn w:val="104"/>
    <w:autoRedefine/>
    <w:qFormat/>
    <w:uiPriority w:val="99"/>
    <w:pPr>
      <w:tabs>
        <w:tab w:val="left" w:pos="420"/>
      </w:tabs>
      <w:adjustRightInd/>
      <w:spacing w:line="360" w:lineRule="auto"/>
      <w:ind w:left="420" w:hanging="420"/>
    </w:pPr>
    <w:rPr>
      <w:kern w:val="2"/>
      <w:sz w:val="24"/>
      <w:szCs w:val="24"/>
    </w:rPr>
  </w:style>
  <w:style w:type="paragraph" w:customStyle="1" w:styleId="246">
    <w:name w:val="表格文字"/>
    <w:basedOn w:val="1"/>
    <w:autoRedefine/>
    <w:qFormat/>
    <w:uiPriority w:val="99"/>
    <w:pPr>
      <w:widowControl w:val="0"/>
      <w:spacing w:before="25" w:after="25"/>
    </w:pPr>
    <w:rPr>
      <w:bCs/>
      <w:spacing w:val="10"/>
      <w:sz w:val="24"/>
    </w:rPr>
  </w:style>
  <w:style w:type="paragraph" w:customStyle="1" w:styleId="247">
    <w:name w:val="xl7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8">
    <w:name w:val="Char2"/>
    <w:basedOn w:val="1"/>
    <w:autoRedefine/>
    <w:semiHidden/>
    <w:qFormat/>
    <w:uiPriority w:val="0"/>
    <w:pPr>
      <w:widowControl w:val="0"/>
      <w:jc w:val="both"/>
    </w:pPr>
    <w:rPr>
      <w:rFonts w:ascii="Tahoma" w:hAnsi="Tahoma"/>
      <w:kern w:val="2"/>
      <w:sz w:val="24"/>
    </w:rPr>
  </w:style>
  <w:style w:type="paragraph" w:customStyle="1" w:styleId="249">
    <w:name w:val="xl7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50">
    <w:name w:val="Char Char Char Char Char Char1 Char"/>
    <w:basedOn w:val="1"/>
    <w:autoRedefine/>
    <w:qFormat/>
    <w:uiPriority w:val="0"/>
    <w:pPr>
      <w:spacing w:after="160" w:line="240" w:lineRule="exact"/>
    </w:pPr>
    <w:rPr>
      <w:rFonts w:ascii="Verdana" w:hAnsi="Verdana"/>
      <w:lang w:eastAsia="en-US"/>
    </w:rPr>
  </w:style>
  <w:style w:type="paragraph" w:customStyle="1" w:styleId="251">
    <w:name w:val="p16"/>
    <w:basedOn w:val="1"/>
    <w:autoRedefine/>
    <w:qFormat/>
    <w:uiPriority w:val="0"/>
    <w:pPr>
      <w:jc w:val="both"/>
    </w:pPr>
    <w:rPr>
      <w:szCs w:val="21"/>
    </w:rPr>
  </w:style>
  <w:style w:type="paragraph" w:customStyle="1" w:styleId="252">
    <w:name w:val="font10"/>
    <w:basedOn w:val="1"/>
    <w:autoRedefine/>
    <w:qFormat/>
    <w:uiPriority w:val="0"/>
    <w:pPr>
      <w:spacing w:before="100" w:beforeAutospacing="1" w:after="100" w:afterAutospacing="1"/>
    </w:pPr>
    <w:rPr>
      <w:rFonts w:ascii="Arial" w:hAnsi="Arial" w:cs="Arial"/>
      <w:color w:val="000000"/>
      <w:sz w:val="20"/>
    </w:rPr>
  </w:style>
  <w:style w:type="paragraph" w:customStyle="1" w:styleId="253">
    <w:name w:val="样式"/>
    <w:autoRedefine/>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4">
    <w:name w:val="xl91"/>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5">
    <w:name w:val="样式 首行缩进:  2 字符"/>
    <w:basedOn w:val="1"/>
    <w:autoRedefine/>
    <w:qFormat/>
    <w:uiPriority w:val="99"/>
    <w:pPr>
      <w:widowControl w:val="0"/>
      <w:ind w:firstLine="420" w:firstLineChars="200"/>
      <w:jc w:val="both"/>
    </w:pPr>
    <w:rPr>
      <w:rFonts w:ascii="宋体" w:cs="宋体"/>
      <w:kern w:val="2"/>
    </w:rPr>
  </w:style>
  <w:style w:type="paragraph" w:customStyle="1" w:styleId="256">
    <w:name w:val="xl10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7">
    <w:name w:val="_Style 3"/>
    <w:basedOn w:val="4"/>
    <w:next w:val="1"/>
    <w:autoRedefine/>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8">
    <w:name w:val="_Style 49"/>
    <w:basedOn w:val="1"/>
    <w:next w:val="23"/>
    <w:autoRedefine/>
    <w:qFormat/>
    <w:uiPriority w:val="99"/>
    <w:pPr>
      <w:widowControl w:val="0"/>
      <w:jc w:val="both"/>
    </w:pPr>
    <w:rPr>
      <w:rFonts w:ascii="宋体" w:hAnsi="Courier New"/>
      <w:kern w:val="2"/>
      <w:sz w:val="24"/>
    </w:rPr>
  </w:style>
  <w:style w:type="paragraph" w:customStyle="1" w:styleId="259">
    <w:name w:val="font7"/>
    <w:basedOn w:val="1"/>
    <w:autoRedefine/>
    <w:qFormat/>
    <w:uiPriority w:val="0"/>
    <w:pPr>
      <w:spacing w:before="100" w:beforeAutospacing="1" w:after="100" w:afterAutospacing="1"/>
    </w:pPr>
    <w:rPr>
      <w:rFonts w:ascii="宋体" w:hAnsi="宋体" w:cs="宋体"/>
      <w:sz w:val="18"/>
      <w:szCs w:val="18"/>
    </w:rPr>
  </w:style>
  <w:style w:type="paragraph" w:customStyle="1" w:styleId="260">
    <w:name w:val="xl109"/>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1">
    <w:name w:val="font11"/>
    <w:basedOn w:val="1"/>
    <w:autoRedefine/>
    <w:qFormat/>
    <w:uiPriority w:val="0"/>
    <w:pPr>
      <w:spacing w:before="100" w:beforeAutospacing="1" w:after="100" w:afterAutospacing="1"/>
    </w:pPr>
    <w:rPr>
      <w:color w:val="000000"/>
      <w:sz w:val="20"/>
    </w:rPr>
  </w:style>
  <w:style w:type="paragraph" w:customStyle="1" w:styleId="262">
    <w:name w:val="xl80"/>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3">
    <w:name w:val="_Style 12"/>
    <w:basedOn w:val="15"/>
    <w:autoRedefine/>
    <w:qFormat/>
    <w:uiPriority w:val="99"/>
    <w:pPr>
      <w:widowControl w:val="0"/>
      <w:adjustRightInd w:val="0"/>
      <w:snapToGrid w:val="0"/>
      <w:spacing w:line="360" w:lineRule="auto"/>
      <w:jc w:val="both"/>
    </w:pPr>
    <w:rPr>
      <w:rFonts w:hAnsi="Tahoma"/>
      <w:kern w:val="2"/>
      <w:sz w:val="24"/>
    </w:rPr>
  </w:style>
  <w:style w:type="paragraph" w:customStyle="1" w:styleId="264">
    <w:name w:val="font5"/>
    <w:basedOn w:val="1"/>
    <w:autoRedefine/>
    <w:qFormat/>
    <w:uiPriority w:val="0"/>
    <w:pPr>
      <w:spacing w:before="100" w:beforeAutospacing="1" w:after="100" w:afterAutospacing="1"/>
    </w:pPr>
    <w:rPr>
      <w:rFonts w:ascii="宋体" w:hAnsi="宋体" w:cs="宋体"/>
      <w:sz w:val="18"/>
      <w:szCs w:val="18"/>
    </w:rPr>
  </w:style>
  <w:style w:type="paragraph" w:customStyle="1" w:styleId="265">
    <w:name w:val="xl90"/>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6">
    <w:name w:val="xl11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7">
    <w:name w:val="msonormalcxspmiddle"/>
    <w:basedOn w:val="1"/>
    <w:autoRedefine/>
    <w:qFormat/>
    <w:uiPriority w:val="99"/>
    <w:pPr>
      <w:spacing w:before="280" w:after="280"/>
    </w:pPr>
    <w:rPr>
      <w:rFonts w:ascii="宋体" w:hAnsi="宋体" w:cs="宋体"/>
      <w:kern w:val="1"/>
      <w:sz w:val="24"/>
      <w:szCs w:val="24"/>
      <w:lang w:eastAsia="ar-SA"/>
    </w:rPr>
  </w:style>
  <w:style w:type="paragraph" w:customStyle="1" w:styleId="268">
    <w:name w:val="xl113"/>
    <w:basedOn w:val="1"/>
    <w:autoRedefine/>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9">
    <w:name w:val="lei正文"/>
    <w:basedOn w:val="14"/>
    <w:autoRedefine/>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70">
    <w:name w:val="小四 行距: 1.5 倍行距 + 左侧:  0.74 厘米 首行缩进:  2 字符 + 首行缩进:  2 字符"/>
    <w:basedOn w:val="1"/>
    <w:autoRedefine/>
    <w:qFormat/>
    <w:uiPriority w:val="0"/>
    <w:pPr>
      <w:widowControl w:val="0"/>
      <w:spacing w:line="360" w:lineRule="auto"/>
      <w:ind w:firstLine="480" w:firstLineChars="200"/>
      <w:jc w:val="both"/>
    </w:pPr>
    <w:rPr>
      <w:rFonts w:cs="宋体"/>
      <w:kern w:val="2"/>
      <w:sz w:val="24"/>
    </w:rPr>
  </w:style>
  <w:style w:type="paragraph" w:customStyle="1" w:styleId="271">
    <w:name w:val="xl107"/>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2">
    <w:name w:val="默认段落字体 Para Char Char Char Char Char Char Char"/>
    <w:basedOn w:val="1"/>
    <w:autoRedefine/>
    <w:qFormat/>
    <w:uiPriority w:val="99"/>
    <w:pPr>
      <w:widowControl w:val="0"/>
      <w:spacing w:line="360" w:lineRule="auto"/>
      <w:jc w:val="both"/>
    </w:pPr>
    <w:rPr>
      <w:kern w:val="2"/>
    </w:rPr>
  </w:style>
  <w:style w:type="paragraph" w:customStyle="1" w:styleId="273">
    <w:name w:val="xl11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4">
    <w:name w:val="newstyle16"/>
    <w:basedOn w:val="1"/>
    <w:autoRedefine/>
    <w:qFormat/>
    <w:uiPriority w:val="0"/>
    <w:rPr>
      <w:rFonts w:ascii="宋体" w:hAnsi="宋体" w:cs="宋体"/>
      <w:sz w:val="24"/>
      <w:szCs w:val="24"/>
    </w:rPr>
  </w:style>
  <w:style w:type="paragraph" w:customStyle="1" w:styleId="275">
    <w:name w:val="List Paragraph1"/>
    <w:basedOn w:val="1"/>
    <w:autoRedefine/>
    <w:qFormat/>
    <w:uiPriority w:val="99"/>
    <w:pPr>
      <w:ind w:firstLine="420" w:firstLineChars="200"/>
    </w:pPr>
    <w:rPr>
      <w:sz w:val="20"/>
    </w:rPr>
  </w:style>
  <w:style w:type="paragraph" w:customStyle="1" w:styleId="276">
    <w:name w:val="xl98"/>
    <w:basedOn w:val="1"/>
    <w:autoRedefine/>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7">
    <w:name w:val="Body text|1"/>
    <w:basedOn w:val="1"/>
    <w:autoRedefine/>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278">
    <w:name w:val="U_正文2"/>
    <w:basedOn w:val="1"/>
    <w:autoRedefine/>
    <w:qFormat/>
    <w:uiPriority w:val="0"/>
    <w:pPr>
      <w:widowControl w:val="0"/>
      <w:spacing w:beforeLines="10" w:afterLines="10" w:line="300" w:lineRule="auto"/>
      <w:jc w:val="both"/>
    </w:pPr>
    <w:rPr>
      <w:rFonts w:ascii="Calibri" w:hAnsi="Calibri"/>
      <w:kern w:val="2"/>
      <w:sz w:val="24"/>
      <w:szCs w:val="22"/>
    </w:rPr>
  </w:style>
  <w:style w:type="paragraph" w:customStyle="1" w:styleId="279">
    <w:name w:val="Plain Text_0"/>
    <w:basedOn w:val="280"/>
    <w:autoRedefine/>
    <w:qFormat/>
    <w:uiPriority w:val="0"/>
    <w:pPr>
      <w:adjustRightInd w:val="0"/>
      <w:textAlignment w:val="baseline"/>
    </w:pPr>
    <w:rPr>
      <w:rFonts w:ascii="宋体" w:hAnsi="Courier New" w:eastAsia="楷体_GB2312"/>
      <w:sz w:val="28"/>
      <w:szCs w:val="20"/>
    </w:rPr>
  </w:style>
  <w:style w:type="paragraph" w:customStyle="1" w:styleId="280">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1">
    <w:name w:val="font41"/>
    <w:basedOn w:val="46"/>
    <w:autoRedefine/>
    <w:qFormat/>
    <w:uiPriority w:val="0"/>
    <w:rPr>
      <w:rFonts w:hint="eastAsia" w:ascii="宋体" w:hAnsi="宋体" w:eastAsia="宋体" w:cs="宋体"/>
      <w:color w:val="000000"/>
      <w:sz w:val="24"/>
      <w:szCs w:val="24"/>
      <w:u w:val="none"/>
    </w:rPr>
  </w:style>
  <w:style w:type="character" w:customStyle="1" w:styleId="282">
    <w:name w:val="font01"/>
    <w:basedOn w:val="46"/>
    <w:autoRedefine/>
    <w:qFormat/>
    <w:uiPriority w:val="0"/>
    <w:rPr>
      <w:rFonts w:hint="eastAsia" w:ascii="宋体" w:hAnsi="宋体" w:eastAsia="宋体" w:cs="宋体"/>
      <w:color w:val="FF0000"/>
      <w:sz w:val="24"/>
      <w:szCs w:val="24"/>
      <w:u w:val="none"/>
    </w:rPr>
  </w:style>
  <w:style w:type="character" w:customStyle="1" w:styleId="283">
    <w:name w:val="font61"/>
    <w:basedOn w:val="46"/>
    <w:autoRedefine/>
    <w:qFormat/>
    <w:uiPriority w:val="0"/>
    <w:rPr>
      <w:rFonts w:hint="eastAsia" w:ascii="宋体" w:hAnsi="宋体" w:eastAsia="宋体" w:cs="宋体"/>
      <w:color w:val="FF0000"/>
      <w:sz w:val="24"/>
      <w:szCs w:val="24"/>
      <w:u w:val="none"/>
    </w:rPr>
  </w:style>
  <w:style w:type="character" w:customStyle="1" w:styleId="284">
    <w:name w:val="NormalCharacter"/>
    <w:autoRedefine/>
    <w:semiHidden/>
    <w:qFormat/>
    <w:uiPriority w:val="0"/>
    <w:rPr>
      <w:rFonts w:ascii="Times New Roman" w:hAnsi="Times New Roman" w:eastAsia="宋体" w:cs="Times New Roman"/>
      <w:kern w:val="2"/>
      <w:sz w:val="21"/>
      <w:lang w:val="en-US" w:eastAsia="zh-CN" w:bidi="ar-SA"/>
    </w:rPr>
  </w:style>
  <w:style w:type="paragraph" w:customStyle="1" w:styleId="285">
    <w:name w:val="Heading2"/>
    <w:basedOn w:val="1"/>
    <w:next w:val="1"/>
    <w:autoRedefine/>
    <w:qFormat/>
    <w:uiPriority w:val="0"/>
    <w:pPr>
      <w:keepNext/>
      <w:keepLines/>
      <w:spacing w:before="260" w:after="260" w:line="416" w:lineRule="auto"/>
      <w:textAlignment w:val="baseline"/>
    </w:pPr>
    <w:rPr>
      <w:rFonts w:ascii="Cambria" w:hAnsi="Cambria"/>
      <w:b/>
      <w:bCs/>
      <w:sz w:val="32"/>
      <w:szCs w:val="32"/>
      <w:lang w:eastAsia="en-US"/>
    </w:rPr>
  </w:style>
  <w:style w:type="character" w:customStyle="1" w:styleId="286">
    <w:name w:val="first-child"/>
    <w:basedOn w:val="46"/>
    <w:autoRedefine/>
    <w:qFormat/>
    <w:uiPriority w:val="0"/>
  </w:style>
  <w:style w:type="character" w:customStyle="1" w:styleId="287">
    <w:name w:val="first-child1"/>
    <w:basedOn w:val="46"/>
    <w:autoRedefine/>
    <w:qFormat/>
    <w:uiPriority w:val="0"/>
  </w:style>
  <w:style w:type="character" w:customStyle="1" w:styleId="288">
    <w:name w:val="first-child2"/>
    <w:basedOn w:val="46"/>
    <w:autoRedefine/>
    <w:qFormat/>
    <w:uiPriority w:val="0"/>
  </w:style>
  <w:style w:type="character" w:customStyle="1" w:styleId="289">
    <w:name w:val="hover19"/>
    <w:basedOn w:val="46"/>
    <w:autoRedefine/>
    <w:qFormat/>
    <w:uiPriority w:val="0"/>
    <w:rPr>
      <w:color w:val="5FB878"/>
    </w:rPr>
  </w:style>
  <w:style w:type="character" w:customStyle="1" w:styleId="290">
    <w:name w:val="hover20"/>
    <w:basedOn w:val="46"/>
    <w:autoRedefine/>
    <w:qFormat/>
    <w:uiPriority w:val="0"/>
    <w:rPr>
      <w:color w:val="FFFFFF"/>
    </w:rPr>
  </w:style>
  <w:style w:type="character" w:customStyle="1" w:styleId="291">
    <w:name w:val="hover21"/>
    <w:basedOn w:val="46"/>
    <w:autoRedefine/>
    <w:qFormat/>
    <w:uiPriority w:val="0"/>
    <w:rPr>
      <w:color w:val="5FB878"/>
    </w:rPr>
  </w:style>
  <w:style w:type="character" w:customStyle="1" w:styleId="292">
    <w:name w:val="second"/>
    <w:basedOn w:val="46"/>
    <w:autoRedefine/>
    <w:qFormat/>
    <w:uiPriority w:val="0"/>
    <w:rPr>
      <w:color w:val="FFB800"/>
    </w:rPr>
  </w:style>
  <w:style w:type="character" w:customStyle="1" w:styleId="293">
    <w:name w:val="first"/>
    <w:basedOn w:val="46"/>
    <w:autoRedefine/>
    <w:qFormat/>
    <w:uiPriority w:val="0"/>
    <w:rPr>
      <w:color w:val="FF5722"/>
    </w:rPr>
  </w:style>
  <w:style w:type="character" w:customStyle="1" w:styleId="294">
    <w:name w:val="last-child1"/>
    <w:basedOn w:val="46"/>
    <w:autoRedefine/>
    <w:qFormat/>
    <w:uiPriority w:val="0"/>
  </w:style>
  <w:style w:type="character" w:customStyle="1" w:styleId="295">
    <w:name w:val="last-child2"/>
    <w:basedOn w:val="46"/>
    <w:autoRedefine/>
    <w:qFormat/>
    <w:uiPriority w:val="0"/>
  </w:style>
  <w:style w:type="character" w:customStyle="1" w:styleId="296">
    <w:name w:val="layui-laypage-curr"/>
    <w:basedOn w:val="46"/>
    <w:autoRedefine/>
    <w:qFormat/>
    <w:uiPriority w:val="0"/>
  </w:style>
  <w:style w:type="character" w:customStyle="1" w:styleId="297">
    <w:name w:val="third"/>
    <w:basedOn w:val="46"/>
    <w:autoRedefine/>
    <w:qFormat/>
    <w:uiPriority w:val="0"/>
    <w:rPr>
      <w:color w:val="5FB878"/>
    </w:rPr>
  </w:style>
  <w:style w:type="character" w:customStyle="1" w:styleId="298">
    <w:name w:val="layui-this4"/>
    <w:basedOn w:val="46"/>
    <w:autoRedefine/>
    <w:qFormat/>
    <w:uiPriority w:val="0"/>
    <w:rPr>
      <w:bdr w:val="single" w:color="EEEEEE" w:sz="6" w:space="0"/>
      <w:shd w:val="clear" w:color="auto" w:fill="FFFFFF"/>
    </w:rPr>
  </w:style>
  <w:style w:type="character" w:customStyle="1" w:styleId="299">
    <w:name w:val="layui-laydate-preview"/>
    <w:basedOn w:val="46"/>
    <w:autoRedefine/>
    <w:qFormat/>
    <w:uiPriority w:val="0"/>
  </w:style>
  <w:style w:type="character" w:customStyle="1" w:styleId="300">
    <w:name w:val="first-child3"/>
    <w:basedOn w:val="46"/>
    <w:autoRedefine/>
    <w:qFormat/>
    <w:uiPriority w:val="0"/>
  </w:style>
  <w:style w:type="character" w:customStyle="1" w:styleId="301">
    <w:name w:val="first-child4"/>
    <w:basedOn w:val="46"/>
    <w:autoRedefine/>
    <w:qFormat/>
    <w:uiPriority w:val="0"/>
  </w:style>
  <w:style w:type="character" w:customStyle="1" w:styleId="302">
    <w:name w:val="first-child5"/>
    <w:basedOn w:val="46"/>
    <w:autoRedefine/>
    <w:qFormat/>
    <w:uiPriority w:val="0"/>
  </w:style>
  <w:style w:type="character" w:customStyle="1" w:styleId="303">
    <w:name w:val="last-child"/>
    <w:basedOn w:val="4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21897</Words>
  <Characters>22860</Characters>
  <Lines>313</Lines>
  <Paragraphs>88</Paragraphs>
  <TotalTime>8</TotalTime>
  <ScaleCrop>false</ScaleCrop>
  <LinksUpToDate>false</LinksUpToDate>
  <CharactersWithSpaces>25728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2020-06-28T07:01:00Z</dcterms:created>
  <dc:creator>微软用户</dc:creator>
  <cp:lastModifiedBy>WPS_1683776199</cp:lastModifiedBy>
  <cp:lastPrinted>2023-09-11T09:43:00Z</cp:lastPrinted>
  <dcterms:modified xsi:type="dcterms:W3CDTF">2024-06-13T02:48:15Z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EE1048FA7FB7497D9AE93A40795DABB1</vt:lpwstr>
  </property>
  <property fmtid="{D5CDD505-2E9C-101B-9397-08002B2CF9AE}" pid="3" name="KSOProductBuildVer">
    <vt:lpwstr>2052-12.1.0.16929</vt:lpwstr>
  </property>
</Properties>
</file>