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auto"/>
          <w:sz w:val="44"/>
          <w:szCs w:val="44"/>
        </w:rPr>
      </w:pPr>
    </w:p>
    <w:p>
      <w:pPr>
        <w:widowControl/>
        <w:autoSpaceDE w:val="0"/>
        <w:autoSpaceDN w:val="0"/>
        <w:spacing w:line="312" w:lineRule="auto"/>
        <w:jc w:val="center"/>
        <w:textAlignment w:val="bottom"/>
        <w:rPr>
          <w:rFonts w:hint="eastAsia" w:ascii="仿宋" w:hAnsi="仿宋" w:eastAsia="仿宋" w:cs="仿宋"/>
          <w:b/>
          <w:color w:val="auto"/>
          <w:sz w:val="52"/>
          <w:szCs w:val="52"/>
          <w:lang w:val="en-US" w:eastAsia="zh-CN"/>
        </w:rPr>
      </w:pPr>
      <w:r>
        <w:rPr>
          <w:rFonts w:hint="eastAsia" w:ascii="仿宋" w:hAnsi="仿宋" w:eastAsia="仿宋" w:cs="仿宋"/>
          <w:b/>
          <w:color w:val="auto"/>
          <w:sz w:val="52"/>
          <w:szCs w:val="52"/>
          <w:lang w:eastAsia="zh-CN"/>
        </w:rPr>
        <w:t>计算机财务共享中心</w:t>
      </w:r>
      <w:r>
        <w:rPr>
          <w:rFonts w:hint="eastAsia" w:ascii="仿宋" w:hAnsi="仿宋" w:eastAsia="仿宋" w:cs="仿宋"/>
          <w:b/>
          <w:color w:val="auto"/>
          <w:sz w:val="52"/>
          <w:szCs w:val="52"/>
        </w:rPr>
        <w:cr/>
      </w:r>
    </w:p>
    <w:p>
      <w:pPr>
        <w:widowControl/>
        <w:autoSpaceDE w:val="0"/>
        <w:autoSpaceDN w:val="0"/>
        <w:textAlignment w:val="bottom"/>
        <w:rPr>
          <w:rFonts w:hint="eastAsia" w:ascii="仿宋" w:hAnsi="仿宋" w:eastAsia="仿宋" w:cs="仿宋"/>
          <w:b/>
          <w:color w:val="auto"/>
          <w:sz w:val="32"/>
        </w:rPr>
      </w:pPr>
    </w:p>
    <w:p>
      <w:pPr>
        <w:widowControl/>
        <w:autoSpaceDE w:val="0"/>
        <w:autoSpaceDN w:val="0"/>
        <w:jc w:val="center"/>
        <w:textAlignment w:val="bottom"/>
        <w:rPr>
          <w:rFonts w:hint="eastAsia" w:ascii="仿宋" w:hAnsi="仿宋" w:eastAsia="仿宋" w:cs="仿宋"/>
          <w:b/>
          <w:color w:val="auto"/>
          <w:sz w:val="32"/>
        </w:rPr>
      </w:pPr>
    </w:p>
    <w:p>
      <w:pPr>
        <w:widowControl/>
        <w:autoSpaceDE w:val="0"/>
        <w:autoSpaceDN w:val="0"/>
        <w:jc w:val="center"/>
        <w:textAlignment w:val="bottom"/>
        <w:rPr>
          <w:rFonts w:hint="eastAsia" w:ascii="仿宋" w:hAnsi="仿宋" w:eastAsia="仿宋" w:cs="仿宋"/>
          <w:b/>
          <w:color w:val="auto"/>
          <w:sz w:val="32"/>
        </w:rPr>
      </w:pPr>
    </w:p>
    <w:p>
      <w:pPr>
        <w:widowControl/>
        <w:autoSpaceDE w:val="0"/>
        <w:autoSpaceDN w:val="0"/>
        <w:jc w:val="center"/>
        <w:textAlignment w:val="bottom"/>
        <w:rPr>
          <w:rFonts w:hint="eastAsia" w:ascii="仿宋" w:hAnsi="仿宋" w:eastAsia="仿宋" w:cs="仿宋"/>
          <w:b/>
          <w:color w:val="auto"/>
          <w:sz w:val="32"/>
        </w:rPr>
      </w:pPr>
    </w:p>
    <w:p>
      <w:pPr>
        <w:widowControl/>
        <w:autoSpaceDE w:val="0"/>
        <w:autoSpaceDN w:val="0"/>
        <w:jc w:val="center"/>
        <w:textAlignment w:val="bottom"/>
        <w:rPr>
          <w:rFonts w:hint="eastAsia" w:ascii="仿宋" w:hAnsi="仿宋" w:eastAsia="仿宋" w:cs="仿宋"/>
          <w:b/>
          <w:color w:val="auto"/>
          <w:sz w:val="32"/>
        </w:rPr>
      </w:pPr>
    </w:p>
    <w:p>
      <w:pPr>
        <w:widowControl/>
        <w:autoSpaceDE w:val="0"/>
        <w:autoSpaceDN w:val="0"/>
        <w:spacing w:after="120" w:afterLines="50"/>
        <w:jc w:val="center"/>
        <w:textAlignment w:val="bottom"/>
        <w:rPr>
          <w:rFonts w:hint="eastAsia" w:ascii="仿宋" w:hAnsi="仿宋" w:eastAsia="仿宋" w:cs="仿宋"/>
          <w:b/>
          <w:color w:val="auto"/>
          <w:sz w:val="84"/>
          <w:szCs w:val="84"/>
        </w:rPr>
      </w:pPr>
      <w:r>
        <w:rPr>
          <w:rFonts w:hint="eastAsia" w:ascii="仿宋" w:hAnsi="仿宋" w:eastAsia="仿宋" w:cs="仿宋"/>
          <w:b/>
          <w:color w:val="auto"/>
          <w:sz w:val="84"/>
          <w:szCs w:val="84"/>
        </w:rPr>
        <w:t>竞争性磋商文件</w:t>
      </w: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2"/>
          <w:szCs w:val="22"/>
        </w:rPr>
      </w:pPr>
    </w:p>
    <w:p>
      <w:pPr>
        <w:widowControl/>
        <w:autoSpaceDE w:val="0"/>
        <w:autoSpaceDN w:val="0"/>
        <w:spacing w:after="120" w:afterLines="50" w:line="360" w:lineRule="auto"/>
        <w:ind w:firstLine="1590" w:firstLineChars="495"/>
        <w:textAlignment w:val="bottom"/>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项目编号：</w:t>
      </w:r>
      <w:r>
        <w:rPr>
          <w:rFonts w:hint="eastAsia" w:ascii="仿宋" w:hAnsi="仿宋" w:eastAsia="仿宋" w:cs="仿宋"/>
          <w:b/>
          <w:color w:val="auto"/>
          <w:sz w:val="32"/>
          <w:szCs w:val="32"/>
          <w:lang w:eastAsia="zh-CN"/>
        </w:rPr>
        <w:t>HNHS-2024-019</w:t>
      </w:r>
    </w:p>
    <w:p>
      <w:pPr>
        <w:widowControl/>
        <w:autoSpaceDE w:val="0"/>
        <w:autoSpaceDN w:val="0"/>
        <w:spacing w:line="360" w:lineRule="auto"/>
        <w:ind w:left="2331" w:hanging="2072" w:hangingChars="645"/>
        <w:textAlignment w:val="bottom"/>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 xml:space="preserve">          采购单位</w:t>
      </w:r>
      <w:r>
        <w:rPr>
          <w:rFonts w:hint="eastAsia" w:ascii="仿宋" w:hAnsi="仿宋" w:eastAsia="仿宋" w:cs="仿宋"/>
          <w:b/>
          <w:color w:val="auto"/>
          <w:sz w:val="32"/>
          <w:szCs w:val="32"/>
          <w:lang w:eastAsia="zh-CN"/>
        </w:rPr>
        <w:t xml:space="preserve">：海南省技师学院 </w:t>
      </w:r>
    </w:p>
    <w:p>
      <w:pPr>
        <w:widowControl/>
        <w:autoSpaceDE w:val="0"/>
        <w:autoSpaceDN w:val="0"/>
        <w:spacing w:line="360" w:lineRule="auto"/>
        <w:textAlignment w:val="bottom"/>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 xml:space="preserve">          代理机构：</w:t>
      </w:r>
      <w:r>
        <w:rPr>
          <w:rFonts w:hint="eastAsia" w:ascii="仿宋" w:hAnsi="仿宋" w:eastAsia="仿宋" w:cs="仿宋"/>
          <w:b/>
          <w:color w:val="auto"/>
          <w:sz w:val="32"/>
          <w:szCs w:val="32"/>
          <w:lang w:eastAsia="zh-CN"/>
        </w:rPr>
        <w:t>海南和顺项目管理有限公司</w:t>
      </w:r>
    </w:p>
    <w:p>
      <w:pPr>
        <w:widowControl/>
        <w:autoSpaceDE w:val="0"/>
        <w:autoSpaceDN w:val="0"/>
        <w:spacing w:line="360" w:lineRule="auto"/>
        <w:jc w:val="center"/>
        <w:textAlignment w:val="bottom"/>
        <w:rPr>
          <w:rFonts w:hint="eastAsia" w:ascii="仿宋" w:hAnsi="仿宋" w:eastAsia="仿宋" w:cs="仿宋"/>
          <w:b/>
          <w:color w:val="auto"/>
          <w:spacing w:val="27"/>
          <w:sz w:val="36"/>
          <w:szCs w:val="36"/>
        </w:rPr>
      </w:pPr>
    </w:p>
    <w:p>
      <w:pPr>
        <w:widowControl/>
        <w:autoSpaceDE w:val="0"/>
        <w:autoSpaceDN w:val="0"/>
        <w:spacing w:line="360" w:lineRule="auto"/>
        <w:jc w:val="center"/>
        <w:textAlignment w:val="bottom"/>
        <w:rPr>
          <w:rFonts w:hint="eastAsia" w:ascii="仿宋" w:hAnsi="仿宋" w:eastAsia="仿宋" w:cs="仿宋"/>
          <w:color w:val="auto"/>
          <w:sz w:val="28"/>
        </w:rPr>
      </w:pPr>
      <w:r>
        <w:rPr>
          <w:rFonts w:hint="eastAsia" w:ascii="仿宋" w:hAnsi="仿宋" w:eastAsia="仿宋" w:cs="仿宋"/>
          <w:b/>
          <w:color w:val="auto"/>
          <w:spacing w:val="27"/>
          <w:sz w:val="36"/>
          <w:szCs w:val="36"/>
        </w:rPr>
        <w:t>202</w:t>
      </w:r>
      <w:r>
        <w:rPr>
          <w:rFonts w:hint="eastAsia" w:ascii="仿宋" w:hAnsi="仿宋" w:eastAsia="仿宋" w:cs="仿宋"/>
          <w:b/>
          <w:color w:val="auto"/>
          <w:spacing w:val="27"/>
          <w:sz w:val="36"/>
          <w:szCs w:val="36"/>
          <w:lang w:val="en-US" w:eastAsia="zh-CN"/>
        </w:rPr>
        <w:t>4</w:t>
      </w:r>
      <w:r>
        <w:rPr>
          <w:rFonts w:hint="eastAsia" w:ascii="仿宋" w:hAnsi="仿宋" w:eastAsia="仿宋" w:cs="仿宋"/>
          <w:b/>
          <w:color w:val="auto"/>
          <w:spacing w:val="27"/>
          <w:sz w:val="36"/>
          <w:szCs w:val="36"/>
        </w:rPr>
        <w:t>年</w:t>
      </w:r>
      <w:r>
        <w:rPr>
          <w:rFonts w:hint="eastAsia" w:ascii="仿宋" w:hAnsi="仿宋" w:eastAsia="仿宋" w:cs="仿宋"/>
          <w:b/>
          <w:color w:val="auto"/>
          <w:spacing w:val="27"/>
          <w:sz w:val="36"/>
          <w:szCs w:val="36"/>
          <w:lang w:val="en-US" w:eastAsia="zh-CN"/>
        </w:rPr>
        <w:t>05</w:t>
      </w:r>
      <w:r>
        <w:rPr>
          <w:rFonts w:hint="eastAsia" w:ascii="仿宋" w:hAnsi="仿宋" w:eastAsia="仿宋" w:cs="仿宋"/>
          <w:b/>
          <w:color w:val="auto"/>
          <w:spacing w:val="27"/>
          <w:sz w:val="36"/>
          <w:szCs w:val="36"/>
        </w:rPr>
        <w:t>月</w:t>
      </w:r>
      <w:r>
        <w:rPr>
          <w:rFonts w:hint="eastAsia" w:ascii="仿宋" w:hAnsi="仿宋" w:eastAsia="仿宋" w:cs="仿宋"/>
          <w:color w:val="auto"/>
          <w:sz w:val="28"/>
        </w:rPr>
        <w:br w:type="page"/>
      </w:r>
    </w:p>
    <w:p>
      <w:pPr>
        <w:widowControl/>
        <w:autoSpaceDE w:val="0"/>
        <w:autoSpaceDN w:val="0"/>
        <w:jc w:val="center"/>
        <w:textAlignment w:val="bottom"/>
        <w:rPr>
          <w:rFonts w:hint="eastAsia" w:ascii="仿宋" w:hAnsi="仿宋" w:eastAsia="仿宋" w:cs="仿宋"/>
          <w:color w:val="auto"/>
          <w:sz w:val="28"/>
        </w:rPr>
        <w:sectPr>
          <w:footerReference r:id="rId3" w:type="first"/>
          <w:pgSz w:w="11906" w:h="16838"/>
          <w:pgMar w:top="1440" w:right="1418" w:bottom="1259" w:left="1418" w:header="851" w:footer="992" w:gutter="0"/>
          <w:pgNumType w:fmt="numberInDash"/>
          <w:cols w:space="720" w:num="1"/>
          <w:titlePg/>
          <w:docGrid w:linePitch="312" w:charSpace="0"/>
        </w:sectPr>
      </w:pPr>
    </w:p>
    <w:p>
      <w:pPr>
        <w:widowControl/>
        <w:autoSpaceDE w:val="0"/>
        <w:autoSpaceDN w:val="0"/>
        <w:jc w:val="center"/>
        <w:textAlignment w:val="bottom"/>
        <w:rPr>
          <w:rFonts w:hint="eastAsia" w:ascii="仿宋" w:hAnsi="仿宋" w:eastAsia="仿宋" w:cs="仿宋"/>
          <w:color w:val="auto"/>
          <w:sz w:val="28"/>
        </w:rPr>
      </w:pPr>
      <w:r>
        <w:rPr>
          <w:rFonts w:hint="eastAsia" w:ascii="仿宋" w:hAnsi="仿宋" w:eastAsia="仿宋" w:cs="仿宋"/>
          <w:color w:val="auto"/>
          <w:sz w:val="28"/>
        </w:rPr>
        <w:t>`</w:t>
      </w:r>
    </w:p>
    <w:sdt>
      <w:sdtPr>
        <w:rPr>
          <w:rFonts w:hint="eastAsia" w:ascii="仿宋" w:hAnsi="仿宋" w:eastAsia="仿宋" w:cs="仿宋"/>
          <w:color w:val="auto"/>
          <w:sz w:val="52"/>
          <w:szCs w:val="52"/>
          <w:lang w:val="en-US" w:eastAsia="zh-CN" w:bidi="ar-SA"/>
        </w:rPr>
        <w:id w:val="147464351"/>
        <w15:color w:val="DBDBDB"/>
        <w:docPartObj>
          <w:docPartGallery w:val="Table of Contents"/>
          <w:docPartUnique/>
        </w:docPartObj>
      </w:sdtPr>
      <w:sdtEndPr>
        <w:rPr>
          <w:rFonts w:hint="eastAsia" w:ascii="仿宋" w:hAnsi="仿宋" w:eastAsia="仿宋" w:cs="仿宋"/>
          <w:color w:val="auto"/>
          <w:sz w:val="34"/>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color w:val="auto"/>
              <w:sz w:val="52"/>
              <w:szCs w:val="52"/>
            </w:rPr>
          </w:pPr>
          <w:r>
            <w:rPr>
              <w:rFonts w:hint="eastAsia" w:ascii="仿宋" w:hAnsi="仿宋" w:eastAsia="仿宋" w:cs="仿宋"/>
              <w:color w:val="auto"/>
              <w:sz w:val="52"/>
              <w:szCs w:val="52"/>
            </w:rPr>
            <w:t>目录</w:t>
          </w:r>
        </w:p>
        <w:p>
          <w:pPr>
            <w:pStyle w:val="671"/>
            <w:keepNext w:val="0"/>
            <w:keepLines w:val="0"/>
            <w:pageBreakBefore w:val="0"/>
            <w:widowControl/>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TOC \o "1-1" \h \u </w:instrText>
          </w:r>
          <w:r>
            <w:rPr>
              <w:rFonts w:hint="eastAsia" w:ascii="仿宋" w:hAnsi="仿宋" w:eastAsia="仿宋" w:cs="仿宋"/>
              <w:b/>
              <w:color w:val="auto"/>
              <w:sz w:val="28"/>
              <w:szCs w:val="28"/>
            </w:rPr>
            <w:fldChar w:fldCharType="separate"/>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_Toc10599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第一章 磋商公告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_Toc10599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671"/>
            <w:keepNext w:val="0"/>
            <w:keepLines w:val="0"/>
            <w:pageBreakBefore w:val="0"/>
            <w:widowControl/>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_Toc21166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w:t>
          </w: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供应商须知</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5</w:t>
          </w:r>
        </w:p>
        <w:p>
          <w:pPr>
            <w:pStyle w:val="671"/>
            <w:keepNext w:val="0"/>
            <w:keepLines w:val="0"/>
            <w:pageBreakBefore w:val="0"/>
            <w:widowControl/>
            <w:tabs>
              <w:tab w:val="right" w:leader="dot" w:pos="9070"/>
            </w:tabs>
            <w:kinsoku/>
            <w:wordWrap/>
            <w:overflowPunct/>
            <w:topLinePunct w:val="0"/>
            <w:bidi w:val="0"/>
            <w:adjustRightInd/>
            <w:snapToGrid/>
            <w:spacing w:line="480" w:lineRule="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_Toc28770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w:t>
          </w: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章 采购人需求书</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20</w:t>
          </w:r>
        </w:p>
        <w:p>
          <w:pPr>
            <w:pStyle w:val="671"/>
            <w:keepNext w:val="0"/>
            <w:keepLines w:val="0"/>
            <w:pageBreakBefore w:val="0"/>
            <w:widowControl/>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_Toc7591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第四章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评审办法和程序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_Toc7591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55</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671"/>
            <w:keepNext w:val="0"/>
            <w:keepLines w:val="0"/>
            <w:pageBreakBefore w:val="0"/>
            <w:widowControl/>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_Toc16720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第五章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合同文本</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_Toc16720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63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671"/>
            <w:keepNext w:val="0"/>
            <w:keepLines w:val="0"/>
            <w:pageBreakBefore w:val="0"/>
            <w:widowControl/>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_Toc22551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第六章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磋商响应文件格式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_Toc22551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64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671"/>
            <w:keepNext w:val="0"/>
            <w:keepLines w:val="0"/>
            <w:pageBreakBefore w:val="0"/>
            <w:widowControl/>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p>
        <w:p>
          <w:pPr>
            <w:keepNext w:val="0"/>
            <w:keepLines w:val="0"/>
            <w:pageBreakBefore w:val="0"/>
            <w:widowControl/>
            <w:kinsoku/>
            <w:wordWrap/>
            <w:overflowPunct/>
            <w:topLinePunct w:val="0"/>
            <w:autoSpaceDE w:val="0"/>
            <w:autoSpaceDN w:val="0"/>
            <w:bidi w:val="0"/>
            <w:adjustRightInd/>
            <w:snapToGrid/>
            <w:spacing w:line="480" w:lineRule="auto"/>
            <w:textAlignment w:val="bottom"/>
            <w:rPr>
              <w:rFonts w:hint="eastAsia" w:ascii="仿宋" w:hAnsi="仿宋" w:eastAsia="仿宋" w:cs="仿宋"/>
              <w:b/>
              <w:color w:val="auto"/>
              <w:sz w:val="28"/>
              <w:szCs w:val="28"/>
            </w:rPr>
          </w:pPr>
          <w:r>
            <w:rPr>
              <w:rFonts w:hint="eastAsia" w:ascii="仿宋" w:hAnsi="仿宋" w:eastAsia="仿宋" w:cs="仿宋"/>
              <w:color w:val="auto"/>
              <w:sz w:val="28"/>
              <w:szCs w:val="28"/>
            </w:rPr>
            <w:fldChar w:fldCharType="end"/>
          </w:r>
        </w:p>
      </w:sdtContent>
    </w:sdt>
    <w:p>
      <w:pPr>
        <w:rPr>
          <w:rFonts w:hint="eastAsia" w:ascii="仿宋" w:hAnsi="仿宋" w:eastAsia="仿宋" w:cs="仿宋"/>
          <w:color w:val="auto"/>
          <w:sz w:val="28"/>
          <w:szCs w:val="28"/>
        </w:rPr>
      </w:pPr>
    </w:p>
    <w:p>
      <w:pPr>
        <w:jc w:val="center"/>
        <w:rPr>
          <w:rFonts w:hint="eastAsia" w:ascii="仿宋" w:hAnsi="仿宋" w:eastAsia="仿宋" w:cs="仿宋"/>
          <w:color w:val="auto"/>
          <w:sz w:val="28"/>
          <w:szCs w:val="28"/>
          <w:lang w:val="en-US" w:eastAsia="zh-CN"/>
        </w:rPr>
      </w:pPr>
    </w:p>
    <w:p>
      <w:pPr>
        <w:pStyle w:val="2"/>
        <w:pageBreakBefore/>
        <w:numPr>
          <w:ilvl w:val="0"/>
          <w:numId w:val="3"/>
        </w:numPr>
        <w:spacing w:before="0" w:after="0" w:line="276" w:lineRule="auto"/>
        <w:jc w:val="both"/>
        <w:rPr>
          <w:rFonts w:hint="eastAsia" w:ascii="仿宋" w:hAnsi="仿宋" w:eastAsia="仿宋" w:cs="仿宋"/>
          <w:color w:val="auto"/>
          <w:sz w:val="44"/>
          <w:szCs w:val="44"/>
        </w:rPr>
        <w:sectPr>
          <w:footerReference r:id="rId5" w:type="first"/>
          <w:footerReference r:id="rId4" w:type="default"/>
          <w:pgSz w:w="11906" w:h="16838"/>
          <w:pgMar w:top="1440" w:right="1418" w:bottom="1259" w:left="1418" w:header="851" w:footer="992" w:gutter="0"/>
          <w:pgNumType w:fmt="upperRoman" w:start="1"/>
          <w:cols w:space="720" w:num="1"/>
          <w:titlePg/>
          <w:docGrid w:linePitch="312" w:charSpace="0"/>
        </w:sectPr>
      </w:pPr>
      <w:bookmarkStart w:id="0" w:name="_Toc511832119"/>
      <w:bookmarkStart w:id="1" w:name="_Toc495679391"/>
    </w:p>
    <w:p>
      <w:pPr>
        <w:pStyle w:val="2"/>
        <w:pageBreakBefore/>
        <w:numPr>
          <w:ilvl w:val="0"/>
          <w:numId w:val="3"/>
        </w:numPr>
        <w:spacing w:before="0" w:after="0" w:line="276" w:lineRule="auto"/>
        <w:rPr>
          <w:rFonts w:hint="eastAsia" w:ascii="仿宋" w:hAnsi="仿宋" w:eastAsia="仿宋" w:cs="仿宋"/>
          <w:color w:val="auto"/>
          <w:sz w:val="44"/>
          <w:szCs w:val="44"/>
        </w:rPr>
      </w:pPr>
      <w:r>
        <w:rPr>
          <w:rFonts w:hint="eastAsia" w:ascii="仿宋" w:hAnsi="仿宋" w:eastAsia="仿宋" w:cs="仿宋"/>
          <w:color w:val="auto"/>
          <w:sz w:val="44"/>
          <w:szCs w:val="44"/>
        </w:rPr>
        <w:t xml:space="preserve"> </w:t>
      </w:r>
      <w:bookmarkStart w:id="2" w:name="_Toc10599"/>
      <w:r>
        <w:rPr>
          <w:rFonts w:hint="eastAsia" w:ascii="仿宋" w:hAnsi="仿宋" w:eastAsia="仿宋" w:cs="仿宋"/>
          <w:color w:val="auto"/>
          <w:sz w:val="44"/>
          <w:szCs w:val="44"/>
        </w:rPr>
        <w:t>磋商公告</w:t>
      </w:r>
      <w:bookmarkEnd w:id="0"/>
      <w:bookmarkEnd w:id="1"/>
      <w:bookmarkEnd w:id="2"/>
    </w:p>
    <w:p>
      <w:pPr>
        <w:rPr>
          <w:rFonts w:hint="eastAsia" w:ascii="仿宋" w:hAnsi="仿宋" w:eastAsia="仿宋" w:cs="仿宋"/>
          <w:color w:val="auto"/>
        </w:rPr>
      </w:pPr>
    </w:p>
    <w:p>
      <w:pPr>
        <w:pStyle w:val="22"/>
        <w:keepNext w:val="0"/>
        <w:keepLines w:val="0"/>
        <w:pageBreakBefore w:val="0"/>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color w:val="auto"/>
          <w:kern w:val="28"/>
          <w:sz w:val="24"/>
          <w:szCs w:val="24"/>
        </w:rPr>
      </w:pPr>
      <w:r>
        <w:rPr>
          <w:rFonts w:hint="eastAsia" w:ascii="仿宋" w:hAnsi="仿宋" w:eastAsia="仿宋" w:cs="仿宋"/>
          <w:color w:val="auto"/>
          <w:sz w:val="24"/>
          <w:szCs w:val="24"/>
          <w:u w:val="single"/>
          <w:lang w:val="en-US" w:eastAsia="zh-CN"/>
        </w:rPr>
        <w:t>计算机财务共享中心</w:t>
      </w:r>
      <w:r>
        <w:rPr>
          <w:rFonts w:hint="eastAsia" w:ascii="仿宋" w:hAnsi="仿宋" w:eastAsia="仿宋" w:cs="仿宋"/>
          <w:color w:val="auto"/>
          <w:sz w:val="24"/>
          <w:szCs w:val="24"/>
        </w:rPr>
        <w:t>采购项目的潜在供应商应在海南政府采购网(www.ccgp-hainan.gov.cn)-海南省政府采购电子化交易管理系统(新)获取采购文件，并于</w:t>
      </w:r>
      <w:r>
        <w:rPr>
          <w:rFonts w:hint="eastAsia" w:ascii="仿宋" w:hAnsi="仿宋" w:eastAsia="仿宋" w:cs="仿宋"/>
          <w:color w:val="auto"/>
          <w:sz w:val="24"/>
          <w:szCs w:val="24"/>
          <w:lang w:eastAsia="zh-CN"/>
        </w:rPr>
        <w:t>2024年05月</w:t>
      </w: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lang w:eastAsia="zh-CN"/>
        </w:rPr>
        <w:t>日</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点</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rPr>
        <w:t>（北京时间）前提交响应文件。</w:t>
      </w:r>
      <w:r>
        <w:rPr>
          <w:rFonts w:hint="eastAsia" w:ascii="仿宋" w:hAnsi="仿宋" w:eastAsia="仿宋" w:cs="仿宋"/>
          <w:color w:val="auto"/>
          <w:kern w:val="28"/>
          <w:sz w:val="24"/>
          <w:szCs w:val="24"/>
        </w:rPr>
        <w:t xml:space="preserve">有关事项如下： </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kern w:val="28"/>
          <w:sz w:val="24"/>
          <w:szCs w:val="24"/>
        </w:rPr>
        <w:t>1、项目</w:t>
      </w:r>
      <w:r>
        <w:rPr>
          <w:rFonts w:hint="eastAsia" w:ascii="仿宋" w:hAnsi="仿宋" w:eastAsia="仿宋" w:cs="仿宋"/>
          <w:color w:val="auto"/>
          <w:sz w:val="24"/>
          <w:szCs w:val="24"/>
        </w:rPr>
        <w:t>名称</w:t>
      </w:r>
      <w:r>
        <w:rPr>
          <w:rFonts w:hint="eastAsia" w:ascii="仿宋" w:hAnsi="仿宋" w:eastAsia="仿宋" w:cs="仿宋"/>
          <w:color w:val="auto"/>
          <w:kern w:val="28"/>
          <w:sz w:val="24"/>
          <w:szCs w:val="24"/>
        </w:rPr>
        <w:t>：</w:t>
      </w:r>
      <w:r>
        <w:rPr>
          <w:rFonts w:hint="eastAsia" w:ascii="仿宋" w:hAnsi="仿宋" w:eastAsia="仿宋" w:cs="仿宋"/>
          <w:color w:val="auto"/>
          <w:sz w:val="24"/>
          <w:szCs w:val="24"/>
          <w:lang w:eastAsia="zh-CN"/>
        </w:rPr>
        <w:t>计算机财务共享中心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8"/>
          <w:sz w:val="24"/>
          <w:szCs w:val="24"/>
          <w:lang w:eastAsia="zh-CN"/>
        </w:rPr>
      </w:pPr>
      <w:r>
        <w:rPr>
          <w:rFonts w:hint="eastAsia" w:ascii="仿宋" w:hAnsi="仿宋" w:eastAsia="仿宋" w:cs="仿宋"/>
          <w:color w:val="auto"/>
          <w:kern w:val="28"/>
          <w:sz w:val="24"/>
          <w:szCs w:val="24"/>
        </w:rPr>
        <w:t>2、项目编号：</w:t>
      </w:r>
      <w:r>
        <w:rPr>
          <w:rFonts w:hint="eastAsia" w:ascii="仿宋" w:hAnsi="仿宋" w:eastAsia="仿宋" w:cs="仿宋"/>
          <w:color w:val="auto"/>
          <w:kern w:val="28"/>
          <w:sz w:val="24"/>
          <w:szCs w:val="24"/>
          <w:lang w:eastAsia="zh-CN"/>
        </w:rPr>
        <w:t>HNHS-2024-019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3、用    途：工作需要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kern w:val="28"/>
          <w:sz w:val="24"/>
          <w:szCs w:val="24"/>
        </w:rPr>
        <w:t>4、</w:t>
      </w:r>
      <w:r>
        <w:rPr>
          <w:rFonts w:hint="eastAsia" w:ascii="仿宋" w:hAnsi="仿宋" w:eastAsia="仿宋" w:cs="仿宋"/>
          <w:color w:val="auto"/>
          <w:sz w:val="24"/>
          <w:szCs w:val="24"/>
        </w:rPr>
        <w:t>采购预算：</w:t>
      </w:r>
      <w:r>
        <w:rPr>
          <w:rFonts w:hint="eastAsia" w:ascii="仿宋" w:hAnsi="仿宋" w:eastAsia="仿宋" w:cs="仿宋"/>
          <w:color w:val="auto"/>
          <w:sz w:val="24"/>
          <w:szCs w:val="24"/>
          <w:lang w:val="en-US" w:eastAsia="zh-CN"/>
        </w:rPr>
        <w:t>3320748.45</w:t>
      </w:r>
      <w:r>
        <w:rPr>
          <w:rFonts w:hint="eastAsia" w:ascii="仿宋" w:hAnsi="仿宋" w:eastAsia="仿宋" w:cs="仿宋"/>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5、合同履行期限</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自合同签订之日起60日内完成本项目所有内容。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注：</w:t>
      </w:r>
      <w:r>
        <w:rPr>
          <w:rFonts w:hint="eastAsia" w:ascii="仿宋" w:hAnsi="仿宋" w:eastAsia="仿宋" w:cs="仿宋"/>
          <w:color w:val="auto"/>
          <w:sz w:val="24"/>
          <w:szCs w:val="24"/>
        </w:rPr>
        <w:t>投标人必须对所投包内所有的内容进行投标，不允许只对包内其中部分内容进行投标，否则投标文件将被拒绝。</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二、供应商资格要求：（报价人必须具备以下条件并提供相关资格证明材料）</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1、满足《中华人民共和国政府采购法》第二十二条规定；</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1.1在中华人民共和国注册的、具有独立承担民事责任能力的法人（提供工商营业执照副本、税务登记证副本和组织机构代码证或“三证合一”的营业执照副本，复印件加盖公章）；</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1.2具有良好的商业信誉和健全的财务会计制度【提供承诺函加盖公章】；</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1.3具有依法缴纳税收和社会保障资金的良好记录【提供承诺函加盖公章】；</w:t>
      </w:r>
    </w:p>
    <w:p>
      <w:pPr>
        <w:pStyle w:val="21"/>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bCs/>
          <w:color w:val="auto"/>
          <w:sz w:val="24"/>
          <w:szCs w:val="24"/>
          <w:lang w:val="en-US" w:eastAsia="zh-CN"/>
        </w:rPr>
        <w:t>1.4具备履行合同所必需的设备和专业技术能力【提供承诺函加盖公章】；</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sectPr>
          <w:footerReference r:id="rId6" w:type="default"/>
          <w:pgSz w:w="11906" w:h="16838"/>
          <w:pgMar w:top="1440" w:right="1800" w:bottom="1440" w:left="1800" w:header="851" w:footer="992" w:gutter="0"/>
          <w:pgNumType w:fmt="decimal" w:start="1"/>
          <w:cols w:space="720" w:num="1"/>
          <w:docGrid w:type="lines" w:linePitch="312" w:charSpace="0"/>
        </w:sect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5</w:t>
      </w:r>
      <w:r>
        <w:rPr>
          <w:rFonts w:hint="eastAsia" w:ascii="仿宋" w:hAnsi="仿宋" w:eastAsia="仿宋" w:cs="仿宋"/>
          <w:bCs/>
          <w:color w:val="auto"/>
          <w:sz w:val="24"/>
          <w:szCs w:val="24"/>
        </w:rPr>
        <w:t>提供企业在“信用中国”（http://www.creditchina.gov.cn/）网站上查询“失信被执行人”、“重大税收违法案件当事人”、“政府采购严重违法失信名单”的结果截图（加盖公章）和在“</w:t>
      </w:r>
      <w:r>
        <w:rPr>
          <w:rFonts w:hint="eastAsia" w:ascii="仿宋" w:hAnsi="仿宋" w:eastAsia="仿宋" w:cs="仿宋"/>
          <w:bCs/>
          <w:color w:val="auto"/>
          <w:sz w:val="24"/>
          <w:szCs w:val="24"/>
          <w:lang w:eastAsia="zh-CN"/>
        </w:rPr>
        <w:t>中国政府采购网</w:t>
      </w:r>
      <w:r>
        <w:rPr>
          <w:rFonts w:hint="eastAsia" w:ascii="仿宋" w:hAnsi="仿宋" w:eastAsia="仿宋" w:cs="仿宋"/>
          <w:bCs/>
          <w:color w:val="auto"/>
          <w:sz w:val="24"/>
          <w:szCs w:val="24"/>
        </w:rPr>
        <w:t>”（http://www.ccgp.gov.cn/）网站上的“政府采购严重违法失信行为记录名单”处查询结果截图（加盖公章）；</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6</w:t>
      </w:r>
      <w:r>
        <w:rPr>
          <w:rFonts w:hint="eastAsia" w:ascii="仿宋" w:hAnsi="仿宋" w:eastAsia="仿宋" w:cs="仿宋"/>
          <w:bCs/>
          <w:color w:val="auto"/>
          <w:sz w:val="24"/>
          <w:szCs w:val="24"/>
        </w:rPr>
        <w:t>参加本项目政府采购活动前三年内（公司成立不足三年的供应商从成</w:t>
      </w:r>
      <w:r>
        <w:rPr>
          <w:rFonts w:hint="eastAsia" w:ascii="仿宋" w:hAnsi="仿宋" w:eastAsia="仿宋" w:cs="仿宋"/>
          <w:bCs/>
          <w:color w:val="auto"/>
          <w:sz w:val="24"/>
          <w:szCs w:val="24"/>
          <w:lang w:val="en-US" w:eastAsia="zh-CN"/>
        </w:rPr>
        <w:t>立</w:t>
      </w:r>
      <w:r>
        <w:rPr>
          <w:rFonts w:hint="eastAsia" w:ascii="仿宋" w:hAnsi="仿宋" w:eastAsia="仿宋" w:cs="仿宋"/>
          <w:bCs/>
          <w:color w:val="auto"/>
          <w:sz w:val="24"/>
          <w:szCs w:val="24"/>
        </w:rPr>
        <w:t>之日起算），在经营活动中没有重大违法记录【提供承诺函加盖公章】</w:t>
      </w:r>
      <w:r>
        <w:rPr>
          <w:rFonts w:hint="eastAsia" w:ascii="仿宋" w:hAnsi="仿宋" w:eastAsia="仿宋" w:cs="仿宋"/>
          <w:bCs/>
          <w:color w:val="auto"/>
          <w:sz w:val="24"/>
          <w:szCs w:val="24"/>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 xml:space="preserve">7本项目不接受联合体投标。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2.落实政府采购政策需满足的资格要求：本项目需落实的节能环保、中小微企业扶持（含支持监狱企业、残疾人福利性单位）相关政府采购政策详见采购文件；</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三、获取采购文件</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时间：202</w:t>
      </w:r>
      <w:r>
        <w:rPr>
          <w:rFonts w:hint="eastAsia" w:ascii="仿宋" w:hAnsi="仿宋" w:eastAsia="仿宋" w:cs="仿宋"/>
          <w:color w:val="auto"/>
          <w:sz w:val="24"/>
          <w:szCs w:val="24"/>
          <w:lang w:val="en-US" w:eastAsia="zh-CN"/>
        </w:rPr>
        <w:t>4年05月21日</w:t>
      </w:r>
      <w:r>
        <w:rPr>
          <w:rFonts w:hint="eastAsia" w:ascii="仿宋" w:hAnsi="仿宋" w:eastAsia="仿宋" w:cs="仿宋"/>
          <w:color w:val="auto"/>
          <w:sz w:val="24"/>
          <w:szCs w:val="24"/>
        </w:rPr>
        <w:t>至202</w:t>
      </w:r>
      <w:r>
        <w:rPr>
          <w:rFonts w:hint="eastAsia" w:ascii="仿宋" w:hAnsi="仿宋" w:eastAsia="仿宋" w:cs="仿宋"/>
          <w:color w:val="auto"/>
          <w:sz w:val="24"/>
          <w:szCs w:val="24"/>
          <w:lang w:val="en-US" w:eastAsia="zh-CN"/>
        </w:rPr>
        <w:t>4年05月27日</w:t>
      </w:r>
      <w:r>
        <w:rPr>
          <w:rFonts w:hint="eastAsia" w:ascii="仿宋" w:hAnsi="仿宋" w:eastAsia="仿宋" w:cs="仿宋"/>
          <w:color w:val="auto"/>
          <w:sz w:val="24"/>
          <w:szCs w:val="24"/>
        </w:rPr>
        <w:t xml:space="preserve"> ，每天上午 00:00 至 12:00 ，下午 12:00 至 24:00（北京时间，法定节假日除外）</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地点：海南政府采购网(www.ccgp-hainan.gov.cn)-海南省政府采购电子化交易管理系统(新)</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方式：网上下载</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售价：0元。</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四、响应文件提交</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1、响应文件递交截止时间：</w:t>
      </w:r>
      <w:r>
        <w:rPr>
          <w:rFonts w:hint="eastAsia" w:ascii="仿宋" w:hAnsi="仿宋" w:eastAsia="仿宋" w:cs="仿宋"/>
          <w:color w:val="auto"/>
          <w:sz w:val="24"/>
          <w:szCs w:val="24"/>
          <w:lang w:eastAsia="zh-CN"/>
        </w:rPr>
        <w:t>2024年05月</w:t>
      </w: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lang w:eastAsia="zh-CN"/>
        </w:rPr>
        <w:t>日</w:t>
      </w: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lang w:eastAsia="zh-CN"/>
        </w:rPr>
        <w:t>点</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rPr>
        <w:t>（北京时间）。</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2、地点: 海南政府采购网(www.ccgp-hainan.gov.cn)-海南省政府采购电子化交易管理系统（新）。</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五、响应文件开启</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1、时间：</w:t>
      </w:r>
      <w:r>
        <w:rPr>
          <w:rFonts w:hint="eastAsia" w:ascii="仿宋" w:hAnsi="仿宋" w:eastAsia="仿宋" w:cs="仿宋"/>
          <w:color w:val="auto"/>
          <w:sz w:val="24"/>
          <w:szCs w:val="24"/>
          <w:lang w:eastAsia="zh-CN"/>
        </w:rPr>
        <w:t>2024年05月</w:t>
      </w: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lang w:eastAsia="zh-CN"/>
        </w:rPr>
        <w:t>日</w:t>
      </w: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lang w:eastAsia="zh-CN"/>
        </w:rPr>
        <w:t>点</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rPr>
        <w:t>（北京时间）</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2、地点：海南政府采购网(www.ccgp-hainan.gov.cn)-海南省政府采购电子化交易管理系统（新）。</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六、公告期限</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自本公告发布之日起5个工作日</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七、其他补充事宜</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1、磋商保证金：</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、本项目采购信息指定发布媒体为：《</w:t>
      </w:r>
      <w:r>
        <w:rPr>
          <w:rFonts w:hint="eastAsia" w:ascii="仿宋" w:hAnsi="仿宋" w:eastAsia="仿宋" w:cs="仿宋"/>
          <w:color w:val="auto"/>
          <w:sz w:val="24"/>
          <w:szCs w:val="24"/>
          <w:lang w:val="en-US" w:eastAsia="zh-CN"/>
        </w:rPr>
        <w:t>海南省政府采购网</w:t>
      </w:r>
      <w:r>
        <w:rPr>
          <w:rFonts w:hint="eastAsia" w:ascii="仿宋" w:hAnsi="仿宋" w:eastAsia="仿宋" w:cs="仿宋"/>
          <w:color w:val="auto"/>
          <w:sz w:val="24"/>
          <w:szCs w:val="24"/>
        </w:rPr>
        <w:t>》</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海南省政府采购网注册：供应商须在海南省政府采购网(https://www.ccgp-hainan.gov.cn/zhuzhan/)中的海南省政府采购电子化交易管理系统进行注册。 注意：供应商制作投标文件、签到等需选择key签章，海南CA数字证书办理所需材料及地址如下：（1）CA数字证书所需材料：登录海南省数字证书认证中心网站（网址：http://www.hndca.com/CA/） “服务支持”中的“海南省电子招投标用户办理数字证书业务指南”下载。（可在线办理，也可现场办理）（2）CA 数字证书现场办理地址：海南省海口市大英山东三路2号海南数据谷二号营地2层212室。数字证书咨询电话：0898-66668096、0898-66664947，电子签章咨询电话：0898-65203207）。已注册备案通过的供应商不需要再重新备案；已办理过海南CA锁数字证书进行招投标的用户，可直接使用，无须再办理。</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4、本项目为全流程电子化操作项目：必须使用最新版本的电子投标书编制工具制作电子版投标文件并使用 CA 数字证书（含手机CA）的电子印章进行签章，且使用CA数字证书（含手机CA）进行加密后在提交投标文件截止时间前上传至交易系统，否则视为无效投标（投标文件制作工具是配合政府采购交易系统制作投标文件的工具。投标人/供应商使用该工具打开从系统下载的招投标文件包【为wtbwj格式】，离线编辑完成的投标文件各组成部分导入pdf格式签章，最终生成加密的投标文件【为wenc格式】）。电子投标书编制工具、投标工具使用手册及供应商使用手册等均可在海南省政府采购电子化交易管理系统（http://218.77.183.212:8199/u/loginu/）-帮助中心下载。</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5、本项目有现场产品功能演示环节，请要进行现场演示的供应商代表于2024年05月31日下午14:30分前携带授权委托书、相关材料及设备，前往海南省海口市美兰区蓝天路15号4栋中坚招投标交易中心三楼（海南省招标投标协会）电子评标室12进行演示。</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意事项：本项目采用全流程电子化操作，供应商应详细阅读海南省政府采购网的通知《海南省财政厅关于进一步推进政府采购全流程电子化的通知》，下载查看操作手册，在使用交易系统遇到问题可致电技术支持：0898-68546705。</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八、凡对本次采购提出询问，请按以下方式联系</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1、采购人信息</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名称：</w:t>
      </w:r>
      <w:r>
        <w:rPr>
          <w:rFonts w:hint="eastAsia" w:ascii="仿宋" w:hAnsi="仿宋" w:eastAsia="仿宋" w:cs="仿宋"/>
          <w:color w:val="auto"/>
          <w:sz w:val="24"/>
          <w:szCs w:val="24"/>
          <w:lang w:val="en-US" w:eastAsia="zh-CN"/>
        </w:rPr>
        <w:t>海南省技师学院</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地址：</w:t>
      </w:r>
      <w:r>
        <w:rPr>
          <w:rFonts w:hint="eastAsia" w:ascii="仿宋" w:hAnsi="仿宋" w:eastAsia="仿宋" w:cs="仿宋"/>
          <w:color w:val="auto"/>
          <w:sz w:val="24"/>
          <w:szCs w:val="24"/>
          <w:lang w:eastAsia="zh-CN"/>
        </w:rPr>
        <w:t>澄迈县老城镇225国道附近</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联系人：孟老师</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联系方式：13876395352</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2、采购代理机构信息</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名称：</w:t>
      </w:r>
      <w:r>
        <w:rPr>
          <w:rFonts w:hint="eastAsia" w:ascii="仿宋" w:hAnsi="仿宋" w:eastAsia="仿宋" w:cs="仿宋"/>
          <w:color w:val="auto"/>
          <w:sz w:val="24"/>
          <w:szCs w:val="24"/>
          <w:lang w:eastAsia="zh-CN"/>
        </w:rPr>
        <w:t>海南和顺项目管理有限公司</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地址：海南省海口市名门广场北区B(6-9)1909室</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val="en-US" w:eastAsia="zh-CN"/>
        </w:rPr>
        <w:t>符</w:t>
      </w:r>
      <w:r>
        <w:rPr>
          <w:rFonts w:hint="eastAsia" w:ascii="仿宋" w:hAnsi="仿宋" w:eastAsia="仿宋" w:cs="仿宋"/>
          <w:color w:val="auto"/>
          <w:sz w:val="24"/>
          <w:szCs w:val="24"/>
        </w:rPr>
        <w:t>工</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联系方式：0898-65377472</w:t>
      </w:r>
    </w:p>
    <w:p>
      <w:pPr>
        <w:widowControl/>
        <w:jc w:val="left"/>
        <w:rPr>
          <w:rFonts w:hint="eastAsia" w:ascii="仿宋" w:hAnsi="仿宋" w:eastAsia="仿宋" w:cs="仿宋"/>
          <w:color w:val="auto"/>
          <w:sz w:val="24"/>
          <w:szCs w:val="21"/>
        </w:rPr>
      </w:pPr>
      <w:r>
        <w:rPr>
          <w:rFonts w:hint="eastAsia" w:ascii="仿宋" w:hAnsi="仿宋" w:eastAsia="仿宋" w:cs="仿宋"/>
          <w:color w:val="auto"/>
          <w:sz w:val="24"/>
          <w:szCs w:val="24"/>
        </w:rPr>
        <w:br w:type="page"/>
      </w:r>
    </w:p>
    <w:p>
      <w:pPr>
        <w:pStyle w:val="2"/>
        <w:pageBreakBefore/>
        <w:spacing w:before="0" w:after="0" w:line="360" w:lineRule="auto"/>
        <w:rPr>
          <w:rFonts w:hint="eastAsia" w:ascii="仿宋" w:hAnsi="仿宋" w:eastAsia="仿宋" w:cs="仿宋"/>
          <w:color w:val="auto"/>
          <w:sz w:val="44"/>
          <w:szCs w:val="44"/>
        </w:rPr>
      </w:pPr>
      <w:bookmarkStart w:id="3" w:name="_Toc511832121"/>
      <w:bookmarkStart w:id="4" w:name="_Toc21166"/>
      <w:bookmarkStart w:id="5" w:name="_Toc495679398"/>
      <w:r>
        <w:rPr>
          <w:rFonts w:hint="eastAsia" w:ascii="仿宋" w:hAnsi="仿宋" w:eastAsia="仿宋" w:cs="仿宋"/>
          <w:color w:val="auto"/>
          <w:sz w:val="44"/>
          <w:szCs w:val="44"/>
        </w:rPr>
        <w:t>第</w:t>
      </w:r>
      <w:r>
        <w:rPr>
          <w:rFonts w:hint="eastAsia" w:ascii="仿宋" w:hAnsi="仿宋" w:eastAsia="仿宋" w:cs="仿宋"/>
          <w:color w:val="auto"/>
          <w:sz w:val="44"/>
          <w:szCs w:val="44"/>
          <w:lang w:eastAsia="zh-CN"/>
        </w:rPr>
        <w:t>二</w:t>
      </w:r>
      <w:r>
        <w:rPr>
          <w:rFonts w:hint="eastAsia" w:ascii="仿宋" w:hAnsi="仿宋" w:eastAsia="仿宋" w:cs="仿宋"/>
          <w:color w:val="auto"/>
          <w:sz w:val="44"/>
          <w:szCs w:val="44"/>
        </w:rPr>
        <w:t>章供应商须知</w:t>
      </w:r>
      <w:bookmarkEnd w:id="3"/>
      <w:bookmarkEnd w:id="4"/>
      <w:bookmarkEnd w:id="5"/>
    </w:p>
    <w:p>
      <w:pPr>
        <w:pStyle w:val="41"/>
        <w:spacing w:after="0" w:line="400" w:lineRule="exact"/>
        <w:ind w:left="0" w:leftChars="0"/>
        <w:rPr>
          <w:rFonts w:hint="eastAsia" w:ascii="仿宋" w:hAnsi="仿宋" w:eastAsia="仿宋" w:cs="仿宋"/>
          <w:b/>
          <w:bCs/>
          <w:color w:val="auto"/>
          <w:sz w:val="32"/>
          <w:szCs w:val="32"/>
        </w:rPr>
      </w:pPr>
      <w:r>
        <w:rPr>
          <w:rFonts w:hint="eastAsia" w:ascii="仿宋" w:hAnsi="仿宋" w:eastAsia="仿宋" w:cs="仿宋"/>
          <w:b/>
          <w:bCs/>
          <w:color w:val="auto"/>
          <w:sz w:val="32"/>
          <w:szCs w:val="32"/>
        </w:rPr>
        <w:t>供应商须知前附表</w:t>
      </w:r>
    </w:p>
    <w:tbl>
      <w:tblPr>
        <w:tblStyle w:val="56"/>
        <w:tblpPr w:leftFromText="180" w:rightFromText="180" w:vertAnchor="text" w:horzAnchor="page" w:tblpX="1894" w:tblpY="56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color w:val="auto"/>
                <w:sz w:val="24"/>
                <w:szCs w:val="24"/>
              </w:rPr>
            </w:pPr>
            <w:bookmarkStart w:id="6" w:name="_Toc133137798"/>
            <w:bookmarkStart w:id="7" w:name="_Toc133204461"/>
            <w:r>
              <w:rPr>
                <w:rFonts w:hint="eastAsia" w:ascii="仿宋" w:hAnsi="仿宋" w:eastAsia="仿宋" w:cs="仿宋"/>
                <w:color w:val="auto"/>
                <w:sz w:val="24"/>
                <w:szCs w:val="24"/>
              </w:rPr>
              <w:t>序号</w:t>
            </w:r>
          </w:p>
        </w:tc>
        <w:tc>
          <w:tcPr>
            <w:tcW w:w="7740" w:type="dxa"/>
            <w:vAlign w:val="center"/>
          </w:tcPr>
          <w:p>
            <w:pPr>
              <w:widowControl/>
              <w:autoSpaceDE w:val="0"/>
              <w:autoSpaceDN w:val="0"/>
              <w:spacing w:line="360" w:lineRule="auto"/>
              <w:jc w:val="center"/>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1</w:t>
            </w:r>
          </w:p>
        </w:tc>
        <w:tc>
          <w:tcPr>
            <w:tcW w:w="7740" w:type="dxa"/>
            <w:vAlign w:val="center"/>
          </w:tcPr>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 xml:space="preserve">采购人名称： </w:t>
            </w:r>
            <w:r>
              <w:rPr>
                <w:rFonts w:hint="eastAsia" w:ascii="仿宋" w:hAnsi="仿宋" w:eastAsia="仿宋" w:cs="仿宋"/>
                <w:color w:val="auto"/>
                <w:sz w:val="24"/>
                <w:szCs w:val="21"/>
                <w:lang w:eastAsia="zh-CN"/>
              </w:rPr>
              <w:t xml:space="preserve">海南省技师学院 </w:t>
            </w:r>
          </w:p>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地  址：</w:t>
            </w:r>
            <w:r>
              <w:rPr>
                <w:rFonts w:hint="eastAsia" w:ascii="仿宋" w:hAnsi="仿宋" w:eastAsia="仿宋" w:cs="仿宋"/>
                <w:color w:val="auto"/>
                <w:sz w:val="24"/>
                <w:szCs w:val="21"/>
                <w:lang w:eastAsia="zh-CN"/>
              </w:rPr>
              <w:t xml:space="preserve">澄迈县老城镇225国道附近 </w:t>
            </w:r>
          </w:p>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项目联系人：</w:t>
            </w:r>
            <w:r>
              <w:rPr>
                <w:rFonts w:hint="eastAsia" w:ascii="仿宋" w:hAnsi="仿宋" w:eastAsia="仿宋" w:cs="仿宋"/>
                <w:color w:val="auto"/>
                <w:sz w:val="24"/>
                <w:szCs w:val="21"/>
                <w:lang w:val="en-US" w:eastAsia="zh-CN"/>
              </w:rPr>
              <w:t>孟老师</w:t>
            </w:r>
          </w:p>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联系电话：</w:t>
            </w:r>
            <w:r>
              <w:rPr>
                <w:rFonts w:hint="eastAsia" w:ascii="仿宋" w:hAnsi="仿宋" w:eastAsia="仿宋" w:cs="仿宋"/>
                <w:color w:val="auto"/>
                <w:sz w:val="24"/>
                <w:lang w:val="en-US" w:eastAsia="zh-CN"/>
              </w:rPr>
              <w:t>13876395352</w:t>
            </w:r>
            <w:r>
              <w:rPr>
                <w:rFonts w:hint="eastAsia" w:ascii="仿宋" w:hAnsi="仿宋" w:eastAsia="仿宋" w:cs="仿宋"/>
                <w:color w:val="auto"/>
                <w:sz w:val="24"/>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2</w:t>
            </w:r>
          </w:p>
        </w:tc>
        <w:tc>
          <w:tcPr>
            <w:tcW w:w="7740" w:type="dxa"/>
            <w:vAlign w:val="center"/>
          </w:tcPr>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采购代理：</w:t>
            </w:r>
            <w:r>
              <w:rPr>
                <w:rFonts w:hint="eastAsia" w:ascii="仿宋" w:hAnsi="仿宋" w:eastAsia="仿宋" w:cs="仿宋"/>
                <w:color w:val="auto"/>
                <w:sz w:val="24"/>
                <w:szCs w:val="21"/>
                <w:lang w:eastAsia="zh-CN"/>
              </w:rPr>
              <w:t>海南和顺项目管理有限公司</w:t>
            </w:r>
          </w:p>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联系人：</w:t>
            </w:r>
            <w:r>
              <w:rPr>
                <w:rFonts w:hint="eastAsia" w:ascii="仿宋" w:hAnsi="仿宋" w:eastAsia="仿宋" w:cs="仿宋"/>
                <w:color w:val="auto"/>
                <w:sz w:val="24"/>
                <w:szCs w:val="21"/>
                <w:lang w:eastAsia="zh-CN"/>
              </w:rPr>
              <w:t>符工</w:t>
            </w:r>
          </w:p>
          <w:p>
            <w:pPr>
              <w:spacing w:line="408" w:lineRule="atLeast"/>
              <w:rPr>
                <w:rFonts w:hint="default" w:ascii="仿宋" w:hAnsi="仿宋" w:eastAsia="仿宋" w:cs="仿宋"/>
                <w:color w:val="auto"/>
                <w:sz w:val="24"/>
                <w:szCs w:val="21"/>
                <w:lang w:val="en-US" w:eastAsia="zh-CN"/>
              </w:rPr>
            </w:pPr>
            <w:r>
              <w:rPr>
                <w:rFonts w:hint="eastAsia" w:ascii="仿宋" w:hAnsi="仿宋" w:eastAsia="仿宋" w:cs="仿宋"/>
                <w:color w:val="auto"/>
                <w:sz w:val="24"/>
                <w:szCs w:val="21"/>
              </w:rPr>
              <w:t>联系电话：</w:t>
            </w:r>
            <w:r>
              <w:rPr>
                <w:rFonts w:hint="eastAsia" w:ascii="仿宋" w:hAnsi="仿宋" w:eastAsia="仿宋" w:cs="仿宋"/>
                <w:color w:val="auto"/>
                <w:sz w:val="24"/>
                <w:szCs w:val="21"/>
                <w:lang w:val="en-US" w:eastAsia="zh-CN"/>
              </w:rPr>
              <w:t>0898-65377472</w:t>
            </w:r>
          </w:p>
          <w:p>
            <w:pPr>
              <w:spacing w:line="408" w:lineRule="atLeast"/>
              <w:rPr>
                <w:rFonts w:hint="eastAsia" w:ascii="仿宋" w:hAnsi="仿宋" w:eastAsia="仿宋" w:cs="仿宋"/>
                <w:color w:val="auto"/>
                <w:sz w:val="24"/>
                <w:szCs w:val="21"/>
              </w:rPr>
            </w:pPr>
            <w:r>
              <w:rPr>
                <w:rFonts w:hint="eastAsia" w:ascii="仿宋" w:hAnsi="仿宋" w:eastAsia="仿宋" w:cs="仿宋"/>
                <w:color w:val="auto"/>
                <w:sz w:val="24"/>
                <w:szCs w:val="21"/>
              </w:rPr>
              <w:t>地址：海南省海口市名门广场北区B(6-9)1909室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3</w:t>
            </w:r>
          </w:p>
        </w:tc>
        <w:tc>
          <w:tcPr>
            <w:tcW w:w="7740" w:type="dxa"/>
            <w:vAlign w:val="center"/>
          </w:tcPr>
          <w:p>
            <w:pPr>
              <w:spacing w:line="360" w:lineRule="auto"/>
              <w:rPr>
                <w:rFonts w:hint="eastAsia" w:ascii="仿宋" w:hAnsi="仿宋" w:eastAsia="仿宋" w:cs="仿宋"/>
                <w:color w:val="auto"/>
                <w:sz w:val="24"/>
                <w:szCs w:val="21"/>
              </w:rPr>
            </w:pPr>
            <w:r>
              <w:rPr>
                <w:rFonts w:hint="eastAsia" w:ascii="仿宋" w:hAnsi="仿宋" w:eastAsia="仿宋" w:cs="仿宋"/>
                <w:color w:val="auto"/>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4</w:t>
            </w:r>
          </w:p>
        </w:tc>
        <w:tc>
          <w:tcPr>
            <w:tcW w:w="7740" w:type="dxa"/>
            <w:vAlign w:val="center"/>
          </w:tcPr>
          <w:p>
            <w:pPr>
              <w:tabs>
                <w:tab w:val="left" w:pos="8640"/>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5</w:t>
            </w:r>
          </w:p>
        </w:tc>
        <w:tc>
          <w:tcPr>
            <w:tcW w:w="7740" w:type="dxa"/>
            <w:vAlign w:val="center"/>
          </w:tcPr>
          <w:p>
            <w:pPr>
              <w:spacing w:line="360" w:lineRule="auto"/>
              <w:ind w:left="-14" w:leftChars="-4" w:firstLine="7" w:firstLineChars="3"/>
              <w:rPr>
                <w:rFonts w:hint="eastAsia" w:ascii="仿宋" w:hAnsi="仿宋" w:eastAsia="仿宋" w:cs="仿宋"/>
                <w:color w:val="auto"/>
                <w:sz w:val="24"/>
                <w:szCs w:val="24"/>
              </w:rPr>
            </w:pPr>
            <w:r>
              <w:rPr>
                <w:rFonts w:hint="eastAsia" w:ascii="仿宋" w:hAnsi="仿宋" w:eastAsia="仿宋" w:cs="仿宋"/>
                <w:color w:val="auto"/>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6</w:t>
            </w:r>
          </w:p>
        </w:tc>
        <w:tc>
          <w:tcPr>
            <w:tcW w:w="7740" w:type="dxa"/>
            <w:vAlign w:val="center"/>
          </w:tcPr>
          <w:p>
            <w:pPr>
              <w:spacing w:line="276" w:lineRule="auto"/>
              <w:ind w:left="-14" w:leftChars="-4" w:firstLine="484" w:firstLineChars="202"/>
              <w:rPr>
                <w:rFonts w:hint="eastAsia" w:ascii="仿宋" w:hAnsi="仿宋" w:eastAsia="仿宋" w:cs="仿宋"/>
                <w:color w:val="auto"/>
                <w:sz w:val="24"/>
                <w:szCs w:val="24"/>
              </w:rPr>
            </w:pPr>
            <w:r>
              <w:rPr>
                <w:rFonts w:hint="eastAsia" w:ascii="仿宋" w:hAnsi="仿宋" w:eastAsia="仿宋" w:cs="仿宋"/>
                <w:color w:val="auto"/>
                <w:sz w:val="24"/>
                <w:szCs w:val="24"/>
              </w:rPr>
              <w:t>供应商提供的磋商响应文件应由以下内容组成，实际响应中如有必要，供应商可对未涉及的部分予以补充:</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1、投标函</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2、开标一览表</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3、资格证明文件（</w:t>
            </w:r>
            <w:r>
              <w:rPr>
                <w:rFonts w:hint="eastAsia" w:ascii="仿宋" w:hAnsi="仿宋" w:eastAsia="仿宋" w:cs="仿宋"/>
                <w:color w:val="auto"/>
                <w:sz w:val="24"/>
                <w:szCs w:val="21"/>
              </w:rPr>
              <w:t>详见磋商公告中的资格要求</w:t>
            </w:r>
            <w:r>
              <w:rPr>
                <w:rFonts w:hint="eastAsia" w:ascii="仿宋" w:hAnsi="仿宋" w:eastAsia="仿宋" w:cs="仿宋"/>
                <w:color w:val="auto"/>
                <w:sz w:val="24"/>
                <w:szCs w:val="24"/>
              </w:rPr>
              <w:t>）</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4、经营活动中没有重大违法记录的声明函</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5、供应商认为需要提供的用于参与评审其他材料</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6、技术方案（格式自定）</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7、最后磋商报价表（第二次报价提供）</w:t>
            </w:r>
          </w:p>
          <w:p>
            <w:pPr>
              <w:widowControl/>
              <w:autoSpaceDE w:val="0"/>
              <w:autoSpaceDN w:val="0"/>
              <w:spacing w:line="276" w:lineRule="auto"/>
              <w:ind w:left="360" w:hanging="360" w:hangingChars="150"/>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注：供应商编制上述文件时，本磋商文件第六章已提供格式的文件须按格式要求填写。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7</w:t>
            </w:r>
          </w:p>
        </w:tc>
        <w:tc>
          <w:tcPr>
            <w:tcW w:w="77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合同履行期限</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自合同签订之日起60日内完成本项目所有内容。</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服务</w:t>
            </w:r>
            <w:r>
              <w:rPr>
                <w:rFonts w:hint="eastAsia" w:ascii="仿宋" w:hAnsi="仿宋" w:eastAsia="仿宋" w:cs="仿宋"/>
                <w:color w:val="auto"/>
                <w:sz w:val="24"/>
                <w:szCs w:val="24"/>
              </w:rPr>
              <w:t>地点：</w:t>
            </w:r>
            <w:r>
              <w:rPr>
                <w:rFonts w:hint="eastAsia" w:ascii="仿宋" w:hAnsi="仿宋" w:eastAsia="仿宋" w:cs="仿宋"/>
                <w:color w:val="auto"/>
                <w:sz w:val="24"/>
                <w:szCs w:val="24"/>
                <w:lang w:val="en-US" w:eastAsia="zh-CN"/>
              </w:rPr>
              <w:t>澄迈县</w:t>
            </w:r>
            <w:r>
              <w:rPr>
                <w:rFonts w:hint="eastAsia" w:ascii="仿宋" w:hAnsi="仿宋" w:eastAsia="仿宋" w:cs="仿宋"/>
                <w:color w:val="auto"/>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8</w:t>
            </w:r>
          </w:p>
        </w:tc>
        <w:tc>
          <w:tcPr>
            <w:tcW w:w="7740" w:type="dxa"/>
            <w:vAlign w:val="center"/>
          </w:tcPr>
          <w:p>
            <w:pPr>
              <w:widowControl/>
              <w:autoSpaceDE w:val="0"/>
              <w:autoSpaceDN w:val="0"/>
              <w:spacing w:line="360" w:lineRule="auto"/>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本项目不接受联合</w:t>
            </w:r>
            <w:r>
              <w:rPr>
                <w:rFonts w:hint="eastAsia" w:ascii="仿宋" w:hAnsi="仿宋" w:eastAsia="仿宋" w:cs="仿宋"/>
                <w:color w:val="auto"/>
                <w:sz w:val="24"/>
                <w:szCs w:val="24"/>
                <w:lang w:val="en-US" w:eastAsia="zh-CN"/>
              </w:rPr>
              <w:t>体</w:t>
            </w:r>
            <w:r>
              <w:rPr>
                <w:rFonts w:hint="eastAsia" w:ascii="仿宋" w:hAnsi="仿宋" w:eastAsia="仿宋" w:cs="仿宋"/>
                <w:color w:val="auto"/>
                <w:sz w:val="24"/>
                <w:szCs w:val="24"/>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9</w:t>
            </w:r>
          </w:p>
        </w:tc>
        <w:tc>
          <w:tcPr>
            <w:tcW w:w="7740" w:type="dxa"/>
            <w:vAlign w:val="center"/>
          </w:tcPr>
          <w:p>
            <w:pPr>
              <w:widowControl/>
              <w:autoSpaceDE w:val="0"/>
              <w:autoSpaceDN w:val="0"/>
              <w:spacing w:line="360" w:lineRule="auto"/>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10</w:t>
            </w:r>
          </w:p>
        </w:tc>
        <w:tc>
          <w:tcPr>
            <w:tcW w:w="7740" w:type="dxa"/>
            <w:vAlign w:val="center"/>
          </w:tcPr>
          <w:p>
            <w:pPr>
              <w:spacing w:line="276" w:lineRule="auto"/>
              <w:rPr>
                <w:rFonts w:hint="eastAsia" w:ascii="仿宋" w:hAnsi="仿宋" w:eastAsia="仿宋" w:cs="仿宋"/>
                <w:b/>
                <w:color w:val="auto"/>
              </w:rPr>
            </w:pPr>
            <w:r>
              <w:rPr>
                <w:rFonts w:hint="eastAsia" w:ascii="仿宋" w:hAnsi="仿宋" w:eastAsia="仿宋" w:cs="仿宋"/>
                <w:bCs/>
                <w:color w:val="auto"/>
                <w:sz w:val="24"/>
              </w:rPr>
              <w:t>磋商保证金：</w:t>
            </w:r>
            <w:r>
              <w:rPr>
                <w:rFonts w:hint="eastAsia" w:ascii="仿宋" w:hAnsi="仿宋" w:eastAsia="仿宋" w:cs="仿宋"/>
                <w:bCs/>
                <w:color w:val="auto"/>
                <w:sz w:val="24"/>
                <w:lang w:val="en-US" w:eastAsia="zh-CN"/>
              </w:rPr>
              <w:t>不作要求</w:t>
            </w:r>
            <w:r>
              <w:rPr>
                <w:rFonts w:hint="eastAsia" w:ascii="仿宋" w:hAnsi="仿宋" w:eastAsia="仿宋" w:cs="仿宋"/>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11</w:t>
            </w:r>
          </w:p>
        </w:tc>
        <w:tc>
          <w:tcPr>
            <w:tcW w:w="7740" w:type="dxa"/>
            <w:vAlign w:val="center"/>
          </w:tcPr>
          <w:p>
            <w:pPr>
              <w:widowControl/>
              <w:autoSpaceDE w:val="0"/>
              <w:autoSpaceDN w:val="0"/>
              <w:spacing w:line="360" w:lineRule="auto"/>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12</w:t>
            </w:r>
          </w:p>
        </w:tc>
        <w:tc>
          <w:tcPr>
            <w:tcW w:w="7740" w:type="dxa"/>
            <w:vAlign w:val="center"/>
          </w:tcPr>
          <w:p>
            <w:pPr>
              <w:widowControl/>
              <w:autoSpaceDE w:val="0"/>
              <w:autoSpaceDN w:val="0"/>
              <w:spacing w:line="360" w:lineRule="auto"/>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磋商响应文件份数：</w:t>
            </w:r>
            <w:r>
              <w:rPr>
                <w:rFonts w:hint="eastAsia" w:ascii="仿宋" w:hAnsi="仿宋" w:eastAsia="仿宋" w:cs="仿宋"/>
                <w:color w:val="auto"/>
                <w:sz w:val="24"/>
                <w:szCs w:val="24"/>
                <w:lang w:val="en-US" w:eastAsia="zh-CN"/>
              </w:rPr>
              <w:t>由中标单位提供</w:t>
            </w:r>
            <w:r>
              <w:rPr>
                <w:rFonts w:hint="eastAsia" w:ascii="仿宋" w:hAnsi="仿宋" w:eastAsia="仿宋" w:cs="仿宋"/>
                <w:color w:val="auto"/>
                <w:sz w:val="24"/>
                <w:szCs w:val="24"/>
              </w:rPr>
              <w:t>正本壹份、副本贰份、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pdf版正本扫描件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电子文档U盘壹份。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13</w:t>
            </w:r>
          </w:p>
        </w:tc>
        <w:tc>
          <w:tcPr>
            <w:tcW w:w="7740" w:type="dxa"/>
            <w:vAlign w:val="center"/>
          </w:tcPr>
          <w:p>
            <w:pPr>
              <w:widowControl/>
              <w:autoSpaceDE w:val="0"/>
              <w:autoSpaceDN w:val="0"/>
              <w:spacing w:line="360" w:lineRule="auto"/>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40" w:type="dxa"/>
            <w:vAlign w:val="center"/>
          </w:tcPr>
          <w:p>
            <w:pPr>
              <w:spacing w:line="360" w:lineRule="auto"/>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4</w:t>
            </w:r>
          </w:p>
        </w:tc>
        <w:tc>
          <w:tcPr>
            <w:tcW w:w="7740" w:type="dxa"/>
            <w:vAlign w:val="center"/>
          </w:tcPr>
          <w:p>
            <w:pPr>
              <w:widowControl/>
              <w:tabs>
                <w:tab w:val="left" w:pos="5352"/>
              </w:tabs>
              <w:autoSpaceDE w:val="0"/>
              <w:autoSpaceDN w:val="0"/>
              <w:spacing w:line="360" w:lineRule="auto"/>
              <w:ind w:right="163" w:rightChars="48"/>
              <w:textAlignment w:val="bottom"/>
              <w:rPr>
                <w:rFonts w:hint="eastAsia" w:ascii="仿宋" w:hAnsi="仿宋" w:eastAsia="仿宋" w:cs="仿宋"/>
                <w:color w:val="auto"/>
                <w:sz w:val="24"/>
                <w:szCs w:val="24"/>
                <w:u w:val="single"/>
              </w:rPr>
            </w:pPr>
            <w:r>
              <w:rPr>
                <w:rFonts w:hint="eastAsia" w:ascii="仿宋" w:hAnsi="仿宋" w:eastAsia="仿宋" w:cs="仿宋"/>
                <w:color w:val="auto"/>
                <w:sz w:val="24"/>
                <w:szCs w:val="24"/>
              </w:rPr>
              <w:t>磋商响应文件递交截止时间：</w:t>
            </w:r>
            <w:r>
              <w:rPr>
                <w:rFonts w:hint="eastAsia" w:ascii="仿宋" w:hAnsi="仿宋" w:eastAsia="仿宋" w:cs="仿宋"/>
                <w:color w:val="auto"/>
                <w:sz w:val="24"/>
                <w:szCs w:val="24"/>
                <w:u w:val="single"/>
                <w:lang w:eastAsia="zh-CN"/>
              </w:rPr>
              <w:t>2024年05月</w:t>
            </w:r>
            <w:r>
              <w:rPr>
                <w:rFonts w:hint="eastAsia" w:ascii="仿宋" w:hAnsi="仿宋" w:eastAsia="仿宋" w:cs="仿宋"/>
                <w:color w:val="auto"/>
                <w:sz w:val="24"/>
                <w:szCs w:val="24"/>
                <w:u w:val="single"/>
                <w:lang w:val="en-US" w:eastAsia="zh-CN"/>
              </w:rPr>
              <w:t>31</w:t>
            </w:r>
            <w:r>
              <w:rPr>
                <w:rFonts w:hint="eastAsia" w:ascii="仿宋" w:hAnsi="仿宋" w:eastAsia="仿宋" w:cs="仿宋"/>
                <w:color w:val="auto"/>
                <w:sz w:val="24"/>
                <w:szCs w:val="24"/>
                <w:u w:val="single"/>
                <w:lang w:eastAsia="zh-CN"/>
              </w:rPr>
              <w:t>日</w:t>
            </w:r>
            <w:r>
              <w:rPr>
                <w:rFonts w:hint="eastAsia" w:ascii="仿宋" w:hAnsi="仿宋" w:eastAsia="仿宋" w:cs="仿宋"/>
                <w:color w:val="auto"/>
                <w:sz w:val="24"/>
                <w:szCs w:val="24"/>
                <w:u w:val="single"/>
                <w:lang w:val="en-US" w:eastAsia="zh-CN"/>
              </w:rPr>
              <w:t>14</w:t>
            </w:r>
            <w:r>
              <w:rPr>
                <w:rFonts w:hint="eastAsia" w:ascii="仿宋" w:hAnsi="仿宋" w:eastAsia="仿宋" w:cs="仿宋"/>
                <w:color w:val="auto"/>
                <w:sz w:val="24"/>
                <w:szCs w:val="24"/>
                <w:u w:val="single"/>
                <w:lang w:eastAsia="zh-CN"/>
              </w:rPr>
              <w:t>点</w:t>
            </w:r>
            <w:r>
              <w:rPr>
                <w:rFonts w:hint="eastAsia" w:ascii="仿宋" w:hAnsi="仿宋" w:eastAsia="仿宋" w:cs="仿宋"/>
                <w:color w:val="auto"/>
                <w:sz w:val="24"/>
                <w:szCs w:val="24"/>
                <w:u w:val="single"/>
                <w:lang w:val="en-US" w:eastAsia="zh-CN"/>
              </w:rPr>
              <w:t>30</w:t>
            </w:r>
            <w:r>
              <w:rPr>
                <w:rFonts w:hint="eastAsia" w:ascii="仿宋" w:hAnsi="仿宋" w:eastAsia="仿宋" w:cs="仿宋"/>
                <w:color w:val="auto"/>
                <w:sz w:val="24"/>
                <w:szCs w:val="24"/>
                <w:u w:val="single"/>
                <w:lang w:eastAsia="zh-CN"/>
              </w:rPr>
              <w:t>分</w:t>
            </w:r>
            <w:r>
              <w:rPr>
                <w:rFonts w:hint="eastAsia" w:ascii="仿宋" w:hAnsi="仿宋" w:eastAsia="仿宋" w:cs="仿宋"/>
                <w:color w:val="auto"/>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5</w:t>
            </w:r>
          </w:p>
        </w:tc>
        <w:tc>
          <w:tcPr>
            <w:tcW w:w="7740" w:type="dxa"/>
            <w:vAlign w:val="center"/>
          </w:tcPr>
          <w:p>
            <w:pPr>
              <w:widowControl/>
              <w:tabs>
                <w:tab w:val="left" w:pos="5352"/>
              </w:tabs>
              <w:autoSpaceDE w:val="0"/>
              <w:autoSpaceDN w:val="0"/>
              <w:spacing w:line="360" w:lineRule="auto"/>
              <w:ind w:right="163" w:rightChars="48"/>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开标时间：同磋商响应文件递交截止时间。</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1440" w:type="dxa"/>
            <w:vAlign w:val="center"/>
          </w:tcPr>
          <w:p>
            <w:pPr>
              <w:spacing w:line="360" w:lineRule="auto"/>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6</w:t>
            </w:r>
          </w:p>
        </w:tc>
        <w:tc>
          <w:tcPr>
            <w:tcW w:w="7740" w:type="dxa"/>
            <w:vAlign w:val="center"/>
          </w:tcPr>
          <w:p>
            <w:pPr>
              <w:spacing w:line="276" w:lineRule="auto"/>
              <w:rPr>
                <w:rFonts w:hint="eastAsia" w:ascii="仿宋" w:hAnsi="仿宋" w:eastAsia="仿宋" w:cs="仿宋"/>
                <w:b/>
                <w:color w:val="auto"/>
                <w:sz w:val="24"/>
                <w:szCs w:val="24"/>
              </w:rPr>
            </w:pPr>
            <w:r>
              <w:rPr>
                <w:rFonts w:hint="eastAsia" w:ascii="仿宋" w:hAnsi="仿宋" w:eastAsia="仿宋" w:cs="仿宋"/>
                <w:b/>
                <w:color w:val="auto"/>
                <w:sz w:val="24"/>
                <w:szCs w:val="24"/>
              </w:rPr>
              <w:t>出现以下情况将可导致供应商的投标被拒绝：</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磋商响应文件的签署、盖章不符合磋商文件的要求；</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供应商的资格证明文件不符合磋商文件的要求；</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投标函或磋商报价不符合磋商文件的要求；</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磋商保证金不符合磋商文件递交的要求；</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磋商响应文件的响应与磋商文件的实质性要求存在重大偏离；</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不符合法律、法规和磋商文件中规定的其他实质性要求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vAlign w:val="center"/>
          </w:tcPr>
          <w:p>
            <w:pPr>
              <w:spacing w:line="360" w:lineRule="auto"/>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7</w:t>
            </w:r>
          </w:p>
        </w:tc>
        <w:tc>
          <w:tcPr>
            <w:tcW w:w="7740" w:type="dxa"/>
            <w:vAlign w:val="center"/>
          </w:tcPr>
          <w:p>
            <w:pPr>
              <w:autoSpaceDE w:val="0"/>
              <w:autoSpaceDN w:val="0"/>
              <w:spacing w:line="360" w:lineRule="auto"/>
              <w:ind w:right="-31" w:rightChars="-9"/>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磋商小组由3名专家组成，专家按规定从海南省综合评标专家库中随机</w:t>
            </w:r>
            <w:r>
              <w:rPr>
                <w:rFonts w:hint="eastAsia" w:ascii="仿宋" w:hAnsi="仿宋" w:eastAsia="仿宋" w:cs="仿宋"/>
                <w:color w:val="auto"/>
                <w:sz w:val="24"/>
                <w:szCs w:val="24"/>
                <w:lang w:val="en-US" w:eastAsia="zh-CN"/>
              </w:rPr>
              <w:t>抽</w:t>
            </w:r>
            <w:r>
              <w:rPr>
                <w:rFonts w:hint="eastAsia" w:ascii="仿宋" w:hAnsi="仿宋" w:eastAsia="仿宋" w:cs="仿宋"/>
                <w:color w:val="auto"/>
                <w:sz w:val="24"/>
                <w:szCs w:val="24"/>
              </w:rPr>
              <w:t>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440" w:type="dxa"/>
            <w:vAlign w:val="center"/>
          </w:tcPr>
          <w:p>
            <w:pPr>
              <w:spacing w:line="360" w:lineRule="auto"/>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8</w:t>
            </w:r>
          </w:p>
        </w:tc>
        <w:tc>
          <w:tcPr>
            <w:tcW w:w="7740" w:type="dxa"/>
            <w:vAlign w:val="center"/>
          </w:tcPr>
          <w:p>
            <w:pPr>
              <w:autoSpaceDE w:val="0"/>
              <w:autoSpaceDN w:val="0"/>
              <w:spacing w:line="360" w:lineRule="auto"/>
              <w:ind w:right="-31" w:rightChars="-9"/>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推荐成交候选人</w:t>
            </w:r>
            <w:r>
              <w:rPr>
                <w:rFonts w:hint="eastAsia" w:ascii="仿宋" w:hAnsi="仿宋" w:eastAsia="仿宋" w:cs="仿宋"/>
                <w:color w:val="auto"/>
                <w:sz w:val="24"/>
                <w:szCs w:val="24"/>
                <w:u w:val="single"/>
              </w:rPr>
              <w:t>3</w:t>
            </w:r>
            <w:r>
              <w:rPr>
                <w:rFonts w:hint="eastAsia" w:ascii="仿宋" w:hAnsi="仿宋" w:eastAsia="仿宋" w:cs="仿宋"/>
                <w:color w:val="auto"/>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440" w:type="dxa"/>
            <w:vAlign w:val="center"/>
          </w:tcPr>
          <w:p>
            <w:pPr>
              <w:spacing w:line="360" w:lineRule="auto"/>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19</w:t>
            </w:r>
          </w:p>
        </w:tc>
        <w:tc>
          <w:tcPr>
            <w:tcW w:w="7740" w:type="dxa"/>
            <w:vAlign w:val="center"/>
          </w:tcPr>
          <w:p>
            <w:pPr>
              <w:autoSpaceDE w:val="0"/>
              <w:autoSpaceDN w:val="0"/>
              <w:spacing w:line="360" w:lineRule="auto"/>
              <w:ind w:right="-31" w:rightChars="-9"/>
              <w:textAlignment w:val="bottom"/>
              <w:rPr>
                <w:rFonts w:hint="eastAsia" w:ascii="仿宋" w:hAnsi="仿宋" w:eastAsia="仿宋" w:cs="仿宋"/>
                <w:color w:val="auto"/>
                <w:sz w:val="24"/>
                <w:szCs w:val="24"/>
              </w:rPr>
            </w:pPr>
            <w:r>
              <w:rPr>
                <w:rFonts w:hint="eastAsia" w:ascii="仿宋" w:hAnsi="仿宋" w:eastAsia="仿宋" w:cs="仿宋"/>
                <w:color w:val="auto"/>
                <w:sz w:val="24"/>
              </w:rPr>
              <w:t>超出各包预算价的磋商报价将被拒绝。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440" w:type="dxa"/>
            <w:vAlign w:val="center"/>
          </w:tcPr>
          <w:p>
            <w:pPr>
              <w:spacing w:line="360" w:lineRule="auto"/>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20</w:t>
            </w:r>
          </w:p>
        </w:tc>
        <w:tc>
          <w:tcPr>
            <w:tcW w:w="7740" w:type="dxa"/>
            <w:vAlign w:val="center"/>
          </w:tcPr>
          <w:p>
            <w:pPr>
              <w:autoSpaceDE w:val="0"/>
              <w:autoSpaceDN w:val="0"/>
              <w:spacing w:line="360" w:lineRule="auto"/>
              <w:ind w:right="-31" w:rightChars="-9"/>
              <w:textAlignment w:val="bottom"/>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所属行业：信息技术服务业</w:t>
            </w:r>
          </w:p>
        </w:tc>
      </w:tr>
    </w:tbl>
    <w:p>
      <w:pPr>
        <w:pStyle w:val="2"/>
        <w:pageBreakBefore/>
        <w:spacing w:before="0" w:after="0" w:line="360" w:lineRule="auto"/>
        <w:jc w:val="center"/>
        <w:rPr>
          <w:rFonts w:ascii="仿宋" w:hAnsi="仿宋" w:eastAsia="仿宋" w:cs="仿宋"/>
          <w:szCs w:val="32"/>
        </w:rPr>
      </w:pPr>
      <w:r>
        <w:rPr>
          <w:rFonts w:hint="eastAsia" w:ascii="仿宋" w:hAnsi="仿宋" w:eastAsia="仿宋" w:cs="仿宋"/>
          <w:color w:val="auto"/>
          <w:szCs w:val="32"/>
        </w:rPr>
        <w:t xml:space="preserve"> </w:t>
      </w:r>
      <w:bookmarkStart w:id="8" w:name="_Toc1534"/>
      <w:bookmarkStart w:id="9" w:name="_Toc511832122"/>
      <w:bookmarkStart w:id="10" w:name="_Toc495679399"/>
      <w:r>
        <w:rPr>
          <w:rFonts w:hint="eastAsia" w:ascii="仿宋" w:hAnsi="仿宋" w:eastAsia="仿宋" w:cs="仿宋"/>
          <w:szCs w:val="32"/>
        </w:rPr>
        <w:t>供应商须知正文部分</w:t>
      </w:r>
      <w:bookmarkEnd w:id="8"/>
      <w:bookmarkEnd w:id="9"/>
      <w:bookmarkEnd w:id="10"/>
    </w:p>
    <w:p>
      <w:pPr>
        <w:spacing w:line="360" w:lineRule="auto"/>
        <w:ind w:firstLine="480" w:firstLineChars="200"/>
        <w:rPr>
          <w:rFonts w:hint="eastAsia" w:ascii="仿宋" w:hAnsi="仿宋" w:eastAsia="仿宋" w:cs="仿宋"/>
          <w:color w:val="auto"/>
          <w:sz w:val="24"/>
          <w:szCs w:val="24"/>
        </w:rPr>
      </w:pPr>
      <w:bookmarkStart w:id="11" w:name="_Toc16938519"/>
      <w:bookmarkStart w:id="12" w:name="_Toc20823275"/>
      <w:bookmarkStart w:id="13" w:name="_Toc474854519"/>
      <w:bookmarkStart w:id="14" w:name="_Toc50132625"/>
      <w:bookmarkStart w:id="15" w:name="_Toc403987205"/>
      <w:bookmarkStart w:id="16" w:name="_Toc77673386"/>
      <w:bookmarkStart w:id="17" w:name="_Toc513029203"/>
      <w:bookmarkStart w:id="18" w:name="_Toc6942"/>
      <w:bookmarkStart w:id="19" w:name="_Toc120614214"/>
      <w:r>
        <w:rPr>
          <w:rFonts w:hint="eastAsia" w:ascii="仿宋" w:hAnsi="仿宋" w:eastAsia="仿宋" w:cs="仿宋"/>
          <w:color w:val="auto"/>
          <w:sz w:val="24"/>
          <w:szCs w:val="24"/>
        </w:rPr>
        <w:t>2.1 总则</w:t>
      </w:r>
      <w:bookmarkEnd w:id="11"/>
      <w:bookmarkEnd w:id="12"/>
      <w:bookmarkEnd w:id="13"/>
      <w:bookmarkEnd w:id="14"/>
      <w:bookmarkEnd w:id="15"/>
      <w:bookmarkEnd w:id="16"/>
      <w:bookmarkEnd w:id="17"/>
      <w:bookmarkEnd w:id="18"/>
      <w:bookmarkEnd w:id="19"/>
    </w:p>
    <w:p>
      <w:pPr>
        <w:spacing w:line="360" w:lineRule="auto"/>
        <w:ind w:firstLine="480" w:firstLineChars="200"/>
        <w:rPr>
          <w:rFonts w:hint="eastAsia" w:ascii="仿宋" w:hAnsi="仿宋" w:eastAsia="仿宋" w:cs="仿宋"/>
          <w:color w:val="auto"/>
          <w:sz w:val="24"/>
          <w:szCs w:val="24"/>
        </w:rPr>
      </w:pPr>
      <w:bookmarkStart w:id="20" w:name="_Hlt16619475"/>
      <w:bookmarkEnd w:id="20"/>
      <w:bookmarkStart w:id="21" w:name="_Toc20823276"/>
      <w:bookmarkStart w:id="22" w:name="_Toc16938520"/>
      <w:bookmarkStart w:id="23" w:name="_Toc513029204"/>
      <w:bookmarkStart w:id="24" w:name="_Toc4589"/>
      <w:bookmarkStart w:id="25" w:name="_Toc50133106"/>
      <w:bookmarkStart w:id="26" w:name="_Toc77673387"/>
      <w:r>
        <w:rPr>
          <w:rFonts w:hint="eastAsia" w:ascii="仿宋" w:hAnsi="仿宋" w:eastAsia="仿宋" w:cs="仿宋"/>
          <w:color w:val="auto"/>
          <w:sz w:val="24"/>
          <w:szCs w:val="24"/>
        </w:rPr>
        <w:t>2.1.1 采购方式</w:t>
      </w:r>
      <w:bookmarkEnd w:id="21"/>
      <w:bookmarkEnd w:id="22"/>
      <w:bookmarkEnd w:id="23"/>
      <w:r>
        <w:rPr>
          <w:rFonts w:hint="eastAsia" w:ascii="仿宋" w:hAnsi="仿宋" w:eastAsia="仿宋" w:cs="仿宋"/>
          <w:color w:val="auto"/>
          <w:sz w:val="24"/>
          <w:szCs w:val="24"/>
        </w:rPr>
        <w:t>、定义及相应职责</w:t>
      </w:r>
      <w:bookmarkEnd w:id="24"/>
      <w:bookmarkEnd w:id="25"/>
      <w:bookmarkEnd w:id="26"/>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本次采购采用竞争性磋商方式（以下简称磋商），本竞争性磋商文件仅适用于竞争性磋商公告中所述项目。</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一、“采购人”系指依法进行政府采购的国家机关、事业单位、团体组织。本次招标的采购人是</w:t>
      </w:r>
      <w:r>
        <w:rPr>
          <w:rFonts w:hint="eastAsia" w:ascii="仿宋" w:hAnsi="仿宋" w:eastAsia="仿宋" w:cs="仿宋"/>
          <w:color w:val="auto"/>
          <w:sz w:val="24"/>
          <w:szCs w:val="24"/>
          <w:u w:val="single"/>
          <w:lang w:val="en-US" w:eastAsia="zh-CN"/>
        </w:rPr>
        <w:t>海南省技师学院</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二、“采购代理机构”系指根据采购人的委托依法办理招标事宜的采购机构。本次招标的采购代理机构是</w:t>
      </w:r>
      <w:r>
        <w:rPr>
          <w:rFonts w:hint="eastAsia" w:ascii="仿宋" w:hAnsi="仿宋" w:eastAsia="仿宋" w:cs="仿宋"/>
          <w:color w:val="auto"/>
          <w:sz w:val="24"/>
          <w:szCs w:val="24"/>
          <w:u w:val="single"/>
          <w:lang w:eastAsia="zh-CN"/>
        </w:rPr>
        <w:t>海南和顺项目管理有限公司</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三、“招标采购人”系指“采购人”和“采购代理机构”的统称。</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供应商”系指购买了竞争性磋商文件拟参加投标和向采购人提供货物及相应服务的投标人。对竞争性磋商文件错、漏之处提出澄清、说明要求或质疑；按要求缴纳磋商保证金；按要求编制磋商响应文件；派投标代表投标（递交磋商响应文件），参加磋商活动，对评审小组就磋商响应文件提出的问题进行澄清；“投标代表”系指在投标过程中代表供应商处理投标事宜的人员，包括供应商法定代表人或负责人及取得授权的供应商人员；配合相关职能部门就磋商采购项目的质疑、投诉和举报的处理工作；与采购人签订采购合同，按照合同规定向采购人提供技术服务；政府采购法律法规所规定的其他职责。</w:t>
      </w:r>
    </w:p>
    <w:p>
      <w:pPr>
        <w:spacing w:line="360" w:lineRule="auto"/>
        <w:ind w:firstLine="480" w:firstLineChars="200"/>
        <w:rPr>
          <w:rFonts w:hint="eastAsia" w:ascii="仿宋" w:hAnsi="仿宋" w:eastAsia="仿宋" w:cs="仿宋"/>
          <w:color w:val="auto"/>
          <w:sz w:val="24"/>
          <w:szCs w:val="24"/>
        </w:rPr>
      </w:pPr>
      <w:bookmarkStart w:id="27" w:name="_Toc20823277"/>
      <w:bookmarkStart w:id="28" w:name="_Toc16938521"/>
      <w:bookmarkStart w:id="29" w:name="_Toc513029205"/>
      <w:bookmarkStart w:id="30" w:name="_Toc77673388"/>
      <w:bookmarkStart w:id="31" w:name="_Toc50133107"/>
      <w:bookmarkStart w:id="32" w:name="_Toc4250"/>
      <w:r>
        <w:rPr>
          <w:rFonts w:hint="eastAsia" w:ascii="仿宋" w:hAnsi="仿宋" w:eastAsia="仿宋" w:cs="仿宋"/>
          <w:color w:val="auto"/>
          <w:sz w:val="24"/>
          <w:szCs w:val="24"/>
        </w:rPr>
        <w:t>2.1.2 合格的</w:t>
      </w:r>
      <w:bookmarkEnd w:id="27"/>
      <w:bookmarkEnd w:id="28"/>
      <w:bookmarkEnd w:id="29"/>
      <w:r>
        <w:rPr>
          <w:rFonts w:hint="eastAsia" w:ascii="仿宋" w:hAnsi="仿宋" w:eastAsia="仿宋" w:cs="仿宋"/>
          <w:color w:val="auto"/>
          <w:sz w:val="24"/>
          <w:szCs w:val="24"/>
        </w:rPr>
        <w:t>供应商</w:t>
      </w:r>
      <w:bookmarkEnd w:id="30"/>
      <w:bookmarkEnd w:id="31"/>
      <w:bookmarkEnd w:id="32"/>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一、满足竞争性磋商“第一章竞争性磋商公告”中申请人的资格要求条件的规定。</w:t>
      </w:r>
    </w:p>
    <w:p>
      <w:pPr>
        <w:spacing w:line="360" w:lineRule="auto"/>
        <w:ind w:firstLine="480" w:firstLineChars="200"/>
        <w:rPr>
          <w:rFonts w:hint="eastAsia" w:ascii="仿宋" w:hAnsi="仿宋" w:eastAsia="仿宋" w:cs="仿宋"/>
          <w:color w:val="auto"/>
          <w:sz w:val="24"/>
          <w:szCs w:val="24"/>
          <w:lang w:val="en-GB"/>
        </w:rPr>
      </w:pPr>
      <w:r>
        <w:rPr>
          <w:rFonts w:hint="eastAsia" w:ascii="仿宋" w:hAnsi="仿宋" w:eastAsia="仿宋" w:cs="仿宋"/>
          <w:color w:val="auto"/>
          <w:sz w:val="24"/>
          <w:szCs w:val="24"/>
          <w:lang w:val="en-GB"/>
        </w:rPr>
        <w:t>二、符合《中华人民共和国政府采购法》第二十二条规定的供应商。</w:t>
      </w:r>
    </w:p>
    <w:p>
      <w:pPr>
        <w:spacing w:line="360" w:lineRule="auto"/>
        <w:ind w:firstLine="480" w:firstLineChars="200"/>
        <w:rPr>
          <w:rFonts w:hint="eastAsia" w:ascii="仿宋" w:hAnsi="仿宋" w:eastAsia="仿宋" w:cs="仿宋"/>
          <w:color w:val="auto"/>
          <w:sz w:val="24"/>
          <w:szCs w:val="24"/>
          <w:lang w:val="en-GB"/>
        </w:rPr>
      </w:pPr>
      <w:r>
        <w:rPr>
          <w:rFonts w:hint="eastAsia" w:ascii="仿宋" w:hAnsi="仿宋" w:eastAsia="仿宋" w:cs="仿宋"/>
          <w:color w:val="auto"/>
          <w:sz w:val="24"/>
          <w:szCs w:val="24"/>
        </w:rPr>
        <w:t>三、</w:t>
      </w:r>
      <w:r>
        <w:rPr>
          <w:rFonts w:hint="eastAsia" w:ascii="仿宋" w:hAnsi="仿宋" w:eastAsia="仿宋" w:cs="仿宋"/>
          <w:color w:val="auto"/>
          <w:sz w:val="24"/>
          <w:szCs w:val="24"/>
          <w:lang w:val="en-GB"/>
        </w:rPr>
        <w:t>符合磋商文件规定的资质要求，有能力提供满足磋商要求的相关工程服务的法人实体。</w:t>
      </w:r>
    </w:p>
    <w:p>
      <w:pPr>
        <w:spacing w:line="360" w:lineRule="auto"/>
        <w:ind w:firstLine="480" w:firstLineChars="200"/>
        <w:rPr>
          <w:rFonts w:hint="eastAsia" w:ascii="仿宋" w:hAnsi="仿宋" w:eastAsia="仿宋" w:cs="仿宋"/>
          <w:color w:val="auto"/>
          <w:sz w:val="24"/>
          <w:szCs w:val="24"/>
          <w:lang w:val="en-GB"/>
        </w:rPr>
      </w:pPr>
      <w:r>
        <w:rPr>
          <w:rFonts w:hint="eastAsia" w:ascii="仿宋" w:hAnsi="仿宋" w:eastAsia="仿宋" w:cs="仿宋"/>
          <w:color w:val="auto"/>
          <w:sz w:val="24"/>
          <w:szCs w:val="24"/>
        </w:rPr>
        <w:t>四、供应商应遵守中华人民共和国的有关法律、法规。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GB"/>
        </w:rPr>
        <w:t>五、“成交供应商”系指经磋商小组按照磋商文件确定的评审标准和方法，对磋商响应文件进行评审，推荐合格的成交候选人，采购人根据磋商小组提出的书面评审报告和推荐的成交候选人确定成交供应商。</w:t>
      </w:r>
    </w:p>
    <w:p>
      <w:pPr>
        <w:spacing w:line="360" w:lineRule="auto"/>
        <w:ind w:firstLine="480" w:firstLineChars="200"/>
        <w:rPr>
          <w:rFonts w:hint="eastAsia" w:ascii="仿宋" w:hAnsi="仿宋" w:eastAsia="仿宋" w:cs="仿宋"/>
          <w:color w:val="auto"/>
          <w:sz w:val="24"/>
          <w:szCs w:val="24"/>
        </w:rPr>
      </w:pPr>
      <w:bookmarkStart w:id="33" w:name="_Toc20661"/>
      <w:bookmarkStart w:id="34" w:name="_Toc513029206"/>
      <w:bookmarkStart w:id="35" w:name="_Toc16938522"/>
      <w:bookmarkStart w:id="36" w:name="_Toc77673389"/>
      <w:bookmarkStart w:id="37" w:name="_Toc50133108"/>
      <w:bookmarkStart w:id="38" w:name="_Toc20823278"/>
      <w:r>
        <w:rPr>
          <w:rFonts w:hint="eastAsia" w:ascii="仿宋" w:hAnsi="仿宋" w:eastAsia="仿宋" w:cs="仿宋"/>
          <w:color w:val="auto"/>
          <w:sz w:val="24"/>
          <w:szCs w:val="24"/>
        </w:rPr>
        <w:t>2.1.3 适用法律</w:t>
      </w:r>
      <w:bookmarkEnd w:id="33"/>
      <w:bookmarkEnd w:id="34"/>
      <w:bookmarkEnd w:id="35"/>
      <w:bookmarkEnd w:id="36"/>
      <w:bookmarkEnd w:id="37"/>
      <w:bookmarkEnd w:id="38"/>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本次竞争性磋商及由此产生的合同受中华人民共和国有关的法律法规制约和保护。</w:t>
      </w:r>
    </w:p>
    <w:p>
      <w:pPr>
        <w:spacing w:line="360" w:lineRule="auto"/>
        <w:ind w:firstLine="480" w:firstLineChars="200"/>
        <w:rPr>
          <w:rFonts w:hint="eastAsia" w:ascii="仿宋" w:hAnsi="仿宋" w:eastAsia="仿宋" w:cs="仿宋"/>
          <w:color w:val="auto"/>
          <w:sz w:val="24"/>
          <w:szCs w:val="24"/>
        </w:rPr>
      </w:pPr>
      <w:bookmarkStart w:id="39" w:name="_Toc27571"/>
      <w:bookmarkStart w:id="40" w:name="_Toc20823279"/>
      <w:bookmarkStart w:id="41" w:name="_Toc513029207"/>
      <w:bookmarkStart w:id="42" w:name="_Toc77673390"/>
      <w:bookmarkStart w:id="43" w:name="_Toc462564067"/>
      <w:bookmarkStart w:id="44" w:name="_Toc50133109"/>
      <w:bookmarkStart w:id="45" w:name="_Toc16938523"/>
      <w:r>
        <w:rPr>
          <w:rFonts w:hint="eastAsia" w:ascii="仿宋" w:hAnsi="仿宋" w:eastAsia="仿宋" w:cs="仿宋"/>
          <w:color w:val="auto"/>
          <w:sz w:val="24"/>
          <w:szCs w:val="24"/>
        </w:rPr>
        <w:t>2.1.4 磋商费用</w:t>
      </w:r>
      <w:bookmarkEnd w:id="39"/>
      <w:bookmarkEnd w:id="40"/>
      <w:bookmarkEnd w:id="41"/>
      <w:bookmarkEnd w:id="42"/>
      <w:bookmarkEnd w:id="43"/>
      <w:bookmarkEnd w:id="44"/>
      <w:bookmarkEnd w:id="45"/>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一、供应商应自行承担所有与参加磋商有关的费用，无论磋商过程中的做法和结果如何，采购人在任何情况下均无义务和责任承担这些费用。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二、本项目购买标书费用按照竞争性磋商文件“第一章 竞争性磋商公告”规定代理机构向供应商收取购买标书费用，标书费用一次性支付，售后一概不退还。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、采购代理机构参照参照《海南省物价局关于降低部分招标代理服务收费标准的通知》（琼价费管〔2011〕225号）规定的费率计取</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招标代理服务费为28248.49元。由成交供应商支付</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bookmarkStart w:id="46" w:name="_Toc6587"/>
      <w:bookmarkStart w:id="47" w:name="_Toc77673391"/>
      <w:bookmarkStart w:id="48" w:name="_Toc50133110"/>
      <w:r>
        <w:rPr>
          <w:rFonts w:hint="eastAsia" w:ascii="仿宋" w:hAnsi="仿宋" w:eastAsia="仿宋" w:cs="仿宋"/>
          <w:color w:val="auto"/>
          <w:sz w:val="24"/>
          <w:szCs w:val="24"/>
        </w:rPr>
        <w:t>2.1.5 竞争性磋商文件的约束力</w:t>
      </w:r>
      <w:bookmarkEnd w:id="46"/>
      <w:bookmarkEnd w:id="47"/>
      <w:bookmarkEnd w:id="48"/>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供应商一旦购买了本竞争性磋商文件并决定参加磋商，即被认为接受了本竞争性磋商文件的规定和约束，并且视为自竞争性磋商公告期限届满之日起已经知道或应当知道自身权益是否受到了损害。</w:t>
      </w:r>
    </w:p>
    <w:p>
      <w:pPr>
        <w:spacing w:line="360" w:lineRule="auto"/>
        <w:ind w:firstLine="480" w:firstLineChars="200"/>
        <w:rPr>
          <w:rFonts w:hint="eastAsia" w:ascii="仿宋" w:hAnsi="仿宋" w:eastAsia="仿宋" w:cs="仿宋"/>
          <w:color w:val="auto"/>
          <w:sz w:val="24"/>
          <w:szCs w:val="24"/>
        </w:rPr>
      </w:pPr>
      <w:bookmarkStart w:id="49" w:name="_Toc50133111"/>
      <w:bookmarkStart w:id="50" w:name="_Toc8142"/>
      <w:bookmarkStart w:id="51" w:name="_Toc77673392"/>
      <w:r>
        <w:rPr>
          <w:rFonts w:hint="eastAsia" w:ascii="仿宋" w:hAnsi="仿宋" w:eastAsia="仿宋" w:cs="仿宋"/>
          <w:color w:val="auto"/>
          <w:sz w:val="24"/>
          <w:szCs w:val="24"/>
        </w:rPr>
        <w:t>2.1.6 投标有效期</w:t>
      </w:r>
      <w:bookmarkEnd w:id="49"/>
      <w:bookmarkEnd w:id="50"/>
      <w:bookmarkEnd w:id="51"/>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一、投标有效期为自开标之日起60天，有效期短于此规定的磋商响应文件将被视为无效。</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在特殊情况下，采购人可于投标有效期满之前，征得供应商同意延长投标有效期，要求与答复均应以书面形式进行。供应商可以拒绝接受这一要求，待首次投标有效期届满，供应商可放弃本次投标，且磋商保证金可无息退还。同意这一要求的供应商，无需也不允许修改其磋商响应文件，但须相应延长磋商保证金的有效期。受投标有效期制约的所有权利和义务均应延长至新的有效期。</w:t>
      </w:r>
    </w:p>
    <w:p>
      <w:pPr>
        <w:spacing w:line="360" w:lineRule="auto"/>
        <w:ind w:firstLine="480" w:firstLineChars="200"/>
        <w:rPr>
          <w:rFonts w:hint="eastAsia" w:ascii="仿宋" w:hAnsi="仿宋" w:eastAsia="仿宋" w:cs="仿宋"/>
          <w:color w:val="auto"/>
          <w:sz w:val="24"/>
          <w:szCs w:val="24"/>
        </w:rPr>
      </w:pPr>
      <w:bookmarkStart w:id="52" w:name="_Toc77673393"/>
      <w:bookmarkStart w:id="53" w:name="_Toc120614215"/>
      <w:bookmarkStart w:id="54" w:name="_Toc20823281"/>
      <w:bookmarkStart w:id="55" w:name="_Toc474854520"/>
      <w:bookmarkStart w:id="56" w:name="_Toc50132626"/>
      <w:bookmarkStart w:id="57" w:name="_Toc403987206"/>
      <w:bookmarkStart w:id="58" w:name="_Toc16938525"/>
      <w:bookmarkStart w:id="59" w:name="_Toc513029209"/>
      <w:bookmarkStart w:id="60" w:name="_Toc30082"/>
      <w:r>
        <w:rPr>
          <w:rFonts w:hint="eastAsia" w:ascii="仿宋" w:hAnsi="仿宋" w:eastAsia="仿宋" w:cs="仿宋"/>
          <w:color w:val="auto"/>
          <w:sz w:val="24"/>
          <w:szCs w:val="24"/>
        </w:rPr>
        <w:t>2.2 竞争性磋商文件</w:t>
      </w:r>
      <w:bookmarkEnd w:id="52"/>
      <w:bookmarkEnd w:id="53"/>
      <w:bookmarkEnd w:id="54"/>
      <w:bookmarkEnd w:id="55"/>
      <w:bookmarkEnd w:id="56"/>
      <w:bookmarkEnd w:id="57"/>
      <w:bookmarkEnd w:id="58"/>
      <w:bookmarkEnd w:id="59"/>
      <w:bookmarkEnd w:id="60"/>
    </w:p>
    <w:p>
      <w:pPr>
        <w:spacing w:line="360" w:lineRule="auto"/>
        <w:ind w:firstLine="480" w:firstLineChars="200"/>
        <w:rPr>
          <w:rFonts w:hint="eastAsia" w:ascii="仿宋" w:hAnsi="仿宋" w:eastAsia="仿宋" w:cs="仿宋"/>
          <w:color w:val="auto"/>
          <w:sz w:val="24"/>
          <w:szCs w:val="24"/>
        </w:rPr>
      </w:pPr>
      <w:bookmarkStart w:id="61" w:name="_Toc513029210"/>
      <w:bookmarkStart w:id="62" w:name="_Toc13133"/>
      <w:bookmarkStart w:id="63" w:name="_Toc20823282"/>
      <w:bookmarkStart w:id="64" w:name="_Toc50133113"/>
      <w:bookmarkStart w:id="65" w:name="_Toc77673394"/>
      <w:bookmarkStart w:id="66" w:name="_Toc16938526"/>
      <w:r>
        <w:rPr>
          <w:rFonts w:hint="eastAsia" w:ascii="仿宋" w:hAnsi="仿宋" w:eastAsia="仿宋" w:cs="仿宋"/>
          <w:color w:val="auto"/>
          <w:sz w:val="24"/>
          <w:szCs w:val="24"/>
        </w:rPr>
        <w:t>2.2.1竞争性磋商文件构成</w:t>
      </w:r>
      <w:bookmarkEnd w:id="61"/>
      <w:bookmarkEnd w:id="62"/>
      <w:bookmarkEnd w:id="63"/>
      <w:bookmarkEnd w:id="64"/>
      <w:bookmarkEnd w:id="65"/>
      <w:bookmarkEnd w:id="66"/>
    </w:p>
    <w:p>
      <w:pPr>
        <w:widowControl/>
        <w:numPr>
          <w:ilvl w:val="0"/>
          <w:numId w:val="5"/>
        </w:numPr>
        <w:autoSpaceDE w:val="0"/>
        <w:autoSpaceDN w:val="0"/>
        <w:spacing w:line="360" w:lineRule="auto"/>
        <w:ind w:firstLine="480" w:firstLineChars="200"/>
        <w:textAlignment w:val="bottom"/>
        <w:rPr>
          <w:rFonts w:ascii="仿宋" w:hAnsi="仿宋" w:eastAsia="仿宋" w:cs="仿宋"/>
          <w:sz w:val="24"/>
          <w:szCs w:val="24"/>
        </w:rPr>
      </w:pPr>
      <w:bookmarkStart w:id="67" w:name="_Toc16938527"/>
      <w:bookmarkStart w:id="68" w:name="_Toc513029211"/>
      <w:bookmarkStart w:id="69" w:name="_Toc462564070"/>
      <w:bookmarkStart w:id="70" w:name="_Toc20823283"/>
      <w:bookmarkStart w:id="71" w:name="_Toc247"/>
      <w:bookmarkStart w:id="72" w:name="_Toc50133114"/>
      <w:bookmarkStart w:id="73" w:name="_Toc77673395"/>
      <w:r>
        <w:rPr>
          <w:rFonts w:hint="eastAsia" w:ascii="仿宋" w:hAnsi="仿宋" w:eastAsia="仿宋" w:cs="仿宋"/>
          <w:sz w:val="24"/>
          <w:szCs w:val="24"/>
        </w:rPr>
        <w:t xml:space="preserve"> 磋商公告</w:t>
      </w:r>
    </w:p>
    <w:p>
      <w:pPr>
        <w:widowControl/>
        <w:numPr>
          <w:ilvl w:val="0"/>
          <w:numId w:val="5"/>
        </w:numPr>
        <w:autoSpaceDE w:val="0"/>
        <w:autoSpaceDN w:val="0"/>
        <w:spacing w:line="360" w:lineRule="auto"/>
        <w:ind w:firstLine="480" w:firstLineChars="200"/>
        <w:textAlignment w:val="bottom"/>
        <w:rPr>
          <w:rFonts w:ascii="仿宋" w:hAnsi="仿宋" w:eastAsia="仿宋" w:cs="仿宋"/>
          <w:sz w:val="24"/>
          <w:szCs w:val="24"/>
        </w:rPr>
      </w:pPr>
      <w:r>
        <w:rPr>
          <w:rFonts w:hint="eastAsia" w:ascii="仿宋" w:hAnsi="仿宋" w:eastAsia="仿宋" w:cs="仿宋"/>
          <w:sz w:val="24"/>
          <w:szCs w:val="24"/>
        </w:rPr>
        <w:t xml:space="preserve"> 供应商须知</w:t>
      </w:r>
    </w:p>
    <w:p>
      <w:pPr>
        <w:widowControl/>
        <w:numPr>
          <w:ilvl w:val="0"/>
          <w:numId w:val="5"/>
        </w:numPr>
        <w:autoSpaceDE w:val="0"/>
        <w:autoSpaceDN w:val="0"/>
        <w:spacing w:line="360" w:lineRule="auto"/>
        <w:ind w:firstLine="480" w:firstLineChars="200"/>
        <w:textAlignment w:val="bottom"/>
        <w:rPr>
          <w:rFonts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采购需求书</w:t>
      </w:r>
    </w:p>
    <w:p>
      <w:pPr>
        <w:widowControl/>
        <w:autoSpaceDE w:val="0"/>
        <w:autoSpaceDN w:val="0"/>
        <w:spacing w:line="360" w:lineRule="auto"/>
        <w:ind w:firstLine="480" w:firstLineChars="200"/>
        <w:textAlignment w:val="bottom"/>
        <w:rPr>
          <w:rFonts w:ascii="仿宋" w:hAnsi="仿宋" w:eastAsia="仿宋" w:cs="仿宋"/>
          <w:sz w:val="24"/>
          <w:szCs w:val="24"/>
        </w:rPr>
      </w:pPr>
      <w:r>
        <w:rPr>
          <w:rFonts w:hint="eastAsia" w:ascii="仿宋" w:hAnsi="仿宋" w:eastAsia="仿宋" w:cs="仿宋"/>
          <w:sz w:val="24"/>
          <w:szCs w:val="24"/>
        </w:rPr>
        <w:t>第四章  评审办法和程序</w:t>
      </w:r>
    </w:p>
    <w:p>
      <w:pPr>
        <w:widowControl/>
        <w:autoSpaceDE w:val="0"/>
        <w:autoSpaceDN w:val="0"/>
        <w:spacing w:line="360" w:lineRule="auto"/>
        <w:ind w:firstLine="480" w:firstLineChars="200"/>
        <w:textAlignment w:val="bottom"/>
        <w:rPr>
          <w:rFonts w:ascii="仿宋" w:hAnsi="仿宋" w:eastAsia="仿宋" w:cs="仿宋"/>
          <w:sz w:val="24"/>
          <w:szCs w:val="24"/>
        </w:rPr>
      </w:pPr>
      <w:r>
        <w:rPr>
          <w:rFonts w:hint="eastAsia" w:ascii="仿宋" w:hAnsi="仿宋" w:eastAsia="仿宋" w:cs="仿宋"/>
          <w:sz w:val="24"/>
          <w:szCs w:val="24"/>
        </w:rPr>
        <w:t>第五章  合同条款</w:t>
      </w:r>
    </w:p>
    <w:p>
      <w:pPr>
        <w:widowControl/>
        <w:autoSpaceDE w:val="0"/>
        <w:autoSpaceDN w:val="0"/>
        <w:spacing w:line="360" w:lineRule="auto"/>
        <w:ind w:firstLine="480" w:firstLineChars="200"/>
        <w:textAlignment w:val="bottom"/>
        <w:rPr>
          <w:rFonts w:ascii="仿宋" w:hAnsi="仿宋" w:eastAsia="仿宋" w:cs="仿宋"/>
          <w:sz w:val="24"/>
          <w:szCs w:val="24"/>
        </w:rPr>
      </w:pPr>
      <w:r>
        <w:rPr>
          <w:rFonts w:hint="eastAsia" w:ascii="仿宋" w:hAnsi="仿宋" w:eastAsia="仿宋" w:cs="仿宋"/>
          <w:sz w:val="24"/>
          <w:szCs w:val="24"/>
        </w:rPr>
        <w:t>第六章  磋商响应文件格式</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2.2.2 竞争性磋商文件的澄清</w:t>
      </w:r>
      <w:bookmarkEnd w:id="67"/>
      <w:bookmarkEnd w:id="68"/>
      <w:bookmarkEnd w:id="69"/>
      <w:bookmarkEnd w:id="70"/>
      <w:r>
        <w:rPr>
          <w:rFonts w:hint="eastAsia" w:ascii="仿宋" w:hAnsi="仿宋" w:eastAsia="仿宋" w:cs="仿宋"/>
          <w:color w:val="auto"/>
          <w:sz w:val="24"/>
          <w:szCs w:val="24"/>
        </w:rPr>
        <w:t>及修改</w:t>
      </w:r>
      <w:bookmarkEnd w:id="71"/>
      <w:bookmarkEnd w:id="72"/>
      <w:bookmarkEnd w:id="7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任何要求对竞争性磋商文件进行澄清的供应商，均应在提交首次磋商响应文件截止时间五日前按竞争性磋商公告中的通讯地址，以书面形式通知采购代理机构。提交首次磋商响应文件截止之日前，采购代理机构可以对已发出的磋商文件进行必要的澄清或者修改，澄清或者修改的内容作为磋商文件的组成部分。澄清或者修改的内容可能影响磋商响应文件编制的，采购人将在提交首次磋商响应文件截止时间至少5日前，在网上发布书面更正公告形式通知所有获取磋商文件的供应商。不足5日的，采购人应当顺延提交首次磋商响应文件截止时间。</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竞争性磋商文件的修改是竞争性磋商文件的组成部分，采购代理机构将以书面或网上公告的形式通知所有购买本竞争性磋商文件的人潜在供应商，并对潜在供应商具有约束力。潜在供应商在收到上述通知后，应立即以书面形式向采购代理机构和采购人确认。</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三、为使供应商准备投标时有充分的时间对竞争性磋商文件修改部分进行研究，采购代理机构和采购人可适当推迟投标截止时间。</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四、本竞争性磋商文件的解释权属于采购代理机构和采购人。</w:t>
      </w:r>
    </w:p>
    <w:p>
      <w:pPr>
        <w:spacing w:line="360" w:lineRule="auto"/>
        <w:ind w:firstLine="480" w:firstLineChars="200"/>
        <w:rPr>
          <w:rFonts w:hint="eastAsia" w:ascii="仿宋" w:hAnsi="仿宋" w:eastAsia="仿宋" w:cs="仿宋"/>
          <w:color w:val="auto"/>
          <w:sz w:val="24"/>
          <w:szCs w:val="24"/>
        </w:rPr>
      </w:pPr>
      <w:bookmarkStart w:id="74" w:name="_Toc50133115"/>
      <w:bookmarkStart w:id="75" w:name="_Toc462564072"/>
      <w:bookmarkStart w:id="76" w:name="_Toc403987207"/>
      <w:bookmarkStart w:id="77" w:name="_Toc16938529"/>
      <w:bookmarkStart w:id="78" w:name="_Toc513029213"/>
      <w:bookmarkStart w:id="79" w:name="_Toc22777"/>
      <w:bookmarkStart w:id="80" w:name="_Toc120614216"/>
      <w:bookmarkStart w:id="81" w:name="_Toc77673396"/>
      <w:bookmarkStart w:id="82" w:name="_Toc20823285"/>
      <w:bookmarkStart w:id="83" w:name="_Toc474854521"/>
      <w:r>
        <w:rPr>
          <w:rFonts w:hint="eastAsia" w:ascii="仿宋" w:hAnsi="仿宋" w:eastAsia="仿宋" w:cs="仿宋"/>
          <w:color w:val="auto"/>
          <w:sz w:val="24"/>
          <w:szCs w:val="24"/>
        </w:rPr>
        <w:t>2.2.3 磋商响应文件的递交及编制</w:t>
      </w:r>
      <w:bookmarkEnd w:id="74"/>
      <w:bookmarkEnd w:id="75"/>
      <w:bookmarkEnd w:id="76"/>
      <w:bookmarkEnd w:id="77"/>
      <w:bookmarkEnd w:id="78"/>
      <w:bookmarkEnd w:id="79"/>
      <w:bookmarkEnd w:id="80"/>
      <w:bookmarkEnd w:id="81"/>
      <w:bookmarkEnd w:id="82"/>
      <w:bookmarkEnd w:id="8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供应商在提交磋商响应文件截止时间前，可以对所提交的磋商响应文件进行补充、修改或者撤回，并书面通知采购人。补充、修改的内容作为磋商响应文件的组成部分。补充、修改的内容与磋商响应文件不一致的，以补充、修改的内容为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二、磋商响应文件</w:t>
      </w:r>
      <w:r>
        <w:rPr>
          <w:rFonts w:hint="eastAsia" w:ascii="仿宋" w:hAnsi="仿宋" w:eastAsia="仿宋" w:cs="仿宋"/>
          <w:color w:val="auto"/>
          <w:sz w:val="24"/>
          <w:szCs w:val="24"/>
          <w:lang w:val="en-US" w:eastAsia="zh-CN"/>
        </w:rPr>
        <w:t>中</w:t>
      </w:r>
      <w:r>
        <w:rPr>
          <w:rFonts w:hint="eastAsia" w:ascii="仿宋" w:hAnsi="仿宋" w:eastAsia="仿宋" w:cs="仿宋"/>
          <w:color w:val="auto"/>
          <w:sz w:val="24"/>
          <w:szCs w:val="24"/>
        </w:rPr>
        <w:t>，所有内容均以电子文件编制，供应商应当根据磋商文件的要求编制磋商响应文件（包括签名和盖章），其格式要求详见第六章磋商响应文件内容和格式。</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电子标书制作要求</w:t>
      </w:r>
      <w:r>
        <w:rPr>
          <w:rFonts w:hint="eastAsia" w:ascii="仿宋" w:hAnsi="仿宋" w:eastAsia="仿宋" w:cs="仿宋"/>
          <w:color w:val="auto"/>
          <w:sz w:val="24"/>
          <w:szCs w:val="24"/>
          <w:lang w:eastAsia="zh-CN"/>
        </w:rPr>
        <w:t>：供应商必须使用从海南省政府采购电子化交易管理系统下载的招投标文件数据包，必须通过电子标书制作工具进行编制和加密等。</w:t>
      </w:r>
      <w:bookmarkStart w:id="84" w:name="_Hlk145341124"/>
      <w:r>
        <w:rPr>
          <w:rFonts w:hint="eastAsia" w:ascii="仿宋" w:hAnsi="仿宋" w:eastAsia="仿宋" w:cs="仿宋"/>
          <w:color w:val="auto"/>
          <w:sz w:val="24"/>
          <w:szCs w:val="24"/>
          <w:lang w:eastAsia="zh-CN"/>
        </w:rPr>
        <w:t>磋商</w:t>
      </w:r>
      <w:bookmarkEnd w:id="84"/>
      <w:r>
        <w:rPr>
          <w:rFonts w:hint="eastAsia" w:ascii="仿宋" w:hAnsi="仿宋" w:eastAsia="仿宋" w:cs="仿宋"/>
          <w:color w:val="auto"/>
          <w:sz w:val="24"/>
          <w:szCs w:val="24"/>
          <w:lang w:eastAsia="zh-CN"/>
        </w:rPr>
        <w:t>文件有更正的必须下载更正后的磋商文件数据包，否则解密失败。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签字盖章要求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电子模式下，标书并不需要逐页签字或盖章，直接使用CA锁在投标文件编制工具里对文件需要签字和盖章处签字盖章、及加盖骑缝章即可，电子签章（电子签名、盖章）同样具有法律效率，</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按照交易平台指引，离线制作电子标书并签章即可（如果</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只办理了公司公章的CA锁，未办理法人章CA锁或投标文件是由委托代理人签字的，则需导出签字、盖章，再扫描放入标书中）。对于授权书等，一些特殊形式的证明文件，仍需要手动签字或盖章后再扫描放入标书中，一并进行电子签章。磋商文件有其他约定的从其约定。</w:t>
      </w:r>
    </w:p>
    <w:p>
      <w:pPr>
        <w:spacing w:line="360" w:lineRule="auto"/>
        <w:ind w:firstLine="480" w:firstLineChars="200"/>
        <w:rPr>
          <w:rFonts w:hint="eastAsia" w:ascii="仿宋" w:hAnsi="仿宋" w:eastAsia="仿宋" w:cs="仿宋"/>
          <w:color w:val="auto"/>
          <w:sz w:val="24"/>
          <w:szCs w:val="24"/>
        </w:rPr>
      </w:pPr>
      <w:bookmarkStart w:id="85" w:name="_Toc462564073"/>
      <w:bookmarkStart w:id="86" w:name="_Toc20823286"/>
      <w:bookmarkStart w:id="87" w:name="_Toc16938530"/>
      <w:bookmarkStart w:id="88" w:name="_Toc513029214"/>
      <w:r>
        <w:rPr>
          <w:rFonts w:hint="eastAsia" w:ascii="仿宋" w:hAnsi="仿宋" w:eastAsia="仿宋" w:cs="仿宋"/>
          <w:color w:val="auto"/>
          <w:sz w:val="24"/>
          <w:szCs w:val="24"/>
        </w:rPr>
        <w:t>三、磋商响应文件的语言及度量衡单位</w:t>
      </w:r>
      <w:bookmarkEnd w:id="85"/>
      <w:bookmarkEnd w:id="86"/>
      <w:bookmarkEnd w:id="87"/>
      <w:bookmarkEnd w:id="88"/>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（一）供应商提交的磋商响应文件以及供应商与采购人就有关磋商的所有来往通知、函件和文件均应使用简体中文。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（二）除技术性能另有规定外，磋商响应文件所使用的度量衡单位，均须采用国家法定计量单位。</w:t>
      </w:r>
    </w:p>
    <w:p>
      <w:pPr>
        <w:spacing w:line="360" w:lineRule="auto"/>
        <w:ind w:firstLine="480" w:firstLineChars="200"/>
        <w:rPr>
          <w:rFonts w:hint="eastAsia" w:ascii="仿宋" w:hAnsi="仿宋" w:eastAsia="仿宋" w:cs="仿宋"/>
          <w:color w:val="auto"/>
          <w:sz w:val="24"/>
          <w:szCs w:val="24"/>
        </w:rPr>
      </w:pPr>
      <w:bookmarkStart w:id="89" w:name="_Toc20823287"/>
      <w:bookmarkStart w:id="90" w:name="_Toc462564074"/>
      <w:bookmarkStart w:id="91" w:name="_Toc16938531"/>
      <w:bookmarkStart w:id="92" w:name="_Toc77673397"/>
      <w:bookmarkStart w:id="93" w:name="_Toc513029215"/>
      <w:bookmarkStart w:id="94" w:name="_Toc14008"/>
      <w:bookmarkStart w:id="95" w:name="_Toc50133116"/>
      <w:r>
        <w:rPr>
          <w:rFonts w:hint="eastAsia" w:ascii="仿宋" w:hAnsi="仿宋" w:eastAsia="仿宋" w:cs="仿宋"/>
          <w:color w:val="auto"/>
          <w:sz w:val="24"/>
          <w:szCs w:val="24"/>
        </w:rPr>
        <w:t>2.2.4 磋商响应文件构成</w:t>
      </w:r>
      <w:bookmarkEnd w:id="89"/>
      <w:bookmarkEnd w:id="90"/>
      <w:bookmarkEnd w:id="91"/>
      <w:bookmarkEnd w:id="92"/>
      <w:bookmarkEnd w:id="93"/>
      <w:bookmarkEnd w:id="94"/>
      <w:bookmarkEnd w:id="95"/>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供应商应按照磋商文件的要求编制磋商响应文件</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rPr>
      </w:pPr>
      <w:bookmarkStart w:id="96" w:name="_Hlt26668975"/>
      <w:bookmarkEnd w:id="96"/>
      <w:bookmarkStart w:id="97" w:name="_Hlt26670360"/>
      <w:bookmarkEnd w:id="97"/>
      <w:bookmarkStart w:id="98" w:name="_Hlt26954838"/>
      <w:bookmarkEnd w:id="98"/>
      <w:bookmarkStart w:id="99" w:name="_Toc14577357"/>
      <w:bookmarkStart w:id="100" w:name="_Toc513029219"/>
      <w:bookmarkStart w:id="101" w:name="_Toc49090509"/>
      <w:bookmarkStart w:id="102" w:name="_Toc77673398"/>
      <w:bookmarkStart w:id="103" w:name="_Toc15769"/>
      <w:bookmarkStart w:id="104" w:name="_Toc50133117"/>
      <w:bookmarkStart w:id="105" w:name="_Toc49090507"/>
      <w:bookmarkStart w:id="106" w:name="_Toc513029216"/>
      <w:bookmarkStart w:id="107" w:name="_Toc14577354"/>
      <w:r>
        <w:rPr>
          <w:rFonts w:hint="eastAsia" w:ascii="仿宋" w:hAnsi="仿宋" w:eastAsia="仿宋" w:cs="仿宋"/>
          <w:color w:val="auto"/>
          <w:sz w:val="24"/>
          <w:szCs w:val="24"/>
        </w:rPr>
        <w:t>2.2.5 证明供应商资格及符合竞争性磋商文件规定的</w:t>
      </w:r>
      <w:bookmarkEnd w:id="99"/>
      <w:bookmarkEnd w:id="100"/>
      <w:bookmarkEnd w:id="101"/>
      <w:r>
        <w:rPr>
          <w:rFonts w:hint="eastAsia" w:ascii="仿宋" w:hAnsi="仿宋" w:eastAsia="仿宋" w:cs="仿宋"/>
          <w:color w:val="auto"/>
          <w:sz w:val="24"/>
          <w:szCs w:val="24"/>
        </w:rPr>
        <w:t>资料</w:t>
      </w:r>
      <w:bookmarkEnd w:id="102"/>
      <w:bookmarkEnd w:id="103"/>
      <w:bookmarkEnd w:id="104"/>
    </w:p>
    <w:p>
      <w:pPr>
        <w:spacing w:line="360" w:lineRule="auto"/>
        <w:ind w:firstLine="480" w:firstLineChars="200"/>
        <w:rPr>
          <w:rFonts w:hint="eastAsia" w:ascii="仿宋" w:hAnsi="仿宋" w:eastAsia="仿宋" w:cs="仿宋"/>
          <w:color w:val="auto"/>
          <w:sz w:val="24"/>
          <w:szCs w:val="24"/>
        </w:rPr>
      </w:pPr>
      <w:bookmarkStart w:id="108" w:name="_Hlt26668999"/>
      <w:bookmarkEnd w:id="108"/>
      <w:r>
        <w:rPr>
          <w:rFonts w:hint="eastAsia" w:ascii="仿宋" w:hAnsi="仿宋" w:eastAsia="仿宋" w:cs="仿宋"/>
          <w:color w:val="auto"/>
          <w:sz w:val="24"/>
          <w:szCs w:val="24"/>
        </w:rPr>
        <w:t>一、供应商应按要求提交资格证明文件及符合竞争性磋商文件规定的资料。</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二、供应商除必须具有履行合同所需提供的货物以及服务的能力外，还必须具备相应的财务、技术方面的能力。</w:t>
      </w:r>
    </w:p>
    <w:bookmarkEnd w:id="105"/>
    <w:bookmarkEnd w:id="106"/>
    <w:bookmarkEnd w:id="107"/>
    <w:p>
      <w:pPr>
        <w:spacing w:line="360" w:lineRule="auto"/>
        <w:ind w:firstLine="480" w:firstLineChars="200"/>
        <w:rPr>
          <w:rFonts w:hint="eastAsia" w:ascii="仿宋" w:hAnsi="仿宋" w:eastAsia="仿宋" w:cs="仿宋"/>
          <w:color w:val="auto"/>
          <w:sz w:val="24"/>
          <w:szCs w:val="24"/>
        </w:rPr>
      </w:pPr>
      <w:bookmarkStart w:id="109" w:name="_Toc50133118"/>
      <w:bookmarkStart w:id="110" w:name="_Toc77673399"/>
      <w:bookmarkStart w:id="111" w:name="_Toc5192"/>
      <w:r>
        <w:rPr>
          <w:rFonts w:hint="eastAsia" w:ascii="仿宋" w:hAnsi="仿宋" w:eastAsia="仿宋" w:cs="仿宋"/>
          <w:color w:val="auto"/>
          <w:sz w:val="24"/>
          <w:szCs w:val="24"/>
        </w:rPr>
        <w:t>2.2.6 磋商响应文件货币</w:t>
      </w:r>
      <w:bookmarkEnd w:id="109"/>
      <w:bookmarkEnd w:id="110"/>
      <w:bookmarkEnd w:id="111"/>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磋商响应文件中的货物单价和总价无特殊规定的采用人民币报价，以元为单位标注。竞争性磋商文件中另有规定的按规定执行。</w:t>
      </w:r>
    </w:p>
    <w:p>
      <w:pPr>
        <w:spacing w:line="360" w:lineRule="auto"/>
        <w:ind w:firstLine="480" w:firstLineChars="200"/>
        <w:rPr>
          <w:rFonts w:hint="eastAsia" w:ascii="仿宋" w:hAnsi="仿宋" w:eastAsia="仿宋" w:cs="仿宋"/>
          <w:color w:val="auto"/>
          <w:sz w:val="24"/>
          <w:szCs w:val="24"/>
        </w:rPr>
      </w:pPr>
      <w:bookmarkStart w:id="112" w:name="_Hlt26954848"/>
      <w:bookmarkEnd w:id="112"/>
      <w:bookmarkStart w:id="113" w:name="_Hlt26954846"/>
      <w:bookmarkEnd w:id="113"/>
      <w:bookmarkStart w:id="114" w:name="_Hlt26670482"/>
      <w:bookmarkEnd w:id="114"/>
      <w:bookmarkStart w:id="115" w:name="_Hlt26670486"/>
      <w:bookmarkEnd w:id="115"/>
      <w:bookmarkStart w:id="116" w:name="_Hlt26954731"/>
      <w:bookmarkEnd w:id="116"/>
      <w:bookmarkStart w:id="117" w:name="_Toc50133119"/>
      <w:bookmarkStart w:id="118" w:name="_Toc77673400"/>
      <w:bookmarkStart w:id="119" w:name="_Toc11061"/>
      <w:bookmarkStart w:id="120" w:name="_Toc14577359"/>
      <w:bookmarkStart w:id="121" w:name="_Toc49090510"/>
      <w:r>
        <w:rPr>
          <w:rFonts w:hint="eastAsia" w:ascii="仿宋" w:hAnsi="仿宋" w:eastAsia="仿宋" w:cs="仿宋"/>
          <w:color w:val="auto"/>
          <w:sz w:val="24"/>
          <w:szCs w:val="24"/>
        </w:rPr>
        <w:t>2.2.7 参加竞争性磋商函</w:t>
      </w:r>
      <w:bookmarkEnd w:id="117"/>
      <w:bookmarkEnd w:id="118"/>
      <w:bookmarkEnd w:id="119"/>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供应商应按照竞争性磋商文件中提供的格式完整、正确填写竞争性磋商函。</w:t>
      </w:r>
    </w:p>
    <w:p>
      <w:pPr>
        <w:spacing w:line="360" w:lineRule="auto"/>
        <w:ind w:firstLine="480" w:firstLineChars="200"/>
        <w:rPr>
          <w:rFonts w:hint="eastAsia" w:ascii="仿宋" w:hAnsi="仿宋" w:eastAsia="仿宋" w:cs="仿宋"/>
          <w:color w:val="auto"/>
          <w:sz w:val="24"/>
          <w:szCs w:val="24"/>
          <w:lang w:eastAsia="zh-CN"/>
        </w:rPr>
      </w:pPr>
      <w:bookmarkStart w:id="122" w:name="_Toc50133120"/>
      <w:bookmarkStart w:id="123" w:name="_Toc77673401"/>
      <w:bookmarkStart w:id="124" w:name="_Toc16052"/>
      <w:r>
        <w:rPr>
          <w:rFonts w:hint="eastAsia" w:ascii="仿宋" w:hAnsi="仿宋" w:eastAsia="仿宋" w:cs="仿宋"/>
          <w:color w:val="auto"/>
          <w:sz w:val="24"/>
          <w:szCs w:val="24"/>
        </w:rPr>
        <w:t>2.2.8 磋商保证金</w:t>
      </w:r>
      <w:bookmarkEnd w:id="120"/>
      <w:bookmarkEnd w:id="121"/>
      <w:bookmarkEnd w:id="122"/>
      <w:bookmarkEnd w:id="123"/>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本项目不涉及</w:t>
      </w:r>
      <w:r>
        <w:rPr>
          <w:rFonts w:hint="eastAsia" w:ascii="仿宋" w:hAnsi="仿宋" w:eastAsia="仿宋" w:cs="仿宋"/>
          <w:color w:val="auto"/>
          <w:sz w:val="24"/>
          <w:szCs w:val="24"/>
          <w:lang w:eastAsia="zh-CN"/>
        </w:rPr>
        <w:t>）</w:t>
      </w:r>
      <w:bookmarkEnd w:id="124"/>
    </w:p>
    <w:p>
      <w:pPr>
        <w:spacing w:line="360" w:lineRule="auto"/>
        <w:ind w:firstLine="480" w:firstLineChars="200"/>
        <w:rPr>
          <w:rFonts w:hint="eastAsia" w:ascii="仿宋" w:hAnsi="仿宋" w:eastAsia="仿宋" w:cs="仿宋"/>
          <w:color w:val="auto"/>
          <w:sz w:val="24"/>
          <w:szCs w:val="24"/>
        </w:rPr>
      </w:pPr>
      <w:bookmarkStart w:id="125" w:name="_Hlt26954850"/>
      <w:bookmarkEnd w:id="125"/>
      <w:bookmarkStart w:id="126" w:name="_Hlt26670489"/>
      <w:bookmarkEnd w:id="126"/>
      <w:bookmarkStart w:id="127" w:name="_Hlt26954734"/>
      <w:bookmarkEnd w:id="127"/>
      <w:bookmarkStart w:id="128" w:name="_Toc49090511"/>
      <w:bookmarkStart w:id="129" w:name="_Toc14577360"/>
      <w:r>
        <w:rPr>
          <w:rFonts w:hint="eastAsia" w:ascii="仿宋" w:hAnsi="仿宋" w:eastAsia="仿宋" w:cs="仿宋"/>
          <w:color w:val="auto"/>
          <w:sz w:val="24"/>
          <w:szCs w:val="24"/>
        </w:rPr>
        <w:t>一、供应商提交的磋商保证金必须在磋商文件规定提交截止时间前提交，并作为其磋商响应的组成部分，否则将被视为非实质性响应而予以拒绝。</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二、磋商保证金是为了保护采购人免遭因供应商的行为而蒙受的损失，采购人在因供应商的行为遭受损失时，采购人可根据第四条的规定没收供应商的磋商保证金。</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三、成交供应商的磋商保证金在与采购人签订服务合同后5个工作日内无息退还）。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四、未成交供应商的磋商保证金将在成交通知书发出后5个工作日内无息退还。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有下列情形之一的，磋商保证金不予退还：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（一）供应商在提交磋商响应文件截止时间后撤回磋商响应文件的；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（二）供应商在磋商响应文件中提供虚假材料的；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（三）除因不可抗力或磋商文件认可的情形以外，成交供应商不与采购人签订合同的，或者不按本章规定签订合同的；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（四）供应商与采购人、其他供应商或者采购代理机构恶意串通的；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（五）供应商提供虚假材料谋取成交、成交的；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（六）向采购人、采购代理机构、磋商小组成员行贿或者提供其他不正当利益的；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（七）采取不正当手段诋毁、排挤其他供应商的；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（八）磋商文件规定的其他情形。</w:t>
      </w:r>
    </w:p>
    <w:bookmarkEnd w:id="128"/>
    <w:bookmarkEnd w:id="129"/>
    <w:p>
      <w:pPr>
        <w:spacing w:line="360" w:lineRule="auto"/>
        <w:ind w:firstLine="480" w:firstLineChars="200"/>
        <w:rPr>
          <w:rFonts w:hint="eastAsia" w:ascii="仿宋" w:hAnsi="仿宋" w:eastAsia="仿宋" w:cs="仿宋"/>
          <w:color w:val="auto"/>
          <w:sz w:val="24"/>
          <w:szCs w:val="24"/>
        </w:rPr>
      </w:pPr>
      <w:bookmarkStart w:id="130" w:name="_Hlt26954852"/>
      <w:bookmarkEnd w:id="130"/>
      <w:bookmarkStart w:id="131" w:name="_Hlt26954739"/>
      <w:bookmarkEnd w:id="131"/>
      <w:bookmarkStart w:id="132" w:name="_Toc403987208"/>
      <w:bookmarkStart w:id="133" w:name="_Toc16341"/>
      <w:bookmarkStart w:id="134" w:name="_Toc474854522"/>
      <w:bookmarkStart w:id="135" w:name="_Toc513029224"/>
      <w:bookmarkStart w:id="136" w:name="_Toc20823296"/>
      <w:bookmarkStart w:id="137" w:name="_Toc77673403"/>
      <w:bookmarkStart w:id="138" w:name="_Toc16938540"/>
      <w:bookmarkStart w:id="139" w:name="_Toc50132627"/>
      <w:bookmarkStart w:id="140" w:name="_Toc120614217"/>
      <w:r>
        <w:rPr>
          <w:rFonts w:hint="eastAsia" w:ascii="仿宋" w:hAnsi="仿宋" w:eastAsia="仿宋" w:cs="仿宋"/>
          <w:color w:val="auto"/>
          <w:sz w:val="24"/>
          <w:szCs w:val="24"/>
        </w:rPr>
        <w:t>2.3 磋商响应文件的递交</w:t>
      </w:r>
      <w:bookmarkEnd w:id="132"/>
      <w:bookmarkEnd w:id="133"/>
      <w:bookmarkEnd w:id="134"/>
      <w:bookmarkEnd w:id="135"/>
      <w:bookmarkEnd w:id="136"/>
      <w:bookmarkEnd w:id="137"/>
      <w:bookmarkEnd w:id="138"/>
      <w:bookmarkEnd w:id="139"/>
      <w:bookmarkEnd w:id="140"/>
    </w:p>
    <w:p>
      <w:pPr>
        <w:spacing w:line="360" w:lineRule="auto"/>
        <w:ind w:firstLine="480" w:firstLineChars="200"/>
        <w:rPr>
          <w:rFonts w:hint="eastAsia" w:ascii="仿宋" w:hAnsi="仿宋" w:eastAsia="仿宋" w:cs="仿宋"/>
          <w:color w:val="auto"/>
          <w:sz w:val="24"/>
          <w:szCs w:val="24"/>
        </w:rPr>
      </w:pPr>
      <w:bookmarkStart w:id="141" w:name="_Toc20823298"/>
      <w:bookmarkStart w:id="142" w:name="_Toc513029226"/>
      <w:bookmarkStart w:id="143" w:name="_Toc16938542"/>
      <w:bookmarkStart w:id="144" w:name="_Toc50133124"/>
      <w:bookmarkStart w:id="145" w:name="_Toc77673405"/>
      <w:bookmarkStart w:id="146" w:name="_Toc31818"/>
      <w:r>
        <w:rPr>
          <w:rFonts w:hint="eastAsia" w:ascii="仿宋" w:hAnsi="仿宋" w:eastAsia="仿宋" w:cs="仿宋"/>
          <w:color w:val="auto"/>
          <w:sz w:val="24"/>
          <w:szCs w:val="24"/>
        </w:rPr>
        <w:t>2.3.</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 xml:space="preserve"> 磋商响应文件提交截止</w:t>
      </w:r>
      <w:bookmarkEnd w:id="141"/>
      <w:bookmarkEnd w:id="142"/>
      <w:bookmarkEnd w:id="143"/>
      <w:r>
        <w:rPr>
          <w:rFonts w:hint="eastAsia" w:ascii="仿宋" w:hAnsi="仿宋" w:eastAsia="仿宋" w:cs="仿宋"/>
          <w:color w:val="auto"/>
          <w:sz w:val="24"/>
          <w:szCs w:val="24"/>
        </w:rPr>
        <w:t>时间</w:t>
      </w:r>
      <w:bookmarkEnd w:id="144"/>
      <w:bookmarkEnd w:id="145"/>
      <w:bookmarkEnd w:id="146"/>
    </w:p>
    <w:p>
      <w:pPr>
        <w:spacing w:line="360" w:lineRule="auto"/>
        <w:ind w:firstLine="480" w:firstLineChars="200"/>
        <w:rPr>
          <w:rFonts w:hint="eastAsia" w:ascii="仿宋" w:hAnsi="仿宋" w:eastAsia="仿宋" w:cs="仿宋"/>
          <w:color w:val="auto"/>
          <w:sz w:val="24"/>
          <w:szCs w:val="24"/>
        </w:rPr>
      </w:pPr>
      <w:bookmarkStart w:id="147" w:name="_Toc474854523"/>
      <w:bookmarkStart w:id="148" w:name="_Toc77673407"/>
      <w:bookmarkStart w:id="149" w:name="_Toc50132628"/>
      <w:r>
        <w:rPr>
          <w:rFonts w:hint="eastAsia" w:ascii="仿宋" w:hAnsi="仿宋" w:eastAsia="仿宋" w:cs="仿宋"/>
          <w:color w:val="auto"/>
          <w:sz w:val="24"/>
          <w:szCs w:val="24"/>
        </w:rPr>
        <w:t>一、采购代理机构收到磋商响应文件的时间不得迟于竞争性磋商公告中规定的截止时间。</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二、采购代理机构可以按照规定，通过修改竞争性磋商文件有权酌情延长磋商响应文件提交截止时间，在此情况下，供应商的所有权利和义务以及供应商受制的截止日期均应以延长后新的截止日期为准。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三、在提交响应文件截止时间前，供应商须将加密的wenc格式电子响应文件1份成功完整上传至海南省政府采购电子化交易管理系统并取得回执，时间以系统服务器的北京时间为准。响应截止时间后，系统将不允许供应商上传响应文件，已上传响应文件但未完成传输的文件系统将拒绝接收。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四、因不可抗力事件造成响应文件损坏的，采购人或采购代理机构不承担任何责任。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五、 出现下述情形之一的，属于未成功提交响应文件，按无效响应处理：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（1）至提交响应文件截止时，响应文件未完整上传的。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（2）响应文件未按响应格式中注明需签字盖章的要求进行签名 (含电子签名) 和加盖电子印章，或签名 (含电子签名) 或电子印章不完整的。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（3）响应文件损坏或格式不正确的。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（4）响应文件解密不成功的。</w:t>
      </w:r>
    </w:p>
    <w:p>
      <w:pPr>
        <w:spacing w:line="360" w:lineRule="auto"/>
        <w:ind w:firstLine="480" w:firstLineChars="200"/>
        <w:rPr>
          <w:rFonts w:hint="eastAsia" w:ascii="仿宋" w:hAnsi="仿宋" w:eastAsia="仿宋" w:cs="仿宋"/>
          <w:color w:val="auto"/>
          <w:sz w:val="24"/>
          <w:szCs w:val="24"/>
        </w:rPr>
      </w:pPr>
      <w:bookmarkStart w:id="150" w:name="_Toc28494"/>
      <w:r>
        <w:rPr>
          <w:rFonts w:hint="eastAsia" w:ascii="仿宋" w:hAnsi="仿宋" w:eastAsia="仿宋" w:cs="仿宋"/>
          <w:color w:val="auto"/>
          <w:sz w:val="24"/>
          <w:szCs w:val="24"/>
        </w:rPr>
        <w:t>2.4 磋商与评审</w:t>
      </w:r>
      <w:bookmarkEnd w:id="147"/>
      <w:bookmarkEnd w:id="148"/>
      <w:bookmarkEnd w:id="149"/>
      <w:bookmarkEnd w:id="150"/>
    </w:p>
    <w:p>
      <w:pPr>
        <w:spacing w:line="360" w:lineRule="auto"/>
        <w:ind w:firstLine="480" w:firstLineChars="200"/>
        <w:rPr>
          <w:rFonts w:hint="eastAsia" w:ascii="仿宋" w:hAnsi="仿宋" w:eastAsia="仿宋" w:cs="仿宋"/>
          <w:color w:val="auto"/>
          <w:sz w:val="24"/>
          <w:szCs w:val="24"/>
        </w:rPr>
      </w:pPr>
      <w:bookmarkStart w:id="151" w:name="_Toc9541"/>
      <w:bookmarkStart w:id="152" w:name="_Toc77673408"/>
      <w:bookmarkStart w:id="153" w:name="_Toc50133127"/>
      <w:r>
        <w:rPr>
          <w:rFonts w:hint="eastAsia" w:ascii="仿宋" w:hAnsi="仿宋" w:eastAsia="仿宋" w:cs="仿宋"/>
          <w:color w:val="auto"/>
          <w:sz w:val="24"/>
          <w:szCs w:val="24"/>
        </w:rPr>
        <w:t>2.4.1 磋商会议</w:t>
      </w:r>
      <w:bookmarkEnd w:id="151"/>
      <w:bookmarkEnd w:id="152"/>
      <w:bookmarkEnd w:id="15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一、采购代理机构将在竞争性磋商公告中规定的时间和地点组织磋商。</w:t>
      </w:r>
      <w:r>
        <w:rPr>
          <w:rFonts w:hint="eastAsia" w:ascii="仿宋" w:hAnsi="仿宋" w:eastAsia="仿宋" w:cs="仿宋"/>
          <w:color w:val="auto"/>
          <w:sz w:val="24"/>
          <w:szCs w:val="24"/>
          <w:lang w:val="en-US" w:eastAsia="zh-CN"/>
        </w:rPr>
        <w:t>供应商需使用个人电脑登入海南政府采购网(www.ccgp-hainan.gov.cn)-海南省政府采购电子化交易管理系统(新)(实体CA数字证书或移动CA数字证书，必须是生成投标文件时使用的数字认证锁) 进行远程签到、解密、磋商及报价。在磋商前，供应商应提前登入开标系统进行电脑配置环境检测，并按提示设置电脑环境。注：建议在开标截止时间前60分钟进入系统远程在线签到。</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二、磋商会议由采购人或代理机构主持，磋商小组成员、采购人代表、监督代表、供应商代表以及有关工作人员参加</w:t>
      </w:r>
      <w:bookmarkStart w:id="154" w:name="_Toc77673409"/>
      <w:bookmarkStart w:id="155" w:name="_Toc50133128"/>
      <w:bookmarkStart w:id="156" w:name="_Toc513029231"/>
      <w:bookmarkStart w:id="157" w:name="_Toc20823303"/>
      <w:bookmarkStart w:id="158" w:name="_Toc16938547"/>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rPr>
      </w:pPr>
      <w:bookmarkStart w:id="159" w:name="_Toc32201"/>
      <w:r>
        <w:rPr>
          <w:rFonts w:hint="eastAsia" w:ascii="仿宋" w:hAnsi="仿宋" w:eastAsia="仿宋" w:cs="仿宋"/>
          <w:color w:val="auto"/>
          <w:sz w:val="24"/>
          <w:szCs w:val="24"/>
        </w:rPr>
        <w:t>2.4.2 磋商小组</w:t>
      </w:r>
      <w:bookmarkEnd w:id="154"/>
      <w:bookmarkEnd w:id="155"/>
      <w:bookmarkEnd w:id="159"/>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一、磋商会议结束后，采购代理机构将立即组织磋商小组进行磋商。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二、磋商小组组建：</w:t>
      </w:r>
      <w:bookmarkStart w:id="160" w:name="_Toc77673410"/>
      <w:bookmarkStart w:id="161" w:name="_Toc50133129"/>
      <w:r>
        <w:rPr>
          <w:rFonts w:hint="eastAsia" w:ascii="仿宋" w:hAnsi="仿宋" w:eastAsia="仿宋" w:cs="仿宋"/>
          <w:color w:val="auto"/>
          <w:sz w:val="24"/>
          <w:szCs w:val="24"/>
        </w:rPr>
        <w:t>由采购人代表</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名及</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名评审专家共同组成。</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磋商小组评审专家来源：专家成员从海南省综合评标专家库从中随机抽取。2.4.3 磋商工作纪律及保密</w:t>
      </w:r>
      <w:bookmarkEnd w:id="156"/>
      <w:bookmarkEnd w:id="157"/>
      <w:bookmarkEnd w:id="158"/>
      <w:bookmarkEnd w:id="160"/>
      <w:bookmarkEnd w:id="161"/>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磋商小组应当遵守评审工作纪律，不得泄露评审情况和评审中获悉的商业秘密。</w:t>
      </w:r>
    </w:p>
    <w:p>
      <w:pPr>
        <w:spacing w:line="360" w:lineRule="auto"/>
        <w:ind w:firstLine="480" w:firstLineChars="200"/>
        <w:rPr>
          <w:rFonts w:hint="eastAsia" w:ascii="仿宋" w:hAnsi="仿宋" w:eastAsia="仿宋" w:cs="仿宋"/>
          <w:color w:val="auto"/>
          <w:sz w:val="24"/>
          <w:szCs w:val="24"/>
        </w:rPr>
      </w:pPr>
      <w:bookmarkStart w:id="162" w:name="_Toc20152"/>
      <w:bookmarkStart w:id="163" w:name="_Toc77673411"/>
      <w:bookmarkStart w:id="164" w:name="_Toc50133130"/>
      <w:r>
        <w:rPr>
          <w:rFonts w:hint="eastAsia" w:ascii="仿宋" w:hAnsi="仿宋" w:eastAsia="仿宋" w:cs="仿宋"/>
          <w:color w:val="auto"/>
          <w:sz w:val="24"/>
          <w:szCs w:val="24"/>
        </w:rPr>
        <w:t>2.4.4 磋商小组工作原则</w:t>
      </w:r>
      <w:bookmarkEnd w:id="162"/>
      <w:bookmarkEnd w:id="163"/>
      <w:bookmarkEnd w:id="164"/>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成员应当按照客观、公正、审慎的原则，根据磋商文件规定的评审程序、评审方法和评审标准进行独立评审。未实质性响应磋商文件的磋商响应文件按无效响应处理，磋商小组应当告知提交磋商响应文件的供应商。磋商文件内容违反国家有关强制性规定的，磋商小组应当停止评审并向采购人或者采购代理机构说明情况。</w:t>
      </w:r>
    </w:p>
    <w:p>
      <w:pPr>
        <w:spacing w:line="360" w:lineRule="auto"/>
        <w:ind w:firstLine="480" w:firstLineChars="200"/>
        <w:rPr>
          <w:rFonts w:hint="eastAsia" w:ascii="仿宋" w:hAnsi="仿宋" w:eastAsia="仿宋" w:cs="仿宋"/>
          <w:color w:val="auto"/>
          <w:sz w:val="24"/>
          <w:szCs w:val="24"/>
        </w:rPr>
      </w:pPr>
      <w:bookmarkStart w:id="165" w:name="_Toc50133131"/>
      <w:bookmarkStart w:id="166" w:name="_Toc77673412"/>
      <w:bookmarkStart w:id="167" w:name="_Toc12133"/>
      <w:r>
        <w:rPr>
          <w:rFonts w:hint="eastAsia" w:ascii="仿宋" w:hAnsi="仿宋" w:eastAsia="仿宋" w:cs="仿宋"/>
          <w:color w:val="auto"/>
          <w:sz w:val="24"/>
          <w:szCs w:val="24"/>
        </w:rPr>
        <w:t>2.4.5 磋商响应文件审查</w:t>
      </w:r>
      <w:bookmarkEnd w:id="165"/>
      <w:bookmarkEnd w:id="166"/>
      <w:bookmarkEnd w:id="167"/>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在对磋商响应文件的有效性、完整性和响应程度进行审查时，可以要求供应商对磋商响应文件中含义不明确、同类问题表述不一致或者有明显文字和计算错误的内容等作出必要的澄清、说明或者更正。供应商的澄清、说明或者更正不得超出磋商响应文件的范围或者改变磋商响应文件的实质性内容。</w:t>
      </w:r>
    </w:p>
    <w:p>
      <w:pPr>
        <w:spacing w:line="360" w:lineRule="auto"/>
        <w:ind w:firstLine="480" w:firstLineChars="200"/>
        <w:rPr>
          <w:rFonts w:hint="eastAsia" w:ascii="仿宋" w:hAnsi="仿宋" w:eastAsia="仿宋" w:cs="仿宋"/>
          <w:color w:val="auto"/>
          <w:sz w:val="24"/>
          <w:szCs w:val="24"/>
        </w:rPr>
      </w:pPr>
      <w:bookmarkStart w:id="168" w:name="_Toc513029232"/>
      <w:bookmarkStart w:id="169" w:name="_Toc77673413"/>
      <w:bookmarkStart w:id="170" w:name="_Toc20823304"/>
      <w:bookmarkStart w:id="171" w:name="_Toc50133132"/>
      <w:bookmarkStart w:id="172" w:name="_Toc16938548"/>
      <w:bookmarkStart w:id="173" w:name="_Toc10779"/>
      <w:r>
        <w:rPr>
          <w:rFonts w:hint="eastAsia" w:ascii="仿宋" w:hAnsi="仿宋" w:eastAsia="仿宋" w:cs="仿宋"/>
          <w:color w:val="auto"/>
          <w:sz w:val="24"/>
          <w:szCs w:val="24"/>
        </w:rPr>
        <w:t>2.4.6 供应商澄清</w:t>
      </w:r>
      <w:bookmarkEnd w:id="168"/>
      <w:bookmarkEnd w:id="169"/>
      <w:bookmarkEnd w:id="170"/>
      <w:bookmarkEnd w:id="171"/>
      <w:bookmarkEnd w:id="172"/>
      <w:bookmarkEnd w:id="173"/>
    </w:p>
    <w:p>
      <w:pPr>
        <w:spacing w:line="360" w:lineRule="auto"/>
        <w:ind w:firstLine="480" w:firstLineChars="200"/>
        <w:rPr>
          <w:rFonts w:hint="eastAsia" w:ascii="仿宋" w:hAnsi="仿宋" w:eastAsia="仿宋" w:cs="仿宋"/>
          <w:color w:val="auto"/>
          <w:sz w:val="24"/>
          <w:szCs w:val="24"/>
        </w:rPr>
      </w:pPr>
      <w:bookmarkStart w:id="174" w:name="_Toc20823305"/>
      <w:bookmarkStart w:id="175" w:name="_Toc16938549"/>
      <w:bookmarkStart w:id="176" w:name="_Toc513029233"/>
      <w:r>
        <w:rPr>
          <w:rFonts w:hint="eastAsia" w:ascii="仿宋" w:hAnsi="仿宋" w:eastAsia="仿宋" w:cs="仿宋"/>
          <w:color w:val="auto"/>
          <w:sz w:val="24"/>
          <w:szCs w:val="24"/>
        </w:rPr>
        <w:t>磋商小组要求供应商澄清、说明或者更正磋商响应文件将以书面形式作出。供应商的澄清、说明或者更正应当由法定代表人或其授权代表签字或者加盖公章。</w:t>
      </w:r>
    </w:p>
    <w:bookmarkEnd w:id="174"/>
    <w:bookmarkEnd w:id="175"/>
    <w:bookmarkEnd w:id="176"/>
    <w:p>
      <w:pPr>
        <w:spacing w:line="360" w:lineRule="auto"/>
        <w:ind w:firstLine="480" w:firstLineChars="200"/>
        <w:rPr>
          <w:rFonts w:hint="eastAsia" w:ascii="仿宋" w:hAnsi="仿宋" w:eastAsia="仿宋" w:cs="仿宋"/>
          <w:color w:val="auto"/>
          <w:sz w:val="24"/>
          <w:szCs w:val="24"/>
        </w:rPr>
      </w:pPr>
      <w:bookmarkStart w:id="177" w:name="_Toc24119"/>
      <w:bookmarkStart w:id="178" w:name="_Toc50133133"/>
      <w:bookmarkStart w:id="179" w:name="_Toc77673414"/>
      <w:r>
        <w:rPr>
          <w:rFonts w:hint="eastAsia" w:ascii="仿宋" w:hAnsi="仿宋" w:eastAsia="仿宋" w:cs="仿宋"/>
          <w:color w:val="auto"/>
          <w:sz w:val="24"/>
          <w:szCs w:val="24"/>
        </w:rPr>
        <w:t>2.4.7 磋商程序、综合评分</w:t>
      </w:r>
      <w:bookmarkEnd w:id="177"/>
      <w:bookmarkEnd w:id="178"/>
      <w:bookmarkEnd w:id="179"/>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磋商小组所有成员应当集中与单一供应商分别进行磋商，并给予所有参加磋商的供应商平等的磋商机会。</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响应文件通过资格性和符合性检查的供应商，将通过投标签到顺序决定磋商次序分别单独进行磋商。在磋商过程中，磋商小组就竞争性磋商文件采购需求中服务要求是否完善和投标方案是否完全响应进行评审；（如有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磋商响应文件，并由其法定代表人或授权代表签字或者加盖公章。）。</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经磋商确定最终采购需求的供应商后，由磋商小组采用综合评分法对供应商的磋商响应文件进行综合评分。综合评分法，是指磋商响应文件满足磋商文件全部实质性要求且按评审因素的量化指标评审得分最高的供应商为成交候选人的评审方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评审时，磋商小组各成员独立对每个有效响应的文件进行评价、打分，然后汇总每个供应商每项评分因素的得分。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应当根据综合评分情况，按照评审得分由高到低顺序推荐3名成交候选人，并编制评审报告。得分相同的，按报价由低到高顺序排列。得分且报价相同的并列。响应文件满足磋商文件全部实质性要求，且按照评审因素的量化指标评审得分最高的供应商为排名第一的成交候选人。如并列为第一成交候选人的，且报价相同的，则由磋商小组以公开的方式随机抽取第一成交候选人。</w:t>
      </w:r>
    </w:p>
    <w:p>
      <w:pPr>
        <w:spacing w:line="360" w:lineRule="auto"/>
        <w:ind w:firstLine="480" w:firstLineChars="200"/>
        <w:rPr>
          <w:rFonts w:hint="eastAsia" w:ascii="仿宋" w:hAnsi="仿宋" w:eastAsia="仿宋" w:cs="仿宋"/>
          <w:color w:val="auto"/>
          <w:sz w:val="24"/>
          <w:szCs w:val="24"/>
        </w:rPr>
      </w:pPr>
      <w:bookmarkStart w:id="180" w:name="_Toc50133134"/>
      <w:bookmarkStart w:id="181" w:name="_Toc77673415"/>
      <w:bookmarkStart w:id="182" w:name="_Toc9691"/>
      <w:r>
        <w:rPr>
          <w:rFonts w:hint="eastAsia" w:ascii="仿宋" w:hAnsi="仿宋" w:eastAsia="仿宋" w:cs="仿宋"/>
          <w:color w:val="auto"/>
          <w:sz w:val="24"/>
          <w:szCs w:val="24"/>
        </w:rPr>
        <w:t>2.4.8 报价</w:t>
      </w:r>
      <w:bookmarkEnd w:id="180"/>
      <w:bookmarkEnd w:id="181"/>
      <w:bookmarkEnd w:id="182"/>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磋商小组将推荐通过初步评审的投标单位作为磋商、报价候选人并通报各投标单位，各候选单位</w:t>
      </w:r>
      <w:r>
        <w:rPr>
          <w:rFonts w:hint="eastAsia" w:ascii="仿宋" w:hAnsi="仿宋" w:eastAsia="仿宋" w:cs="仿宋"/>
          <w:color w:val="auto"/>
          <w:sz w:val="24"/>
          <w:szCs w:val="24"/>
          <w:lang w:val="en-US" w:eastAsia="zh-CN"/>
        </w:rPr>
        <w:t>在系统上</w:t>
      </w:r>
      <w:r>
        <w:rPr>
          <w:rFonts w:hint="eastAsia" w:ascii="仿宋" w:hAnsi="仿宋" w:eastAsia="仿宋" w:cs="仿宋"/>
          <w:color w:val="auto"/>
          <w:sz w:val="24"/>
          <w:szCs w:val="24"/>
        </w:rPr>
        <w:t>分别与磋商小组进行磋商。并在磋商后</w:t>
      </w:r>
      <w:r>
        <w:rPr>
          <w:rFonts w:hint="eastAsia" w:ascii="仿宋" w:hAnsi="仿宋" w:eastAsia="仿宋" w:cs="仿宋"/>
          <w:color w:val="auto"/>
          <w:sz w:val="24"/>
          <w:szCs w:val="24"/>
          <w:lang w:val="en-US" w:eastAsia="zh-CN"/>
        </w:rPr>
        <w:t>在系统上进行</w:t>
      </w:r>
      <w:r>
        <w:rPr>
          <w:rFonts w:hint="eastAsia" w:ascii="仿宋" w:hAnsi="仿宋" w:eastAsia="仿宋" w:cs="仿宋"/>
          <w:color w:val="auto"/>
          <w:sz w:val="24"/>
          <w:szCs w:val="24"/>
        </w:rPr>
        <w:t>最终报价。</w:t>
      </w:r>
    </w:p>
    <w:p>
      <w:pPr>
        <w:spacing w:line="360" w:lineRule="auto"/>
        <w:ind w:firstLine="480" w:firstLineChars="200"/>
        <w:rPr>
          <w:rFonts w:ascii="仿宋" w:hAnsi="仿宋" w:eastAsia="仿宋" w:cs="仿宋"/>
          <w:b w:val="0"/>
          <w:bCs/>
          <w:sz w:val="24"/>
        </w:rPr>
      </w:pPr>
      <w:r>
        <w:rPr>
          <w:rFonts w:hint="eastAsia" w:ascii="仿宋" w:hAnsi="仿宋" w:eastAsia="仿宋" w:cs="仿宋"/>
          <w:b w:val="0"/>
          <w:bCs/>
          <w:sz w:val="24"/>
          <w:szCs w:val="24"/>
          <w:lang w:val="en-US" w:eastAsia="zh-CN"/>
        </w:rPr>
        <w:t>2.5</w:t>
      </w:r>
      <w:r>
        <w:rPr>
          <w:rFonts w:hint="eastAsia" w:ascii="仿宋" w:hAnsi="仿宋" w:eastAsia="仿宋" w:cs="仿宋"/>
          <w:b w:val="0"/>
          <w:bCs/>
          <w:sz w:val="24"/>
          <w:szCs w:val="24"/>
        </w:rPr>
        <w:t>政策功能</w:t>
      </w:r>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1 本次招标优先选购中华人民共和国财政部公布的《政府采购自主创新产品目录》和《节能环保产品目录》的标的物。</w:t>
      </w:r>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3 投标产品属于信息安全产品的，供应商应当选择经国家认证的信息安全产品投标，并提供由中国信息安全认证中心按国家标准颁发的有效认证证书复印件。</w:t>
      </w:r>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4 投标产品属于政府强制采购节能产品的，供应商应当选择《节能产品政府采购清单》中的产品投标，并提供有效的节能产品认证证书复印件。</w:t>
      </w:r>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5 </w:t>
      </w:r>
      <w:r>
        <w:rPr>
          <w:rFonts w:hint="eastAsia" w:ascii="仿宋" w:hAnsi="仿宋" w:eastAsia="仿宋" w:cs="仿宋"/>
          <w:color w:val="auto"/>
          <w:sz w:val="24"/>
          <w:szCs w:val="24"/>
        </w:rPr>
        <w:t>磋商文件中</w:t>
      </w:r>
      <w:r>
        <w:rPr>
          <w:rFonts w:hint="eastAsia" w:ascii="仿宋" w:hAnsi="仿宋" w:eastAsia="仿宋" w:cs="仿宋"/>
          <w:color w:val="auto"/>
          <w:sz w:val="24"/>
          <w:szCs w:val="24"/>
          <w:lang w:eastAsia="zh-CN"/>
        </w:rPr>
        <w:t>无</w:t>
      </w:r>
      <w:r>
        <w:rPr>
          <w:rFonts w:hint="eastAsia" w:ascii="仿宋" w:hAnsi="仿宋" w:eastAsia="仿宋" w:cs="仿宋"/>
          <w:color w:val="auto"/>
          <w:sz w:val="24"/>
          <w:szCs w:val="24"/>
        </w:rPr>
        <w:t>参考产品品牌或型号。</w:t>
      </w:r>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6 对于非专门面向中小企业的项目，对小型和微型企业产品的价格给予一定比例的扣除，用扣除后的价格参与评审。</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由于本项目专门向中小企业，参与者均为中小企业，本项目无价格扣除优惠</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具体要求如下：</w:t>
      </w:r>
    </w:p>
    <w:p>
      <w:pPr>
        <w:snapToGrid w:val="0"/>
        <w:spacing w:line="360" w:lineRule="auto"/>
        <w:ind w:firstLine="465"/>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lang w:val="en-US" w:eastAsia="zh-CN"/>
        </w:rPr>
        <w:t>7</w:t>
      </w:r>
      <w:r>
        <w:rPr>
          <w:rFonts w:hint="eastAsia" w:ascii="仿宋" w:hAnsi="仿宋" w:eastAsia="仿宋" w:cs="仿宋"/>
          <w:sz w:val="24"/>
          <w:szCs w:val="24"/>
        </w:rPr>
        <w:t>中小企业的认定标准：</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1）提供本企业制造的货物、承担的工程或者服务，或者提供其他中小企业制造的货物，不包括提供或使用大型企业注册商标的货物；</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2）本规定所称中小企业划分标准，是指国务院有关部门根据企业从业人员、营业收入、资产总额等指标制定的中小企业划型标准（工信部联企业〔2011〕300号）；</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3）小型、微型企业提供有中型企业制造的货物的，视同为中型企业；小型、微型、中型企业提供有大型企业制造的货物的，视同为大型企业。</w:t>
      </w:r>
    </w:p>
    <w:p>
      <w:pPr>
        <w:snapToGrid w:val="0"/>
        <w:spacing w:line="360" w:lineRule="auto"/>
        <w:ind w:firstLine="465"/>
        <w:rPr>
          <w:rFonts w:ascii="仿宋" w:hAnsi="仿宋" w:eastAsia="仿宋" w:cs="仿宋"/>
          <w:color w:val="auto"/>
          <w:sz w:val="24"/>
          <w:szCs w:val="24"/>
        </w:rPr>
      </w:pPr>
      <w:r>
        <w:rPr>
          <w:rFonts w:hint="eastAsia" w:ascii="仿宋" w:hAnsi="仿宋" w:eastAsia="仿宋" w:cs="仿宋"/>
          <w:color w:val="auto"/>
          <w:sz w:val="24"/>
          <w:szCs w:val="24"/>
          <w:lang w:val="en-US" w:eastAsia="zh-CN"/>
        </w:rPr>
        <w:t>2.5.8</w:t>
      </w:r>
      <w:r>
        <w:rPr>
          <w:rFonts w:hint="eastAsia" w:ascii="仿宋" w:hAnsi="仿宋" w:eastAsia="仿宋" w:cs="仿宋"/>
          <w:color w:val="auto"/>
          <w:sz w:val="24"/>
          <w:szCs w:val="24"/>
        </w:rPr>
        <w:t>具体评审价说明：</w:t>
      </w:r>
    </w:p>
    <w:p>
      <w:pPr>
        <w:snapToGrid w:val="0"/>
        <w:spacing w:line="360" w:lineRule="auto"/>
        <w:ind w:firstLine="465"/>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为小型或微型企业，其评审价=投标报价*（1-10%）；</w:t>
      </w:r>
    </w:p>
    <w:p>
      <w:pPr>
        <w:shd w:val="clear" w:color="auto" w:fill="FFFFFF"/>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供应商</w:t>
      </w:r>
      <w:r>
        <w:rPr>
          <w:rFonts w:hint="eastAsia" w:ascii="仿宋" w:hAnsi="仿宋" w:eastAsia="仿宋" w:cs="仿宋"/>
          <w:sz w:val="24"/>
          <w:szCs w:val="24"/>
        </w:rPr>
        <w:t>为联合体投标，联合体各方均为小型、微型企业的，联合体视同为小型、微型企业；联合体中有小型或微型企业且联合协议中约定小型、微型企业的协议合同金额占到联合体协议合同总金额30％以上的，其评审价=投标报价*（1-</w:t>
      </w:r>
      <w:r>
        <w:rPr>
          <w:rFonts w:hint="eastAsia" w:ascii="仿宋" w:hAnsi="仿宋" w:eastAsia="仿宋" w:cs="仿宋"/>
          <w:color w:val="auto"/>
          <w:sz w:val="24"/>
          <w:szCs w:val="24"/>
          <w:lang w:val="en-US" w:eastAsia="zh-CN"/>
        </w:rPr>
        <w:t>4</w:t>
      </w:r>
      <w:r>
        <w:rPr>
          <w:rFonts w:hint="eastAsia" w:ascii="仿宋" w:hAnsi="仿宋" w:eastAsia="仿宋" w:cs="仿宋"/>
          <w:sz w:val="24"/>
          <w:szCs w:val="24"/>
        </w:rPr>
        <w:t>%）。</w:t>
      </w:r>
    </w:p>
    <w:p>
      <w:pPr>
        <w:spacing w:line="276"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 </w:t>
      </w:r>
      <w:r>
        <w:rPr>
          <w:rFonts w:hint="eastAsia" w:ascii="仿宋" w:hAnsi="仿宋" w:eastAsia="仿宋" w:cs="仿宋"/>
          <w:sz w:val="24"/>
          <w:szCs w:val="24"/>
          <w:lang w:eastAsia="zh-CN"/>
        </w:rPr>
        <w:t>供应商</w:t>
      </w:r>
      <w:r>
        <w:rPr>
          <w:rFonts w:hint="eastAsia" w:ascii="仿宋" w:hAnsi="仿宋" w:eastAsia="仿宋" w:cs="仿宋"/>
          <w:sz w:val="24"/>
          <w:szCs w:val="24"/>
        </w:rPr>
        <w:t>为工信部联企业〔2011〕300号文规定的小型和微型企业（含联合体）的，必须</w:t>
      </w:r>
      <w:bookmarkStart w:id="183" w:name="_Toc320093686"/>
      <w:r>
        <w:rPr>
          <w:rFonts w:hint="eastAsia" w:ascii="仿宋" w:hAnsi="仿宋" w:eastAsia="仿宋" w:cs="仿宋"/>
          <w:sz w:val="24"/>
          <w:szCs w:val="24"/>
        </w:rPr>
        <w:t>如实填写“中小企业声明函”（内容、格式见财库</w:t>
      </w:r>
      <w:r>
        <w:rPr>
          <w:rFonts w:hint="eastAsia" w:ascii="仿宋" w:hAnsi="仿宋" w:eastAsia="仿宋" w:cs="仿宋"/>
          <w:sz w:val="24"/>
        </w:rPr>
        <w:t xml:space="preserve">财库﹝2020﹞46 </w:t>
      </w:r>
      <w:r>
        <w:rPr>
          <w:rFonts w:hint="eastAsia" w:ascii="仿宋" w:hAnsi="仿宋" w:eastAsia="仿宋" w:cs="仿宋"/>
          <w:sz w:val="24"/>
          <w:szCs w:val="24"/>
        </w:rPr>
        <w:t>号）</w:t>
      </w:r>
      <w:bookmarkEnd w:id="183"/>
      <w:r>
        <w:rPr>
          <w:rFonts w:hint="eastAsia" w:ascii="仿宋" w:hAnsi="仿宋" w:eastAsia="仿宋" w:cs="仿宋"/>
          <w:sz w:val="24"/>
          <w:szCs w:val="24"/>
        </w:rPr>
        <w:t>，否则无效。</w:t>
      </w:r>
    </w:p>
    <w:p>
      <w:pPr>
        <w:shd w:val="clear" w:color="auto" w:fill="FFFFFF"/>
        <w:snapToGrid w:val="0"/>
        <w:spacing w:line="360" w:lineRule="auto"/>
        <w:ind w:firstLine="48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lang w:val="en-US" w:eastAsia="zh-CN"/>
        </w:rPr>
        <w:t>10</w:t>
      </w:r>
      <w:r>
        <w:rPr>
          <w:rFonts w:hint="eastAsia" w:ascii="仿宋" w:hAnsi="仿宋" w:eastAsia="仿宋" w:cs="仿宋"/>
          <w:sz w:val="24"/>
          <w:szCs w:val="24"/>
        </w:rPr>
        <w:t>监狱企业视同小型、微型企业，享受相同的价格扣除优惠政策；监狱企业属于小型、微型企业的，不重复享受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无效。</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lang w:val="en-US" w:eastAsia="zh-CN"/>
        </w:rPr>
        <w:t>11</w:t>
      </w:r>
      <w:r>
        <w:rPr>
          <w:rFonts w:hint="eastAsia" w:ascii="仿宋" w:hAnsi="仿宋" w:eastAsia="仿宋" w:cs="仿宋"/>
          <w:sz w:val="24"/>
          <w:szCs w:val="24"/>
        </w:rPr>
        <w:t>残疾人福利性单位视同小型、微型企业，享受相同的价格扣除优惠政策；残疾人福利性单位属于小型、微型企业的，不重复享受政策。残疾人福利性单位的具体标准及要求见“关于促进残疾人就业政府采购政策的通知（</w:t>
      </w:r>
      <w:r>
        <w:rPr>
          <w:rFonts w:hint="eastAsia" w:ascii="仿宋" w:hAnsi="仿宋" w:eastAsia="仿宋" w:cs="仿宋"/>
          <w:sz w:val="24"/>
        </w:rPr>
        <w:t>财库﹝2017﹞141 号</w:t>
      </w:r>
      <w:r>
        <w:rPr>
          <w:rFonts w:hint="eastAsia" w:ascii="仿宋" w:hAnsi="仿宋" w:eastAsia="仿宋" w:cs="仿宋"/>
          <w:sz w:val="24"/>
          <w:szCs w:val="24"/>
        </w:rPr>
        <w:t>）”。属于残疾人福利性单位的，投标时需按照有关要求提供规定的《残疾人福利性单位声明函》（规定格式见“</w:t>
      </w:r>
      <w:r>
        <w:rPr>
          <w:rFonts w:hint="eastAsia" w:ascii="仿宋" w:hAnsi="仿宋" w:eastAsia="仿宋" w:cs="仿宋"/>
          <w:sz w:val="24"/>
        </w:rPr>
        <w:t>财库﹝2017﹞141 号</w:t>
      </w:r>
      <w:r>
        <w:rPr>
          <w:rFonts w:hint="eastAsia" w:ascii="仿宋" w:hAnsi="仿宋" w:eastAsia="仿宋" w:cs="仿宋"/>
          <w:sz w:val="24"/>
          <w:szCs w:val="24"/>
        </w:rPr>
        <w:t>”的附件），并对声明的真实性负责，否则无效。</w:t>
      </w:r>
    </w:p>
    <w:p>
      <w:pPr>
        <w:spacing w:line="360" w:lineRule="auto"/>
        <w:ind w:firstLine="480" w:firstLineChars="200"/>
        <w:rPr>
          <w:rFonts w:hint="eastAsia" w:ascii="仿宋" w:hAnsi="仿宋" w:eastAsia="仿宋" w:cs="仿宋"/>
          <w:color w:val="auto"/>
          <w:sz w:val="24"/>
          <w:szCs w:val="24"/>
        </w:rPr>
      </w:pPr>
      <w:bookmarkStart w:id="184" w:name="_Toc77673416"/>
      <w:bookmarkStart w:id="185" w:name="_Toc28911"/>
      <w:bookmarkStart w:id="186" w:name="_Toc50133135"/>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响应无效和终止磋商活动</w:t>
      </w:r>
      <w:bookmarkEnd w:id="184"/>
      <w:bookmarkEnd w:id="185"/>
      <w:bookmarkEnd w:id="186"/>
    </w:p>
    <w:p>
      <w:pPr>
        <w:spacing w:line="360" w:lineRule="auto"/>
        <w:ind w:firstLine="480" w:firstLineChars="200"/>
        <w:rPr>
          <w:rFonts w:hint="eastAsia" w:ascii="仿宋" w:hAnsi="仿宋" w:eastAsia="仿宋" w:cs="仿宋"/>
          <w:color w:val="auto"/>
          <w:sz w:val="24"/>
          <w:szCs w:val="24"/>
        </w:rPr>
      </w:pPr>
      <w:bookmarkStart w:id="187" w:name="_Toc513029235"/>
      <w:bookmarkStart w:id="188" w:name="_Toc16938551"/>
      <w:bookmarkStart w:id="189" w:name="_Toc20823307"/>
      <w:r>
        <w:rPr>
          <w:rFonts w:hint="eastAsia" w:ascii="仿宋" w:hAnsi="仿宋" w:eastAsia="仿宋" w:cs="仿宋"/>
          <w:color w:val="auto"/>
          <w:sz w:val="24"/>
          <w:szCs w:val="24"/>
        </w:rPr>
        <w:t>一、响应无效</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（一）未按照竞争性磋商文件规定要求签署、盖章的；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）供应商不具备竞争性磋商文件中规定资格条件的；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）不符合法律、法规和竞争性磋商文件中规定的其他实质性要求的。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二、终止竞争性磋商采购活动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出现下列情形之一的，采购人将终止竞争性磋商采购活动，发布项目终止公告并说明原因，重新开展采购活动。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（一）因情况变化，不再符合规定的竞争性磋商采购方式适用情形的；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（二）出现影响采购公正的违法、违规行为的；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（三）在采购过程中符合要求的供应商不足3家的。</w:t>
      </w:r>
    </w:p>
    <w:p>
      <w:pPr>
        <w:spacing w:line="360" w:lineRule="auto"/>
        <w:ind w:firstLine="480" w:firstLineChars="200"/>
        <w:rPr>
          <w:rFonts w:hint="eastAsia" w:ascii="仿宋" w:hAnsi="仿宋" w:eastAsia="仿宋" w:cs="仿宋"/>
          <w:color w:val="auto"/>
          <w:sz w:val="24"/>
          <w:szCs w:val="24"/>
        </w:rPr>
      </w:pPr>
      <w:bookmarkStart w:id="190" w:name="_Toc32741"/>
      <w:bookmarkStart w:id="191" w:name="_Toc77673417"/>
      <w:bookmarkStart w:id="192" w:name="_Toc50133136"/>
      <w:r>
        <w:rPr>
          <w:rFonts w:hint="eastAsia" w:ascii="仿宋" w:hAnsi="仿宋" w:eastAsia="仿宋" w:cs="仿宋"/>
          <w:color w:val="auto"/>
          <w:sz w:val="24"/>
          <w:szCs w:val="24"/>
        </w:rPr>
        <w:t>2.4.10 定标</w:t>
      </w:r>
      <w:bookmarkEnd w:id="190"/>
      <w:bookmarkEnd w:id="191"/>
      <w:bookmarkEnd w:id="192"/>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磋商小组根据竞争性磋商文件的规定，按综合得分由高至低的顺序向采购人推荐综合得分最高的前三名为成交候选人（以书面评审报告推荐），采购人根据评标结果确定最终成交候供应商。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凡是属于审查、澄清、评价和比较投标的有关资料以及授标意向等，磋商小组及有关工作人员自始至终均不得向供应商或其它无关的人员透露。</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在评标期间，供应商企图影响采购人、采购代理机构和磋商小组而获得评标信息的任何活动，都将导致其投标被拒绝，并承担相应的法律责任。</w:t>
      </w:r>
    </w:p>
    <w:bookmarkEnd w:id="187"/>
    <w:bookmarkEnd w:id="188"/>
    <w:bookmarkEnd w:id="189"/>
    <w:p>
      <w:pPr>
        <w:spacing w:line="360" w:lineRule="auto"/>
        <w:ind w:firstLine="480" w:firstLineChars="200"/>
        <w:rPr>
          <w:rFonts w:hint="eastAsia" w:ascii="仿宋" w:hAnsi="仿宋" w:eastAsia="仿宋" w:cs="仿宋"/>
          <w:color w:val="auto"/>
          <w:sz w:val="24"/>
          <w:szCs w:val="24"/>
        </w:rPr>
      </w:pPr>
      <w:bookmarkStart w:id="193" w:name="_Toc20823310"/>
      <w:bookmarkStart w:id="194" w:name="_Toc16938554"/>
      <w:bookmarkStart w:id="195" w:name="_Toc50132629"/>
      <w:bookmarkStart w:id="196" w:name="_Toc16355"/>
      <w:bookmarkStart w:id="197" w:name="_Toc77673418"/>
      <w:r>
        <w:rPr>
          <w:rFonts w:hint="eastAsia" w:ascii="仿宋" w:hAnsi="仿宋" w:eastAsia="仿宋" w:cs="仿宋"/>
          <w:color w:val="auto"/>
          <w:sz w:val="24"/>
          <w:szCs w:val="24"/>
        </w:rPr>
        <w:t>2.5 确定</w:t>
      </w:r>
      <w:bookmarkEnd w:id="193"/>
      <w:bookmarkEnd w:id="194"/>
      <w:r>
        <w:rPr>
          <w:rFonts w:hint="eastAsia" w:ascii="仿宋" w:hAnsi="仿宋" w:eastAsia="仿宋" w:cs="仿宋"/>
          <w:color w:val="auto"/>
          <w:sz w:val="24"/>
          <w:szCs w:val="24"/>
        </w:rPr>
        <w:t>成交供应商</w:t>
      </w:r>
      <w:bookmarkEnd w:id="195"/>
      <w:bookmarkEnd w:id="196"/>
      <w:bookmarkEnd w:id="197"/>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采购人在收到评审报告后5个工作日内，按照评审报告推荐的三位成交候选中，确定成交供应商，原则上分值最高的为成交供应商。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采购人在成交供应商确定后2个工作日内在</w:t>
      </w:r>
      <w:r>
        <w:rPr>
          <w:rFonts w:hint="eastAsia" w:ascii="仿宋" w:hAnsi="仿宋" w:eastAsia="仿宋" w:cs="仿宋"/>
          <w:color w:val="auto"/>
          <w:sz w:val="24"/>
          <w:szCs w:val="24"/>
          <w:lang w:val="en-US" w:eastAsia="zh-CN"/>
        </w:rPr>
        <w:t>海南省政府采购网</w:t>
      </w:r>
      <w:r>
        <w:rPr>
          <w:rFonts w:hint="eastAsia" w:ascii="仿宋" w:hAnsi="仿宋" w:eastAsia="仿宋" w:cs="仿宋"/>
          <w:color w:val="auto"/>
          <w:sz w:val="24"/>
          <w:szCs w:val="24"/>
        </w:rPr>
        <w:t>公告成交结果。</w:t>
      </w:r>
    </w:p>
    <w:p>
      <w:pPr>
        <w:spacing w:line="360" w:lineRule="auto"/>
        <w:ind w:firstLine="480" w:firstLineChars="200"/>
        <w:rPr>
          <w:rFonts w:hint="eastAsia" w:ascii="仿宋" w:hAnsi="仿宋" w:eastAsia="仿宋" w:cs="仿宋"/>
          <w:color w:val="auto"/>
          <w:sz w:val="24"/>
          <w:szCs w:val="24"/>
        </w:rPr>
      </w:pPr>
      <w:bookmarkStart w:id="198" w:name="_Toc200451960"/>
      <w:bookmarkStart w:id="199" w:name="_Toc50132630"/>
      <w:bookmarkStart w:id="200" w:name="_Toc77673419"/>
      <w:bookmarkStart w:id="201" w:name="_Toc16638"/>
      <w:r>
        <w:rPr>
          <w:rFonts w:hint="eastAsia" w:ascii="仿宋" w:hAnsi="仿宋" w:eastAsia="仿宋" w:cs="仿宋"/>
          <w:color w:val="auto"/>
          <w:sz w:val="24"/>
          <w:szCs w:val="24"/>
        </w:rPr>
        <w:t>2.6 质疑</w:t>
      </w:r>
      <w:bookmarkEnd w:id="198"/>
      <w:r>
        <w:rPr>
          <w:rFonts w:hint="eastAsia" w:ascii="仿宋" w:hAnsi="仿宋" w:eastAsia="仿宋" w:cs="仿宋"/>
          <w:color w:val="auto"/>
          <w:sz w:val="24"/>
          <w:szCs w:val="24"/>
        </w:rPr>
        <w:t>及投诉处理</w:t>
      </w:r>
      <w:bookmarkEnd w:id="199"/>
      <w:bookmarkEnd w:id="200"/>
      <w:bookmarkEnd w:id="201"/>
    </w:p>
    <w:p>
      <w:pPr>
        <w:spacing w:line="360" w:lineRule="auto"/>
        <w:ind w:firstLine="480" w:firstLineChars="200"/>
        <w:rPr>
          <w:rFonts w:hint="eastAsia" w:ascii="仿宋" w:hAnsi="仿宋" w:eastAsia="仿宋" w:cs="仿宋"/>
          <w:color w:val="auto"/>
          <w:sz w:val="24"/>
          <w:szCs w:val="24"/>
        </w:rPr>
      </w:pPr>
      <w:bookmarkStart w:id="202" w:name="_Toc403987211"/>
      <w:bookmarkStart w:id="203" w:name="_Toc120614220"/>
      <w:bookmarkStart w:id="204" w:name="_Toc474854526"/>
      <w:bookmarkStart w:id="205" w:name="_Toc16938552"/>
      <w:bookmarkStart w:id="206" w:name="_Toc513029236"/>
      <w:bookmarkStart w:id="207" w:name="_Toc20823308"/>
      <w:r>
        <w:rPr>
          <w:rFonts w:hint="eastAsia" w:ascii="仿宋" w:hAnsi="仿宋" w:eastAsia="仿宋" w:cs="仿宋"/>
          <w:color w:val="auto"/>
          <w:sz w:val="24"/>
          <w:szCs w:val="24"/>
        </w:rPr>
        <w:t>质疑、投诉的接收和处理严格按照磋商文件的规定办理，供应商对政府采购活动事项有疑问的，可以向采购人或采购代理机构提出质疑（书面形式，联系方式详见第一章公告内容），采购人或采购代理机构应当及时作出答复（书面答复），但答复的内容不得涉及商业秘密。供应商在收到答复不满或规定时间内没有收到答复的，在规定期满后5个工作日内向有关部门投诉。</w:t>
      </w:r>
    </w:p>
    <w:p>
      <w:pPr>
        <w:spacing w:line="360" w:lineRule="auto"/>
        <w:ind w:firstLine="480" w:firstLineChars="200"/>
        <w:rPr>
          <w:rFonts w:hint="eastAsia" w:ascii="仿宋" w:hAnsi="仿宋" w:eastAsia="仿宋" w:cs="仿宋"/>
          <w:color w:val="auto"/>
          <w:sz w:val="24"/>
          <w:szCs w:val="24"/>
        </w:rPr>
      </w:pPr>
      <w:bookmarkStart w:id="208" w:name="_Toc50132631"/>
      <w:bookmarkStart w:id="209" w:name="_Toc77673420"/>
      <w:bookmarkStart w:id="210" w:name="_Toc9051"/>
      <w:r>
        <w:rPr>
          <w:rFonts w:hint="eastAsia" w:ascii="仿宋" w:hAnsi="仿宋" w:eastAsia="仿宋" w:cs="仿宋"/>
          <w:color w:val="auto"/>
          <w:sz w:val="24"/>
          <w:szCs w:val="24"/>
        </w:rPr>
        <w:t xml:space="preserve">2.7 </w:t>
      </w:r>
      <w:bookmarkEnd w:id="202"/>
      <w:bookmarkEnd w:id="203"/>
      <w:bookmarkEnd w:id="204"/>
      <w:r>
        <w:rPr>
          <w:rFonts w:hint="eastAsia" w:ascii="仿宋" w:hAnsi="仿宋" w:eastAsia="仿宋" w:cs="仿宋"/>
          <w:color w:val="auto"/>
          <w:sz w:val="24"/>
          <w:szCs w:val="24"/>
        </w:rPr>
        <w:t>签订合同</w:t>
      </w:r>
      <w:bookmarkEnd w:id="208"/>
      <w:bookmarkEnd w:id="209"/>
      <w:bookmarkEnd w:id="210"/>
    </w:p>
    <w:bookmarkEnd w:id="205"/>
    <w:bookmarkEnd w:id="206"/>
    <w:bookmarkEnd w:id="207"/>
    <w:p>
      <w:pPr>
        <w:spacing w:line="360" w:lineRule="auto"/>
        <w:ind w:firstLine="480" w:firstLineChars="200"/>
        <w:rPr>
          <w:rFonts w:hint="eastAsia" w:ascii="仿宋" w:hAnsi="仿宋" w:eastAsia="仿宋" w:cs="仿宋"/>
          <w:color w:val="auto"/>
          <w:sz w:val="24"/>
          <w:szCs w:val="24"/>
        </w:rPr>
      </w:pPr>
      <w:bookmarkStart w:id="211" w:name="_Toc513029237"/>
      <w:bookmarkStart w:id="212" w:name="_Toc20823309"/>
      <w:bookmarkStart w:id="213" w:name="_Toc16938553"/>
      <w:r>
        <w:rPr>
          <w:rFonts w:hint="eastAsia" w:ascii="仿宋" w:hAnsi="仿宋" w:eastAsia="仿宋" w:cs="仿宋"/>
          <w:color w:val="auto"/>
          <w:sz w:val="24"/>
          <w:szCs w:val="24"/>
        </w:rPr>
        <w:t>一、采购人与成交供应商应当在成交通知书发出之日起30日内，按照磋商文件确定的合同文本以及采购需求签订采购合同。</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二、采购人不得向成交供应商提出超出磋商文件以外的任何要求作为签订合同的条件，不得与成交供应商订立背离磋商文件确定的合同文本以及采购需求实质性内容的协议。</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成交供应商拒绝签订采购合同的，采购人可以按照从评审报告提出的成交候选人中，按照排序由高到低的原则重新确定其他供应商作为成交供应商并签订采购合同，也可以重新开展采购活动。拒绝签订采购合同的成交供应商不得参加对该项目重新开展的采购活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三、竞争性磋商文件、成交供应商的磋商响应文件及竞争性磋商过程中有关澄清、承诺文件均应作为合同附件。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签订合同后，成交供应商不得将货物及其他相关服务进行转包。未经采购人同意，成交供应商也不得采用分包的形式履行合同，否则采购人有权终止合同。转包或分包造成采购人损失的，成交供应商应承担相应赔偿责任。</w:t>
      </w:r>
    </w:p>
    <w:p>
      <w:pPr>
        <w:spacing w:line="360" w:lineRule="auto"/>
        <w:ind w:firstLine="480" w:firstLineChars="200"/>
        <w:rPr>
          <w:rFonts w:hint="eastAsia" w:ascii="仿宋" w:hAnsi="仿宋" w:eastAsia="仿宋" w:cs="仿宋"/>
          <w:color w:val="auto"/>
          <w:sz w:val="24"/>
          <w:szCs w:val="24"/>
        </w:rPr>
      </w:pPr>
      <w:bookmarkStart w:id="214" w:name="_Toc77673421"/>
      <w:bookmarkStart w:id="215" w:name="_Toc4199"/>
      <w:bookmarkStart w:id="216" w:name="_Toc50132632"/>
      <w:r>
        <w:rPr>
          <w:rFonts w:hint="eastAsia" w:ascii="仿宋" w:hAnsi="仿宋" w:eastAsia="仿宋" w:cs="仿宋"/>
          <w:color w:val="auto"/>
          <w:sz w:val="24"/>
          <w:szCs w:val="24"/>
        </w:rPr>
        <w:t>2.8 验收</w:t>
      </w:r>
      <w:bookmarkEnd w:id="214"/>
      <w:bookmarkEnd w:id="215"/>
      <w:bookmarkEnd w:id="216"/>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成交供应商应严格按照采购人制定的验收标准进行验收，对于不合理验收要求，成交供应商可向采购人提出。</w:t>
      </w:r>
    </w:p>
    <w:p>
      <w:pPr>
        <w:spacing w:line="360" w:lineRule="auto"/>
        <w:ind w:firstLine="480" w:firstLineChars="200"/>
        <w:rPr>
          <w:rFonts w:hint="eastAsia" w:ascii="仿宋" w:hAnsi="仿宋" w:eastAsia="仿宋" w:cs="仿宋"/>
          <w:color w:val="auto"/>
          <w:sz w:val="24"/>
          <w:szCs w:val="24"/>
        </w:rPr>
      </w:pPr>
      <w:bookmarkStart w:id="217" w:name="_Toc50132633"/>
      <w:bookmarkStart w:id="218" w:name="_Toc32079"/>
      <w:bookmarkStart w:id="219" w:name="_Toc77673422"/>
      <w:r>
        <w:rPr>
          <w:rFonts w:hint="eastAsia" w:ascii="仿宋" w:hAnsi="仿宋" w:eastAsia="仿宋" w:cs="仿宋"/>
          <w:color w:val="auto"/>
          <w:sz w:val="24"/>
          <w:szCs w:val="24"/>
        </w:rPr>
        <w:t>2.9 认定串标的情形</w:t>
      </w:r>
      <w:bookmarkEnd w:id="217"/>
      <w:bookmarkEnd w:id="218"/>
      <w:bookmarkEnd w:id="219"/>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所有被认定为串通投标的供应商，将按照相关法律进处理。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一、属于供应商相互串通投标：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1、供应商之间协商投标报价等响应文件的实质性内容；</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2、供应商之间约定成交供应商；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3、供应商之间约定部分供应商放弃投标或者中标；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4、属于同一集团、协会、商会等组织成员的供应商按照该组织要求协同投标；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5、供应商之间为谋取中标或者排斥特定供应商而采取的其他联合行动。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二、视为供应商相互串通投标：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1、不同供应商的响应文件由同一单位或者个人编制；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2、不同供应商委托同一单位或者个人办理投标事宜；</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3、不同供应商的响应文件载明的项目管理成员为同一人；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4、不同供应商的响应文件异常一致或者投标报价呈规律性差异；</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5、不同供应商的响应文件相互混装；</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6、不同供应商的磋商保证金从同一单位或者个人的账户转出；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7、不同供应商编制的响应文件的实质性内容存在两处以上细节错误一致；</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8、不同供应商的响应文件由同一电子设备编制、打包加密或者上传，不同供应商的响应文件由同一供应商的电子设备打印、复印；</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9、不同供应商的响应文件由同一供应商送达或者分发；</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10、参加磋商活动的人员为同一标段其他供应商的在职人员；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11、不同供应商的磋商保证金从供应商各自的基本账户转出，但是，所需资金来自同一单位或者个人账户；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12、供应商之间相互约定给予未中标的供应商费用补偿。</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三、采购人与供应商串通投标：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1、采购人在开标前开启响应文件并将有关信息泄露给其他供应商；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2、采购人直接或者间接向供应商泄露标底、评标委员会成员等信息；</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3、采购人明示或者暗示供应商压低或者抬高投标报价；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4、采购人授意供应商撤换、修改响应文件；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5、采购人明示或者暗示供应商为特定供应商中标提供方便；</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6、采购人与供应商为谋求特定供应商中标而采取的其他串通行为。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7、采购人协助资格预审申请人或者供应商对其资格预审申请文件或者响应文件进行撤换、修改；</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8、采购人直接或者间接向供应商或者供应商的利害关系人泄露获取资格预审文件或者通过资格预审的申请人的名称、数量或者资格审查情况，泄露获取磋商文件的潜在供应商的名称、数量或者评标等情况；</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9、采购人以胁迫、劝退、利诱等方式，使特定供应商以外的其他供应商放弃投标或者成交供应商放弃中标；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10、与成交供应商之间另行约定给予未中标的其他供应商费用补偿。</w:t>
      </w:r>
    </w:p>
    <w:p>
      <w:pPr>
        <w:spacing w:line="360" w:lineRule="auto"/>
        <w:ind w:firstLine="480" w:firstLineChars="200"/>
        <w:rPr>
          <w:rFonts w:hint="eastAsia" w:ascii="仿宋" w:hAnsi="仿宋" w:eastAsia="仿宋" w:cs="仿宋"/>
          <w:color w:val="auto"/>
          <w:sz w:val="24"/>
          <w:szCs w:val="24"/>
        </w:rPr>
      </w:pPr>
      <w:bookmarkStart w:id="220" w:name="_Toc77673423"/>
      <w:bookmarkStart w:id="221" w:name="_Toc2338"/>
      <w:bookmarkStart w:id="222" w:name="_Toc50132634"/>
      <w:r>
        <w:rPr>
          <w:rFonts w:hint="eastAsia" w:ascii="仿宋" w:hAnsi="仿宋" w:eastAsia="仿宋" w:cs="仿宋"/>
          <w:color w:val="auto"/>
          <w:sz w:val="24"/>
          <w:szCs w:val="24"/>
        </w:rPr>
        <w:t>2.11 利害关系供应商处理</w:t>
      </w:r>
      <w:bookmarkEnd w:id="220"/>
      <w:bookmarkEnd w:id="221"/>
      <w:bookmarkEnd w:id="222"/>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磋商响应文件作为无效处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中华人民共和国招标投标法实施条例》第三十四条与采购人存在利害关系可能影响招标公正性的法人、其他组织或者个人，不得参加投标。单位负责人为同一人或者存在控股、管理关系的不同单位，不得参加同一标段投标或者未划分标段的同一招标项目投标。违反前两款规定的，相关投标均无效。</w:t>
      </w:r>
    </w:p>
    <w:p>
      <w:pPr>
        <w:spacing w:line="360" w:lineRule="auto"/>
        <w:ind w:firstLine="480" w:firstLineChars="200"/>
        <w:rPr>
          <w:rFonts w:hint="eastAsia" w:ascii="仿宋" w:hAnsi="仿宋" w:eastAsia="仿宋" w:cs="仿宋"/>
          <w:color w:val="auto"/>
          <w:sz w:val="24"/>
          <w:szCs w:val="24"/>
        </w:rPr>
      </w:pPr>
      <w:bookmarkStart w:id="223" w:name="_Toc50132635"/>
      <w:bookmarkStart w:id="224" w:name="_Toc25076"/>
      <w:bookmarkStart w:id="225" w:name="_Toc77673424"/>
      <w:r>
        <w:rPr>
          <w:rFonts w:hint="eastAsia" w:ascii="仿宋" w:hAnsi="仿宋" w:eastAsia="仿宋" w:cs="仿宋"/>
          <w:color w:val="auto"/>
          <w:sz w:val="24"/>
          <w:szCs w:val="24"/>
        </w:rPr>
        <w:t>2.12 前期参与供应商处理</w:t>
      </w:r>
      <w:bookmarkEnd w:id="223"/>
      <w:bookmarkEnd w:id="224"/>
      <w:bookmarkEnd w:id="225"/>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hint="eastAsia" w:ascii="仿宋" w:hAnsi="仿宋" w:eastAsia="仿宋" w:cs="仿宋"/>
          <w:color w:val="auto"/>
          <w:sz w:val="24"/>
          <w:szCs w:val="24"/>
        </w:rPr>
      </w:pPr>
      <w:bookmarkStart w:id="226" w:name="_Toc18124"/>
      <w:bookmarkStart w:id="227" w:name="_Toc50132636"/>
      <w:bookmarkStart w:id="228" w:name="_Toc77673425"/>
      <w:r>
        <w:rPr>
          <w:rFonts w:hint="eastAsia" w:ascii="仿宋" w:hAnsi="仿宋" w:eastAsia="仿宋" w:cs="仿宋"/>
          <w:color w:val="auto"/>
          <w:sz w:val="24"/>
          <w:szCs w:val="24"/>
        </w:rPr>
        <w:t>2.13 利害关系授权委托人处理</w:t>
      </w:r>
      <w:bookmarkEnd w:id="226"/>
      <w:bookmarkEnd w:id="227"/>
      <w:bookmarkEnd w:id="228"/>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两家以上的供应商不得在同一合同项下的采购项目中，同时委托同一个自然人、同一家庭的人员、同一单位的人员作为其授权委托人，否则，其磋商响应文件作为无效处理。</w:t>
      </w:r>
      <w:bookmarkEnd w:id="211"/>
      <w:bookmarkEnd w:id="212"/>
      <w:bookmarkEnd w:id="213"/>
    </w:p>
    <w:p>
      <w:pP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pStyle w:val="2"/>
        <w:spacing w:before="0" w:after="0" w:line="360" w:lineRule="auto"/>
        <w:rPr>
          <w:rFonts w:hint="eastAsia" w:ascii="仿宋" w:hAnsi="仿宋" w:eastAsia="仿宋" w:cs="仿宋"/>
          <w:color w:val="auto"/>
          <w:sz w:val="44"/>
          <w:szCs w:val="44"/>
        </w:rPr>
      </w:pPr>
      <w:bookmarkStart w:id="229" w:name="_Toc495679392"/>
      <w:bookmarkStart w:id="230" w:name="_Toc511832120"/>
      <w:bookmarkStart w:id="231" w:name="_Toc28770"/>
      <w:r>
        <w:rPr>
          <w:rFonts w:hint="eastAsia" w:ascii="仿宋" w:hAnsi="仿宋" w:eastAsia="仿宋" w:cs="仿宋"/>
          <w:color w:val="auto"/>
          <w:sz w:val="44"/>
          <w:szCs w:val="44"/>
        </w:rPr>
        <w:t>第</w:t>
      </w:r>
      <w:r>
        <w:rPr>
          <w:rFonts w:hint="eastAsia" w:ascii="仿宋" w:hAnsi="仿宋" w:eastAsia="仿宋" w:cs="仿宋"/>
          <w:color w:val="auto"/>
          <w:sz w:val="44"/>
          <w:szCs w:val="44"/>
          <w:lang w:eastAsia="zh-CN"/>
        </w:rPr>
        <w:t>三</w:t>
      </w:r>
      <w:r>
        <w:rPr>
          <w:rFonts w:hint="eastAsia" w:ascii="仿宋" w:hAnsi="仿宋" w:eastAsia="仿宋" w:cs="仿宋"/>
          <w:color w:val="auto"/>
          <w:sz w:val="44"/>
          <w:szCs w:val="44"/>
        </w:rPr>
        <w:t>章 采购需求书</w:t>
      </w:r>
      <w:bookmarkEnd w:id="229"/>
      <w:bookmarkEnd w:id="230"/>
      <w:bookmarkEnd w:id="231"/>
    </w:p>
    <w:p>
      <w:pPr>
        <w:numPr>
          <w:ilvl w:val="0"/>
          <w:numId w:val="6"/>
        </w:numPr>
        <w:spacing w:line="276" w:lineRule="auto"/>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项目名称</w:t>
      </w:r>
    </w:p>
    <w:p>
      <w:pPr>
        <w:spacing w:line="276"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lang w:eastAsia="zh-CN"/>
        </w:rPr>
        <w:t>计算机财务共享中心</w:t>
      </w:r>
    </w:p>
    <w:p>
      <w:pPr>
        <w:spacing w:line="276" w:lineRule="auto"/>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二、采购预算</w:t>
      </w:r>
    </w:p>
    <w:p>
      <w:pPr>
        <w:spacing w:line="276" w:lineRule="auto"/>
        <w:jc w:val="left"/>
        <w:rPr>
          <w:rFonts w:hint="eastAsia" w:ascii="仿宋" w:hAnsi="仿宋" w:eastAsia="仿宋" w:cs="仿宋"/>
          <w:color w:val="auto"/>
          <w:sz w:val="24"/>
          <w:szCs w:val="24"/>
        </w:rPr>
      </w:pPr>
      <w:r>
        <w:rPr>
          <w:rFonts w:hint="eastAsia" w:ascii="仿宋" w:hAnsi="仿宋" w:eastAsia="仿宋" w:cs="仿宋"/>
          <w:color w:val="auto"/>
          <w:kern w:val="28"/>
          <w:sz w:val="24"/>
          <w:szCs w:val="24"/>
        </w:rPr>
        <w:t>采购预算：</w:t>
      </w:r>
      <w:r>
        <w:rPr>
          <w:rFonts w:hint="eastAsia" w:ascii="仿宋" w:hAnsi="仿宋" w:eastAsia="仿宋" w:cs="仿宋"/>
          <w:color w:val="auto"/>
          <w:sz w:val="24"/>
          <w:szCs w:val="22"/>
          <w:lang w:val="en-US" w:eastAsia="zh-CN"/>
        </w:rPr>
        <w:t>3320748.45</w:t>
      </w:r>
      <w:r>
        <w:rPr>
          <w:rFonts w:hint="eastAsia" w:ascii="仿宋" w:hAnsi="仿宋" w:eastAsia="仿宋" w:cs="仿宋"/>
          <w:color w:val="auto"/>
          <w:sz w:val="24"/>
          <w:szCs w:val="22"/>
        </w:rPr>
        <w:t>元</w:t>
      </w:r>
      <w:r>
        <w:rPr>
          <w:rFonts w:hint="eastAsia" w:ascii="仿宋" w:hAnsi="仿宋" w:eastAsia="仿宋" w:cs="仿宋"/>
          <w:color w:val="auto"/>
          <w:sz w:val="24"/>
          <w:szCs w:val="24"/>
        </w:rPr>
        <w:t>（投标人投标报价超出采购预算的视为无效报价）</w:t>
      </w:r>
    </w:p>
    <w:p>
      <w:pPr>
        <w:spacing w:line="276" w:lineRule="auto"/>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三、</w:t>
      </w:r>
      <w:r>
        <w:rPr>
          <w:rFonts w:hint="eastAsia" w:ascii="仿宋" w:hAnsi="仿宋" w:eastAsia="仿宋" w:cs="仿宋"/>
          <w:b/>
          <w:bCs/>
          <w:color w:val="auto"/>
          <w:sz w:val="28"/>
          <w:szCs w:val="28"/>
          <w:lang w:val="en-US" w:eastAsia="zh-CN"/>
        </w:rPr>
        <w:t>合同履行期限</w:t>
      </w:r>
    </w:p>
    <w:p>
      <w:pPr>
        <w:spacing w:line="276"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自合同签订之日起60日内完成本项目所有内容</w:t>
      </w:r>
      <w:r>
        <w:rPr>
          <w:rFonts w:hint="eastAsia" w:ascii="仿宋" w:hAnsi="仿宋" w:eastAsia="仿宋" w:cs="仿宋"/>
          <w:color w:val="auto"/>
          <w:sz w:val="24"/>
          <w:szCs w:val="24"/>
        </w:rPr>
        <w:t>。</w:t>
      </w:r>
    </w:p>
    <w:p>
      <w:pPr>
        <w:spacing w:line="276" w:lineRule="auto"/>
        <w:jc w:val="left"/>
        <w:rPr>
          <w:rFonts w:hint="default" w:ascii="仿宋" w:hAnsi="仿宋" w:eastAsia="仿宋" w:cs="仿宋"/>
          <w:color w:val="auto"/>
          <w:lang w:val="en-US"/>
        </w:rPr>
      </w:pPr>
      <w:r>
        <w:rPr>
          <w:rFonts w:hint="eastAsia" w:ascii="仿宋" w:hAnsi="仿宋" w:eastAsia="仿宋" w:cs="仿宋"/>
          <w:b/>
          <w:bCs/>
          <w:color w:val="auto"/>
          <w:sz w:val="28"/>
          <w:szCs w:val="28"/>
          <w:lang w:eastAsia="zh-CN"/>
        </w:rPr>
        <w:t>四、采购</w:t>
      </w:r>
      <w:r>
        <w:rPr>
          <w:rFonts w:hint="eastAsia" w:ascii="仿宋" w:hAnsi="仿宋" w:eastAsia="仿宋" w:cs="仿宋"/>
          <w:b/>
          <w:bCs/>
          <w:color w:val="auto"/>
          <w:sz w:val="28"/>
          <w:szCs w:val="28"/>
          <w:lang w:val="en-US" w:eastAsia="zh-CN"/>
        </w:rPr>
        <w:t>清单</w:t>
      </w:r>
    </w:p>
    <w:p>
      <w:pPr>
        <w:pStyle w:val="21"/>
        <w:rPr>
          <w:rFonts w:hint="eastAsia" w:ascii="仿宋" w:hAnsi="仿宋" w:eastAsia="仿宋" w:cs="仿宋"/>
          <w:b/>
          <w:bCs/>
          <w:color w:val="auto"/>
          <w:sz w:val="28"/>
          <w:szCs w:val="28"/>
          <w:lang w:val="en-US" w:eastAsia="zh-CN"/>
        </w:rPr>
        <w:sectPr>
          <w:footerReference r:id="rId7" w:type="default"/>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b/>
          <w:bCs/>
          <w:color w:val="auto"/>
          <w:sz w:val="28"/>
          <w:szCs w:val="28"/>
          <w:lang w:val="en-US" w:eastAsia="zh-CN"/>
        </w:rPr>
        <w:t xml:space="preserve">                                         </w:t>
      </w:r>
    </w:p>
    <w:p>
      <w:pPr>
        <w:jc w:val="left"/>
        <w:rPr>
          <w:rFonts w:hint="default" w:ascii="宋体" w:hAnsi="Times New Roman" w:eastAsia="宋体" w:cs="Times New Roman"/>
          <w:sz w:val="34"/>
          <w:lang w:val="en-US" w:eastAsia="zh-CN" w:bidi="ar-SA"/>
        </w:rPr>
      </w:pPr>
      <w:r>
        <w:rPr>
          <w:rFonts w:hint="eastAsia" w:ascii="仿宋" w:hAnsi="仿宋" w:eastAsia="仿宋" w:cs="仿宋"/>
          <w:b/>
          <w:bCs/>
          <w:color w:val="auto"/>
          <w:sz w:val="28"/>
          <w:szCs w:val="28"/>
          <w:lang w:val="en-US" w:eastAsia="zh-CN"/>
        </w:rPr>
        <w:t>设备参数                                            附表</w:t>
      </w:r>
    </w:p>
    <w:tbl>
      <w:tblPr>
        <w:tblStyle w:val="57"/>
        <w:tblpPr w:leftFromText="180" w:rightFromText="180" w:vertAnchor="text" w:horzAnchor="page" w:tblpX="987" w:tblpY="339"/>
        <w:tblOverlap w:val="never"/>
        <w:tblW w:w="10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1"/>
        <w:gridCol w:w="7102"/>
        <w:gridCol w:w="76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981" w:type="dxa"/>
            <w:vAlign w:val="center"/>
          </w:tcPr>
          <w:p>
            <w:pPr>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采购品目名称</w:t>
            </w:r>
          </w:p>
        </w:tc>
        <w:tc>
          <w:tcPr>
            <w:tcW w:w="7102" w:type="dxa"/>
            <w:vAlign w:val="center"/>
          </w:tcPr>
          <w:p>
            <w:pPr>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参考规格型号和配置技术参数</w:t>
            </w:r>
          </w:p>
        </w:tc>
        <w:tc>
          <w:tcPr>
            <w:tcW w:w="765" w:type="dxa"/>
            <w:vAlign w:val="center"/>
          </w:tcPr>
          <w:p>
            <w:pPr>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单位</w:t>
            </w:r>
          </w:p>
        </w:tc>
        <w:tc>
          <w:tcPr>
            <w:tcW w:w="735" w:type="dxa"/>
            <w:vAlign w:val="center"/>
          </w:tcPr>
          <w:p>
            <w:pPr>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财会职业能力养成平台软件</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（一）技术参数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 软件采用云技术，软件须支持网络服务器版：平台为B/S网络版，安装机房服务器，学生电脑直接通过网页访问使用，无用户数量限制，可提供移动终端载体单机版，实现口袋式资源平台，随身携带，方便教师学生随时随地在有电脑的地方使用软件；</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 ★包括信息中心系统、业务协同系统、出纳账系统、仓储系统、网上银行系统、会计信息化系统、保险柜系统、增值税防伪税控开票系统、电子税务局系统、增值税发票综合服务平台系统、自然人税收管理系统、帮助系统、评价系统十三个系统；</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 具有分岗功能，实现企业内部控制，业务协同系统、会计信息化系统系统、审计系统、网上银行系统有分岗位操作；</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 各系统之间数据一贯性，业务协同系统、网上银行系统、防伪税控开票系统、电子税务局系统、自然人税收管理系统产生的数据均进入会计信息化系统，会计信息化系统数据进入审计系统、财务分析系统；</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 信息中心系统中存有平台企业基本信息、企业介绍、财务制度、客户和供应商信息、业务合同等内容，各种企业档案信息存放于信息中心系统中，在实际业务办理、款项支付、会计核算等工作中将被应用、调取；</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 业务协同系统相当于企业业务办理的OA，内置日历功能，完成当天工作事项后，进入下一天的工作；业务查看：点击代办业务系统，可查看本月业务目录，及查看业务详情；业务设计分岗流程、体现内控；体现团队协作、岗位职责和业务流程；逼真企业实际业务、类型丰富，包括流程审批业务、同步办理业务、外来票据核算业务、内部自制单据核算业务；具有盖章、填制等操作功能；</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14:textFill>
                  <w14:solidFill>
                    <w14:schemeClr w14:val="tx1"/>
                  </w14:solidFill>
                </w14:textFill>
              </w:rPr>
              <w:t>提供现场演示，此项不计入技术响应分，计入需求功能演示分</w:t>
            </w:r>
            <w:r>
              <w:rPr>
                <w:rFonts w:hint="eastAsia" w:ascii="仿宋" w:hAnsi="仿宋" w:eastAsia="仿宋" w:cs="仿宋"/>
                <w:color w:val="000000" w:themeColor="text1"/>
                <w:sz w:val="24"/>
                <w:szCs w:val="24"/>
                <w:highlight w:val="none"/>
                <w14:textFill>
                  <w14:solidFill>
                    <w14:schemeClr w14:val="tx1"/>
                  </w14:solidFill>
                </w14:textFill>
              </w:rPr>
              <w:t>）</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 会计信息化系统仿真企业实际电算化系统，具有创建账套、初始化账套、填制凭证、审核凭证、结转损益、记账、结账等功能；系统具有岗位添加和权限设置功能，体现企业内控流程；系统增设业务单据面板功能，自动关联经济业务办理产生的单据，做到业务办理与财务核算的紧密结合与贯通流转；会计信息化系统具有科目辅助核算功能，可实时查看辅助核算项目明细账，或根据时间区间查看辅助核算项目明细账，如查看某一往来单位明细账； 配合平台其他系统，做到正确判断，准确入账；</w:t>
            </w:r>
          </w:p>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 网上银行系统仿真现实企业网上银行用户端，具有银行转账付款申请、付款审批、余额查询、明细查询、回单查询等功能，培养学生基础技能操作的同时，也培养了学生每日查询余额，账实核对，为企业经营决策提供信息支持的意识和习惯；系统将付款业务中的制单操作和审批操作权限分配给两个岗位人员，体现了内部控制流程和资金安全管理制度；</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14:textFill>
                  <w14:solidFill>
                    <w14:schemeClr w14:val="tx1"/>
                  </w14:solidFill>
                </w14:textFill>
              </w:rPr>
              <w:t>提供现场演示，此项不计入技术响应分，计入需求功能演示分</w:t>
            </w:r>
            <w:r>
              <w:rPr>
                <w:rFonts w:hint="eastAsia" w:ascii="仿宋" w:hAnsi="仿宋" w:eastAsia="仿宋" w:cs="仿宋"/>
                <w:color w:val="000000" w:themeColor="text1"/>
                <w:sz w:val="24"/>
                <w:szCs w:val="24"/>
                <w:highlight w:val="none"/>
                <w14:textFill>
                  <w14:solidFill>
                    <w14:schemeClr w14:val="tx1"/>
                  </w14:solidFill>
                </w14:textFill>
              </w:rPr>
              <w:t>）</w:t>
            </w:r>
          </w:p>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 保险柜系统仿真现实中的实物保险柜，包括密码开启、余额查询、存入现金、取出现金的基础技能操作训练；平日存、取现金的记录内置在评价系统中，可以帮助学生核查现金日记账登记的及时性与准确性，养成每日盘点现金、账实核对、日清月结的良好习惯，加强现金安全管理意识；（</w:t>
            </w:r>
            <w:r>
              <w:rPr>
                <w:rFonts w:hint="eastAsia" w:ascii="仿宋" w:hAnsi="仿宋" w:eastAsia="仿宋" w:cs="仿宋"/>
                <w:b/>
                <w:bCs/>
                <w:color w:val="000000" w:themeColor="text1"/>
                <w:sz w:val="24"/>
                <w:szCs w:val="24"/>
                <w:highlight w:val="none"/>
                <w14:textFill>
                  <w14:solidFill>
                    <w14:schemeClr w14:val="tx1"/>
                  </w14:solidFill>
                </w14:textFill>
              </w:rPr>
              <w:t>提供现场演示，此项不计入技术响应分，计入需求功能演示分</w:t>
            </w:r>
            <w:r>
              <w:rPr>
                <w:rFonts w:hint="eastAsia" w:ascii="仿宋" w:hAnsi="仿宋" w:eastAsia="仿宋" w:cs="仿宋"/>
                <w:color w:val="000000" w:themeColor="text1"/>
                <w:sz w:val="24"/>
                <w:szCs w:val="24"/>
                <w:highlight w:val="none"/>
                <w14:textFill>
                  <w14:solidFill>
                    <w14:schemeClr w14:val="tx1"/>
                  </w14:solidFill>
                </w14:textFill>
              </w:rPr>
              <w:t>）</w:t>
            </w:r>
          </w:p>
          <w:p>
            <w:pPr>
              <w:jc w:val="left"/>
            </w:pPr>
            <w:r>
              <w:rPr>
                <w:rFonts w:hint="eastAsia" w:ascii="仿宋" w:hAnsi="仿宋" w:eastAsia="仿宋" w:cs="仿宋"/>
                <w:color w:val="000000" w:themeColor="text1"/>
                <w:sz w:val="24"/>
                <w:szCs w:val="24"/>
                <w14:textFill>
                  <w14:solidFill>
                    <w14:schemeClr w14:val="tx1"/>
                  </w14:solidFill>
                </w14:textFill>
              </w:rPr>
              <w:t>10. 出纳账系统包括现金日记账、银行存款日记账、现金支票领用登记簿、转账支票领用登记簿、应收票据备查簿、应付票据备查簿等内容，可与网上银行系统配合，做到日清月结、每日核对、账实相符、账账相符、互相监督；</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 仓储系统主要包括单据录入、单据查询、物料编码、物料明细等功能，实现对企业物料数据的动态管理；仓储系统可以帮助学生了解企业物料账目的产生过程，帮助学生理解会计账目与物料账目的关系与核对方法，增加对物料监管的意识和经验，体会如何用会计语言描述企业资产和经营状况；</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 增值税防伪税控开票系统模拟现实开票系统，包括商品编码和客户编码的系统设置、发票读入和发票填开（增值税专用发票填开、增值税普通发票填开）发票作废、红字发票、库存查询，汇总查询、发票打印等功能，同时可直接将产生的增值税发票记账联传递到会计电算化系统单据面板，可直接附加到记账凭证中，并且支持原始凭证复印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 增值税防伪税控开票系统模拟金税盘发售增值税专用发票和普通发票；发票填开：点击开票系统下的发票管理按钮，进入管理页面，点开发票填开，填写发票信息，点击打印即保存成功；发票查询：点击开票系统下的发票管理按钮，进入管理页面，点开发票查询,可以查询和查看已开出的发票记录；</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 电子税务局系统仿真真实网上办税客户端及界面，能够进行增值税、附加税、企业所得税、印花税、房产税、土地使用税等税种的申报；与平台其他业务系统、账务系统、税务系统的数据关联勾稽，支持系统间数据核算与核对，形成了完整的网上认证、计税、报税、税款缴纳、账务处理工作链；</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 增值税发票综合服务平台系统能够模拟实现外来增值税专用发票抵扣联网上认证操作的功能，可以作为增值税申报前的进项税额核对的数据依据。</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 电子税务局系统完成纳税申报后，产生的纳税回单，传递到会计信息化系统单据面板，可直接附加到记账凭证中，并且支持原始凭证复印功能；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 自然人税收管理系统仿真模拟实务税收管理系统，可进行个人所得税网上申报，包括人员登记、报表填写、申报表报送、申报更正、网上缴费、查询统计等功能，并且完成纳税申报后，产生的纳税回单，传递到会计电算化系统单据面板，可直接附加到记账凭证中，并且支持原始凭证复印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 帮助系统包括快速入门和使用说明，可以帮助学生自主学习平台各系统功能如何操作，帮助学生快速了解平台实训模式、岗位分工、系统权限设置、业务办理等内容，方便学生训练时自主完成训练任务，培养了学生的自主学习能力；</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 评价系统：点击评价系统，可以重新计算学生自己的场次成绩，查看各子系统的得分情况；</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 赛训组织通过添加比赛或训练场次组织学生练习或者考试，可根据需要设置练习或考试的开始时间、持续时长、账套、模式、类别等。查询场次下学生的交卷状态，并能够根据需要重置交卷状态。场次下的账号管理可以查看学生针对系统中各个子系统设置的登录密码，并能够进行密码重置。成绩管理可以计算并查看当前场次的所有学生的成绩，支持导出EXCEL成绩单的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 赛题制作支持新建账套功能，可以在课程下面新建账套题目列表，题目设置支持新增题目、复制题目功能，自定义题目排序功能，并支持教师在出题过程中针对单题的模拟做题功能，可针对实训题目进行业务流程设计，通过添加操作步骤，设置对应角色以及角色的单据权限，达到同一题目多人分步骤协作完成的目的，通过点击进入案例进行账套正确答案的设置；</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 ★平台配套提供终端载体单机版内置微课制作功能：可直接导入PPT并保留PPT所有动画效果，生成视频微课；制作过程可自动录音，可合成至生成的视频微课中；微课制作时支持支持两个摄像头切换录制，第一摄像头和第二摄像头可随时切换录制现场人像或现场展示资料，录制内容可合成至生成的视频微课中；微课制作过程中可随时板书，录制板书操作，并合成到生成的视频微课；微课保存为视频时，可选择添加背景音乐，使制作的微课全程具有背景音乐效果，背景音乐提供多种选择；</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23.具有统计分析功能，可以查看全部学员的得分情况，进入详情可以看到平台是以图表方式统计某一次比赛每一模块的得分率；</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24.★平台配套提供云课堂手机APP版，实现云课堂功能，可以为老师学生在互联环境下达到沟通、资源共享、课堂考核的作用，体验互动教学与作业跟踪等新的教学模式：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自定义签到：教师端可自定义课堂签到手势，学生端即可以规定手势进行签到；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投票管理：教师端可自主编辑投票的标题、投票的内容、投票后是否立即显示结果、投票，学生端即可参与老师编辑好的投票；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签章划线功能：APP版支持实务题签章划线。记账凭证支持盖章，盖章位置直接通过手势滑动确定位置，记账凭证支持画线，画线起点终点位置直接通过手势滑动确定，实训题支持业务流程，具有提交下一步、退回上一步操作功能，能够进行智能答案判断，错误之处使用深色背景标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25.★平台配套提供会计信息化账务处理手机APP，供学生移动学习体验会计信息化常见功能模块：</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初始设置：登录后可自定义创建账套，若已有账套，则直接进入角色登录界面；</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角色登录：提供四个岗位角色登录，支持网络版管理员针对实际情况分配角色登录权限；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登录首页：包含凭证列表、审核凭证、记账、期末结账、结转损益、财务报表、查询/修改、明细账、总账、科目余额表等十个子功能模块。</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 ★平台内嵌互动小游戏模块，主要有以下功能： 提供多个终端使用功能：游戏支持电脑、手机等终端使用；在线游戏互动功能：学生可通过手机扫描系统的中会计游戏二维码，实现在手机上进行随堂游戏的互动体验；竞赛排行功能：支持竞赛比拼并提供排行，增加课堂趣味性，可重复进行游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（二）业务参数</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27</w:t>
            </w:r>
            <w:r>
              <w:rPr>
                <w:rFonts w:hint="eastAsia" w:ascii="仿宋" w:hAnsi="仿宋" w:eastAsia="仿宋" w:cs="仿宋"/>
                <w:color w:val="000000" w:themeColor="text1"/>
                <w:sz w:val="24"/>
                <w:szCs w:val="24"/>
                <w14:textFill>
                  <w14:solidFill>
                    <w14:schemeClr w14:val="tx1"/>
                  </w14:solidFill>
                </w14:textFill>
              </w:rPr>
              <w:t>. 总体内容概况：至少包含12个账套，涉及业务办理、财务核算、税务处理、审计工作、智能分析等方面内容；</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28</w:t>
            </w:r>
            <w:r>
              <w:rPr>
                <w:rFonts w:hint="eastAsia" w:ascii="仿宋" w:hAnsi="仿宋" w:eastAsia="仿宋" w:cs="仿宋"/>
                <w:color w:val="000000" w:themeColor="text1"/>
                <w:sz w:val="24"/>
                <w:szCs w:val="24"/>
                <w14:textFill>
                  <w14:solidFill>
                    <w14:schemeClr w14:val="tx1"/>
                  </w14:solidFill>
                </w14:textFill>
              </w:rPr>
              <w:t>. 实训账套内容：</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要求至少提供4个季度（即1年）的工业企业账套，企业类型要求为大中型工业企业，为工业一般纳税人，采用新《企业会计准则》核算；业务内容至少涵盖以下内容：筹资业务、投资业务、日常业务、经营业务、仓储业务、特殊业务等；其他账套要求企业类型至少涵盖中小型工业企业、小微型工业企业、中小型商业企业、高新技术企业等类型企业；</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29</w:t>
            </w:r>
            <w:r>
              <w:rPr>
                <w:rFonts w:hint="eastAsia" w:ascii="仿宋" w:hAnsi="仿宋" w:eastAsia="仿宋" w:cs="仿宋"/>
                <w:color w:val="000000" w:themeColor="text1"/>
                <w:sz w:val="24"/>
                <w:szCs w:val="24"/>
                <w14:textFill>
                  <w14:solidFill>
                    <w14:schemeClr w14:val="tx1"/>
                  </w14:solidFill>
                </w14:textFill>
              </w:rPr>
              <w:t>. 主要涉及业务：筹融资业务、投资业务、仓储业务、日常报销业务、日常结算业务、税费纳税业务、采购环节业务、生产环节业务、销售环节业务、特殊业务等。</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（三）线上共享记账平台（配套50个为期12个月在线共享记账）</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智能日记账：日记账能够支持电脑、手机使用，手机上使用时按手机屏幕比例显示清晰，支持权限设置，分登记权限、修改权限、删除权限、对账权限等；可设置账户管理人员，只有具备账户管理权限的人员才能查询、并且管理此账户中的收支记录；具备智能记账功能，录入一段文字就可智能分析出交易日期、交易金额、收支科目、对方单位、部门、经办人，并且根据部门分析收支科目为销售费用、管理费用等；记账时支持选择本地图片、QQ截图并直接粘贴在界面上、手机微信扫码无缝上传三种方式将原始票据附在账目上，并且可进行放大、缩小、旋转、拖拽显示；</w:t>
            </w:r>
          </w:p>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31.能生成月报表，按柱状图显示13个月收入、支出、利 润、账面余额；可同时选取5个收支科目进行13个月对比，以曲线图方式展示数据的变化趋势及相互作用关系；能将月报表导出成Excel文件格式；</w:t>
            </w:r>
            <w:r>
              <w:rPr>
                <w:rFonts w:hint="eastAsia" w:ascii="仿宋" w:hAnsi="仿宋" w:eastAsia="仿宋" w:cs="仿宋"/>
                <w:b/>
                <w:bCs/>
                <w:color w:val="000000" w:themeColor="text1"/>
                <w:sz w:val="24"/>
                <w:szCs w:val="24"/>
                <w:highlight w:val="none"/>
                <w14:textFill>
                  <w14:solidFill>
                    <w14:schemeClr w14:val="tx1"/>
                  </w14:solidFill>
                </w14:textFill>
              </w:rPr>
              <w:t>（提供现场演示，此项不计入技术响应分，计入需求功能演示分）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应收应付：支持收款核销或付款核销，核销过程中允许抹零扣费，即抹掉零头、扣除手续费、其他扣费，支持两种核销方式，直接录入核销金额或者从已有的收支账目中选取进行核销；登记应收应付时支持选择本地图片、QQ截图并直接粘贴在界面上、手机微信扫码无缝上传三种方式将原始票据附在日记账上；</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33.支持合并收款或合并付款，多笔应收应付可合并，合并后还可跟未合并的记录进行多次合并，应收应付金额自动根据被合并的记录计算，合并后的记录可取消合并；</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34.物品管理：物品管理可最多分4个菜单，分别是原材料管理、产成品管理、废料管理、礼品管理，并且均允许自定义菜单名称；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 项目（合同）管理：项目管理列表显示项目金额、已收金额、应收余额、已付金额、应付余额、利润；</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 工资管理： 支持复核工资表，复核时可选择已有工资表进行对比，高亮显示同一员工不同之处，便于领导发现本月工资表与往月不一样之处；支持工资表记账，可将选定的员工工资记录合并为一笔产生一笔日记账，也可批量逐笔自动生成相同数量的日记账记录，支持从已有日记账中选取记录关联到工资表；</w:t>
            </w:r>
            <w:r>
              <w:rPr>
                <w:rFonts w:hint="eastAsia" w:ascii="仿宋" w:hAnsi="仿宋" w:eastAsia="仿宋" w:cs="仿宋"/>
                <w:b/>
                <w:bCs/>
                <w:color w:val="000000" w:themeColor="text1"/>
                <w:sz w:val="24"/>
                <w:szCs w:val="24"/>
                <w:highlight w:val="none"/>
                <w14:textFill>
                  <w14:solidFill>
                    <w14:schemeClr w14:val="tx1"/>
                  </w14:solidFill>
                </w14:textFill>
              </w:rPr>
              <w:t>（提供现场演示，此项不计入技术响应分，计入需求功能演示分）</w:t>
            </w:r>
          </w:p>
          <w:p>
            <w:r>
              <w:rPr>
                <w:rFonts w:hint="eastAsia" w:ascii="仿宋" w:hAnsi="仿宋" w:eastAsia="仿宋" w:cs="仿宋"/>
                <w:color w:val="000000" w:themeColor="text1"/>
                <w:sz w:val="24"/>
                <w:szCs w:val="24"/>
                <w14:textFill>
                  <w14:solidFill>
                    <w14:schemeClr w14:val="tx1"/>
                  </w14:solidFill>
                </w14:textFill>
              </w:rPr>
              <w:t>37.其他功能：具备客户管理功能；外部报表功能；发票查重功能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38.其他要求：</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提供生产厂家售后服务承诺函及参数确认函。</w:t>
            </w:r>
            <w:r>
              <w:rPr>
                <w:rFonts w:hint="eastAsia" w:ascii="仿宋" w:hAnsi="仿宋" w:eastAsia="仿宋" w:cs="仿宋"/>
                <w:b/>
                <w:bCs/>
                <w:color w:val="auto"/>
                <w:sz w:val="24"/>
                <w:szCs w:val="24"/>
                <w:lang w:val="en-US" w:eastAsia="zh-CN"/>
              </w:rPr>
              <w:t>提供财会职业能力养成平台软件中第2、22、24、25、26项的</w:t>
            </w:r>
            <w:r>
              <w:rPr>
                <w:rFonts w:hint="eastAsia" w:ascii="仿宋" w:hAnsi="仿宋" w:eastAsia="仿宋" w:cs="仿宋"/>
                <w:b/>
                <w:bCs/>
                <w:color w:val="auto"/>
                <w:sz w:val="24"/>
                <w:szCs w:val="24"/>
              </w:rPr>
              <w:t>参数功能截图证明</w:t>
            </w:r>
            <w:r>
              <w:rPr>
                <w:rFonts w:hint="eastAsia" w:ascii="仿宋" w:hAnsi="仿宋" w:eastAsia="仿宋" w:cs="仿宋"/>
                <w:color w:val="000000" w:themeColor="text1"/>
                <w:sz w:val="24"/>
                <w:szCs w:val="24"/>
                <w14:textFill>
                  <w14:solidFill>
                    <w14:schemeClr w14:val="tx1"/>
                  </w14:solidFill>
                </w14:textFill>
              </w:rPr>
              <w:t>。</w:t>
            </w:r>
          </w:p>
          <w:p>
            <w:pP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2)质保3年，5年免费升级，终身免费使用。</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财务大数据BI可视化平台</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（一）技术参数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 软件采用互联网技术，基于云模式，在线提供云服务，软件采用B/S架构，基于公有云与私有云混合模式，人工智能与会计的融合，打造智慧财务云生态。基于流行的J2EE技术栈，采用JDK1.8、Mysql、Spring Boot、Spring Cloud、MyBatis Plus、Vue、ElementUI、Redis等技术，应用稳定的Spring Cloud微服务框架进行构建，系统支持分布式的部署方式，支持服务的无缝扩展和对接；</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 财务大数据 BI可视化包括两个模块，分别是Power BI可视化模块和Web BI可视化模块，旨在帮助学生培养应用 BI工具进行数据分析、生成数据报表的能力，具体能力目标为：数据处理能力、数据建模能力、数据可视化能力、生成数据报表能力；Power BI可视化模块涵盖了数据处理、DAX表达式、数据可视化，Web BI可视化模块包括数据准备、可视化仪表板制作，通过将BI数据分析工具与具体的财务场景相融合，培养学生熟练应用BI工具进行财务大数据分析的能力，为今后的工作奠定基础；</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 ★提供大数据中心：包含近4000家上市公司数据，涵盖公司简介、财务报表摘要、资产负债表、利润表、现金流量表、股票价格等财务数据。系统能够按照公司名称或者股票代码（上市公司）进行检索，可以实时显示上市公司数据的总数量；提供板块模式，按照行业板块和地域板块对上市公司进行分类，可以实时显示行业板块和地域板块的各个板块的上市公司总数量，其中行业板块包含采矿业、粮食加工、食品制造、茶酒饮料、纺织业、服装制造、皮毛制鞋、木材加工、家具制造、造纸、印刷等47个行业板块，地域板块包含天津、河北、山西、内蒙古、辽宁、吉林、黑龙江、上海、江苏等30多个省级行政区板块；大数据中心数据所有数据包括每个行业板块的总数据、任意公司总数据或者单独一项数据都能够支持直接下载数据或者复制链接的方式获取数据，以上数据每年至少更新一次；</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 ★学生可以在系统中上传Power BI脚本文件，生成在线报表，可通过复制报表链接的方式，将生成的在线报表分享给其他人；</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大数据中心查看上市公司信息：学生端登录系统后，可以在答题界面打开大数据中心，内部包含近4000家上市公司的信息，可以按照地域板块、行业板块分类查看企业。选中某一家公司后，可以查看该公司的简介，财务报表摘要，资产负债表，利润表，现金流量表，股价信息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 ★Web BI模块仅支持在线云平台内使用，具有丰富的图表类型、图表样式DIY、主题样式自选、Excel 450+计算公式集成、数据绑定快速计算、多终端自适应、数据切片&amp;联动&amp;钻取和图表评分等功能：丰富的图表类型：常用基础图表（条形图、柱状图、折线图、面积图、饼图、玫瑰图、旭日图、雷达图、散点图、气泡图、树形图、组合图、KPI指标卡、透视表、筛选器等）； 支持图表样式DIY：提供丰富配色方案与个性化数据提示、支持图表样式DIY，用户可以随意修改坐标轴、数据表、图表布局与风格设置、图表标题、图例、系列、标签等属性，以使图表更加美观；内置丰富主题样式：在制作仪表板和报表的过程中，Web BI内置10风格各异的主题样式（同时用于仪表板和报表）供用户直接使用，无需每次都重复设置所有样式。并提供强大的DIY 功能，用户可以在内置主题的基础上自定义文档主题，包括字体样式，图表颜色等，而且同时用于设置报表和仪表板主题风格，进一步满足图表个性化的需求；</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 账号设置：教师管理功能：提供新增、修改和删除教师账号功能，针对教师账号控制其课程权限；行政班管理功能：提供新增、修改和删除行政班的功能，支持行政班单个学生账号增加，也支持批量添加学生账号和Excel文件导入学生账号，支持按单个或批量两种模式设置学生账号的有效期；教学班管理功能：提供新增、修改和删除教学班的功能，通过创建教学班来组织学生学习课程，支持自由选择学生加入教学班；</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成绩查看：提供查看教学班中所有学生的总成绩的功能，支持查看课程单个章节的成绩，支持导出成绩单到EXCEL文件；提供隐藏课程指定章节目录的功能，提供可以自主开关章节内题目答案的功能。提供统计分析功能，可以统计教学班下所有学生每个章节的得分统计，统计信息包含：得分率20%以下的人数、得分率20%-60%的人数、得分率60%-80%的人数和得分率80%以上的人数，提供通过点击单个章节目录获取单个章节下得分率统计信息；</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9.教学互动： 提供签到功能，教师可以针对教学班发起指定时间段的签到活动，并查看签到结果。支持特殊情况下老师手动调整学生的签到状态；提供试卷管理功能，支持新增、修改和删除试卷功能，试卷内题目支持手动添加，也可通过筛选章节范围、题型、题数等信息随机从其他现有题目中抽取的功能；提供作业考试功能，可以自主创建作业考试，可以控制答案查看方式、成绩查看方式和考试发布状态等功能；支持查看考试成绩，并将成绩导出Excel的功能；提供在线时长统计功能，可以查看学生在教学班下学习的时间统计，包含首次登录时间、最后登录时间、在线总时长、今日在线时长和上次在线时长等，并支持通过折线图查看，并提供折线图下载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10.公告管理功能： 提供新增、修改和删除公告的功能，可指定公告的启用时间、截止时间、启用状态；公告内容支持普通本文模式和MarkDown模式；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个人信息管理功能： 提供账号姓名、头像和密码等修改功能；系统云平台提供账号绑定微信和绑定QQ的功能，绑定后用户可以通过微信或者QQ登录平台；系统云平台提供绑定手机号码的功能，用户可以将账号与手机号码绑定，绑定后可以通过手机登录平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12．平台扩展功能：提供老师自建课程的功能、支持PDF、MP4等多种类型教学资源；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学生端功能：个人信息管理功能：提供账号姓名、密码等修改功能；系统云平台提供账号绑定微信和绑定QQ的功能，绑定后用户可以通过微信或者QQ登录平台；登录后，输入手机号，获取验证码，输入验证码，点击绑定手机，成功后可以用手机号登录；</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学习统计功能：提供学生在课程下的学习状况统计雷达图，具有两张雷达图并可交互，一张雷达图显示每个项目的总分、合格分和得分信息，点击任意一个项目，另外一张雷达图对应显示该项目下每个任务的总分、合格分和得分信息；同时可以控制选择雷达图只显示总分、得分、合格分任意一种或组合信息；主界面还具有显示每个项目的总分、得分和正确率的统计列表，点击关闭按钮可隐藏该统计列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 BI功能：支持上传源数据（Excel、CSV等），对数据进行建模（抽取模型和直连模型），创建仪表板（各种图表），对图表进行属性设置等；</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 BI工具分屏：在BI工具中完成题目要求，可以进行分屏，方便查看题目要求与完成任务；</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 在线浏览报表：学生可以在系统上传Power BI脚本文件，生成在线报表；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 在线报表分享：可通过复制报表链接的方式，将生成的在线报表分享给其他人；</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 平台内嵌互动小游戏模块，主要有以下功能：提供多个终端使用功能：游戏支持电脑、手机等终端使用；在线游戏互动功能：学生可通过手机扫描系统的中会计游戏二维码，实现在手机上进行随堂游戏的互动体验；</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 平台配套提供终端载体单机版内置微课制作功能：可直接导入PPT并保留PPT所有动画效果，生成视频微课；制作过程可自动录音，可合成至生成的视频微课中；</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 平台配套云课堂手机APP版，实现云课堂功能，可以为老师学生在互联环境下达到沟通、资源共享、课堂考核的作用，体验互动教学与作业跟踪等新的教学模式：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自定义签到：教师端可自定义课堂签到手势，学生端即可以规定手势进行签到；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投票管理：教师端可自主编辑投票的标题、投票的内容、投票后是否立即显示结果、投票，学生端即可参与老师编辑好的投票；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 平台配套提供会计信息化账务处理手机APP，供学生移动学习体验会计信息化常见功能模块：初始设置：登录后可自定义创建账套，若已有账套，则直接进入角色登录界面；</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角色登录：提供四个岗位角色登录，支持网络版管理员针对实际情况分配角色登录权限。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（二）内容参数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 主要内容：要求包含Power BI可视化教学内容：至少涵盖Power BI财务大数据分析工具概述、Power BI数据获取、Power Query数据清洗、Power Pivot数据建模、数据分析表达式、Power BI可视化等内容；并且至少提供5个实战演练案例；要求包含Web BI可视化教学内容：至少涵盖Web BI数据准备、Web BI数据分析表达式、Web BI可视化仪表板制作等内容；并且至少提供5个实战演练案例；</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24.教学资源：课堂学习包含PPT课件、慕课视频、微课视频、课堂训练题等，课后习题包含单选、多选、判断和Power BI操作题等题库，包含且不限以下内容：Power BI可视化：PPT不少于15个、课堂示例不少于49题、课后习题：单选题（不少于75题）、多选题不少于75题、判断题不少于75题、操作题不少于38题。</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Web BI可视化： PPT不少于11个、 Web BI快速入门、Web BI分析表达式、仪表板设计思路、可视化基础图表、可视化高阶图表、实战演练2、实战演练3、实战演练4、课堂示例不少于19题、课后习题：单选题不少于25题、判断题不少于25题、操作题不少于15题。</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其他要求：</w:t>
            </w:r>
          </w:p>
          <w:p>
            <w:pPr>
              <w:tabs>
                <w:tab w:val="left" w:pos="312"/>
              </w:tabs>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)提供生产厂家售后服务承诺函及参数确认函。</w:t>
            </w:r>
            <w:r>
              <w:rPr>
                <w:rFonts w:hint="eastAsia" w:ascii="仿宋" w:hAnsi="仿宋" w:eastAsia="仿宋" w:cs="仿宋"/>
                <w:b/>
                <w:bCs/>
                <w:color w:val="auto"/>
                <w:sz w:val="24"/>
                <w:szCs w:val="24"/>
                <w:lang w:val="en-US" w:eastAsia="zh-CN"/>
              </w:rPr>
              <w:t>提供</w:t>
            </w:r>
            <w:r>
              <w:rPr>
                <w:rFonts w:hint="eastAsia" w:ascii="仿宋" w:hAnsi="仿宋" w:eastAsia="仿宋" w:cs="仿宋"/>
                <w:b/>
                <w:bCs/>
                <w:color w:val="auto"/>
                <w:sz w:val="24"/>
                <w:szCs w:val="24"/>
              </w:rPr>
              <w:t>财务大数据BI可视化平台</w:t>
            </w:r>
            <w:r>
              <w:rPr>
                <w:rFonts w:hint="eastAsia" w:ascii="仿宋" w:hAnsi="仿宋" w:eastAsia="仿宋" w:cs="仿宋"/>
                <w:b/>
                <w:bCs/>
                <w:color w:val="auto"/>
                <w:sz w:val="24"/>
                <w:szCs w:val="24"/>
                <w:lang w:val="en-US" w:eastAsia="zh-CN"/>
              </w:rPr>
              <w:t>中第3、4、6项的</w:t>
            </w:r>
            <w:r>
              <w:rPr>
                <w:rFonts w:hint="eastAsia" w:ascii="仿宋" w:hAnsi="仿宋" w:eastAsia="仿宋" w:cs="仿宋"/>
                <w:b/>
                <w:bCs/>
                <w:color w:val="auto"/>
                <w:sz w:val="24"/>
                <w:szCs w:val="24"/>
              </w:rPr>
              <w:t>参数功能截图证明</w:t>
            </w:r>
            <w:r>
              <w:rPr>
                <w:rFonts w:hint="eastAsia" w:ascii="仿宋" w:hAnsi="仿宋" w:eastAsia="仿宋" w:cs="仿宋"/>
                <w:color w:val="000000" w:themeColor="text1"/>
                <w:sz w:val="24"/>
                <w:szCs w:val="24"/>
                <w14:textFill>
                  <w14:solidFill>
                    <w14:schemeClr w14:val="tx1"/>
                  </w14:solidFill>
                </w14:textFill>
              </w:rPr>
              <w:t>。</w:t>
            </w:r>
          </w:p>
          <w:p>
            <w:pPr>
              <w:tabs>
                <w:tab w:val="left" w:pos="312"/>
              </w:tabs>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)质保3年，5年免费升级，终身免费使用。</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RPA财务机器人开发与应用平台</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（一）技术参数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 软件采用B/S架构，基于公有云与私有云混合模式，人工智能与会计的融合，打造智慧财务云生态。</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 RPA财务机器人应用与开发涵盖了课程导入、走进RPA财务机器人世界、 RPA财务机器人基础UiPath认知、RPA财务机器人Excel应用、RPA财务机器人Email应用、RPA财务机器人Web应用、RPA财务机器人实战开发、RPA财务机器人部署与运维，注重RPA财务机器人的设计过程与开发实践应用，在课程中穿插了财务案例与操作练习，通过将RPA机器人开发工具与具体的财务场景相融合，培养学生运用RPA工具开发财务机器人的综合能力；</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 在学习开发RPA机器人时，为满足大批量学生开发环境需求，内置了仿真网上银行系统、仿真防伪税控开票系统、仿真电子税务局系统、仿真会计信息化系统、仿真仓储进销存系统、仿真增值税发票认证系统、仿真个人所得税系统等开发环境。</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 学生可以通过系统上传RPA 脚本压缩文件和RPA运行视频，提供已上传的RPA脚本压缩文件下载功能和已上传的RPA运行视频在线观看功能；</w:t>
            </w:r>
          </w:p>
          <w:p>
            <w:pPr>
              <w:widowControl/>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账号设置：教师管理功能：提供新增、修改和删除教师账号功能，针对教师账号控制其课程权限；行政班管理功能：提供新增、修改和删除行政班的功能，支持行政班单个学生账号增加，也支持批量添加学生账号和Excel文件导入学生账号。支持按单个或批量两种模式设置学生账号的有效期；教学班管理功能：提供新增、修改和删除教学班的功能，通过创建教学班来组织学生学习课程，支持自由选择学生加入教学班；</w:t>
            </w:r>
          </w:p>
          <w:p>
            <w:pPr>
              <w:widowControl/>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成绩查看：提供查看教学班中所有学生的总成绩的功能，支持查看课程单个章节的成绩，支持导出成绩单到EXCEL文件；提供隐藏课程指定章节目录的功能，提供可以自主开关章节内题目答案的功能。提供统计分析功能，可以统计教学班下所有学生每个章节的得分统计，统计信息包含：得分率20%以下的人数、得分率20%-60%的人数、得分率60%-80%的人数和得分率80%以上的人数，提供通过点击单个章节目录获取单个章节下得分率统计信息；</w:t>
            </w:r>
          </w:p>
          <w:p>
            <w:pPr>
              <w:widowControl/>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教学互动：提供签到功能，教师可以针对教学班发起指定时间段的签到活动，并查看签到结果。支持特殊情况下老师手动调整学生的签到状态；提供试卷管理功能，支持新增、修改和删除试卷功能，试卷内题目支持手动添加，也可通过筛选章节范围、题型、题数等信息随机从其他现有题目中抽取的功能；提供作业考试功能，可以自主创建作业考试，可以控制答案查看方式、成绩查看方式和考试发布状态等功能。支持查看考试成绩，并将成绩导出EXCEL的功能；提供在线时长统计功能，可以查看学生在教学班下学习的时间统计，包含首次登录时间、最后登录时间、在线总时长、今日在线时长和上次在线时长等，并支持通过折线图查看，并提供折线图下载功能；RPA判分：在教学管理中，可以查看学生上传的RPA运行视频，并判分；公告管理：可以查看已有公告及新增公告，编辑公告，删除公告；</w:t>
            </w:r>
          </w:p>
          <w:p>
            <w:pPr>
              <w:widowControl/>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个人信息管理功能：提供账号姓名、头像和密码等修改功能；系统云平台提供账号绑定微信和绑定QQ的功能，绑定后用户可以通过微信或者QQ登录平台；系统云平台提供绑定手机号码的功能，用户可以将账号与手机号码绑定，绑定后可以通过手机登录平台；</w:t>
            </w:r>
          </w:p>
          <w:p>
            <w:pPr>
              <w:widowControl/>
              <w:jc w:val="left"/>
            </w:pPr>
            <w:r>
              <w:rPr>
                <w:rFonts w:hint="eastAsia" w:ascii="仿宋" w:hAnsi="仿宋" w:eastAsia="仿宋" w:cs="仿宋"/>
                <w:color w:val="000000" w:themeColor="text1"/>
                <w:sz w:val="24"/>
                <w:szCs w:val="24"/>
                <w14:textFill>
                  <w14:solidFill>
                    <w14:schemeClr w14:val="tx1"/>
                  </w14:solidFill>
                </w14:textFill>
              </w:rPr>
              <w:t>9.平台扩展功能：提供老师自建课程的功能、支持PDF、MP4等多种类型教学资源；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学习统计功能：提供学生在课程下的学习状况统计雷达图,具有两张雷达图并可交互，一张雷达图显示每个项目的总分、合格分和得分信息，点击任意一个项目，另外一张雷达图对应显示该项目下每个任务的总分、合格分和得分信息；同时可以控制选择雷达图只显示总分、得分、合格分任意一种或组合信息；主界面还具有显示每个项目的总分、得分和正确率的统计列表，点击关闭按钮可隐藏该统计列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11.学习进度条功能：在平台主界面展开任一项目，该项目下的每个子任务都自带有学习进度条，进度条具有百分比数值以及不同的颜色来展示学习进度；</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12.收藏题目功能：提供收藏题目功能，可在收藏列表中查看所有收藏的题目，方便针对性的学习；</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13.工具箱功能：提供普通计算器、科学计算器功能；提供金融计算器功能；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嵌入式网页PPT功能：提供画笔标注功能，包括画笔、荧光笔、橡皮擦；提供上下翻页、单页单独打开功能；提供PPT导航、模糊搜索内容功能；提供场景对话交互功能；内置客观题，包括单选、多选、判断等题型；</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平台内嵌互动小游戏模块，主要有以下功能：提供多个终端使用功能：游戏支持电脑、手机等终端使用；在线游戏互动功能：学生可通过手机扫描系统的中会计游戏二维码，实现在手机上进行随堂游戏的互动体验；竞赛排行功能：支持竞赛比拼并提供排行，增加课堂趣味性，可重复进行游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 平台配套提供终端载体单机版内置微课制作功能：可直接导入PPT并保留PPT所有动画效果，生成视频微课；制作过程可自动录音，可合成至生成的视频微课中；微课制作时支持支持两个摄像头切换录制，第一摄像头和第二摄像头可随时切换录制现场人像或现场展示资料，录制内容可合成至生成的视频微课中；</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 平台配套提供云课堂手机APP版，实现云课堂功能，可以为老师学生在互联环境下达到沟通、资源共享、课堂考核的作用，体验互动教学与作业跟踪等新的教学模式：自定义签到：教师端可自定义课堂签到手势，学生端即可以规定手势进行签到；投票管理：教师端可自主编辑投票的标题、投票的内容、投票后是否立即显示结果、投票，学生端即可参与老师编辑好的投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 平台配套提供会计信息化账务处理手机APP，供学生移动学习体验会计信息化常见功能模块：初始设置：登录后可自定义创建账套，若已有账套，则直接进入角色登录界面；角色登录：提供四个岗位角色登录，支持网络版管理员针对实际情况分配角色登录权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（二）内容参数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 主要内容：要求至少涵盖RPA机器人基础认知教学、UiPath基础认知教学、 UiPath变量、UiPath常用活动、条件分支活动、条件循环活动、Excel基本活动、数据表活动、RPA财务机器人Email应用、RPA财务机器人Web应用、RPA财务机器人部署与运维等内容；并且提供不少于2个综合实战开发案例，案例内容要求为财务中常用且典型的RPA机器人（如网银付款机器人、银企对账机器人等）</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 教学资源：PPT课件不少于31个；慕课视频不少于43个，教学微课不少于2个，机器人运行小视频不少于9个，课堂习题不少于63题，课后练习不少于102题； 案例实操不少于8个；</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其他要求：</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1)提供生产厂家售后服务承诺函及参数确认函。</w:t>
            </w:r>
            <w:r>
              <w:rPr>
                <w:rFonts w:hint="eastAsia" w:ascii="仿宋" w:hAnsi="仿宋" w:eastAsia="仿宋" w:cs="仿宋"/>
                <w:b/>
                <w:bCs/>
                <w:color w:val="auto"/>
                <w:sz w:val="24"/>
                <w:szCs w:val="24"/>
                <w:lang w:val="en-US" w:eastAsia="zh-CN"/>
              </w:rPr>
              <w:t>提供</w:t>
            </w:r>
            <w:r>
              <w:rPr>
                <w:rFonts w:hint="eastAsia" w:ascii="仿宋" w:hAnsi="仿宋" w:eastAsia="仿宋" w:cs="仿宋"/>
                <w:b/>
                <w:bCs/>
                <w:color w:val="auto"/>
                <w:sz w:val="24"/>
                <w:szCs w:val="24"/>
              </w:rPr>
              <w:t>RPA财务机器人开发与应用平台</w:t>
            </w:r>
            <w:r>
              <w:rPr>
                <w:rFonts w:hint="eastAsia" w:ascii="仿宋" w:hAnsi="仿宋" w:eastAsia="仿宋" w:cs="仿宋"/>
                <w:b/>
                <w:bCs/>
                <w:color w:val="auto"/>
                <w:sz w:val="24"/>
                <w:szCs w:val="24"/>
                <w:lang w:val="en-US" w:eastAsia="zh-CN"/>
              </w:rPr>
              <w:t>中第10、14项的</w:t>
            </w:r>
            <w:r>
              <w:rPr>
                <w:rFonts w:hint="eastAsia" w:ascii="仿宋" w:hAnsi="仿宋" w:eastAsia="仿宋" w:cs="仿宋"/>
                <w:b/>
                <w:bCs/>
                <w:color w:val="auto"/>
                <w:sz w:val="24"/>
                <w:szCs w:val="24"/>
              </w:rPr>
              <w:t>参数功能截图证明</w:t>
            </w:r>
            <w:r>
              <w:rPr>
                <w:rFonts w:hint="eastAsia" w:ascii="仿宋" w:hAnsi="仿宋" w:eastAsia="仿宋" w:cs="仿宋"/>
                <w:color w:val="000000" w:themeColor="text1"/>
                <w:sz w:val="24"/>
                <w:szCs w:val="24"/>
                <w14:textFill>
                  <w14:solidFill>
                    <w14:schemeClr w14:val="tx1"/>
                  </w14:solidFill>
                </w14:textFill>
              </w:rPr>
              <w:t>。</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2)质保3年，5年免费升级，终身免费使用。</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中国会计文化实践平台</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（一）技术参数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1.系统架构基于微服务框架进行架构，支持快速水平扩展，支持高并发，高可用的业务需求。实现系统模块灵活配置，数据动静分离；支撑目前主流的个人pc操作系统;</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2.采用轻量级流程引擎，实现准确流程控制和高效流程推送;</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3.要求使用mysql等开源数据库，可通过水平扩展来达到高可用性和高性能;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4.系统采用当前流行的SpringBoot、SpringCloud、Mybatis等技术框架，展现层需要通过vue+ elementUI等全家桶实现，实现前后端分离；模型层通过Java等接口及实现类来实现，通过网关统一入口访问各个微服务；与数据库的接口采用轻量级封装Mybatis提供的接口；</w:t>
            </w:r>
          </w:p>
          <w:p>
            <w:pPr>
              <w:jc w:val="left"/>
              <w:rPr>
                <w:rFonts w:ascii="仿宋" w:hAnsi="仿宋" w:eastAsia="仿宋" w:cs="仿宋"/>
                <w:color w:val="auto"/>
                <w:sz w:val="24"/>
                <w:szCs w:val="24"/>
              </w:rPr>
            </w:pPr>
            <w:r>
              <w:rPr>
                <w:rFonts w:hint="eastAsia" w:ascii="仿宋" w:hAnsi="仿宋" w:eastAsia="仿宋" w:cs="仿宋"/>
                <w:color w:val="auto"/>
                <w:sz w:val="24"/>
                <w:szCs w:val="24"/>
              </w:rPr>
              <w:t>5.系统集成skywalking+elk等日志系统，记录系统日志，快速定位排查线上问题；系统可以抵御常用攻击手段，如SQL注入，CSRF，XSS等;系统使用redis等缓存数据库来进行用户数据的缓存，增加系统响应速度并优化用户的体验;</w:t>
            </w:r>
          </w:p>
          <w:p>
            <w:pPr>
              <w:jc w:val="left"/>
              <w:rPr>
                <w:rFonts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统一的配置中心apollo等，配置及时生效，可以支持快速根据业务需求调整参数;系统实现单点登录，提供用户的统一登录入口，系统管理员、教务管理员、教师、学生统一登陆入口，只需输入各自的用户名及密码即可登录，可支持根据上课人数快速扩容;</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所有服务采用docker等部署，快速快捷扩容;消息机制采用WebSocket等技术，后端采用netty等服务器，支持单机至少2万连接，实现数据实时同步；系统提供Elasticsearch等技术，分布式多用户能力的全文搜索引擎，支持对所有课程资源文件全文检索。</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（二）功能指标</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.产品是与中国会计学会计史相关专家合作研发。以中国历史发展为时代主线，将会计文化的产生与发展贯穿于中国社会经济发展与政治变革中的实践课程平台。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.产品融合游戏化教学技术，课程设计不少于8关32个任务，学生以闯关形式进入不同历史情景，从历史环境、名人故事，会计工具、制度等的演变沉浸式感知中华会计文化发展。</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0</w:t>
            </w:r>
            <w:r>
              <w:rPr>
                <w:rFonts w:hint="eastAsia" w:ascii="仿宋" w:hAnsi="仿宋" w:eastAsia="仿宋" w:cs="仿宋"/>
                <w:color w:val="000000" w:themeColor="text1"/>
                <w:sz w:val="24"/>
                <w:szCs w:val="24"/>
                <w14:textFill>
                  <w14:solidFill>
                    <w14:schemeClr w14:val="tx1"/>
                  </w14:solidFill>
                </w14:textFill>
              </w:rPr>
              <w:t>.整个产品平台须包含但不限以下内容：中华会计文化游戏化教学平台：内置不少于9个沉浸式游戏化教学页面；中华会计文化教学PPT资源库：内置不少于180个PPT资源；中华会计文化专家视频资源库：内置不少于35个教学视频资源；课程思政教学活动库：内置不少于23个思政与会计专业与中国传统文化相融合的课程思政教学活动；中华会计文化知识测评题库：内置不少于500道中华会计文化知识相关，涵盖单选、多选、问答、判断的测评题库资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（三）实训模块功能参数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平台教学方法须包括：五星教学设计法、游戏化教学法、成果导向等；要求教学实训任务体现以上教学方法，要求体现课程教学流程，包含视频引入—知识讲解——任务实训——成果输出的完整流程。五星教学须包括但不限于：1）聚焦问题2）激活旧知3）论证新知4）尝试应用5）融会贯通。</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须包含以下教学内容但不限：要求包含结绳记事、刻契记事、甲骨文三大部分教学内容，提供不少于20个教学资源；不少于5个教学视频资源；不少于5项教学实训任务；要求实训过程中采用结绳、甲骨文、中华会计文化画布、中华会计文化知识卡牌实物教具；要求包含尚书、周礼、管仲、孔子、孟子五大部分教学内容，提供不少于23个教学资源；不少于5个教学视频资源；不少于5项教学实训任务；要求包含秦统一、汉代简牍、中国珠算、“账”的演变四大部分教学内容，提供不少于26个教学资源；不少于4个教学视频资源；不少于6项教学实训任务；要求实训过程采用六国古钱币、算盘、算筹、丝绸之路贸易实训盒、中华会计文化画布、中华会计文化知识卡牌实物教具；要求包含度支部、元和国计簿、四柱结算法、会计司四大部分教学内容，提供不少于21个教学资源；不少于4个教学视频资源；不少于4项教学实训任务；要求包含珠算与中药、古代诗词中的会计、元杂剧中的会计、龙门账四大部分教学内容，提供不少于19个教学资源；不少于4个教学视频资源；不少于3项教学实训任务；要求包含连环账谱、民三会计法等五大部分教学内容，提供不少于24个教学资源；不少于5个教学视频资源；不少于3项教学实训任务；要求包含山西革命根据地会计、增减记账法、珠算、中国管理会计四大部分教学内容，提供不少于22个教学资源；不少于4个教学视频资源；不少于4项教学实训任务；要求包含中国会计涅槃、诚信为本、审美视角下的会计三大部分教学内容，提供不少于14个教学资源；不少于4个教学视频资源；不少于5项教学实训任务。</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（四）教学实训系统功能参数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.教务管理功能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支持显示：教师名称、授课班级数量、平均案例数、总平均分；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查看详情：支持查看老师名下班级平均成绩与学校平均成绩对比，开课班级平均成绩，开课班级启用案例数量，支持以图形的形式呈现，支持搜索功能。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课程管理：支持呈现本院校所购买或者试用的所有课程，支持查看课程下的案例种类数量、购买时长、站点数、购买日期；支持课程导入功能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教师管理：新增或者导入老师的账号、名称、密码，编辑老师信息，重置老师密码；支持显示：老师姓名、账号、密码、最近开课时间、开课班级、开课总人数、总平均分，支持提供搜索功能。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学生管理：支持对学生禁用账号、重置密码等功能；支持显示：学生姓名、账号、密码、加入班级数、实训班级平均成绩、在线状态、最后登录时间、账号状态。</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.教师管理功能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创建教学班：支持按照不同课程、班级名称、上课时间区间创建班级。</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支持教学班呈现：支持呈现教学班情况：进行中班级、已结束班级、未开始班级。</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支持班级首页：支持呈现教学班情况：学生人数、团队个数、在线学生人数；支持显示班级能力雷达图，支持本班和学生能力对比。</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.实训管控</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实训管控中支持自定义课程考核方案，编辑考核项目内容及分布考核占比，教师可针对课程也可针对具体学习单元的主观评分项对学生成绩进行打分；支持开始实训、结束实训、开始签到的控制。</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.学生管理：支持新增或者导入学生的账号、名称、密码、性别、手机号；支持学生信息的展示，支持编辑学生信息、查看学生详情、将学生移出班级、对学生密码进行重置。</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.团队管理：支持对未分组成员设置自动组队规则来实现自动组队。</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.教学管理：支持展示中华会计文化实训的全部教学模块内容，支持对教学任务的解锁和考试任务的答题时间设置。</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.成绩管理：支持个人成绩和团队成绩的展示，支持批量评分和成绩导出的功能。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.实训总结：支持展示学生实训总结的提交状态；支持查看每个学生的能力项分布、任务进度、考试成绩及个人实训总结报告的内容，支持实训报告导出功能。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.我的教案</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支持自定义教学大纲、自定义任务，支持通过复制的方式复制标准教案，支持在标准教案的基础上进行教学内容的增减；支持通过同步教案的方式实时同步到对应教学班级中。</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.教学工具</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教学工具中包含有红旗榜、抢答器、投票、转盘、课程资源检索、教学资源下发等功能，教师可以设置个人红旗榜数、团队红旗榜数，支持全员抢答，支持投票、转盘提问的教学活动，同时支持课程资源的全文检索；支持通过教学资源下发的功能给全员下发教学资源。</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学生管理功能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游戏化界面：不少于9个游戏化界面，1个八大学习关卡综合展示入口界面，8个反映不同关卡时代特性闯关界面，不少于15个闯关标识元素；首页支持显示团队人数、个人成绩、任务进度、考勤签到、个人能力雷达图、团队能力雷达图；支持学生的课程学习和任务实操；支持通过教师端的任务解锁按钮控制任务的可学习性；支持团队协作完成基于朝代、时间、任务、会计事件、会计思想、会计器具编写中华会计文化发展历程；支持发起挑战、选择个人挑战或团队挑战、接受挑战、个人或团队进行挑战、挑战结果呈现；支持学生挑战排行榜动态更新；支持展示班级全部团队的名称，组长的信息，支持申请加入团队的功能；支持展示个人成绩及试题内容答案查看的功能，支持查看团队成员成绩的功能；支持查看个人能力雷达图、团队能力雷达图、个人任务进度、团队任务进度、我的考试成绩、我的个人总结及上传文档的功能；学生端的教学工具有红旗榜、抢答器、投票、课程资源检索、教学资源收取的等功能，学生可以查看个人红旗数、可以针对可下载的教学资源进行检索，以及可以收取教师发放的教学资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.其他要求：</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1)提供生产厂家参数确认函及售后服务承诺函。</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质保3年，5年免费升级，终身免费使用。</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智能财税基本技能平台</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一、教师端核心技术参数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1.系统采用B/S架构，无需安装客户端，不限制登录地点，有网络即可登录使用。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2.教师端有班级和学生管理功能，具有班级关注功能，能对关注的班级进行管理和案例发布、成绩管理，具有学生转移功能，可以将学生批量转移到其他班级。</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3.有案例管理功能，能进行案例发布，可以查看案例详情，还可以关闭答案、关闭案例活动，关闭答案后学生做完案例后看不到正确答案，关闭活动后学生不可以做此案例；</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具有成绩管理功能，支持通过企业名称、会计期、班级、学生姓名等不同维度进行筛选，找出对应的学生成绩信息，支持分案例分赛段查看学生成绩，支持查看学生当前案例的完成情况、做题信息、题目答案以及每道小题的成绩。</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财务共享业务赛段可以查看凭证录入作答、票据采集作答详情；纳税事务赛段可以查看智能化开票、发票勾选认证、增值税及附加税纳税申报、企业所得税纳税申报的得分、作答详情、正确答案；财务数据分析赛段可以查看数据管理素养、采购业务分析、销售业务分析、资产负债表分析、利润表分析、盈利能力指标计算与对比分析等部分的作答详情、正确答案和得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二、学生端核心参数</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.学生端有财务共享业务、纳税事务、财务数据分析作答、培训讲解、操作指南、高分宝典功能，且团队赛模块能支持一个角色独立进行四个岗位训练。</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.每个赛段均有岗位任务、操作流程功能，能够查看每个岗位的分值分布、每个岗位的操作流程。</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.培训讲解功能能够进行专题学习，能够查看课程介绍、课程大纲、课程内容、同学笔记，可以查看每个赛段的讲解内容，包括PPT、word、excel、pdf、视频讲解等内容。</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.有高分宝典功能，可以查看部分案例具体业务的详尽答案、解题高手、政策依据、知识拓展等内容。</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.能自主选择样卷，有评分功能，可反复评分，可查看正确答案，得分、计算过程、解析。</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11</w:t>
            </w:r>
            <w:r>
              <w:rPr>
                <w:rFonts w:hint="eastAsia" w:ascii="仿宋" w:hAnsi="仿宋" w:eastAsia="仿宋" w:cs="仿宋"/>
                <w:color w:val="000000" w:themeColor="text1"/>
                <w:sz w:val="24"/>
                <w:szCs w:val="24"/>
                <w14:textFill>
                  <w14:solidFill>
                    <w14:schemeClr w14:val="tx1"/>
                  </w14:solidFill>
                </w14:textFill>
              </w:rPr>
              <w:t>.有作答记录功能，能够总览案例的做题记录，分案例分赛段展示学生做题信息，并且支持对应的答案解析查看。</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（一）财务共享业务赛段</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支持完成业务处理岗、票据处理岗、总账会计岗、财务主管岗的岗位任务，有票据管理、库存管理、成本管理、采购管理、销售管理、凭证、账簿、结账、报表、固定资产、智能工资、商旅费控、基础设置等模块。</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13</w:t>
            </w:r>
            <w:r>
              <w:rPr>
                <w:rFonts w:hint="eastAsia" w:ascii="仿宋" w:hAnsi="仿宋" w:eastAsia="仿宋" w:cs="仿宋"/>
                <w:color w:val="000000" w:themeColor="text1"/>
                <w:sz w:val="24"/>
                <w:szCs w:val="24"/>
                <w14:textFill>
                  <w14:solidFill>
                    <w14:schemeClr w14:val="tx1"/>
                  </w14:solidFill>
                </w14:textFill>
              </w:rPr>
              <w:t>.当所有业务凭证都建好审核通过之后可进行期末处理，自动生成计提折旧、结转未交增值税、结转损益凭证，可进行结账试算和结账操作，结账后可以生成账簿，包含科目余额表、总账、明细账。结账后可对案例进行评分。</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14</w:t>
            </w:r>
            <w:r>
              <w:rPr>
                <w:rFonts w:hint="eastAsia" w:ascii="仿宋" w:hAnsi="仿宋" w:eastAsia="仿宋" w:cs="仿宋"/>
                <w:color w:val="000000" w:themeColor="text1"/>
                <w:sz w:val="24"/>
                <w:szCs w:val="24"/>
                <w14:textFill>
                  <w14:solidFill>
                    <w14:schemeClr w14:val="tx1"/>
                  </w14:solidFill>
                </w14:textFill>
              </w:rPr>
              <w:t>.库存管理功能支持出库单和入库单的手动补录功能，支持仓库和存货的后台配置，支持库存期初管理以及收发存汇总的自动计算，支持出入库单持推送财务核算系统自动生成凭证，支持查询跟踪。</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15</w:t>
            </w:r>
            <w:r>
              <w:rPr>
                <w:rFonts w:hint="eastAsia" w:ascii="仿宋" w:hAnsi="仿宋" w:eastAsia="仿宋" w:cs="仿宋"/>
                <w:color w:val="000000" w:themeColor="text1"/>
                <w:sz w:val="24"/>
                <w:szCs w:val="24"/>
                <w14:textFill>
                  <w14:solidFill>
                    <w14:schemeClr w14:val="tx1"/>
                  </w14:solidFill>
                </w14:textFill>
              </w:rPr>
              <w:t>.采购管理模块支持采购订单管理，可将采购发票单推送至财务核算系统自动生成凭证，可对采购发票单进行查询跟踪。销售管理模块支持销售订单管理，支持开票，并且可以推送财务核算系统自动生成凭证，支持查询发票；支持销售收款，并可以推送财务核算系统生成凭证，支持查看收款单。</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16</w:t>
            </w:r>
            <w:r>
              <w:rPr>
                <w:rFonts w:hint="eastAsia" w:ascii="仿宋" w:hAnsi="仿宋" w:eastAsia="仿宋" w:cs="仿宋"/>
                <w:color w:val="000000" w:themeColor="text1"/>
                <w:sz w:val="24"/>
                <w:szCs w:val="24"/>
                <w14:textFill>
                  <w14:solidFill>
                    <w14:schemeClr w14:val="tx1"/>
                  </w14:solidFill>
                </w14:textFill>
              </w:rPr>
              <w:t>.智能工资模块支持工资项目和工资相关科目设置，支持社保公积金的批量调整功能，商旅费控模块支持部门和员工管理，可对机票标准、酒店标准、火车票标准进行设置。</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（二）纳税事务处理应用赛段</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.支持智能化发票开具、发票勾选认证、增值税及附加税纳税申报、企业所得税纳税申报模块。</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18</w:t>
            </w:r>
            <w:r>
              <w:rPr>
                <w:rFonts w:hint="eastAsia" w:ascii="仿宋" w:hAnsi="仿宋" w:eastAsia="仿宋" w:cs="仿宋"/>
                <w:color w:val="000000" w:themeColor="text1"/>
                <w:sz w:val="24"/>
                <w:szCs w:val="24"/>
                <w14:textFill>
                  <w14:solidFill>
                    <w14:schemeClr w14:val="tx1"/>
                  </w14:solidFill>
                </w14:textFill>
              </w:rPr>
              <w:t>.智能化发票开具模块能，支持增值税专用发票、增值税普通发票、增值税电子发票购买、读入、开票、作废、红冲和退回等操作，评分后能够查看得分和正确答案。</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19</w:t>
            </w:r>
            <w:r>
              <w:rPr>
                <w:rFonts w:hint="eastAsia" w:ascii="仿宋" w:hAnsi="仿宋" w:eastAsia="仿宋" w:cs="仿宋"/>
                <w:color w:val="000000" w:themeColor="text1"/>
                <w:sz w:val="24"/>
                <w:szCs w:val="24"/>
                <w14:textFill>
                  <w14:solidFill>
                    <w14:schemeClr w14:val="tx1"/>
                  </w14:solidFill>
                </w14:textFill>
              </w:rPr>
              <w:t>.发票勾选认证模块支持增值税发票和海关缴款书的抵扣勾选，支持增值税发票和海关缴款书批量抵扣勾选，支持增值税发票和海关缴款书不抵扣勾选，支持增值税发票和海关缴款书退税勾选等功能，评分后能够查看得分和正确答案。</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有增值税及附加税纳税申报模块，支持增值税及附加税费附列资料填写，支持增值税减免申报明细表填写以及主表填写，支持申报修改和作废功能，支持主表和附表表内表间逻辑关系，评分后能够查看得分和正确答案。</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.有企业所得税纳税申报模块，支持企业所得税汇算清缴申报和季度申报，支持附表以及主表填写，支持申报修改和作废功能，支持主表和附表表内表间逻辑关系，评分后能够查看得分和正确答案。</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（三）财务数据分析赛段</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支持数据管理素养、采购业务分析、销售业务分析、资产负债表分析、利润表分析和盈利能力指标计算与对比分析。数据管理素养能够通过后台配置案例题，在学生端进行展现，支持单选和多选，可以在作答页挪动鼠标查看具体答案。</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t>.采购业务分析、销售业务分析、资产负债表分析、利润表分析和盈利能力指标计算与对比分析能够通过后台配置案例题，在学生端进行展现，支持表格内容填写，可以在作答页挪动鼠标查看具体答案。</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有查看案例、下载案例功能，可以页面中查看案例详情，也支持下载后，在word文档中查看；有大数据工具，支持通过大数据工具进行数据采集、数据分析、可视化作图等操作。支持重新做题和评分功能，赛题支持重复做题和重复评分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ascii="仿宋" w:hAnsi="仿宋" w:eastAsia="仿宋" w:cs="仿宋"/>
                <w:color w:val="000000" w:themeColor="text1"/>
                <w:sz w:val="24"/>
                <w:szCs w:val="24"/>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其他要求：</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提供生产厂家售后服务承诺函及参数确认函。</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质保3年，终身免费使用。</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查账征收企业所得税年度汇算清缴申报实训系统</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1．符合查账征收企业所得税汇算清缴规范，申报过程严格按税务总局的最新标准执行，有企业端与税局端之间申报数据的交互并能提供反馈信息；</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2．能够满足同时60人在线实训，能够模拟企业所得税年度汇算清缴网上申报，可以配套教案案例实训、评分、打印封面报告，满足教学需要；</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3．首页具有申报操作流程图和2017版企业所得税汇算清缴相关公告；可选择税款所属期，满足教学需要；</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4．系统申报符合以下6步申报流程和规定：（1）基础信息设置（2）简化报表（3）申报表填写（4）税收遵从风险提示（5）申报表发送 （6）网上缴税；</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 基础信息设置包含纳税人信息、法定比例、预缴及结转信息设置，纳税人信息设置需对汇总纳税企业类型、是否就地汇总纳税、注册资本、所属行业明细代码等基本信息及主要会计政策和估计进行设置，主要会计政策和估计设置应包含适用的会计准则或会计制度、记账本位币、特定企业类型等进行设置，企业股东及对外投资情况信息也要填写；</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 法定比例即税收规定扣除率需包含职工福利费支出、按税收规定比例扣除的职工教育经费、按税收规定全额扣除的职工培训费用（特殊行业）、工会经费支出、补充养老保险、补充医疗保险、广告费和业务宣传费、保险企业手续费及佣金支出、捐赠支出、业务招待费等项目的设置；</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 预缴及结转信息设置包含本年累计实际已预缴的所得税额、以前年度累计结转准予扣除的职工教育经费支出余额、以前年度累计结转扣除的广告费和业务宣传费、以前年度累计结转扣除的保险企业手续费及佣金支出、结转以前年度的可抵扣投资额余额、结转以前年度的尚未抵扣的股权投资余额等项目的设置；</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 基础信息设置填写完整后方可进行简化选表，即在填写申报表前可对2017年新版46张报表进行选择填报或不填报，针对前面基础信息设置，系统自动选择企业类别默认必须填报的或不填报的报表，并以灰色显示；</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46张报表按照收入成本、境外所得、纳税调整、优惠、弥补亏损、总分机构、年度纳税申报表主表七大类进行分类，报表之间实现钻取功能，可按表与表之间的关系自由钻取填写（即填写报表时有数据需从其他报表取的可直接跳转至其他表，填写后在返回本表），同时在报表右侧显示跟随式的最新的法律法规填表说明，每个分类的报表未填写数量实时显示，报表可放大、缩小，能打印，系统内自带计算器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税收遵从风险提示。系统可以对申报表填写的完整性、表内表间逻辑正确性、申报数据与财务报表数据逻辑检查，申报风险检查、附表资料提醒检查，并给出检查结果，能够清晰了解检查到的表单、项目，并获得相应的提示信息和风险等级，可直接修改有风险的申报表，各报表之间有1060个逻辑标准，自动计算、自动校验，并给出相关提示信息；</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申报表填写好后，在申报表发送环节可以看到申报种类、申报次数、应补（退）税额、报表状态、申报类型等情况，若报表填写不完整，则不能申报，且提示相应信息，申报表发送后，反馈申报是否发送成功标志，申报成功后可以作废，对实训内容进行修改，并支持再次申报，满足教学需求；</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申报成功后可通过申报种类、申报所属期对历史申报结果查询，可以看到申报种类、报表名称、申报日期、申报结果、申报类型、应纳税额、扣款时间。能看查看每次申报的每张详细报表，能够预览和打印相应报申报成功后可进行网上缴税，系统提示缴税单位信息，税额，缴税时间， 缴税成功后自动生成校验反馈信息；</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有介质传送功能，能够进行基本信息导入、核定信息导入、反馈文件导入、申报文件导出等操作，基本信息导入功能可将XML数据文件直接导入，完成实训企业的基本信息、核定信息、反馈文件的基础信息设置；</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14．能够实现总分机构、非汇总机构的企业所得税网上申报，各行业各规模、适用不同会计准则或会计制度的企业所得税申报；</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15．根据不同的实训企业背景及业务内容信息，完成当地税务局规定张数的年度申报表的筛选简化，减少汇算清缴报表的填写干扰。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对简化筛选后需填写的申报表，按业务性质进行自动归类。实现钻取功能，可在原始表格未保存情况下打开另外一张报表，同时保证原始报表数据不丢失，又能对新打开报表数据进行更新保存。表间数据可进行自由钻取填写，不强制填表顺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系统具有评分统计、申报作废、成绩查询、实训封面打印四大教学功能。评分统计可按当前核定信息案例进行选择，也可选择所有案例，能够根据教案名称、案例发布时间选择具体案例评分，可即时获取得分信息，可查看历史案例得分，也可查看具体案例的交卷时间，评分详情，评分详情包含考核指标、学生答案、正确答案、具体分值和获得分值，方便学生自主学习，若老师设置了考试模式，则评分后看不到具体分数和具体的成绩数据。实训完成后可以直接打印封面报告，封面报告包含企业信息、学号信息及评分信息；</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18．申报成功可以接收模拟税局端的反馈信息，且申报成功后可以作废；</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19．须有独立的案例管理系统，系统中自带查账征收企业所得税年度汇算清缴实训案例不少于2套，可以查看案例的标准答案，也可以发布案例标准答案，学生操作完成可以自动评分。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20.其他要求：</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（1）提供生产厂家售后服务承诺函及参数确认函。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（2）质保3年，终身免费使用。</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自然人税收管理系统扣缴客户端系统</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1.能够模拟自然人税收管理系统扣缴个税申报实训，可以配套教案案例实训、评分，满足教学需要；</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2.和真实系统一致，系统采用5000元的个税起征点，采用2019最新税制的个税扣除税率开发；</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具有人员信息采集、专项附加扣除信息采集、综合所得申报、分类所得申报、非居民所得申报、限售股所得申报、税款缴纳、优惠备案、查询统计、系统设置等功能，可以选择选择税款所属期模拟不同期间的税务申报满足教学需要；</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人员信息采集功能，根据《个人所得税基础信息表（A表）》的要求采集相关信息，人员信息采集主要包括【添加】、【导入】、【报送】、【获取反馈】、【同步人员】、【导出】、【展开查询条件】和【更多操作】功能。能够实现境内外人员的信息登记，包括人员状态、证照类型、证照号码、任职受雇从业类型、任职受雇从业日期、离职日期、手机号码等基础信息、联系方式、任职受雇信息，可对录入的信息进行修改和删除，个人基础信息既可以录入也支持导入导出功能，基础信息实现校验功能，需报送，验证通过获取反馈，尤其是身份证号码要实现真实的校验，是股东投资者的，可以填写个人投资总额，具有多种查询条件和高级查询功能，可以通过工号、证照类型、号码、人员状态等精确筛选，可批量修改人员信息，也可以自定义显示排列；根据所选证照类型填写正确的证照号码。使用居民身份证登记，证照号码必须是正确的18位身份证号码，否则校验不通过。</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5.【性别】、【出生日期】：选择居民身份证采集的，此两项信息会根据身份证号码信息自动带出，无需填写；使用其他证件，则需手动据实填写。</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可进行自定义显示列，人员信息采集列表中，可以自定义列表中展示的信息。如：无需显示人员状态，可以取消勾选，能隐藏非正常人员，采集界面上会显示人员状态为非正常的人员，在系统中不再对该人员进行业务操作时，可通过本功能隐藏非正常（已离职）人员。隐藏后，该按钮会变成【显示非正常人员】，点击后会重新显示非正常人员。</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专项附加扣除信息采集可采集的项目分别为“子女教育支出”、“继续教育支出”、“住房贷款利息支出”、“住房租金支出”、“赡养老人支出”。主要包括新增、导入、删除、报送、获取反馈、导出功能，新增专项扣除信息的姓名、证照类型、号码等信息自动带出已采集且正常状态的人员，具体采集可以对本人扣除比例，扣除有效期起止时间等信息进行设置</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导出】：可选择【选中人员】或【全部人员】进行专项附加扣除信息的导出，客户端会将导出的Excel表单放置在文件夹内（文件夹命名为：专项附加扣除信息(导出)_日期），按照每个人员一张Excel表的形式进行展示。</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出生日期】、【扣除有效期起】、【扣除有效期止】，系统自动带出，（受教育日期起、政策生效日期起、扣除年度的1月、纳税人扣除年度在本单位任职起始月份）取时间最后值。（教育终止时间、扣除有效期起所在年份的12月）取时间最前值。</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综合所得申报扣缴申报的流程为：【1收入及减除填写】、【2税款计算】、【3附表填写】和【4申报表报送】四步，根据《综合所得预扣预缴申报》表填写，收入及减除信息用于录入综合所得各项目的收入及减除项数据，所得项目包括“正常工资薪金所得”、“全年一次性奖金收入”、“年金领取”、“解除劳动合同一次性补偿金”、“劳务报酬所得（保险营销员、证券经纪人、其他连续劳务）”、“劳务报酬所得（一般劳务、其他非连续劳务）”、“稿酬所得”、“特许权使用费所得”、“提前退休一次性补贴”、“个人股权激励收入”“内退一次性补偿金申报”、“央企负责人绩效薪金延期兑现收入和任期奖励申报”、“单位低价向职工售房申报”、“税收递延型商业养老金申报”。正常工资薪金所得可将预填专项附加扣除信息同步过来，附表包含《减免事项附表》、《商业健康保险附表》、《税延养老保险附表》及《准予扣除的捐赠列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进行税款计算，系统自动对“收入及减除填写”模块中填写的数据进行计税，其中工资薪金所得项目会下载本纳税年度上期累计数据，再与当期填写的数据合并累计计税。“税款计算”页面上会分所得项目显示对应项目的明细数据和合计数据，右上角显示综合所得的合计数据，包括申报总人数、收入总额、应纳税额和应补退税额。申报表填写、税款计算完成后，可完成综合所得预扣预缴的正常申报、更正申报以及作废申报操作；</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分类所得申报扣缴申报的流程为：【1收入及减除填写】、【2附表填写】和【3申报表报送】三步，根据《分类所得个人所得税代扣代缴申报表》填写，收入及减除信息用于录入综合所得各项目的收入及减除项数据，所，得项目包括包括：利息、股息、红利所得；财产租赁所得；财产转让所得；偶然所得。附表包含《减免事项附表》、《个人股权转让信息表》及《准予扣除的捐赠列表》，申报表报送用于完成一般分类所得代扣代缴的正常申报、更正申报以及作废申报操作；</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非居民所得申报扣缴申报的流程为：【1收入及减除填写】、【2附表填写】和【3申报表报送】三步，根据《非居民个人所得税代扣代缴报告表》填写，收入及减除信息用于录入综合所得各项目的收入及减除项数据，所，得项目包括包括：工资薪金所得；劳务报酬所得；稿酬所得；特许权使用费所得；利息、股息、红利所得；财产租赁所得；财产转让所得；偶然所得；非居民收入适用公式向导；解除劳动合同一次性补偿金；个人股权激励收入；税收递延型商业养老金。附表包含《减免事项附表》、《个人股权转让信息表》及《准予扣除的捐赠列表》，申报表报送用于完成一般分类所得代扣代缴的正常申报、更正申报以及作废申报操作；</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限售股申报的流程为：【1收入及减除填写】和【2申报表报送】两步，根据《限售股转让所得扣缴申报》填写，可进行单个和批量导入申报，申报表报送用于完成一般分类所得代扣代缴的正常申报、更正申报以及作废申报操作；</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15.综合所得预扣预缴申报表除正常工资薪金所得外，其他所得项目均没有专项扣除和专项附加扣除填写项。</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综合所得里的“正常工资薪金所得”、“全年一次性奖金收入”、“年金领取”、“解除劳动合同一次性补偿金”、“劳务报酬所得（保险营销员、证券经纪人、其他连续劳务）”、“劳务报酬所得（一般劳务、其他非连续劳务）”、“稿酬所得”、“特许权使用费所得”、“提前退休一次性补贴”、“个人股权激励收入”“内退一次性补偿金申报”、“央企负责人绩效薪金延期兑现收入和任期奖励申报”、“单位低价向职工售房申报”、“税收递延型商业养老金申报”都只有雇员才能填写。</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17.综合所得/非居民所得里一般劳务报酬所得和其他劳务报酬所得只能任职受雇从业类型为“其他”的才可以填写。</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18.非上市公司股权激励个人所得税递延纳税备案功能需填写【股权激励方式】、【股权奖励人数】、【近6个月平均人数】，实施“股权奖励”公司支持股票（权）期权、限制性股票、股权奖励等类型的填写</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19.税款缴纳功能在申报成功后通过【三方协议缴税】获取显示欠税相关内容，包括：所得月份、申报表名称、征收品目、税款所属期起止时间、个人三方协议账户等，缴纳结束可以进行历史查询；</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20.正常工资薪金填写中可录入员工商业健康保险费，须填写相应税优识别码方能录入；其他附表包含减免事项附表、商业健康保险附表，商业健康保险附表可以录入保单信息。可新增多张保单；</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21.系统设置可对单位办税人信息进行维护，可以自主设置公积金上限、年平均工资、月平均工资、年金上限，设置后需退出系统重进才能生效；</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系统具有评分统计、成绩查询等教学功能。可根据教案名称选择具体案例评分，可即时获取得分信息，可查看历史案例得分，也可查看具体案例的交卷时间，评分详情，评分详情包含考核指标、学生答案、正确答案、具体分值和获得分值，方便学生自主学习；</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23.系统自带数据清除工具，对系统中历史数据进行清空，便于重复使用训练、教学；</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系统具有独立的实训案例评分系统。评分统计可以对申报结果进行评分，老师可以查看学生提交实训结果的时间，分数，学生的答案，正确的答案，并且学生错误的答案以红色标注；学生也可以利用系统中的成绩查询功能查看自己的成绩，包括学生答案，正确答案，学生错误的答案以红色标注；评分功能老师可以自由控制开关，一旦关闭，系统中的成绩查询功能不可用；在考试模式下，学生评分后不能看到答案和得分，只能教师后台查看；</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系统支持的案例指标不少于58个，其中综合所得申报评分指标不少于23个、分类所得申报评分指标不少于12个、限售股所得申报评分指标不少于2个、非居民所得申报评分指标不少于21个；有防作弊验证码功能，每个学生自动分配一个纳税户并按用户所在地纳税人识别号编号规则自动生成该生唯一防作弊验证码；学生可以自主下载实训案例；系统自带实训数据备份和恢复功能；系统支持学校个性化logo嵌入；支持实训宝移动实训；须有独立的案例管理系统，系统中自然人税收管理系统扣缴税实训案例不少于5套，支持老师选择系统提供案例，可以查看案例的标准答案，也可以发布案例标准答案，学生操作完成可以自动评分；能够配套1+X个税计算职业技能等级证书考试使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26.其他要求：</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提供生产厂家售后服务承诺函及参数确认函。</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质保3年，终身免费使用。</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财务数据处理与应用教训赛一体化平台</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一、技术参数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要求基于JavaEE平台，采用B/S架构使用java开发技术，支持主流操作系统，应用可以跨操作系统部署。技术平台先进，有良好的可扩展性；采用主流web服务Nginx，基于先进的SSM框架技术架构设计，使用了安全性高的MySql数据库进行数据存贮，BS架构支持多处云部署。支持多种文档、视频类型；支持资源等非结构化文档的开放或加密存储。轻量级流程引擎，实现高效流程定义与高并发流程执行。兼容主流浏览器，无需安装客户端。</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二、功能参数</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.管理员信息维护： 对管理员的用户名、密码、性别、生日、邮箱等基础信息进行维护。</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.院系个性化：更改全局学生及教师院系个性化背景及院系logo，增强院校辨识度和归属感。</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.教学管理：支持查看当前管理员所拥有的授权情况，包括教学、竞赛、题库资源的授权数据、已授权数据和授权期限。</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.班级管理：支持通过班级、竞赛考场、题库包名称进行快速检索，查看相应班级、考场的教师用户、学生数量、在线人数及班级、考场开始和结束日期等。</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.成绩评价管理：支持当前班级或考场的人数、最高分、最低分、平均分概览；支持班级整体评价、效能分析、知识点、能力点、学生、任务等多维度可视化分析。</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.Excel、WPS一体化应用：考核任务等文件与浏览器一体化，打开、编辑、保存在线一键完成，免去上传、下载繁琐操作，简化操作的同时避免学生借用文件进行作弊。</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.可视化甄别：对完成并提交的任务进行甄别评价，实现错误单元格以红色背景标示的效果。甄别结束后，系统自动对红色单元格进行黄色渲染，便于学生进行定位分析。</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精准评价：可对学生提交的考核文件逐个单元格进行评价，评价计分可精确到按照每个考核单元格进行分别计算考核得分并合计本考核单据的总分，在此基础上自动计算并显示每个学生的所有任务得分，包括每个任务的总分、得分、得分率。</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.图表甄别：支持图表、图标集、数据条、表名称甄别能力，可根据预设的权重进行自动比对甄别。</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.错误单元格自动解析：精准甄别出来的错误单元格，系统提供定点指向反馈答题结果、标准答案、标准公式，为学生分析错误数据原因，为自助学习提供系统支持。</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.重做：支持学生端一键完成任务数据初始化，通过“重做”功能可反复多次练习，加深对技能点的掌握程度和熟练度。</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.参考答案：在教师端释放答案后，学生端可以随时查看本任务的系统预制参考答案。价值：帮助学生更好的完成任务，自查自纠，自主学习。帮助老师降低授课难度，做到易教乐学。</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.流程管理：自动显示当前任务的流程节点，可通过点选其中的任务节点，直接跳转相应的节点任务。</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.能力点分析：在教师释放甄别的情况下，学生可实时获取当前任务或当前案例（或当前试卷）的能力点掌握情况。</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.知识点分析：在教师释放甄别的情况下，学生可实时获取当前任务或当前案例（或当前试卷）的知识点掌握情况。</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.效能分析：在教师释放甄别的情况下，学生可实时获取当前任务或当前案例（或当前试卷）的标准用时、全网平均用时、当前用户用时对比分。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三、内容参数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.固定资产管理与折旧计算</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包含创建固定资产清单等10个任务，不少于10个过程解析文档、10个教学视频资源、10个学一学、练一练文档。</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19</w:t>
            </w:r>
            <w:r>
              <w:rPr>
                <w:rFonts w:hint="eastAsia" w:ascii="仿宋" w:hAnsi="仿宋" w:eastAsia="仿宋" w:cs="仿宋"/>
                <w:color w:val="000000" w:themeColor="text1"/>
                <w:sz w:val="24"/>
                <w:szCs w:val="24"/>
                <w14:textFill>
                  <w14:solidFill>
                    <w14:schemeClr w14:val="tx1"/>
                  </w14:solidFill>
                </w14:textFill>
              </w:rPr>
              <w:t>.会计账务处理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包含记账凭证簿编制等7个任务，不少于7个过程解析文档、7个教学视频资源、7个学一学、练一练文档。</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.财务报表分析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包含趋势分析图编制等8个任务，不少于8个过程解析文档、8个教学视频资源、8个学一学、练一练文档。</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.进销存管理与利润分析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包含进货统计表编制等5个任务，不少于5个过程解析文档、5个教学视频资源、5个学一学、练一练文档。</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.薪资管理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包含工资条制作排序法等13个任务，不少于13个过程解析文档、13个教学视频资源、13个学一学、练一练文档。</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t>.销售业务单据与统计表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包含销售订单表格制作等11个任务，不少于11个过程解析文档、11个教学视频资源、11个学一学、练一练文档。</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.应收账款分析与管理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包含坏账准备的计算-应收账款账龄分析汇总表编制等4个任务，不少于4个过程解析文档、4个教学视频资源、4个学一学、练一练文档。</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25</w:t>
            </w:r>
            <w:r>
              <w:rPr>
                <w:rFonts w:hint="eastAsia" w:ascii="仿宋" w:hAnsi="仿宋" w:eastAsia="仿宋" w:cs="仿宋"/>
                <w:color w:val="000000" w:themeColor="text1"/>
                <w:sz w:val="24"/>
                <w:szCs w:val="24"/>
                <w14:textFill>
                  <w14:solidFill>
                    <w14:schemeClr w14:val="tx1"/>
                  </w14:solidFill>
                </w14:textFill>
              </w:rPr>
              <w:t>.配套不少于6套题。</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26</w:t>
            </w:r>
            <w:r>
              <w:rPr>
                <w:rFonts w:hint="eastAsia" w:ascii="仿宋" w:hAnsi="仿宋" w:eastAsia="仿宋" w:cs="仿宋"/>
                <w:color w:val="000000" w:themeColor="text1"/>
                <w:sz w:val="24"/>
                <w:szCs w:val="24"/>
                <w14:textFill>
                  <w14:solidFill>
                    <w14:schemeClr w14:val="tx1"/>
                  </w14:solidFill>
                </w14:textFill>
              </w:rPr>
              <w:t>.其他要求：</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(1)提供生产厂家售后服务承诺函及参数确认函。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(2)质保3年，5年免费升级，终身免费使用。</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经济法基础课程资源软件</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资源数量要求：以财政部会计资格评价中心《经济法基础》为蓝本，结合会计工作实务重构建材，资源围绕约140授课学时，打造70个教学设计，70个教学PPT课件，100个教学视频及flash交互游戏，并提供1800道专业客观习题（单选、多选、判断、不定项选择）。一体化设计、结构化课程、颗粒化资源呈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2、教学视频</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教学视频主要以动画制作和实拍剪辑为主要表现形式的辅助教学类多媒体教学资源教学视频在教育中扮演着重要的角色，为教学提供了更多元化、便捷化的可能性，有助于提升教学效果和学生学习体验。</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3、实拍剪辑类多媒体教学资源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可以真实的呈现企业业务中的技能操作、了解会计真实岗位，并且学习核心技能，提升职业素养，真正做到理实结合，教学做一体化。</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4、交互游戏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交互游戏是围绕某个知识点设计的互动游戏，真正体现“做中学”、“做中教”，增加师生之间的互动交流，调动学生学习积极性，活跃课堂氛围，解决传统课堂下学生不爱学的现状。</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5、图片素材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提供大量的案例素材和课件制作辅助素材供教师在课程制作中选择使用，如提提供丰富的账、证、表、单类的大量图片，丰富教师备课素材和课堂交互。</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6、教学过程/教案</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供完整教学过程/教案供教师在备授课过程中参考使用，结合常用教材结构，匹配全课时内容，并按照中职会计专业课程标准要求，从“为什么学”入手，确定学生学习需要和学习目标，既而为教师提供“怎么教”，即学生“怎么学”的具体学习方法，最终达成学生知识与技能、过程与方法、情感态度与价值观的三维目标，确保教学效率和教学质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7、课件</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提供与教学过程完全相对应的课件呈现，按照经过设计的教学环节、教学内容、教师活动和学生活动的内容安排，系统直接输出完整的授课课件供教师参考使用。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8、专业题型</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供财会专业教学中常用的各类账、证、表的可编辑模板，提高课堂互动效果的同时加深学生对知识的理解和掌握。成绩可及时反馈、评价。在提高课堂气氛的同时，也能充分达到“学中做、做中学”的教学效果。提高学生理解能力和课堂效率。</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9、客观题</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客观题目类型包括单选、多选及判断题型。教师可以在课上设置随堂测试环节使用，也可用于作业布置及课后测验。大量的客观题目可作为授课环节的资源使用也可随意组卷进行测验，成绩可及时反馈，进行评价。</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10、大赛\公开课</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以财会类专业为主的信息化大赛实录视频及精选公开课支持实录视频作为案例资源，得奖作品将作为重要资源制作成实录视频供教师参考借鉴。</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11、日常授课</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将日常授课过程中信息化手段的运用亮点剪辑制成视频，同教学设计中的相关资源、教学设计及配套练习都将在资源中呈现，供教师在日常授课中参考使用。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12、资源主要技术</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制作技术及参与软件：采用统一严格审核过的文稿或脚本，保证知识点的正确性和创作人员的思路连贯性。动画部分主要采用flash动画和motion动画两种呈现方式，参与制作软件：Animation，AE，Premiere，C4D，达芬奇Resolve，Mochapro， photoshop，AI 及audition等相关语音合成软件。</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视频质量：全片图像同步性能稳定，无失步现象，CTL同步控制信号连续；图像无抖动跳跃，色彩无突变，编辑点处图像稳定。信噪比；图像信噪比不低于55dB，无明显杂波；色调：白平衡正确，无明显偏色。制作配色与后期调色符合扁平风格流行色，禁止颜色过饱，导致观者注意力分散；场序：逐行；像素长宽比：方形像素1:1</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音频质量：电平指标：-2db— -8db，声音应无明显失真、放音过冲、过弱。</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信噪比：不低于48db。</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其他：声音和画面要求同步，无交流声或其他杂音等缺陷。伴音清晰、饱满、圆润，无失真、噪声杂音干扰、音量忽大忽小现象。解说声与背景音无明显比例失调。</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视频压缩格式及技术参数：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压缩格式：采用H.264/AVC（MP4）编码格式;码流:经二次编码，可变码率VBR为2 Mbps以上;分辨率:发布资源，采用16:9比例，分辨率为1280×720及以上；</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帧率:  25帧/秒。</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音频压缩格式及技术参数</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压缩格式:采用AAC（MPEG4 Part3）格式;采样率: 48KHz;码流:128Kbps（恒定）。</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封装格式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采用MP4格式封装。（视频编码格式：H.264/AVC（MPEG-4 Part10）；音频编码格式：AAC（MPEG4 Part3））</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其他：作品保持原创，涉及的账目、表格、票据、人物、场景等相关元素均为单独制作的矢量素材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13、在《经济法基础课程资源》的基础上进行在线精品课建设：</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容教学大纲（word）：提供详细的教学知识点拆解及课程结构；教学设计（教学内容、教学活动，微课知识点word）：提供不少于32学时的完整的教学设计；教学课件（PPT）：提供不少于32学时的教学课件；提供不少于32学时视频的现场录制。</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14、拍摄+后期制作服务：</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①拍摄团队：</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a）机位1-3个，摄像师1-3人，负责现场拍摄；</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b）现场灯光师及收音师1-2人，负责现场灯光定位及声音采集，保证现场光效及音效为影棚级别。</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②机位及设备：</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或多机位专业广播级高清摄像机，根据实际场景的复杂程度配备合适镜头，采用分辨率为1920x1080录像，画面比例16:9，帧率设定为25帧，保证画面匹配度；灯光设备按场景而定，采用环形灯，柔光箱，灯巢等保证现场照明度；录音设备采用专业级话筒，数量依场景而定，保证现场录音质量；其他辅助工具，运动相机，小型稳定器，斯坦尼康，滑轨，摇臂等因需而定；后期视频处理工作站，保证特效精致及成片速度。</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③后期制作团队，以拍摄素材为基准，不仅利用PR/AE/等软件完成基本剪辑及特效，还需掌握PS/AI/ CorelDRAW /Arctime/DaVinci Resolve等视频设计的完整工作流，必要时提供2D及3D动画辅助，完整表达教学意图。</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供统一系列特效片头与各单节课程定制特效片头策划及制作，时长5-15秒（根据应用场景而定，考虑防止打断教学节奏等因素）；内容可包括且不限于学校LOGO、课程名称、讲次、主讲教师姓名、专业技术职务，资源团队鸣谢等信息。</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对画面进行影视级调色，对音频做均衡激励处理，整体达到广播级效果。</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15、过程涉及软件：</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平面设计软件： Photoshop，CorelDRAW，Illustrator</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剪辑合成及动画软件： AE/PR/Audition/Animate</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三维设计软件：C4D/MAYA/3dMax/Blender/ZBrush/SU/MD/SP</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虚拟引擎平台：U3D/UE4</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16、微课视频：</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在平台中查看、筛选适合的视频、游戏，提供剪辑要求（可定制不少于32学时的微课视频，包括课堂视频中使用或单独使用）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17、其他资源：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在平台中查看、筛选适合的习题，提供专业性意见，包括讨论内容</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18、可根据教师个性化需求，用模板对H5游戏进行修改（数量不限）；对微课视频定制统一片头（限30个微课）；对题库上传教师个人习题（不限数量）。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19.服务</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供上线运营服务（增加参与率），2学年内每年提供总资源数量10%的资源（更新的视频资源不提供现场录制）更新前期专业团队服务：①平台培训人员，辅助采购人在平台上上传资源，建立完整备授课所需资源库，运行及维护平台课程，提供采购人培训及答疑。</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②教学支持服务人员，与采购人一起参与教学规划，课程内容设计、章节及知识点切割及时间的把控，需根据采购人建议共同商定方案，配合编导及后期提供课程相关资料（如PPT、脚本等）；</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③业务人员1人（入现场），负责采购人与供应商各部门协调；</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工作流与相关技术要求：将拍摄素材A-Roll，B-Roll及各类镜头分类管理；剪辑师利用非线编系统进行粗剪（镜头甄选，删减冗余，结构建立），精剪（遮罩抠像，构图排版，转场过渡，色彩校正，节奏氛围把握，轻度美颜），音频处理（降噪，声道转换，均衡激励）；过程梳理涉及的特效（光效粒子，画面合成包装，声音模拟）和动画（FX效果，图标演绎，2D人物融合）交由特效师及动画师制作，不含三维动画及VR,AR等的制作（如需请咨询本公司相应资源类型服务）；特效合成，剪辑师添加音效，配乐，完成混音，制作字幕；交由调色师进行全片细致调色；出成片，交付。</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21.视频参数与成片标准要求</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（1）视频信号源：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稳定性：全片图像同步性能稳定，无失步现象，CTL同步控制信号必须连续：图像无抖动跳跃，色彩无突变，编辑点处图像稳定。</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信噪比：图像信噪比不低于55dB，无明显杂波；色调：白平衡正确，无明显偏色，多机拍摄的镜头衔接处无明显色差。视频电平；视频全讯号幅度为1Ⅴp-p，最大不超过1.1Ⅴ p-p。其中，消隐电平为0V时，白电平幅度0.7Ⅴp-p，同步信号-0.3V，色同步信号幅度0.3V p-p (以消隐线上下对称)，全片一致。</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（2）音频信号源：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声音和画面要求同步，无交流声或其他杂音等缺陷。配音清晰、饱满、圆润，无失真、噪声杂音干扰、音量忽大忽小现象，解说声与现场声无明显比例失调。</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（3）视频编码压缩：</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压缩格式：采用H.264/AVC（MPEG-4 part10）标准规格</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视频码率：动态码流的最高码率不高于2500Kbps，最低码率不得低于1024Kbps；分辨率：画幅比例为16:9，分辨率1920*1080像素；帧率：25帧/秒；扫描方式：逐行扫描。</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（4）音频编码压缩：</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压缩格式：采用AAC（MPEG4 Part3）格式；采样率：不低于44KHz；</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压缩码率：恒定码率不低于128Kbps；声道模式：双声道Mono，混音处理。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22.其他要求：</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制作内容符合省级职业教育精品在线开放课程建设技术要求。</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提供生产厂家售后服务承诺函及参数确认函。</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3</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质保3年，5年免费升级，终身免费使用。</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服务器</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1.主机规格：2U机架式服务器；集成系统管理芯片，置上架导轨；CPU：Intel Xeon 4210（10C，85W，2.2GHz）；内存：128G RDIMM DDR4 内存；硬盘：双2.5寸240GB SSD；4个3.5inch 2TB 7.2K Enterprise SATA ；RAID卡：RAID 2GB PM8204 12Gb Adapter；网口：主板集成双口千兆网卡；电源：550W 电源；导轨：上架导轨；售后服务：原厂工程师三年售后上门服务。</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电脑（一机双屏）</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1.i5-12500，16G DDR4 2933Mhz，256G固态硬盘+1TB机械硬盘，集成显卡双屏显示，WIN11 Home，180W，网络同传，3-3-3有限保修，双21.5寸显示器（一机双屏）。</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打印机</w:t>
            </w:r>
          </w:p>
        </w:tc>
        <w:tc>
          <w:tcPr>
            <w:tcW w:w="7102" w:type="dxa"/>
          </w:tcPr>
          <w:p>
            <w:pPr>
              <w:numPr>
                <w:ilvl w:val="0"/>
                <w:numId w:val="7"/>
              </w:num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产品类型：黑白激光打印机；最大打印幅面：A4；黑白打印速度：30ppm；最高分辨率：600×600dpi；耗材类型：鼓粉分离；进纸盒容量：标配：250页；网络打印：支持有线网络打印；双面打印：自动。</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981" w:type="dxa"/>
            <w:vAlign w:val="center"/>
          </w:tcPr>
          <w:p>
            <w:pPr>
              <w:rPr>
                <w:rFonts w:ascii="仿宋" w:hAnsi="仿宋" w:eastAsia="仿宋" w:cs="仿宋"/>
                <w:sz w:val="24"/>
                <w:szCs w:val="24"/>
              </w:rPr>
            </w:pPr>
            <w:r>
              <w:rPr>
                <w:rFonts w:hint="eastAsia" w:ascii="仿宋" w:hAnsi="仿宋" w:eastAsia="仿宋" w:cs="仿宋"/>
                <w:sz w:val="24"/>
                <w:szCs w:val="24"/>
              </w:rPr>
              <w:t>讲台</w:t>
            </w:r>
          </w:p>
        </w:tc>
        <w:tc>
          <w:tcPr>
            <w:tcW w:w="7102" w:type="dxa"/>
          </w:tcPr>
          <w:p>
            <w:pPr>
              <w:jc w:val="left"/>
              <w:rPr>
                <w:rFonts w:ascii="仿宋" w:hAnsi="仿宋" w:eastAsia="仿宋" w:cs="仿宋"/>
                <w:sz w:val="24"/>
                <w:szCs w:val="24"/>
              </w:rPr>
            </w:pPr>
            <w:r>
              <w:rPr>
                <w:rFonts w:hint="eastAsia" w:ascii="仿宋" w:hAnsi="仿宋" w:eastAsia="仿宋" w:cs="仿宋"/>
                <w:sz w:val="24"/>
                <w:szCs w:val="24"/>
              </w:rPr>
              <w:t>1、规格：L*W*H（mm）：1100*780*1020（允许正负5mm偏离）；</w:t>
            </w:r>
          </w:p>
          <w:p>
            <w:pPr>
              <w:jc w:val="left"/>
              <w:rPr>
                <w:rFonts w:ascii="仿宋" w:hAnsi="仿宋" w:eastAsia="仿宋" w:cs="仿宋"/>
                <w:sz w:val="24"/>
                <w:szCs w:val="24"/>
              </w:rPr>
            </w:pPr>
            <w:r>
              <w:rPr>
                <w:rFonts w:hint="eastAsia" w:ascii="仿宋" w:hAnsi="仿宋" w:eastAsia="仿宋" w:cs="仿宋"/>
                <w:sz w:val="24"/>
                <w:szCs w:val="24"/>
              </w:rPr>
              <w:t xml:space="preserve">2、材料：桌面采用木黄色9mm高密度纤维板，密度大于720kg/立方米，边缘采用单面封边工艺，采用冷压工艺三聚氰胺贴面，防划、防泼水；主体采用1.0-1.5mm冷轧钢板，钣金全部通过酸洗磷化喷涂后再进行高温烘烤，防锈；上层两侧采用橡木扶手，正面采用L型高档橡木装饰板，前置活动维修门，无锁联动，下层后门打开后，上层维修门方可打开，上翻开启并可拆卸，方便LOGO丝印和设备安装；L型板两侧为长条出音孔，预留音箱架安装位； </w:t>
            </w:r>
          </w:p>
          <w:p>
            <w:pPr>
              <w:jc w:val="left"/>
              <w:rPr>
                <w:rFonts w:ascii="仿宋" w:hAnsi="仿宋" w:eastAsia="仿宋" w:cs="仿宋"/>
                <w:sz w:val="24"/>
                <w:szCs w:val="24"/>
              </w:rPr>
            </w:pPr>
            <w:r>
              <w:rPr>
                <w:rFonts w:hint="eastAsia" w:ascii="仿宋" w:hAnsi="仿宋" w:eastAsia="仿宋" w:cs="仿宋"/>
                <w:sz w:val="24"/>
                <w:szCs w:val="24"/>
              </w:rPr>
              <w:t>3、设计：分体式设计，桌面部分和桌体部分自成一体，方便进出比较窄的教室门，内置固定螺丝孔位，安装简单。拐角采用圆弧设计，防止碰伤；左侧推拉盖板下预留显示器安装位，安装21.5寸到23.8寸的显示器，通过气动支架调整角度，显示器在45°停留。上层使用等长双抽屉设计，上方抽屉预留键盘、鼠标安装位，下方为储物抽屉，无锁联动设计，可放置中控面板；采用三节静音钢珠导轨，材料厚度1.2mm。</w:t>
            </w:r>
          </w:p>
          <w:p>
            <w:pPr>
              <w:jc w:val="left"/>
              <w:rPr>
                <w:rFonts w:ascii="仿宋" w:hAnsi="仿宋" w:eastAsia="仿宋" w:cs="仿宋"/>
                <w:sz w:val="24"/>
                <w:szCs w:val="24"/>
              </w:rPr>
            </w:pPr>
            <w:r>
              <w:rPr>
                <w:rFonts w:hint="eastAsia" w:ascii="仿宋" w:hAnsi="仿宋" w:eastAsia="仿宋" w:cs="仿宋"/>
                <w:sz w:val="24"/>
                <w:szCs w:val="24"/>
              </w:rPr>
              <w:t>4、立面围边高100mm，方便笔记本模块的安装，模块配备HDMI母座接口*1、VGA 母座接口*1，USB2.0母座接口*2,音频3.5母座接口*1，MIC 6.35母座接口*1，网口*1，三相方形电源接口*1，其中HDMI、VGA、USB、网口、音频五个接口标配2米延长线；讲台内自带固定线孔位，可对台内所有设备线进行固定；右侧立面预留ID卡读卡器安装挡板、内置读卡器支架，方便读卡器的安装和固定；下层前门采用对开门设计，左侧预留光驱门，不打开柜门即可开关电脑和使用光驱 ，预留主机限位孔及限位卡槽；右侧设备门，标配19寸国标机架，可拆卸立柱及挡板，可放置中控主机，功放等多媒体设备，设备总空间≥12U，采用天地锁，耐用、防盗。后门采用单开门设计，便于拆装，后门开门方向为从右到左顺时针方向；右门预留国标5孔插座敲落孔；前门和左右两侧采用竖排国标散热孔，预留出音孔。</w:t>
            </w:r>
          </w:p>
          <w:p>
            <w:pPr>
              <w:jc w:val="left"/>
              <w:rPr>
                <w:rFonts w:ascii="仿宋" w:hAnsi="仿宋" w:eastAsia="仿宋" w:cs="仿宋"/>
                <w:sz w:val="24"/>
                <w:szCs w:val="24"/>
              </w:rPr>
            </w:pPr>
            <w:r>
              <w:rPr>
                <w:rFonts w:hint="eastAsia" w:ascii="仿宋" w:hAnsi="仿宋" w:eastAsia="仿宋" w:cs="仿宋"/>
                <w:sz w:val="24"/>
                <w:szCs w:val="24"/>
              </w:rPr>
              <w:t>5、下层拼装式设计，左右两侧板利用底下卡扣从前往后推进孔位卡住，前后门框利用螺丝进行固定，安装简单，底面离地6CM，防潮、防锈。含教师座椅1张。</w:t>
            </w:r>
          </w:p>
        </w:tc>
        <w:tc>
          <w:tcPr>
            <w:tcW w:w="765" w:type="dxa"/>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电脑桌</w:t>
            </w:r>
          </w:p>
        </w:tc>
        <w:tc>
          <w:tcPr>
            <w:tcW w:w="7102" w:type="dxa"/>
          </w:tcPr>
          <w:p>
            <w:pPr>
              <w:jc w:val="left"/>
              <w:rPr>
                <w:rFonts w:ascii="仿宋" w:hAnsi="仿宋" w:eastAsia="仿宋" w:cs="仿宋"/>
                <w:sz w:val="24"/>
                <w:szCs w:val="24"/>
              </w:rPr>
            </w:pPr>
            <w:r>
              <w:rPr>
                <w:rFonts w:hint="eastAsia" w:ascii="仿宋" w:hAnsi="仿宋" w:eastAsia="仿宋" w:cs="仿宋"/>
                <w:sz w:val="24"/>
                <w:szCs w:val="24"/>
              </w:rPr>
              <w:t>1.2工位；尺寸：定制，符合一机双屏。一体化台面，台面采用不低于20mm三聚氰胺板超耐磨基材，桌角倒圆角处理，桌面宽敞，平滑，可摆放液晶显示器，经过防虫、防腐等处理，甲醛、苯科释放量低于国家标准，耐磨耐热，实用美观。板材外露端面采用高质量PVC封边条，利用机械封边机配以热溶胶高温封边，高密封性不吸水、不膨胀，外型美观、经久耐用。桌架材料：采用优质国标材料规为：50*25*1.0壁厚方管，两侧带有隐藏走线孔。配件：采用防腐、防锈处理的豪华五金配件，结实耐用，颜色可定制。</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学生椅</w:t>
            </w:r>
          </w:p>
        </w:tc>
        <w:tc>
          <w:tcPr>
            <w:tcW w:w="7102" w:type="dxa"/>
          </w:tcPr>
          <w:p>
            <w:pPr>
              <w:jc w:val="left"/>
              <w:rPr>
                <w:rFonts w:ascii="仿宋" w:hAnsi="仿宋" w:eastAsia="仿宋" w:cs="仿宋"/>
                <w:sz w:val="24"/>
                <w:szCs w:val="24"/>
              </w:rPr>
            </w:pPr>
            <w:r>
              <w:rPr>
                <w:rFonts w:hint="eastAsia" w:ascii="仿宋" w:hAnsi="仿宋" w:eastAsia="仿宋" w:cs="仿宋"/>
                <w:sz w:val="24"/>
                <w:szCs w:val="24"/>
              </w:rPr>
              <w:t>1.靠背采用环保进口PP塑料，无毒环保，耐腐蚀，耐老化。靠背采用一次注塑成型，镂空式洞洞靠背、背部舒适不燥热，固定靠背，座胶板采用环保进口PP塑料一次注塑成型，是加厚防固塑胶板，防爆性强，无毒环保，耐腐蚀，耐老化；脚管用特殊工艺制成冷轧无缝钢管，表面电喷涂处理，抗冲击不变形，防锈防腐；椅子连接件是采用尼龙和纤维制成，尺寸：定制。</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张</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多媒体教学网软件</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视频直播：主控端可以将摄像头等外设采集的内容，通过系统自动采集、压缩、传输，向单个、部分、全部客户端直播，支持结合声音直播，支持录制；录播教学：可以将主控端的电脑屏幕和多个摄像头的内容实时地合成录制成一个流媒体文件，并广播给客户端。课件点播：主控端可以将教学课件提供给客户端点播；具有中继功能：在向组播无法到达的网络进行授课时,需要在目标网络选择一台客户端作为[中继机]来中继组播内容到目标网络，可实现跨网段应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2.音频多播：主控端可以建立多个音频播放频道，并给每个频道属性进行配置，满足客户端的不同收听点播的需要。支持学生的自读、自录、复播，支持变速不变调的复读与播放，以便提高发音水平；</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视频监视：主控端可以通过客户端的摄像头，监控客户端学习情况，支持25路同时监视，同时可以监听指定客户端的语音；在线考试：老师可以对学生进行课堂测验和试卷考试；支持对试题（类型、知识点、难度、格式、题干及答案）的创建、编辑、导入、导出管理；支持对试卷（内容、模式、出题方案、参数）的创建、编辑、导入、导出管理；支持发放试卷、开始考试、允许交卷、结束考试、阅卷评分等考试控制管理；支持脱机阅卷、评分、统计功能；支持考试时的语音、及时消息、媒体播放、举手请求等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3.语音广播：老师可以将各种声音对单一、部分、全体学生进行广播；既可以强制学生黑屏听老师讲解，也可以实现学生在老师的语音辅导下进行操作。支持Micphone、CD、Wave out、课件声音等；多屏同步实时监看：支持64屏同屏监看，每个窗口都分配一个频道，效率高，实时性强。</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交换机（可堆叠）</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1.24个10/100/ 1000Base-T自适应以太网端口，4个万兆SFP+堆叠口，96/108Mpps，支持智能弹性架构、支持分布式设备管理，分布式链路聚合，分布式弹性路由、支持通过标准以太网接口等方式进行堆叠、支持本地堆叠和远程堆叠。</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空调</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1.天花机，3匹吸顶机，中央空调变频二级商用空调，包上门安装。</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服务器机柜</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1.32U服务器机柜，带PDU。</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个</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音箱</w:t>
            </w:r>
          </w:p>
        </w:tc>
        <w:tc>
          <w:tcPr>
            <w:tcW w:w="7102" w:type="dxa"/>
          </w:tcPr>
          <w:p>
            <w:pPr>
              <w:jc w:val="left"/>
              <w:rPr>
                <w:rFonts w:ascii="仿宋" w:hAnsi="仿宋" w:eastAsia="仿宋" w:cs="仿宋"/>
                <w:color w:val="000000"/>
                <w:sz w:val="24"/>
                <w:szCs w:val="24"/>
              </w:rPr>
            </w:pPr>
            <w:r>
              <w:rPr>
                <w:rFonts w:hint="eastAsia" w:ascii="仿宋" w:hAnsi="仿宋" w:eastAsia="仿宋" w:cs="仿宋"/>
                <w:color w:val="000000"/>
                <w:sz w:val="24"/>
                <w:szCs w:val="24"/>
              </w:rPr>
              <w:t>卡包音箱，适用于学校多媒体教室场景应用。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1.频响范围：45Hz-20KHz；灵敏度：≥85dB；额定功率：≥180W；峰值功率：≥230W；阻抗：8（Ω）；低音：≥8’x1只，高音：≥3’x2</w:t>
            </w:r>
            <w:r>
              <w:rPr>
                <w:rFonts w:hint="eastAsia" w:ascii="仿宋" w:hAnsi="仿宋" w:eastAsia="仿宋" w:cs="仿宋"/>
                <w:sz w:val="24"/>
                <w:szCs w:val="24"/>
              </w:rPr>
              <w:t>只；带支架。</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合并式功放</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此机具有≥5路话筒输入通道，整体设计根据卡拉OK包房要求，其音量与音色及采用双混响专用DSP芯片设计人声效果，使阁下的歌声更加丰富自然，音乐更加美丽动听；内置U盘和SD卡的MP3播放器，带REC录音和BLUE蓝牙功能；内置MP3播放器带红外线遥控接收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sz w:val="24"/>
                <w:szCs w:val="24"/>
              </w:rPr>
              <w:t>≥2路音乐辅助输入通道，≥1路录音电平输出接口，≥1路音乐电平输出接口；</w:t>
            </w:r>
            <w:r>
              <w:rPr>
                <w:rFonts w:hint="eastAsia" w:ascii="仿宋" w:hAnsi="仿宋" w:eastAsia="仿宋" w:cs="仿宋"/>
                <w:color w:val="000000" w:themeColor="text1"/>
                <w:sz w:val="24"/>
                <w:szCs w:val="24"/>
                <w14:textFill>
                  <w14:solidFill>
                    <w14:schemeClr w14:val="tx1"/>
                  </w14:solidFill>
                </w14:textFill>
              </w:rPr>
              <w:t>完善的短路、过载、高温、输入信号、扬声器保护措施；频率响应（-3dB/+1dB)：20Hz~20KHz；输入灵敏度（线路）：0.22v/10kohm输入灵敏度（话筒）：13mv/2kohm；额定输出功率（8Ω）：≥250WX2。</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U段一拖四无线话筒（两手持两头戴）</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1.使用UHF630-930MHz频段，避免干扰频率；采用锁相环PLL频率合成稳定系统，提供≥200个通道；全</w:t>
            </w:r>
            <w:r>
              <w:rPr>
                <w:rFonts w:hint="eastAsia" w:ascii="仿宋" w:hAnsi="仿宋" w:eastAsia="仿宋" w:cs="仿宋"/>
                <w:sz w:val="24"/>
                <w:szCs w:val="24"/>
              </w:rPr>
              <w:t>自动红外线对频，使发射机与接收机自动同步收发，独特的电路设计，动态大，频响宽，噪音小，采用最新型高频滤波器，最大限度地滤除带外干</w:t>
            </w:r>
            <w:r>
              <w:rPr>
                <w:rFonts w:hint="eastAsia" w:ascii="仿宋" w:hAnsi="仿宋" w:eastAsia="仿宋" w:cs="仿宋"/>
                <w:color w:val="000000" w:themeColor="text1"/>
                <w:sz w:val="24"/>
                <w:szCs w:val="24"/>
                <w14:textFill>
                  <w14:solidFill>
                    <w14:schemeClr w14:val="tx1"/>
                  </w14:solidFill>
                </w14:textFill>
              </w:rPr>
              <w:t>扰信号；采用二次变频的高频电路设计，具有极高的灵敏度；多重静噪控制电路，拒绝外部干扰；专门设计的语音压缩扩展电路，极大地提高信噪比，含1套无线接收主机和2只无线手持话筒2只头戴麦克风。</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智慧黑板</w:t>
            </w:r>
          </w:p>
        </w:tc>
        <w:tc>
          <w:tcPr>
            <w:tcW w:w="7102" w:type="dxa"/>
          </w:tcPr>
          <w:p>
            <w:pPr>
              <w:jc w:val="left"/>
              <w:rPr>
                <w:rFonts w:ascii="仿宋" w:hAnsi="仿宋" w:eastAsia="仿宋" w:cs="仿宋"/>
                <w:sz w:val="24"/>
                <w:szCs w:val="24"/>
              </w:rPr>
            </w:pPr>
            <w:r>
              <w:rPr>
                <w:rFonts w:hint="eastAsia" w:ascii="仿宋" w:hAnsi="仿宋" w:eastAsia="仿宋" w:cs="仿宋"/>
                <w:sz w:val="24"/>
                <w:szCs w:val="24"/>
              </w:rPr>
              <w:t>一、整机参数部分：</w:t>
            </w:r>
          </w:p>
          <w:p>
            <w:pPr>
              <w:jc w:val="left"/>
              <w:rPr>
                <w:rFonts w:ascii="仿宋" w:hAnsi="仿宋" w:eastAsia="仿宋" w:cs="仿宋"/>
                <w:sz w:val="24"/>
                <w:szCs w:val="24"/>
              </w:rPr>
            </w:pPr>
            <w:r>
              <w:rPr>
                <w:rFonts w:hint="eastAsia" w:ascii="仿宋" w:hAnsi="仿宋" w:eastAsia="仿宋" w:cs="仿宋"/>
                <w:sz w:val="24"/>
                <w:szCs w:val="24"/>
              </w:rPr>
              <w:t>1.整机宽≥4200mm，高≥1200mm，厚≤120mm。整机采用三拼接平面一体化设计，无推拉式结构及外露连接线，外观简洁。整机屏幕边缘采用金属圆角包边防护，整机背板采用金属材质，有效屏蔽内部电路器件辐射。无推拉式结构，外部无任何可见内部功能模块连接线。主副屏过渡平滑，中间无单独边框阻隔；中央主屏幕不小于86英寸UHD超高清LED液晶屏，分辨率≥3840×2160，显示比例16：9；屏体表面采用防眩光钢化玻璃保护，钢化玻璃表面硬度≥9H。</w:t>
            </w:r>
          </w:p>
          <w:p>
            <w:pPr>
              <w:jc w:val="left"/>
              <w:rPr>
                <w:rFonts w:ascii="仿宋" w:hAnsi="仿宋" w:eastAsia="仿宋" w:cs="仿宋"/>
                <w:sz w:val="24"/>
                <w:szCs w:val="24"/>
              </w:rPr>
            </w:pPr>
            <w:r>
              <w:rPr>
                <w:rFonts w:hint="eastAsia" w:ascii="仿宋" w:hAnsi="仿宋" w:eastAsia="仿宋" w:cs="仿宋"/>
                <w:sz w:val="24"/>
                <w:szCs w:val="24"/>
              </w:rPr>
              <w:t>2.采用红外触控方式，支持Windows系统中进行40点或以上触控，支持在Android系统中进行40点或以上触控；整机支持提笔书写，在Windows系统下可实现无需点击任意功能入口，当检测到红外笔笔尖接触屏幕时，自动进入书写模式；整机触摸支持动态压力感应，支持无任何电子功能的普通书写笔在整机上书写或点压时，整机能感应压力变化，书写或点压过程笔迹呈现不同粗细；整机支持色彩空间可选，包含标准模式和sRGB模式，在sRGB模式下可做到高色准△E≤1。</w:t>
            </w:r>
          </w:p>
          <w:p>
            <w:pPr>
              <w:jc w:val="left"/>
              <w:rPr>
                <w:rFonts w:ascii="仿宋" w:hAnsi="仿宋" w:eastAsia="仿宋" w:cs="仿宋"/>
                <w:sz w:val="24"/>
                <w:szCs w:val="24"/>
              </w:rPr>
            </w:pPr>
            <w:r>
              <w:rPr>
                <w:rFonts w:hint="eastAsia" w:ascii="仿宋" w:hAnsi="仿宋" w:eastAsia="仿宋" w:cs="仿宋"/>
                <w:sz w:val="24"/>
                <w:szCs w:val="24"/>
              </w:rPr>
              <w:t>3.嵌入式系统版本不低于Android 13或其他同等功能特性嵌入式系统，内存≥2GB，存储空间≥8GB，以保证教学稳定性；前置物理按键可实现常用的开关机、音量调节等功能，其数量不少于5个；并带有中文标识或简易标识，方便快速识别使用；前置USB接口支持Android系统、Windows系统读取外接移动存储设备。</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4.整机具备前置Type-C接口，通</w:t>
            </w:r>
            <w:r>
              <w:rPr>
                <w:rFonts w:hint="eastAsia" w:ascii="仿宋" w:hAnsi="仿宋" w:eastAsia="仿宋" w:cs="仿宋"/>
                <w:color w:val="000000" w:themeColor="text1"/>
                <w:sz w:val="24"/>
                <w:szCs w:val="24"/>
                <w14:textFill>
                  <w14:solidFill>
                    <w14:schemeClr w14:val="tx1"/>
                  </w14:solidFill>
                </w14:textFill>
              </w:rPr>
              <w:t>过Type-C接口实现音视频输入，外接电脑设备经双头Type-C线连接至整机，即可把外接电脑设备画面投到整机上，同时在整机上操作画面，可实现触摸电脑的操作，无需再连接触控USB线。</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5.支持通过Type-C接口U盘进行文件传输，兼容Type-C接口手机充电。Type-C 支持最大充电功率15W。</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二、其他功能要求：</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.整机上边框内置非独立式摄像头，采用一体化集成设计，摄像头数量≥4个。且至少三个摄像头像素值均大于800 万；整机上边框内置非独立式摄像头，视场角≥140度且水平视场角≥135度，可拍摄≥1600万像素的照片，支持输出8192×2048分辨率的照片和视频，支持画面畸变矫正功能 。</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.整机上边框内置非独式广角摄像头和智能拼接摄像头，均支持 3D 降噪算法和数字宽动态范围成像WDR 技术，支持输出 MJPG、 H.264 视频格式；整机上边框内置非独立式3个智能拼接摄像头，支持清晰度TV lines ≥ 1600 lines；整机支持上边框内置非独立摄像头模组，同时输出至少 3 路视频流，同时支持课堂远程巡课、课堂教学数据采集、本地画面预览（拍照或视频录制）。</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整机摄像头支持人脸识别、快速点人数、随机抽人；识别所有学生，显示标记，然后随机抽选，同时显示标记多人；整机内置2.2声道扬声器，位于设备上边框，顶置朝前发声，前朝向10W高音扬声器2个，上朝向20W中低音扬声器2个，额定总功率60W；支持标准、听力、观影和AI空间感知音效模式，AI空间感知音效模式可通过内置麦克风采集教室物理环境声音，自动生成符合当前教室物理环境的频段、音量、音效；整机内置非独立的高清摄像头，可用于远程巡课，整机上边框内置非独立的广角高清摄像头，在距离整机大于等于1.7米情况下，且拍摄范围可以覆盖摄像头垂直法线左右距离大于等于4米，可以实现人脸识别。</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三、PC模块要求：</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.采用按压式卡扣，无需工具即可快速拆卸电脑模块。</w:t>
            </w:r>
          </w:p>
          <w:p>
            <w:pPr>
              <w:jc w:val="left"/>
              <w:rPr>
                <w:rFonts w:ascii="仿宋" w:hAnsi="仿宋" w:eastAsia="仿宋" w:cs="仿宋"/>
                <w:color w:val="auto"/>
                <w:sz w:val="24"/>
                <w:szCs w:val="24"/>
              </w:rPr>
            </w:pPr>
            <w:r>
              <w:rPr>
                <w:rFonts w:ascii="仿宋" w:hAnsi="仿宋" w:eastAsia="仿宋" w:cs="仿宋"/>
                <w:color w:val="auto"/>
                <w:sz w:val="24"/>
                <w:szCs w:val="24"/>
              </w:rPr>
              <w:t>10</w:t>
            </w:r>
            <w:r>
              <w:rPr>
                <w:rFonts w:hint="eastAsia" w:ascii="仿宋" w:hAnsi="仿宋" w:eastAsia="仿宋" w:cs="仿宋"/>
                <w:color w:val="auto"/>
                <w:sz w:val="24"/>
                <w:szCs w:val="24"/>
              </w:rPr>
              <w:t>.CPU：搭载Intel 酷睿系列 i5 CPU或其他同等性能处理器；内存：8GB DDR4笔记本内存。存储空间：256GB SSD固态硬盘</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和整机的连接采用万兆级接口，传输速率≥10Gbps。</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四、教学功能要求：</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整机Windows通道支持文件传输应用，支持多人同时将手机文件传输到整机上；当手机端登录账号与整机一致时，接收文件不需要二次确认，当手机端登录账号与整机不一致时，且距离连接成功或上次传输超过3分钟，则接收文件需要二次确认；整机Windows通道支持文件传输应用，接收的文件支持单份删除；接收的文件支持手动全部清空，为防止误清空，全部清空需要经过二次确认。整机Windows通道支持文件传输应用，支持通过扫码、wifi直联、超声三种方式与手机进行握手连接，实现文件传输功能。整机 Windows 通道支持文件传输应用，传输方式支持公网传输、局域网传输、WiFi 直连传输。</w:t>
            </w:r>
          </w:p>
          <w:p>
            <w:pPr>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2.整机设备自带地震预警软件。支持在地震预警页面中获取位置，可以手动进行位置校准。支持在地震预警页面中选择提醒阈值。支持在地震预警界面中开启和关闭地震预警服务。支持屏幕下降：可通过软件快捷键或手势等方式实现屏幕显示画面下降，并可进行触控，以适应不同教师身高；支持一键录屏，通过前置面板物理按键一键启动录屏功能，同时录制屏幕课件及老师讲课的声音。</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.其他要求：</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为确保设备长期稳定使用，要求整机质保3年。</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智慧黑板教学软件</w:t>
            </w:r>
          </w:p>
        </w:tc>
        <w:tc>
          <w:tcPr>
            <w:tcW w:w="7102" w:type="dxa"/>
          </w:tcPr>
          <w:p>
            <w:pPr>
              <w:jc w:val="left"/>
              <w:rPr>
                <w:rFonts w:ascii="仿宋" w:hAnsi="仿宋" w:eastAsia="仿宋" w:cs="仿宋"/>
                <w:sz w:val="24"/>
                <w:szCs w:val="24"/>
              </w:rPr>
            </w:pPr>
            <w:r>
              <w:rPr>
                <w:rFonts w:hint="eastAsia" w:ascii="仿宋" w:hAnsi="仿宋" w:eastAsia="仿宋" w:cs="仿宋"/>
                <w:sz w:val="24"/>
                <w:szCs w:val="24"/>
              </w:rPr>
              <w:t>教学白板软件</w:t>
            </w:r>
          </w:p>
          <w:p>
            <w:pPr>
              <w:jc w:val="left"/>
              <w:rPr>
                <w:rFonts w:ascii="仿宋" w:hAnsi="仿宋" w:eastAsia="仿宋" w:cs="仿宋"/>
                <w:sz w:val="24"/>
                <w:szCs w:val="24"/>
              </w:rPr>
            </w:pPr>
            <w:r>
              <w:rPr>
                <w:rFonts w:hint="eastAsia" w:ascii="仿宋" w:hAnsi="仿宋" w:eastAsia="仿宋" w:cs="仿宋"/>
                <w:sz w:val="24"/>
                <w:szCs w:val="24"/>
              </w:rPr>
              <w:t>1.互动教学课件支持定向精准分享：分享者可将互动课件、课件组精准推送至指定接收方账号云空间，接收方可在云空间接收并打开分享课件；</w:t>
            </w:r>
          </w:p>
          <w:p>
            <w:pPr>
              <w:jc w:val="left"/>
              <w:rPr>
                <w:rFonts w:ascii="仿宋" w:hAnsi="仿宋" w:eastAsia="仿宋" w:cs="仿宋"/>
                <w:sz w:val="24"/>
                <w:szCs w:val="24"/>
              </w:rPr>
            </w:pPr>
            <w:r>
              <w:rPr>
                <w:rFonts w:hint="eastAsia" w:ascii="仿宋" w:hAnsi="仿宋" w:eastAsia="仿宋" w:cs="仿宋"/>
                <w:sz w:val="24"/>
                <w:szCs w:val="24"/>
              </w:rPr>
              <w:t>2.校本资源库-支持电脑端/手机端实现校本资源共建共享。</w:t>
            </w:r>
          </w:p>
          <w:p>
            <w:pPr>
              <w:jc w:val="left"/>
              <w:rPr>
                <w:rFonts w:ascii="仿宋" w:hAnsi="仿宋" w:eastAsia="仿宋" w:cs="仿宋"/>
                <w:sz w:val="24"/>
                <w:szCs w:val="24"/>
              </w:rPr>
            </w:pPr>
            <w:r>
              <w:rPr>
                <w:rFonts w:hint="eastAsia" w:ascii="仿宋" w:hAnsi="仿宋" w:eastAsia="仿宋" w:cs="仿宋"/>
                <w:sz w:val="24"/>
                <w:szCs w:val="24"/>
              </w:rPr>
              <w:t>（1）资源上传：支持课件、教案、胶囊及多媒体文件的上传。</w:t>
            </w:r>
          </w:p>
          <w:p>
            <w:pPr>
              <w:jc w:val="left"/>
              <w:rPr>
                <w:rFonts w:ascii="仿宋" w:hAnsi="仿宋" w:eastAsia="仿宋" w:cs="仿宋"/>
                <w:sz w:val="24"/>
                <w:szCs w:val="24"/>
              </w:rPr>
            </w:pPr>
            <w:r>
              <w:rPr>
                <w:rFonts w:hint="eastAsia" w:ascii="仿宋" w:hAnsi="仿宋" w:eastAsia="仿宋" w:cs="仿宋"/>
                <w:sz w:val="24"/>
                <w:szCs w:val="24"/>
              </w:rPr>
              <w:t>其中多媒体资源类型与格式包括：</w:t>
            </w:r>
          </w:p>
          <w:p>
            <w:pPr>
              <w:jc w:val="left"/>
              <w:rPr>
                <w:rFonts w:ascii="仿宋" w:hAnsi="仿宋" w:eastAsia="仿宋" w:cs="仿宋"/>
                <w:sz w:val="24"/>
                <w:szCs w:val="24"/>
              </w:rPr>
            </w:pPr>
            <w:r>
              <w:rPr>
                <w:rFonts w:hint="eastAsia" w:ascii="仿宋" w:hAnsi="仿宋" w:eastAsia="仿宋" w:cs="仿宋"/>
                <w:sz w:val="24"/>
                <w:szCs w:val="24"/>
              </w:rPr>
              <w:t>文档：doc, docx, pdf, ppt, pptx, xlsx, xls</w:t>
            </w:r>
          </w:p>
          <w:p>
            <w:pPr>
              <w:jc w:val="left"/>
              <w:rPr>
                <w:rFonts w:ascii="仿宋" w:hAnsi="仿宋" w:eastAsia="仿宋" w:cs="仿宋"/>
                <w:sz w:val="24"/>
                <w:szCs w:val="24"/>
              </w:rPr>
            </w:pPr>
            <w:r>
              <w:rPr>
                <w:rFonts w:hint="eastAsia" w:ascii="仿宋" w:hAnsi="仿宋" w:eastAsia="仿宋" w:cs="仿宋"/>
                <w:sz w:val="24"/>
                <w:szCs w:val="24"/>
              </w:rPr>
              <w:t>图片：bmp, jpg, png, jpeg, gif</w:t>
            </w:r>
          </w:p>
          <w:p>
            <w:pPr>
              <w:jc w:val="left"/>
              <w:rPr>
                <w:rFonts w:ascii="仿宋" w:hAnsi="仿宋" w:eastAsia="仿宋" w:cs="仿宋"/>
                <w:sz w:val="24"/>
                <w:szCs w:val="24"/>
              </w:rPr>
            </w:pPr>
            <w:r>
              <w:rPr>
                <w:rFonts w:hint="eastAsia" w:ascii="仿宋" w:hAnsi="仿宋" w:eastAsia="仿宋" w:cs="仿宋"/>
                <w:sz w:val="24"/>
                <w:szCs w:val="24"/>
              </w:rPr>
              <w:t>视频：mp4，webm</w:t>
            </w:r>
          </w:p>
          <w:p>
            <w:pPr>
              <w:jc w:val="left"/>
              <w:rPr>
                <w:rFonts w:ascii="仿宋" w:hAnsi="仿宋" w:eastAsia="仿宋" w:cs="仿宋"/>
                <w:sz w:val="24"/>
                <w:szCs w:val="24"/>
              </w:rPr>
            </w:pPr>
            <w:r>
              <w:rPr>
                <w:rFonts w:hint="eastAsia" w:ascii="仿宋" w:hAnsi="仿宋" w:eastAsia="仿宋" w:cs="仿宋"/>
                <w:sz w:val="24"/>
                <w:szCs w:val="24"/>
              </w:rPr>
              <w:t>音频：wav, mp3, ogg</w:t>
            </w:r>
          </w:p>
          <w:p>
            <w:pPr>
              <w:jc w:val="left"/>
              <w:rPr>
                <w:rFonts w:ascii="仿宋" w:hAnsi="仿宋" w:eastAsia="仿宋" w:cs="仿宋"/>
                <w:sz w:val="24"/>
                <w:szCs w:val="24"/>
              </w:rPr>
            </w:pPr>
            <w:r>
              <w:rPr>
                <w:rFonts w:hint="eastAsia" w:ascii="仿宋" w:hAnsi="仿宋" w:eastAsia="仿宋" w:cs="仿宋"/>
                <w:sz w:val="24"/>
                <w:szCs w:val="24"/>
              </w:rPr>
              <w:t>（2）批量上传：支持课件、教案、胶囊以文件夹的形式批量传。</w:t>
            </w:r>
          </w:p>
          <w:p>
            <w:pPr>
              <w:jc w:val="left"/>
              <w:rPr>
                <w:rFonts w:ascii="仿宋" w:hAnsi="仿宋" w:eastAsia="仿宋" w:cs="仿宋"/>
                <w:sz w:val="24"/>
                <w:szCs w:val="24"/>
              </w:rPr>
            </w:pPr>
            <w:r>
              <w:rPr>
                <w:rFonts w:hint="eastAsia" w:ascii="仿宋" w:hAnsi="仿宋" w:eastAsia="仿宋" w:cs="仿宋"/>
                <w:sz w:val="24"/>
                <w:szCs w:val="24"/>
              </w:rPr>
              <w:t>（3）资源搜索：支持树形结构目录，便于资源分类及快速查找，支持全局资源搜索，按年级、学科筛选资源，支持查找资源后快速定位到当前资源文件夹。</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（4）资源查看及预览：支持查看资源文件夹的创建者，资源的上传作者，更新时间数据。校本资源支持</w:t>
            </w:r>
            <w:r>
              <w:rPr>
                <w:rFonts w:hint="eastAsia" w:ascii="仿宋" w:hAnsi="仿宋" w:eastAsia="仿宋" w:cs="仿宋"/>
                <w:color w:val="000000" w:themeColor="text1"/>
                <w:sz w:val="24"/>
                <w:szCs w:val="24"/>
                <w14:textFill>
                  <w14:solidFill>
                    <w14:schemeClr w14:val="tx1"/>
                  </w14:solidFill>
                </w14:textFill>
              </w:rPr>
              <w:t>在线预览。支持切换列表模式/宫格模式查看资源。</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（5）资源管理：教师可对本人上传的校本资源进行分类移动，删除或重命名。</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（6）备课应用：在交互式备授课软件中，支持获取校本多媒体资源到本地查看，也可选择插入校本资源库中的多媒体资源，实现校内资源的共建共享。</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3.具有互动式教学课件资源，包含学科教育各学段各地区教材版本 不少于150个。具有互动式教学课件资源，包含学科教育各学段教材版本全部教学章节、专题教育多个主题教育、特殊教育至少3 大分类的不少于15万份的互动课件。按照下载量、课件质量、相关性会每天动态更新课件列表，提供按章节、主题筛选和关键词搜索，支持模糊搜索。</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4.集体备课：支持实现信息化集体备课。</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（1）发起集备：支持选择教案、课件、胶囊资源上传发起集备研讨，支持设置多重访问权限，通过手机号搜索即可邀请外校老师，可用于跨校教研场景。</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（2）进入集备：支持搜索集备名称/老师昵称、或按照学科/学段/年级/教材章节、我参与的/我发起的几个维度进行筛选查看，支持电脑端进入集备页面。</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（3）集备研讨：参备人可通过评论区发表观点，可对他人评论的观点进行点赞，评论消息支持实时提醒，支持图片的上传。</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（4）在线批注：参备人在可在线对教案进行随文式批注，追加批注，回复以及查看实时批注消息。支持对课件进行打点式批注，可通过批注定位研讨内容，完成协同备课。</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（5）稿件编辑：完成本次研讨后，主备人可直接进入编辑页面编辑课件/教案，发布新稿件后，备课组进入下一轮研讨，更新稿件后会给参备老师同步教研动态。</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（6）智能稿件对比：支持筛选不同版本的稿件进行智能比对，对修改的内容进行高亮显示。</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（7）获取稿件：参备成员可以随时获取和下载每一稿中的集备稿件到云课件，进行编辑或引用。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（8）完成集备：完成研讨后，可生成集体备课报告。集备终稿会自动上传到校本资源库，主备人可自定义上传目录，参备人可前往校本资源库获取集备终稿。</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（9）生成集备报告：支持生成集备报告，报告生成后，参备人可查看具体报告内容和下载集备报告。报告内包含集备信息、数据统计、研讨记录的具体内容。</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支持PPT解析课件、互动云课件和云端资源调用等多种备课方式。教师可以直接在课件中调取试题、微课视频、仿真实验等云端资源，可以自由创建试题、课堂互动游戏、思维导图、网络画板、学科工具等形成互动课件。</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支持多种格式的试题批量上传，含.doc、.docx、.png、.jpeg、.jpg等类型，并可自动转换为电子试题，便于老师优质试题的收集使用和作业布置；空中课堂功能内置于交互式备授课软件中，无需额外安装部署直播软件，可实现语音直播、课件同步、互动工具等远程教学功能。</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（1）一键开课：教师可一键开课生成课程海报；学生扫描课程海报微信二维码即可加入直播课堂，无需额外安装APP。</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（2）文本聊天工具：学生可在直播课堂打字提问、互动，学生提问内容实时传递至教师；</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（3）互动答题工具：教师根据讲解内容发布答题板供学生选择作答，学生提交答案后系统自动统计正确率和答题详情。</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远程互动工具：在直播课堂中，教师可指定授权学生远程互动，学生可在直播的课件画面进行书写、移动、擦除、参与互动活动等，学生操作过程实时同步至班级其他学生，可支持不少于5位学生同时参与远程互动；</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（5）课程回放：课程结束后自动生成直播回放，报名课程的学生可反复学习；回放课程自动保存在云端，支持人工删除。</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7.提供截图工具，可对课件内容、桌面内容快速截图，可自由调整截屏范围，截屏内容直接插入课件；图形绘画：支持直线、箭头、正方形、 圆角四边形、平行四边形、圆形、等腰三角形、直角三角形、菱形、梯形、五边形等基本图形绘制；且支持对话框、五角星、大括号、旗子等特殊图形绘制,同时支持自定义绘制复杂的任意多边形及曲边图形；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高清视频展台</w:t>
            </w:r>
          </w:p>
        </w:tc>
        <w:tc>
          <w:tcPr>
            <w:tcW w:w="7102" w:type="dxa"/>
          </w:tcPr>
          <w:p>
            <w:pPr>
              <w:jc w:val="left"/>
              <w:rPr>
                <w:rFonts w:ascii="仿宋" w:hAnsi="仿宋" w:eastAsia="仿宋" w:cs="仿宋"/>
                <w:sz w:val="24"/>
                <w:szCs w:val="24"/>
              </w:rPr>
            </w:pPr>
            <w:r>
              <w:rPr>
                <w:rFonts w:hint="eastAsia" w:ascii="仿宋" w:hAnsi="仿宋" w:eastAsia="仿宋" w:cs="仿宋"/>
                <w:sz w:val="24"/>
                <w:szCs w:val="24"/>
              </w:rPr>
              <w:t>1.壁挂式安装，防盗防破坏。无锐角无利边设计，有效防止师生碰伤、划伤。托板尺寸A4面积。采用USB高速接口，单根USB线实现供电、高清数据传输需求。采用1300W像素自动对焦摄像头，可拍摄A4画幅。展台按键采用触摸按键，可实现一键启动展台画面、画面放大、画面缩小、画面旋转、拍照截图等功能。外壳在摄像头部分带保护镜片密封，防止灰尘沾染摄像头，防护等级达到IP4X级别。</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智能笔</w:t>
            </w:r>
          </w:p>
        </w:tc>
        <w:tc>
          <w:tcPr>
            <w:tcW w:w="7102" w:type="dxa"/>
          </w:tcPr>
          <w:p>
            <w:pPr>
              <w:jc w:val="left"/>
              <w:rPr>
                <w:rFonts w:ascii="仿宋" w:hAnsi="仿宋" w:eastAsia="仿宋" w:cs="仿宋"/>
                <w:sz w:val="24"/>
                <w:szCs w:val="24"/>
              </w:rPr>
            </w:pPr>
            <w:r>
              <w:rPr>
                <w:rFonts w:hint="eastAsia" w:ascii="仿宋" w:hAnsi="仿宋" w:eastAsia="仿宋" w:cs="仿宋"/>
                <w:sz w:val="24"/>
                <w:szCs w:val="24"/>
              </w:rPr>
              <w:t>1.外观：笔身造型采用圆润一体化笔型设计，表面采用手感漆工艺便于握持；笔身长度≤17cm,笔身直径≤13mm，笔身重量≤18g；</w:t>
            </w:r>
          </w:p>
          <w:p>
            <w:pPr>
              <w:jc w:val="left"/>
              <w:rPr>
                <w:rFonts w:ascii="仿宋" w:hAnsi="仿宋" w:eastAsia="仿宋" w:cs="仿宋"/>
                <w:sz w:val="24"/>
                <w:szCs w:val="24"/>
              </w:rPr>
            </w:pPr>
            <w:r>
              <w:rPr>
                <w:rFonts w:hint="eastAsia" w:ascii="仿宋" w:hAnsi="仿宋" w:eastAsia="仿宋" w:cs="仿宋"/>
                <w:sz w:val="24"/>
                <w:szCs w:val="24"/>
              </w:rPr>
              <w:t>笔身配置不少于五个按键，具备上下翻页，智能语音，远程聚光灯/放大，书写颜色切换，兼顾触摸书写以及远程操控的握持姿态；笔头：采用锥型笔尖设计，直径≤3mm；同时支持电容，红外触控设备书写，书写最小精度2mm，连续书写距离不小于7km；</w:t>
            </w:r>
          </w:p>
          <w:p>
            <w:pPr>
              <w:jc w:val="left"/>
              <w:rPr>
                <w:rFonts w:ascii="仿宋" w:hAnsi="仿宋" w:eastAsia="仿宋" w:cs="仿宋"/>
                <w:sz w:val="24"/>
                <w:szCs w:val="24"/>
              </w:rPr>
            </w:pPr>
            <w:r>
              <w:rPr>
                <w:rFonts w:hint="eastAsia" w:ascii="仿宋" w:hAnsi="仿宋" w:eastAsia="仿宋" w:cs="仿宋"/>
                <w:sz w:val="24"/>
                <w:szCs w:val="24"/>
              </w:rPr>
              <w:t>2.翻页按键：短按上下翻页按键，可实现白板软件/ppt/pdf等文档上下翻页；长按上下翻页按键3s，可实现ppt播放/退出；多功能按键：a.短按多功能按键，可实现播放/暂停音视频或flash；b.双击此按键，可实现空鼠/放大镜/聚光灯等功能切换，切换顺序空鼠&gt;放大镜&gt;聚光灯；c.长按此按键即可实现对应功能（空鼠/放大镜/聚光灯）；</w:t>
            </w:r>
          </w:p>
          <w:p>
            <w:pPr>
              <w:jc w:val="left"/>
              <w:rPr>
                <w:rFonts w:ascii="仿宋" w:hAnsi="仿宋" w:eastAsia="仿宋" w:cs="仿宋"/>
                <w:sz w:val="24"/>
                <w:szCs w:val="24"/>
              </w:rPr>
            </w:pPr>
            <w:r>
              <w:rPr>
                <w:rFonts w:hint="eastAsia" w:ascii="仿宋" w:hAnsi="仿宋" w:eastAsia="仿宋" w:cs="仿宋"/>
                <w:sz w:val="24"/>
                <w:szCs w:val="24"/>
              </w:rPr>
              <w:t>3.语音：内置麦克风，支持按键唤醒语音识别功能，避免杂音造成误唤醒；语音：支持唤醒语音识别时，可直接通过语音打开已安装的应用，可直接通过语音调用网络搜索引擎搜索查询相应资料，可进行语音转写输入，支持语音控制屏幕黑屏、亮屏，音量大小调整，返回桌面，截屏，关机等操作；语音：支持白板软件内，通过语音控制：切换书写、擦除、选择模式，最小化返回桌面，打开板中板，清空书写批注等操作；批注：支持按键调起批注功能，可通过按键实现批注颜色切换，长按按键可实现橡皮擦功能。</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支</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会议桌</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约8个位，每个位宽度≥800mm（允许有少量误差），面板厚度≥20mm（允许有少量误差），具体规格需现场设计定制。配套8张会议桌靠椅。材料要求：符合国标E1级进口优质高密度板，经过耐酸碱、防虫、防腐特殊处理,油漆：面漆采用PU聚脂漆,表面硬度达到H级,底漆采用PE不饱和树脂漆；优质五金配件。</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张</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沙发</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1.商务洽谈沙发，2-3人位。用户定制，颜色可选。基材选用高密度纤维板，经过防虫、防腐等化学处理，符合国际E1级环保标准适用各种气候不易开，耐用不变形。</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装修部分</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原实训室（大于130㎡）地面铲除清理，原实训室（大于130㎡）地面地砖铺贴；不少于50个工位地面开槽及回填抹平压光；原实训室天花板乳胶漆；原实训室内墙面乳胶漆；原实训室吊顶。原实训室墙体拆除及清理，原实训室砌砖墙，原实训室换门和拆门砌墙清理，踢脚线贴砖，原实训室窗帘更换。</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w:t>
            </w:r>
          </w:p>
        </w:tc>
        <w:tc>
          <w:tcPr>
            <w:tcW w:w="98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安装部分</w:t>
            </w:r>
          </w:p>
        </w:tc>
        <w:tc>
          <w:tcPr>
            <w:tcW w:w="7102" w:type="dxa"/>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1.原实训室（大于130㎡）强电线路安装、线路整改；实训室主电缆安装；不少于50个工位的弱电线路安装部署；弱电测试调试，弱电标签施工。</w:t>
            </w:r>
          </w:p>
        </w:tc>
        <w:tc>
          <w:tcPr>
            <w:tcW w:w="76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w:t>
            </w:r>
          </w:p>
        </w:tc>
        <w:tc>
          <w:tcPr>
            <w:tcW w:w="7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bl>
    <w:p>
      <w:pPr>
        <w:bidi w:val="0"/>
        <w:jc w:val="left"/>
        <w:rPr>
          <w:rFonts w:hint="eastAsia"/>
          <w:sz w:val="28"/>
          <w:szCs w:val="28"/>
          <w:lang w:val="en-US" w:eastAsia="zh-CN"/>
        </w:rPr>
      </w:pPr>
    </w:p>
    <w:p>
      <w:pPr>
        <w:pStyle w:val="3"/>
        <w:numPr>
          <w:ilvl w:val="-1"/>
          <w:numId w:val="0"/>
        </w:numPr>
        <w:shd w:val="clear" w:color="auto" w:fill="FFFFFF"/>
        <w:spacing w:line="360" w:lineRule="auto"/>
        <w:ind w:left="0" w:firstLine="0"/>
        <w:rPr>
          <w:rFonts w:ascii="仿宋" w:hAnsi="仿宋" w:eastAsia="仿宋" w:cs="仿宋"/>
          <w:b/>
          <w:bCs w:val="0"/>
        </w:rPr>
      </w:pPr>
      <w:bookmarkStart w:id="232" w:name="_Toc14680"/>
      <w:r>
        <w:rPr>
          <w:rFonts w:hint="eastAsia" w:ascii="宋体" w:hAnsi="宋体" w:eastAsia="宋体" w:cs="宋体"/>
          <w:b/>
          <w:bCs/>
          <w:color w:val="auto"/>
          <w:kern w:val="0"/>
          <w:sz w:val="24"/>
          <w:szCs w:val="24"/>
          <w:lang w:val="en-US" w:eastAsia="zh-CN" w:bidi="ar"/>
        </w:rPr>
        <w:t>▲</w:t>
      </w:r>
      <w:r>
        <w:rPr>
          <w:rFonts w:hint="eastAsia" w:ascii="仿宋" w:hAnsi="仿宋" w:eastAsia="仿宋" w:cs="仿宋"/>
          <w:b/>
          <w:bCs w:val="0"/>
          <w:sz w:val="28"/>
          <w:szCs w:val="28"/>
          <w:lang w:val="en-US" w:eastAsia="zh-CN"/>
        </w:rPr>
        <w:t>五、</w:t>
      </w:r>
      <w:r>
        <w:rPr>
          <w:rFonts w:hint="eastAsia" w:ascii="仿宋" w:hAnsi="仿宋" w:eastAsia="仿宋" w:cs="仿宋"/>
          <w:b/>
          <w:bCs w:val="0"/>
          <w:sz w:val="28"/>
          <w:szCs w:val="28"/>
        </w:rPr>
        <w:t>商务要求</w:t>
      </w:r>
      <w:bookmarkEnd w:id="232"/>
    </w:p>
    <w:p>
      <w:pPr>
        <w:shd w:val="clear" w:color="auto" w:fill="FFFFFF"/>
        <w:spacing w:line="360" w:lineRule="auto"/>
        <w:ind w:firstLine="480" w:firstLineChars="200"/>
        <w:outlineLvl w:val="1"/>
        <w:rPr>
          <w:rFonts w:ascii="仿宋" w:hAnsi="仿宋" w:eastAsia="仿宋" w:cs="仿宋"/>
          <w:sz w:val="24"/>
        </w:rPr>
      </w:pPr>
      <w:r>
        <w:rPr>
          <w:rFonts w:hint="eastAsia" w:ascii="仿宋" w:hAnsi="仿宋" w:eastAsia="仿宋" w:cs="仿宋"/>
          <w:sz w:val="24"/>
        </w:rPr>
        <w:t xml:space="preserve">1、项目名称：计算机财务共享中心  </w:t>
      </w:r>
    </w:p>
    <w:p>
      <w:pPr>
        <w:pStyle w:val="675"/>
        <w:shd w:val="clear" w:color="auto" w:fill="FFFFFF"/>
        <w:spacing w:after="0" w:line="360" w:lineRule="auto"/>
        <w:ind w:firstLine="480" w:firstLineChars="200"/>
        <w:jc w:val="left"/>
        <w:rPr>
          <w:rFonts w:ascii="仿宋" w:hAnsi="仿宋" w:eastAsia="仿宋" w:cs="仿宋"/>
          <w:color w:val="FF0000"/>
          <w:sz w:val="24"/>
          <w:lang w:eastAsia="zh-CN"/>
        </w:rPr>
      </w:pPr>
      <w:r>
        <w:rPr>
          <w:rFonts w:hint="eastAsia" w:ascii="仿宋" w:hAnsi="仿宋" w:eastAsia="仿宋" w:cs="仿宋"/>
          <w:sz w:val="24"/>
          <w:lang w:val="en-US" w:eastAsia="zh-CN"/>
        </w:rPr>
        <w:t>2、</w:t>
      </w:r>
      <w:r>
        <w:rPr>
          <w:rFonts w:hint="eastAsia" w:ascii="仿宋" w:hAnsi="仿宋" w:eastAsia="仿宋" w:cs="仿宋"/>
          <w:sz w:val="24"/>
        </w:rPr>
        <w:t>预算金额：</w:t>
      </w:r>
      <w:r>
        <w:rPr>
          <w:rFonts w:ascii="仿宋" w:hAnsi="仿宋" w:eastAsia="仿宋" w:cs="仿宋"/>
          <w:color w:val="auto"/>
          <w:sz w:val="24"/>
        </w:rPr>
        <w:t>3320748.45</w:t>
      </w:r>
      <w:r>
        <w:rPr>
          <w:rFonts w:hint="eastAsia" w:ascii="仿宋" w:hAnsi="仿宋" w:eastAsia="仿宋" w:cs="仿宋"/>
          <w:color w:val="auto"/>
          <w:sz w:val="24"/>
          <w:lang w:eastAsia="zh-CN"/>
        </w:rPr>
        <w:t>元</w:t>
      </w:r>
    </w:p>
    <w:p>
      <w:pPr>
        <w:shd w:val="clear" w:color="auto" w:fill="FFFFFF"/>
        <w:spacing w:line="360" w:lineRule="auto"/>
        <w:ind w:firstLine="480" w:firstLineChars="200"/>
        <w:rPr>
          <w:rFonts w:ascii="仿宋" w:hAnsi="仿宋" w:eastAsia="仿宋" w:cs="仿宋"/>
          <w:sz w:val="24"/>
        </w:rPr>
      </w:pPr>
      <w:r>
        <w:rPr>
          <w:rFonts w:hint="eastAsia" w:ascii="仿宋" w:hAnsi="仿宋" w:eastAsia="仿宋" w:cs="仿宋"/>
          <w:sz w:val="24"/>
        </w:rPr>
        <w:t>3、合同履行期限：</w:t>
      </w:r>
      <w:r>
        <w:rPr>
          <w:rFonts w:hint="eastAsia" w:ascii="仿宋" w:hAnsi="仿宋" w:eastAsia="仿宋" w:cs="仿宋"/>
          <w:sz w:val="24"/>
          <w:lang w:val="en-US" w:eastAsia="zh-CN"/>
        </w:rPr>
        <w:t>自合同签订之日起60日内完成本项目所有内容</w:t>
      </w:r>
    </w:p>
    <w:p>
      <w:pPr>
        <w:shd w:val="clear" w:color="auto" w:fill="FFFFFF"/>
        <w:snapToGrid w:val="0"/>
        <w:spacing w:line="360" w:lineRule="auto"/>
        <w:ind w:firstLine="480"/>
        <w:textAlignment w:val="baseline"/>
        <w:rPr>
          <w:rStyle w:val="676"/>
          <w:rFonts w:ascii="仿宋" w:hAnsi="仿宋" w:eastAsia="仿宋" w:cs="仿宋"/>
          <w:sz w:val="24"/>
        </w:rPr>
      </w:pPr>
      <w:r>
        <w:rPr>
          <w:rStyle w:val="676"/>
          <w:rFonts w:hint="eastAsia" w:ascii="仿宋" w:hAnsi="仿宋" w:eastAsia="仿宋" w:cs="仿宋"/>
          <w:sz w:val="24"/>
        </w:rPr>
        <w:t>4、交货地点：采购人指定地点</w:t>
      </w:r>
    </w:p>
    <w:p>
      <w:pPr>
        <w:shd w:val="clear" w:color="auto" w:fill="FFFFFF"/>
        <w:snapToGrid w:val="0"/>
        <w:spacing w:line="360" w:lineRule="auto"/>
        <w:ind w:firstLine="480"/>
        <w:textAlignment w:val="baseline"/>
        <w:rPr>
          <w:rStyle w:val="676"/>
          <w:rFonts w:ascii="仿宋" w:hAnsi="仿宋" w:eastAsia="仿宋" w:cs="仿宋"/>
          <w:sz w:val="24"/>
        </w:rPr>
      </w:pPr>
      <w:r>
        <w:rPr>
          <w:rStyle w:val="676"/>
          <w:rFonts w:hint="eastAsia" w:ascii="仿宋" w:hAnsi="仿宋" w:eastAsia="仿宋" w:cs="仿宋"/>
          <w:sz w:val="24"/>
        </w:rPr>
        <w:t>5、质量要求：合格</w:t>
      </w:r>
    </w:p>
    <w:p>
      <w:pPr>
        <w:shd w:val="clear" w:color="auto" w:fill="FFFFFF"/>
        <w:snapToGrid w:val="0"/>
        <w:spacing w:line="360" w:lineRule="auto"/>
        <w:ind w:firstLine="480"/>
        <w:textAlignment w:val="baseline"/>
        <w:rPr>
          <w:rStyle w:val="676"/>
          <w:rFonts w:ascii="仿宋" w:hAnsi="仿宋" w:eastAsia="仿宋" w:cs="仿宋"/>
          <w:sz w:val="24"/>
        </w:rPr>
      </w:pPr>
      <w:r>
        <w:rPr>
          <w:rStyle w:val="676"/>
          <w:rFonts w:hint="eastAsia" w:ascii="仿宋" w:hAnsi="仿宋" w:eastAsia="仿宋" w:cs="仿宋"/>
          <w:sz w:val="24"/>
        </w:rPr>
        <w:t>6、质保期：3年</w:t>
      </w:r>
    </w:p>
    <w:p>
      <w:pPr>
        <w:shd w:val="clear" w:color="auto" w:fill="FFFFFF"/>
        <w:snapToGrid w:val="0"/>
        <w:spacing w:line="360" w:lineRule="auto"/>
        <w:ind w:firstLine="480"/>
        <w:textAlignment w:val="baseline"/>
        <w:rPr>
          <w:rStyle w:val="676"/>
          <w:rFonts w:ascii="仿宋" w:hAnsi="仿宋" w:eastAsia="仿宋" w:cs="仿宋"/>
          <w:sz w:val="24"/>
        </w:rPr>
      </w:pPr>
      <w:r>
        <w:rPr>
          <w:rStyle w:val="676"/>
          <w:rFonts w:hint="eastAsia" w:ascii="仿宋" w:hAnsi="仿宋" w:eastAsia="仿宋" w:cs="仿宋"/>
          <w:sz w:val="24"/>
        </w:rPr>
        <w:t>7、质保保函：合同金额的</w:t>
      </w:r>
      <w:r>
        <w:rPr>
          <w:rStyle w:val="676"/>
          <w:rFonts w:ascii="仿宋" w:hAnsi="仿宋" w:eastAsia="仿宋" w:cs="仿宋"/>
          <w:sz w:val="24"/>
        </w:rPr>
        <w:t>5</w:t>
      </w:r>
      <w:r>
        <w:rPr>
          <w:rStyle w:val="676"/>
          <w:rFonts w:hint="eastAsia" w:ascii="仿宋" w:hAnsi="仿宋" w:eastAsia="仿宋" w:cs="仿宋"/>
          <w:sz w:val="24"/>
        </w:rPr>
        <w:t xml:space="preserve">% </w:t>
      </w:r>
    </w:p>
    <w:p>
      <w:pPr>
        <w:shd w:val="clear" w:color="auto" w:fill="FFFFFF"/>
        <w:snapToGrid w:val="0"/>
        <w:spacing w:line="360" w:lineRule="auto"/>
        <w:ind w:left="340" w:leftChars="100"/>
        <w:textAlignment w:val="baseline"/>
        <w:rPr>
          <w:rFonts w:ascii="仿宋" w:hAnsi="仿宋" w:eastAsia="仿宋" w:cs="仿宋"/>
          <w:sz w:val="24"/>
        </w:rPr>
      </w:pPr>
      <w:r>
        <w:rPr>
          <w:rFonts w:hint="eastAsia" w:ascii="仿宋" w:hAnsi="仿宋" w:eastAsia="仿宋" w:cs="仿宋"/>
          <w:sz w:val="24"/>
        </w:rPr>
        <w:t xml:space="preserve"> 8、售后服务：</w:t>
      </w:r>
      <w:r>
        <w:rPr>
          <w:rFonts w:hint="eastAsia" w:ascii="仿宋" w:hAnsi="仿宋" w:eastAsia="仿宋" w:cs="仿宋"/>
          <w:sz w:val="24"/>
        </w:rPr>
        <w:br w:type="textWrapping"/>
      </w:r>
      <w:r>
        <w:rPr>
          <w:rFonts w:hint="eastAsia" w:ascii="仿宋" w:hAnsi="仿宋" w:eastAsia="仿宋" w:cs="仿宋"/>
          <w:sz w:val="24"/>
        </w:rPr>
        <w:t>（1）质保期内，产品供应商均应提供5×8小时免费上门服务，接到有效服务通知，30分钟内响应，2小时内须委派售后服务人员到达现场进行服务。</w:t>
      </w:r>
      <w:r>
        <w:rPr>
          <w:rFonts w:hint="eastAsia" w:ascii="仿宋" w:hAnsi="仿宋" w:eastAsia="仿宋" w:cs="仿宋"/>
          <w:sz w:val="24"/>
        </w:rPr>
        <w:br w:type="textWrapping"/>
      </w:r>
      <w:r>
        <w:rPr>
          <w:rFonts w:hint="eastAsia" w:ascii="仿宋" w:hAnsi="仿宋" w:eastAsia="仿宋" w:cs="仿宋"/>
          <w:sz w:val="24"/>
        </w:rPr>
        <w:t>（2）质保期内，如有故障设备，均应采用备品更换的方式进行维修，即应使用相同品牌、规格、型号的备品替代故障设备，最大限度保证系统运行正常，待故障设备修复后与备品互换。若在质量保修期内发生重要设备损坏，该设备在更换或维修正常工作后延长一年的质量保证期。</w:t>
      </w:r>
      <w:r>
        <w:rPr>
          <w:rFonts w:hint="eastAsia" w:ascii="仿宋" w:hAnsi="仿宋" w:eastAsia="仿宋" w:cs="仿宋"/>
          <w:sz w:val="24"/>
        </w:rPr>
        <w:br w:type="textWrapping"/>
      </w:r>
      <w:r>
        <w:rPr>
          <w:rFonts w:hint="eastAsia" w:ascii="仿宋" w:hAnsi="仿宋" w:eastAsia="仿宋" w:cs="仿宋"/>
          <w:sz w:val="24"/>
        </w:rPr>
        <w:t>（3）供应商在质保期内应委派专业技术讲师上门提供产品应用集中式培训服务。</w:t>
      </w:r>
    </w:p>
    <w:p>
      <w:pPr>
        <w:shd w:val="clear" w:color="auto" w:fill="FFFFFF"/>
        <w:snapToGrid w:val="0"/>
        <w:spacing w:line="360" w:lineRule="auto"/>
        <w:ind w:left="340" w:leftChars="100"/>
        <w:textAlignment w:val="baseline"/>
        <w:rPr>
          <w:rStyle w:val="676"/>
          <w:rFonts w:ascii="仿宋" w:hAnsi="仿宋" w:eastAsia="仿宋" w:cs="仿宋"/>
          <w:sz w:val="24"/>
          <w:szCs w:val="24"/>
        </w:rPr>
      </w:pPr>
      <w:r>
        <w:rPr>
          <w:rStyle w:val="676"/>
          <w:rFonts w:hint="eastAsia" w:ascii="仿宋" w:hAnsi="仿宋" w:eastAsia="仿宋" w:cs="仿宋"/>
          <w:sz w:val="24"/>
          <w:szCs w:val="24"/>
        </w:rPr>
        <w:t>9、付款方式：</w:t>
      </w:r>
    </w:p>
    <w:p>
      <w:pPr>
        <w:shd w:val="clear" w:color="auto" w:fill="FFFFFF"/>
        <w:snapToGrid w:val="0"/>
        <w:spacing w:line="360" w:lineRule="auto"/>
        <w:ind w:left="340" w:leftChars="100"/>
        <w:textAlignment w:val="baseline"/>
        <w:rPr>
          <w:rStyle w:val="676"/>
          <w:rFonts w:ascii="仿宋" w:hAnsi="仿宋" w:eastAsia="仿宋" w:cs="仿宋"/>
          <w:sz w:val="24"/>
          <w:szCs w:val="24"/>
        </w:rPr>
      </w:pPr>
      <w:r>
        <w:rPr>
          <w:rStyle w:val="676"/>
          <w:rFonts w:hint="eastAsia" w:ascii="仿宋" w:hAnsi="仿宋" w:eastAsia="仿宋" w:cs="仿宋"/>
          <w:sz w:val="24"/>
          <w:szCs w:val="24"/>
        </w:rPr>
        <w:t>9.1、本合同签订后，甲方凭乙方开具的正式有效发票在5个工作日内向乙方支付合同价的50%；</w:t>
      </w:r>
    </w:p>
    <w:p>
      <w:pPr>
        <w:shd w:val="clear" w:color="auto" w:fill="FFFFFF"/>
        <w:snapToGrid w:val="0"/>
        <w:spacing w:line="360" w:lineRule="auto"/>
        <w:ind w:left="340" w:leftChars="100"/>
        <w:textAlignment w:val="baseline"/>
        <w:rPr>
          <w:rStyle w:val="676"/>
          <w:rFonts w:ascii="仿宋" w:hAnsi="仿宋" w:eastAsia="仿宋" w:cs="仿宋"/>
          <w:color w:val="FF0000"/>
          <w:sz w:val="24"/>
          <w:szCs w:val="24"/>
        </w:rPr>
      </w:pPr>
      <w:r>
        <w:rPr>
          <w:rStyle w:val="676"/>
          <w:rFonts w:hint="eastAsia" w:ascii="仿宋" w:hAnsi="仿宋" w:eastAsia="仿宋" w:cs="仿宋"/>
          <w:sz w:val="24"/>
          <w:szCs w:val="24"/>
        </w:rPr>
        <w:t>9.</w:t>
      </w:r>
      <w:r>
        <w:rPr>
          <w:rStyle w:val="676"/>
          <w:rFonts w:ascii="仿宋" w:hAnsi="仿宋" w:eastAsia="仿宋" w:cs="仿宋"/>
          <w:sz w:val="24"/>
          <w:szCs w:val="24"/>
        </w:rPr>
        <w:t>2</w:t>
      </w:r>
      <w:r>
        <w:rPr>
          <w:rStyle w:val="676"/>
          <w:rFonts w:hint="eastAsia" w:ascii="仿宋" w:hAnsi="仿宋" w:eastAsia="仿宋" w:cs="仿宋"/>
          <w:sz w:val="24"/>
          <w:szCs w:val="24"/>
        </w:rPr>
        <w:t>、项目完工，经甲方验收合格后，甲方在收到发票之日起5个工作日内向乙方支付合同金额的45%。出具银行质保函后支付合同金额的5%。</w:t>
      </w:r>
    </w:p>
    <w:p>
      <w:pPr>
        <w:shd w:val="clear" w:color="auto" w:fill="FFFFFF"/>
        <w:snapToGrid w:val="0"/>
        <w:spacing w:line="360" w:lineRule="auto"/>
        <w:ind w:left="340" w:leftChars="100"/>
        <w:textAlignment w:val="baseline"/>
        <w:rPr>
          <w:rStyle w:val="676"/>
          <w:rFonts w:ascii="仿宋" w:hAnsi="仿宋" w:eastAsia="仿宋" w:cs="仿宋"/>
          <w:sz w:val="24"/>
          <w:szCs w:val="24"/>
        </w:rPr>
      </w:pPr>
      <w:r>
        <w:rPr>
          <w:rStyle w:val="676"/>
          <w:rFonts w:hint="eastAsia" w:ascii="仿宋" w:hAnsi="仿宋" w:eastAsia="仿宋" w:cs="仿宋"/>
          <w:sz w:val="24"/>
          <w:szCs w:val="24"/>
        </w:rPr>
        <w:t>10、验收：根据磋商文件和投标文件等相关内容结合采购人的实际需求，按《海南省政府采购履约验收管理暂行办法》（琼财采规【2023】16号）组织相关单位进行验收。</w:t>
      </w:r>
    </w:p>
    <w:p>
      <w:pPr>
        <w:shd w:val="clear" w:color="auto" w:fill="FFFFFF"/>
        <w:snapToGrid w:val="0"/>
        <w:spacing w:line="360" w:lineRule="auto"/>
        <w:ind w:left="340" w:leftChars="100"/>
        <w:textAlignment w:val="baseline"/>
        <w:rPr>
          <w:rStyle w:val="676"/>
          <w:rFonts w:ascii="仿宋" w:hAnsi="仿宋" w:eastAsia="仿宋" w:cs="仿宋"/>
          <w:sz w:val="24"/>
          <w:szCs w:val="24"/>
        </w:rPr>
      </w:pPr>
      <w:r>
        <w:rPr>
          <w:rStyle w:val="676"/>
          <w:rFonts w:hint="eastAsia" w:ascii="仿宋" w:hAnsi="仿宋" w:eastAsia="仿宋" w:cs="仿宋"/>
          <w:sz w:val="24"/>
          <w:szCs w:val="24"/>
        </w:rPr>
        <w:t>11．其它注意事项</w:t>
      </w:r>
    </w:p>
    <w:p>
      <w:pPr>
        <w:shd w:val="clear" w:color="auto" w:fill="FFFFFF"/>
        <w:snapToGrid w:val="0"/>
        <w:spacing w:line="360" w:lineRule="auto"/>
        <w:ind w:left="340" w:leftChars="100"/>
        <w:textAlignment w:val="baseline"/>
        <w:rPr>
          <w:rStyle w:val="676"/>
          <w:rFonts w:ascii="仿宋" w:hAnsi="仿宋" w:eastAsia="仿宋" w:cs="仿宋"/>
          <w:sz w:val="24"/>
          <w:szCs w:val="24"/>
        </w:rPr>
      </w:pPr>
      <w:r>
        <w:rPr>
          <w:rStyle w:val="676"/>
          <w:rFonts w:hint="eastAsia" w:ascii="仿宋" w:hAnsi="仿宋" w:eastAsia="仿宋" w:cs="仿宋"/>
          <w:sz w:val="24"/>
          <w:szCs w:val="24"/>
        </w:rPr>
        <w:t>（1）提供正常系统维护和软件系统升级服务。</w:t>
      </w:r>
    </w:p>
    <w:p>
      <w:pPr>
        <w:shd w:val="clear" w:color="auto" w:fill="FFFFFF"/>
        <w:snapToGrid w:val="0"/>
        <w:spacing w:line="360" w:lineRule="auto"/>
        <w:ind w:left="340" w:leftChars="100"/>
        <w:textAlignment w:val="baseline"/>
        <w:rPr>
          <w:rStyle w:val="676"/>
          <w:rFonts w:hint="eastAsia" w:ascii="仿宋" w:hAnsi="仿宋" w:eastAsia="仿宋" w:cs="仿宋"/>
          <w:sz w:val="24"/>
          <w:szCs w:val="24"/>
        </w:rPr>
      </w:pPr>
      <w:r>
        <w:rPr>
          <w:rStyle w:val="676"/>
          <w:rFonts w:hint="eastAsia" w:ascii="仿宋" w:hAnsi="仿宋" w:eastAsia="仿宋" w:cs="仿宋"/>
          <w:sz w:val="24"/>
          <w:szCs w:val="24"/>
        </w:rPr>
        <w:t>（2）中标人人负责设备的安装、调试。</w:t>
      </w:r>
    </w:p>
    <w:p>
      <w:pPr>
        <w:shd w:val="clear" w:color="auto" w:fill="FFFFFF"/>
        <w:snapToGrid w:val="0"/>
        <w:spacing w:line="360" w:lineRule="auto"/>
        <w:ind w:left="340" w:leftChars="100"/>
        <w:textAlignment w:val="baseline"/>
        <w:rPr>
          <w:rFonts w:hint="eastAsia" w:ascii="仿宋" w:hAnsi="仿宋" w:eastAsia="仿宋" w:cs="仿宋"/>
          <w:color w:val="auto"/>
          <w:sz w:val="24"/>
          <w:szCs w:val="24"/>
        </w:rPr>
      </w:pPr>
      <w:r>
        <w:rPr>
          <w:rStyle w:val="676"/>
          <w:rFonts w:hint="eastAsia" w:ascii="仿宋" w:hAnsi="仿宋" w:eastAsia="仿宋" w:cs="仿宋"/>
          <w:sz w:val="24"/>
          <w:szCs w:val="24"/>
        </w:rPr>
        <w:t>（3）未尽事宜由双方商议解决。</w:t>
      </w:r>
    </w:p>
    <w:p>
      <w:pPr>
        <w:keepNext w:val="0"/>
        <w:keepLines w:val="0"/>
        <w:widowControl/>
        <w:suppressLineNumbers w:val="0"/>
        <w:spacing w:line="360" w:lineRule="auto"/>
        <w:jc w:val="left"/>
        <w:rPr>
          <w:color w:val="auto"/>
          <w:sz w:val="28"/>
          <w:szCs w:val="16"/>
        </w:rPr>
      </w:pPr>
      <w:r>
        <w:rPr>
          <w:rFonts w:hint="eastAsia" w:ascii="宋体" w:hAnsi="宋体" w:eastAsia="宋体" w:cs="宋体"/>
          <w:b/>
          <w:bCs/>
          <w:color w:val="auto"/>
          <w:kern w:val="0"/>
          <w:sz w:val="24"/>
          <w:szCs w:val="24"/>
          <w:lang w:val="en-US" w:eastAsia="zh-CN" w:bidi="ar"/>
        </w:rPr>
        <w:t xml:space="preserve">注： 1、“▲”条款为不允许偏离的实质性要求和条件，如不满足则认定其响应无效。 </w:t>
      </w:r>
    </w:p>
    <w:p>
      <w:pPr>
        <w:spacing w:line="360" w:lineRule="auto"/>
        <w:ind w:firstLine="482" w:firstLineChars="200"/>
        <w:rPr>
          <w:rFonts w:hint="eastAsia"/>
        </w:rPr>
      </w:pPr>
      <w:r>
        <w:rPr>
          <w:rFonts w:hint="default" w:ascii="Times New Roman" w:hAnsi="Times New Roman" w:eastAsia="宋体" w:cs="Times New Roman"/>
          <w:b/>
          <w:bCs/>
          <w:color w:val="auto"/>
          <w:kern w:val="0"/>
          <w:sz w:val="24"/>
          <w:szCs w:val="24"/>
          <w:lang w:val="en-US" w:eastAsia="zh-CN" w:bidi="ar"/>
        </w:rPr>
        <w:t>2</w:t>
      </w:r>
      <w:r>
        <w:rPr>
          <w:rFonts w:hint="eastAsia" w:ascii="宋体" w:hAnsi="宋体" w:eastAsia="宋体" w:cs="宋体"/>
          <w:b/>
          <w:bCs/>
          <w:color w:val="auto"/>
          <w:kern w:val="0"/>
          <w:sz w:val="24"/>
          <w:szCs w:val="24"/>
          <w:lang w:val="en-US" w:eastAsia="zh-CN" w:bidi="ar"/>
        </w:rPr>
        <w:t>、“商务要求”在</w:t>
      </w:r>
      <w:r>
        <w:rPr>
          <w:rFonts w:hint="eastAsia" w:hAnsi="宋体" w:cs="宋体"/>
          <w:b/>
          <w:bCs/>
          <w:color w:val="auto"/>
          <w:kern w:val="0"/>
          <w:sz w:val="24"/>
          <w:szCs w:val="24"/>
          <w:lang w:val="en-US" w:eastAsia="zh-CN" w:bidi="ar"/>
        </w:rPr>
        <w:t>商务要求</w:t>
      </w:r>
      <w:r>
        <w:rPr>
          <w:rFonts w:hint="eastAsia" w:ascii="宋体" w:hAnsi="宋体" w:eastAsia="宋体" w:cs="宋体"/>
          <w:b/>
          <w:bCs/>
          <w:color w:val="auto"/>
          <w:kern w:val="0"/>
          <w:sz w:val="24"/>
          <w:szCs w:val="24"/>
          <w:lang w:val="en-US" w:eastAsia="zh-CN" w:bidi="ar"/>
        </w:rPr>
        <w:t>响应表中逐条响应</w:t>
      </w:r>
    </w:p>
    <w:p>
      <w:pPr>
        <w:pStyle w:val="2"/>
        <w:pageBreakBefore/>
        <w:spacing w:before="0" w:after="0" w:line="360" w:lineRule="auto"/>
        <w:rPr>
          <w:rFonts w:hint="eastAsia" w:ascii="仿宋" w:hAnsi="仿宋" w:eastAsia="仿宋" w:cs="仿宋"/>
          <w:color w:val="auto"/>
          <w:sz w:val="44"/>
          <w:szCs w:val="44"/>
        </w:rPr>
      </w:pPr>
      <w:bookmarkStart w:id="233" w:name="_Toc511832123"/>
      <w:bookmarkStart w:id="234" w:name="_Toc495679406"/>
      <w:bookmarkStart w:id="235" w:name="_Toc7591"/>
      <w:r>
        <w:rPr>
          <w:rFonts w:hint="eastAsia" w:ascii="仿宋" w:hAnsi="仿宋" w:eastAsia="仿宋" w:cs="仿宋"/>
          <w:color w:val="auto"/>
          <w:sz w:val="44"/>
          <w:szCs w:val="44"/>
        </w:rPr>
        <w:t>第四章 评审办法和程序</w:t>
      </w:r>
      <w:bookmarkEnd w:id="233"/>
      <w:bookmarkEnd w:id="234"/>
      <w:bookmarkEnd w:id="235"/>
    </w:p>
    <w:p>
      <w:pPr>
        <w:pStyle w:val="3"/>
        <w:spacing w:before="0" w:after="0" w:line="700" w:lineRule="exact"/>
        <w:rPr>
          <w:rFonts w:hint="eastAsia" w:ascii="仿宋" w:hAnsi="仿宋" w:eastAsia="仿宋" w:cs="仿宋"/>
          <w:bCs w:val="0"/>
          <w:color w:val="auto"/>
          <w:sz w:val="28"/>
          <w:szCs w:val="28"/>
        </w:rPr>
      </w:pPr>
      <w:bookmarkStart w:id="236" w:name="_Toc495679407"/>
      <w:r>
        <w:rPr>
          <w:rFonts w:hint="eastAsia" w:ascii="仿宋" w:hAnsi="仿宋" w:eastAsia="仿宋" w:cs="仿宋"/>
          <w:bCs w:val="0"/>
          <w:color w:val="auto"/>
          <w:sz w:val="28"/>
          <w:szCs w:val="28"/>
        </w:rPr>
        <w:t>一、评审原则</w:t>
      </w:r>
      <w:bookmarkEnd w:id="236"/>
    </w:p>
    <w:p>
      <w:pPr>
        <w:tabs>
          <w:tab w:val="left" w:pos="360"/>
          <w:tab w:val="left" w:pos="720"/>
        </w:tabs>
        <w:spacing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 本次评审是以磋商文件，磋商响应文件和磋商承诺文件和最后报价为依据，按公正、科学、客观、平等竞争的要求，推荐技术先进、报价合理、经验丰富、信誉良好、售后服务好、及综合实力强的成交供应商。</w:t>
      </w:r>
    </w:p>
    <w:p>
      <w:pPr>
        <w:tabs>
          <w:tab w:val="left" w:pos="360"/>
          <w:tab w:val="left" w:pos="720"/>
        </w:tabs>
        <w:spacing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 本次采购采用综合评分法，是指磋商响应文件满足磋商文件全部实质性要求且按评审因素的量化指标评审得分最高的供应商为成交候选供应商的评审方法。</w:t>
      </w:r>
    </w:p>
    <w:p>
      <w:pPr>
        <w:pStyle w:val="3"/>
        <w:spacing w:before="0" w:after="0" w:line="700" w:lineRule="exact"/>
        <w:rPr>
          <w:rFonts w:hint="eastAsia" w:ascii="仿宋" w:hAnsi="仿宋" w:eastAsia="仿宋" w:cs="仿宋"/>
          <w:bCs w:val="0"/>
          <w:color w:val="auto"/>
          <w:sz w:val="28"/>
          <w:szCs w:val="28"/>
        </w:rPr>
      </w:pPr>
      <w:bookmarkStart w:id="237" w:name="_Toc25383"/>
      <w:bookmarkStart w:id="238" w:name="_Toc495679408"/>
      <w:r>
        <w:rPr>
          <w:rFonts w:hint="eastAsia" w:ascii="仿宋" w:hAnsi="仿宋" w:eastAsia="仿宋" w:cs="仿宋"/>
          <w:bCs w:val="0"/>
          <w:color w:val="auto"/>
          <w:sz w:val="28"/>
          <w:szCs w:val="28"/>
        </w:rPr>
        <w:t>二、评审程序和评审方法</w:t>
      </w:r>
      <w:bookmarkEnd w:id="237"/>
      <w:bookmarkEnd w:id="238"/>
    </w:p>
    <w:p>
      <w:pPr>
        <w:tabs>
          <w:tab w:val="left" w:pos="720"/>
        </w:tabs>
        <w:spacing w:line="400" w:lineRule="exact"/>
        <w:ind w:left="-779" w:leftChars="-229" w:right="-170" w:rightChars="-50" w:firstLine="549" w:firstLineChars="229"/>
        <w:rPr>
          <w:rFonts w:hint="eastAsia" w:ascii="仿宋" w:hAnsi="仿宋" w:eastAsia="仿宋" w:cs="仿宋"/>
          <w:color w:val="auto"/>
          <w:sz w:val="24"/>
        </w:rPr>
      </w:pPr>
      <w:r>
        <w:rPr>
          <w:rFonts w:hint="eastAsia" w:ascii="仿宋" w:hAnsi="仿宋" w:eastAsia="仿宋" w:cs="仿宋"/>
          <w:color w:val="auto"/>
          <w:sz w:val="24"/>
        </w:rPr>
        <w:t xml:space="preserve">     评审流程如下：</w:t>
      </w:r>
    </w:p>
    <w:p>
      <w:pPr>
        <w:tabs>
          <w:tab w:val="left" w:pos="720"/>
        </w:tabs>
        <w:spacing w:line="400" w:lineRule="exact"/>
        <w:ind w:right="-170" w:rightChars="-50" w:firstLine="360" w:firstLineChars="150"/>
        <w:outlineLvl w:val="2"/>
        <w:rPr>
          <w:rFonts w:hint="eastAsia" w:ascii="仿宋" w:hAnsi="仿宋" w:eastAsia="仿宋" w:cs="仿宋"/>
          <w:color w:val="auto"/>
          <w:sz w:val="24"/>
        </w:rPr>
      </w:pPr>
      <w:bookmarkStart w:id="239" w:name="_Toc1456"/>
      <w:r>
        <w:rPr>
          <w:rFonts w:hint="eastAsia" w:ascii="仿宋" w:hAnsi="仿宋" w:eastAsia="仿宋" w:cs="仿宋"/>
          <w:color w:val="auto"/>
          <w:sz w:val="24"/>
        </w:rPr>
        <w:t>1. 评标准备</w:t>
      </w:r>
      <w:bookmarkEnd w:id="239"/>
    </w:p>
    <w:p>
      <w:pPr>
        <w:tabs>
          <w:tab w:val="left" w:pos="720"/>
        </w:tabs>
        <w:spacing w:line="400" w:lineRule="exact"/>
        <w:ind w:right="-170" w:rightChars="-50" w:firstLine="600" w:firstLineChars="250"/>
        <w:rPr>
          <w:rFonts w:hint="eastAsia" w:ascii="仿宋" w:hAnsi="仿宋" w:eastAsia="仿宋" w:cs="仿宋"/>
          <w:color w:val="auto"/>
          <w:sz w:val="24"/>
        </w:rPr>
      </w:pPr>
      <w:r>
        <w:rPr>
          <w:rFonts w:hint="eastAsia" w:ascii="仿宋" w:hAnsi="仿宋" w:eastAsia="仿宋" w:cs="仿宋"/>
          <w:color w:val="auto"/>
          <w:sz w:val="24"/>
        </w:rPr>
        <w:t>磋商小组成员阅读竞争性磋商文件，了解本次招标的范围和需求，熟悉评标方法；</w:t>
      </w:r>
    </w:p>
    <w:p>
      <w:pPr>
        <w:spacing w:line="400" w:lineRule="exact"/>
        <w:ind w:firstLine="360" w:firstLineChars="150"/>
        <w:outlineLvl w:val="2"/>
        <w:rPr>
          <w:rFonts w:hint="eastAsia" w:ascii="仿宋" w:hAnsi="仿宋" w:eastAsia="仿宋" w:cs="仿宋"/>
          <w:color w:val="auto"/>
          <w:sz w:val="24"/>
        </w:rPr>
      </w:pPr>
      <w:bookmarkStart w:id="240" w:name="_Toc4839"/>
      <w:r>
        <w:rPr>
          <w:rFonts w:hint="eastAsia" w:ascii="仿宋" w:hAnsi="仿宋" w:eastAsia="仿宋" w:cs="仿宋"/>
          <w:color w:val="auto"/>
          <w:sz w:val="24"/>
        </w:rPr>
        <w:t>2. 磋商响应文件资格审查</w:t>
      </w:r>
      <w:bookmarkEnd w:id="240"/>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进入评审程序后，磋商小组先对供应商的磋商响应文件进行资格审查。磋商小组将根据评审办法的规定和《资格审查表》的内容，对磋商响应文件进行资格审查。</w:t>
      </w:r>
    </w:p>
    <w:p>
      <w:pPr>
        <w:tabs>
          <w:tab w:val="left" w:pos="720"/>
          <w:tab w:val="left" w:pos="3675"/>
        </w:tabs>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若出现以下情况，则磋商响应文件将被认定为不满足采购需求而不能通过初步审查：</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磋商响应</w:t>
      </w:r>
      <w:r>
        <w:rPr>
          <w:rFonts w:hint="eastAsia" w:ascii="仿宋" w:hAnsi="仿宋" w:eastAsia="仿宋" w:cs="仿宋"/>
          <w:bCs/>
          <w:color w:val="auto"/>
          <w:sz w:val="24"/>
        </w:rPr>
        <w:t>文件无法定代表人签字，或签字人未经法定代表人授权的；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bCs/>
          <w:color w:val="auto"/>
          <w:sz w:val="24"/>
        </w:rPr>
        <w:t>供应商未按磋商文件要求的金额提交磋商保证金的；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bCs/>
          <w:color w:val="auto"/>
          <w:sz w:val="24"/>
        </w:rPr>
        <w:t>超出经营范围报价的；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bCs/>
          <w:color w:val="auto"/>
          <w:sz w:val="24"/>
        </w:rPr>
        <w:t>投标有效期不足的；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磋商小组根据磋商文件检查磋商响应文件提供的资格证明材料不齐全、不满足磋商文件的要求，并在磋商小组规定的时间未能补充齐全的；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磋商小组根据磋商文件对磋商响应文件的商务和技术部分进行资格审查，检查磋商响应文件提交的内容不齐全、不能证明有能力承担本项目的任务、未按磋商文件的要求作出相应的承诺的</w:t>
      </w:r>
      <w:r>
        <w:rPr>
          <w:rFonts w:hint="eastAsia" w:ascii="仿宋" w:hAnsi="仿宋" w:eastAsia="仿宋" w:cs="仿宋"/>
          <w:bCs/>
          <w:color w:val="auto"/>
          <w:sz w:val="24"/>
        </w:rPr>
        <w:t>；</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报价过低，明显不合理，采购人认为无法保障质量而供应商不能合理说明的；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主要技术规格和参数不满足技术参数的要求以及商务有重大负偏离的；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磋商小组认为报价未实质性响应磋商文件的要求的；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没有按时作最终报价或最终报价超过采购预算且采购人无法接受的；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bCs/>
          <w:color w:val="auto"/>
          <w:sz w:val="24"/>
        </w:rPr>
        <w:t>违反国家和地方政府采购法律法规的；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bCs/>
          <w:color w:val="auto"/>
          <w:sz w:val="24"/>
        </w:rPr>
        <w:t>不满足磋商文件规定的其它条件的。</w:t>
      </w:r>
    </w:p>
    <w:p>
      <w:pPr>
        <w:spacing w:line="400" w:lineRule="exact"/>
        <w:ind w:left="289" w:leftChars="85" w:firstLine="480" w:firstLineChars="200"/>
        <w:rPr>
          <w:rFonts w:hint="eastAsia" w:ascii="仿宋" w:hAnsi="仿宋" w:eastAsia="仿宋" w:cs="仿宋"/>
          <w:bCs/>
          <w:color w:val="auto"/>
          <w:sz w:val="24"/>
        </w:rPr>
      </w:pPr>
      <w:r>
        <w:rPr>
          <w:rFonts w:hint="eastAsia" w:ascii="仿宋" w:hAnsi="仿宋" w:eastAsia="仿宋" w:cs="仿宋"/>
          <w:color w:val="auto"/>
          <w:sz w:val="24"/>
        </w:rPr>
        <w:t>资格审查</w:t>
      </w:r>
      <w:r>
        <w:rPr>
          <w:rFonts w:hint="eastAsia" w:ascii="仿宋" w:hAnsi="仿宋" w:eastAsia="仿宋" w:cs="仿宋"/>
          <w:bCs/>
          <w:color w:val="auto"/>
          <w:sz w:val="24"/>
        </w:rPr>
        <w:t>采用</w:t>
      </w:r>
      <w:r>
        <w:rPr>
          <w:rFonts w:hint="eastAsia" w:ascii="仿宋" w:hAnsi="仿宋" w:eastAsia="仿宋" w:cs="仿宋"/>
          <w:color w:val="auto"/>
          <w:sz w:val="24"/>
        </w:rPr>
        <w:t>“一项否决”的原则，只有全部符合要求的才能通过资格审查。</w:t>
      </w:r>
    </w:p>
    <w:p>
      <w:pPr>
        <w:spacing w:line="400" w:lineRule="exact"/>
        <w:ind w:firstLine="360" w:firstLineChars="150"/>
        <w:outlineLvl w:val="2"/>
        <w:rPr>
          <w:rFonts w:hint="eastAsia" w:ascii="仿宋" w:hAnsi="仿宋" w:eastAsia="仿宋" w:cs="仿宋"/>
          <w:color w:val="auto"/>
          <w:sz w:val="24"/>
        </w:rPr>
      </w:pPr>
      <w:bookmarkStart w:id="241" w:name="_Toc11647"/>
      <w:r>
        <w:rPr>
          <w:rFonts w:hint="eastAsia" w:ascii="仿宋" w:hAnsi="仿宋" w:eastAsia="仿宋" w:cs="仿宋"/>
          <w:color w:val="auto"/>
          <w:sz w:val="24"/>
        </w:rPr>
        <w:t>3. 磋商</w:t>
      </w:r>
      <w:bookmarkEnd w:id="241"/>
    </w:p>
    <w:p>
      <w:pPr>
        <w:spacing w:line="4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rPr>
          <w:rFonts w:hint="eastAsia" w:ascii="仿宋" w:hAnsi="仿宋" w:eastAsia="仿宋" w:cs="仿宋"/>
          <w:color w:val="auto"/>
          <w:sz w:val="24"/>
        </w:rPr>
      </w:pPr>
      <w:r>
        <w:rPr>
          <w:rFonts w:hint="eastAsia" w:ascii="仿宋" w:hAnsi="仿宋" w:eastAsia="仿宋" w:cs="仿宋"/>
          <w:color w:val="auto"/>
          <w:sz w:val="24"/>
        </w:rPr>
        <w:t xml:space="preserve">    对磋商文件作出的实质性变动是磋商文件的有效组成部分，磋商小组应当及 时以书面形式同时通知所有参加磋商的供应商。</w:t>
      </w:r>
    </w:p>
    <w:p>
      <w:pPr>
        <w:spacing w:line="400" w:lineRule="exact"/>
        <w:rPr>
          <w:rFonts w:hint="eastAsia" w:ascii="仿宋" w:hAnsi="仿宋" w:eastAsia="仿宋" w:cs="仿宋"/>
          <w:color w:val="auto"/>
          <w:sz w:val="24"/>
        </w:rPr>
      </w:pPr>
      <w:r>
        <w:rPr>
          <w:rFonts w:hint="eastAsia" w:ascii="仿宋" w:hAnsi="仿宋" w:eastAsia="仿宋" w:cs="仿宋"/>
          <w:color w:val="auto"/>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00" w:lineRule="exact"/>
        <w:ind w:firstLine="480" w:firstLineChars="200"/>
        <w:outlineLvl w:val="2"/>
        <w:rPr>
          <w:rFonts w:hint="eastAsia" w:ascii="仿宋" w:hAnsi="仿宋" w:eastAsia="仿宋" w:cs="仿宋"/>
          <w:color w:val="auto"/>
          <w:sz w:val="24"/>
        </w:rPr>
      </w:pPr>
      <w:bookmarkStart w:id="242" w:name="_Toc29932"/>
      <w:r>
        <w:rPr>
          <w:rFonts w:hint="eastAsia" w:ascii="仿宋" w:hAnsi="仿宋" w:eastAsia="仿宋" w:cs="仿宋"/>
          <w:color w:val="auto"/>
          <w:sz w:val="24"/>
        </w:rPr>
        <w:t>4. 最后报价</w:t>
      </w:r>
      <w:bookmarkEnd w:id="242"/>
    </w:p>
    <w:p>
      <w:pPr>
        <w:spacing w:line="400" w:lineRule="exact"/>
        <w:rPr>
          <w:rFonts w:hint="eastAsia" w:ascii="仿宋" w:hAnsi="仿宋" w:eastAsia="仿宋" w:cs="仿宋"/>
          <w:color w:val="auto"/>
          <w:sz w:val="24"/>
        </w:rPr>
      </w:pPr>
      <w:r>
        <w:rPr>
          <w:rFonts w:hint="eastAsia" w:ascii="仿宋" w:hAnsi="仿宋" w:eastAsia="仿宋" w:cs="仿宋"/>
          <w:color w:val="auto"/>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后磋商报价表格式见附件</w:t>
      </w:r>
      <w:r>
        <w:rPr>
          <w:rFonts w:hint="eastAsia" w:ascii="仿宋" w:hAnsi="仿宋" w:eastAsia="仿宋" w:cs="仿宋"/>
          <w:color w:val="auto"/>
          <w:sz w:val="24"/>
          <w:lang w:val="en-US" w:eastAsia="zh-CN"/>
        </w:rPr>
        <w:t>13</w:t>
      </w:r>
      <w:r>
        <w:rPr>
          <w:rFonts w:hint="eastAsia" w:ascii="仿宋" w:hAnsi="仿宋" w:eastAsia="仿宋" w:cs="仿宋"/>
          <w:color w:val="auto"/>
          <w:sz w:val="24"/>
        </w:rPr>
        <w:t>）</w:t>
      </w:r>
    </w:p>
    <w:p>
      <w:pPr>
        <w:spacing w:line="400" w:lineRule="exact"/>
        <w:ind w:firstLine="480" w:firstLineChars="200"/>
        <w:outlineLvl w:val="2"/>
        <w:rPr>
          <w:rFonts w:hint="eastAsia" w:ascii="仿宋" w:hAnsi="仿宋" w:eastAsia="仿宋" w:cs="仿宋"/>
          <w:color w:val="auto"/>
          <w:sz w:val="24"/>
        </w:rPr>
      </w:pPr>
      <w:bookmarkStart w:id="243" w:name="_Toc32571"/>
      <w:r>
        <w:rPr>
          <w:rFonts w:hint="eastAsia" w:ascii="仿宋" w:hAnsi="仿宋" w:eastAsia="仿宋" w:cs="仿宋"/>
          <w:color w:val="auto"/>
          <w:sz w:val="24"/>
        </w:rPr>
        <w:t>5. 综合评审</w:t>
      </w:r>
      <w:bookmarkEnd w:id="243"/>
    </w:p>
    <w:p>
      <w:pPr>
        <w:spacing w:line="400" w:lineRule="exact"/>
        <w:rPr>
          <w:rFonts w:hint="eastAsia" w:ascii="仿宋" w:hAnsi="仿宋" w:eastAsia="仿宋" w:cs="仿宋"/>
          <w:color w:val="auto"/>
          <w:sz w:val="24"/>
        </w:rPr>
      </w:pPr>
      <w:r>
        <w:rPr>
          <w:rFonts w:hint="eastAsia" w:ascii="仿宋" w:hAnsi="仿宋" w:eastAsia="仿宋" w:cs="仿宋"/>
          <w:color w:val="auto"/>
          <w:sz w:val="24"/>
        </w:rPr>
        <w:t>经磋商确定最终采购需求和提交最后报价的供应商后，由磋商小组采用综合评分法对提交最后报价的供应商的响应文件和最后报价进行综合评分。（评审标准详见第</w:t>
      </w:r>
      <w:r>
        <w:rPr>
          <w:rFonts w:hint="eastAsia" w:ascii="仿宋" w:hAnsi="仿宋" w:eastAsia="仿宋" w:cs="仿宋"/>
          <w:color w:val="auto"/>
          <w:sz w:val="24"/>
          <w:lang w:val="en-US" w:eastAsia="zh-CN"/>
        </w:rPr>
        <w:t>八</w:t>
      </w:r>
      <w:r>
        <w:rPr>
          <w:rFonts w:hint="eastAsia" w:ascii="仿宋" w:hAnsi="仿宋" w:eastAsia="仿宋" w:cs="仿宋"/>
          <w:color w:val="auto"/>
          <w:sz w:val="24"/>
        </w:rPr>
        <w:t>条《评审细则》）</w:t>
      </w:r>
    </w:p>
    <w:p>
      <w:pPr>
        <w:spacing w:line="400" w:lineRule="exact"/>
        <w:ind w:firstLine="480" w:firstLineChars="200"/>
        <w:outlineLvl w:val="2"/>
        <w:rPr>
          <w:rFonts w:hint="eastAsia" w:ascii="仿宋" w:hAnsi="仿宋" w:eastAsia="仿宋" w:cs="仿宋"/>
          <w:color w:val="auto"/>
          <w:sz w:val="24"/>
        </w:rPr>
      </w:pPr>
      <w:bookmarkStart w:id="244" w:name="_Toc3072"/>
      <w:r>
        <w:rPr>
          <w:rFonts w:hint="eastAsia" w:ascii="仿宋" w:hAnsi="仿宋" w:eastAsia="仿宋" w:cs="仿宋"/>
          <w:color w:val="auto"/>
          <w:sz w:val="24"/>
        </w:rPr>
        <w:t>6. 推荐成交供应商</w:t>
      </w:r>
      <w:bookmarkEnd w:id="244"/>
    </w:p>
    <w:p>
      <w:pPr>
        <w:spacing w:line="400" w:lineRule="exact"/>
        <w:rPr>
          <w:rFonts w:hint="eastAsia" w:ascii="仿宋" w:hAnsi="仿宋" w:eastAsia="仿宋" w:cs="仿宋"/>
          <w:color w:val="auto"/>
          <w:sz w:val="24"/>
        </w:rPr>
      </w:pPr>
      <w:r>
        <w:rPr>
          <w:rFonts w:hint="eastAsia" w:ascii="仿宋" w:hAnsi="仿宋" w:eastAsia="仿宋" w:cs="仿宋"/>
          <w:color w:val="auto"/>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pStyle w:val="3"/>
        <w:spacing w:before="0" w:after="0" w:line="700" w:lineRule="exact"/>
        <w:rPr>
          <w:rFonts w:hint="eastAsia" w:ascii="仿宋" w:hAnsi="仿宋" w:eastAsia="仿宋" w:cs="仿宋"/>
          <w:bCs w:val="0"/>
          <w:color w:val="auto"/>
          <w:sz w:val="28"/>
          <w:szCs w:val="28"/>
        </w:rPr>
      </w:pPr>
      <w:bookmarkStart w:id="245" w:name="_Toc14922"/>
      <w:bookmarkStart w:id="246" w:name="_Toc495679409"/>
      <w:r>
        <w:rPr>
          <w:rFonts w:hint="eastAsia" w:ascii="仿宋" w:hAnsi="仿宋" w:eastAsia="仿宋" w:cs="仿宋"/>
          <w:bCs w:val="0"/>
          <w:color w:val="auto"/>
          <w:sz w:val="28"/>
          <w:szCs w:val="28"/>
        </w:rPr>
        <w:t>三、磋商、评审过程的保密性</w:t>
      </w:r>
      <w:bookmarkEnd w:id="245"/>
      <w:bookmarkEnd w:id="246"/>
    </w:p>
    <w:p>
      <w:pPr>
        <w:numPr>
          <w:ilvl w:val="0"/>
          <w:numId w:val="9"/>
        </w:numPr>
        <w:tabs>
          <w:tab w:val="left" w:pos="720"/>
        </w:tabs>
        <w:spacing w:line="400" w:lineRule="exact"/>
        <w:jc w:val="left"/>
        <w:rPr>
          <w:rFonts w:hint="eastAsia" w:ascii="仿宋" w:hAnsi="仿宋" w:eastAsia="仿宋" w:cs="仿宋"/>
          <w:color w:val="auto"/>
          <w:sz w:val="24"/>
        </w:rPr>
      </w:pPr>
      <w:r>
        <w:rPr>
          <w:rFonts w:hint="eastAsia" w:ascii="仿宋" w:hAnsi="仿宋" w:eastAsia="仿宋" w:cs="仿宋"/>
          <w:color w:val="auto"/>
          <w:sz w:val="24"/>
        </w:rPr>
        <w:t>接受报价后，直至成交供应商与买方签订合同后止，凡与磋商、审查、澄清、评价、比较、确定成交人意见有关的内容，任何人均不得向供应商及与磋商评审无关的其他人透露。</w:t>
      </w:r>
    </w:p>
    <w:p>
      <w:pPr>
        <w:numPr>
          <w:ilvl w:val="0"/>
          <w:numId w:val="9"/>
        </w:numPr>
        <w:tabs>
          <w:tab w:val="left" w:pos="720"/>
        </w:tabs>
        <w:spacing w:line="400" w:lineRule="exact"/>
        <w:jc w:val="left"/>
        <w:rPr>
          <w:rFonts w:hint="eastAsia" w:ascii="仿宋" w:hAnsi="仿宋" w:eastAsia="仿宋" w:cs="仿宋"/>
          <w:color w:val="auto"/>
          <w:sz w:val="24"/>
        </w:rPr>
      </w:pPr>
      <w:r>
        <w:rPr>
          <w:rFonts w:hint="eastAsia" w:ascii="仿宋" w:hAnsi="仿宋" w:eastAsia="仿宋" w:cs="仿宋"/>
          <w:color w:val="auto"/>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3"/>
        <w:spacing w:before="0" w:after="0" w:line="700" w:lineRule="exact"/>
        <w:rPr>
          <w:rFonts w:hint="eastAsia" w:ascii="仿宋" w:hAnsi="仿宋" w:eastAsia="仿宋" w:cs="仿宋"/>
          <w:bCs w:val="0"/>
          <w:color w:val="auto"/>
          <w:sz w:val="28"/>
          <w:szCs w:val="28"/>
        </w:rPr>
      </w:pPr>
      <w:bookmarkStart w:id="247" w:name="_Toc27278"/>
      <w:bookmarkStart w:id="248" w:name="_Toc495679410"/>
      <w:r>
        <w:rPr>
          <w:rFonts w:hint="eastAsia" w:ascii="仿宋" w:hAnsi="仿宋" w:eastAsia="仿宋" w:cs="仿宋"/>
          <w:bCs w:val="0"/>
          <w:color w:val="auto"/>
          <w:sz w:val="28"/>
          <w:szCs w:val="28"/>
        </w:rPr>
        <w:t>四、接受和拒绝任何或所有报价的权利</w:t>
      </w:r>
      <w:bookmarkEnd w:id="247"/>
      <w:bookmarkEnd w:id="248"/>
    </w:p>
    <w:p>
      <w:pPr>
        <w:tabs>
          <w:tab w:val="left" w:pos="180"/>
          <w:tab w:val="left" w:pos="360"/>
        </w:tabs>
        <w:spacing w:line="400" w:lineRule="exact"/>
        <w:ind w:right="51" w:rightChars="15" w:firstLine="480" w:firstLineChars="200"/>
        <w:rPr>
          <w:rFonts w:hint="eastAsia" w:ascii="仿宋" w:hAnsi="仿宋" w:eastAsia="仿宋" w:cs="仿宋"/>
          <w:color w:val="auto"/>
          <w:sz w:val="24"/>
        </w:rPr>
      </w:pPr>
      <w:r>
        <w:rPr>
          <w:rFonts w:hint="eastAsia" w:ascii="仿宋" w:hAnsi="仿宋" w:eastAsia="仿宋" w:cs="仿宋"/>
          <w:color w:val="auto"/>
          <w:sz w:val="24"/>
        </w:rPr>
        <w:t>采购人保留在成交之前任何时候接受或拒绝任何报价，以及宣布竞争性磋商无效或拒绝所有磋商响应文件的权力，对受影响的供应商不承担任何责任。</w:t>
      </w:r>
    </w:p>
    <w:p>
      <w:pPr>
        <w:pStyle w:val="3"/>
        <w:spacing w:before="0" w:after="0" w:line="700" w:lineRule="exact"/>
        <w:rPr>
          <w:rFonts w:hint="eastAsia" w:ascii="仿宋" w:hAnsi="仿宋" w:eastAsia="仿宋" w:cs="仿宋"/>
          <w:bCs w:val="0"/>
          <w:color w:val="auto"/>
          <w:sz w:val="28"/>
          <w:szCs w:val="28"/>
        </w:rPr>
      </w:pPr>
      <w:bookmarkStart w:id="249" w:name="_Toc495679411"/>
      <w:bookmarkStart w:id="250" w:name="_Toc15751"/>
      <w:r>
        <w:rPr>
          <w:rFonts w:hint="eastAsia" w:ascii="仿宋" w:hAnsi="仿宋" w:eastAsia="仿宋" w:cs="仿宋"/>
          <w:bCs w:val="0"/>
          <w:color w:val="auto"/>
          <w:sz w:val="28"/>
          <w:szCs w:val="28"/>
        </w:rPr>
        <w:t>五、变更技术方案的权利</w:t>
      </w:r>
      <w:bookmarkEnd w:id="249"/>
      <w:bookmarkEnd w:id="250"/>
    </w:p>
    <w:p>
      <w:pPr>
        <w:spacing w:line="400" w:lineRule="exact"/>
        <w:ind w:right="680" w:rightChars="200" w:firstLine="480" w:firstLineChars="200"/>
        <w:rPr>
          <w:rFonts w:hint="eastAsia" w:ascii="仿宋" w:hAnsi="仿宋" w:eastAsia="仿宋" w:cs="仿宋"/>
          <w:color w:val="auto"/>
          <w:sz w:val="24"/>
        </w:rPr>
      </w:pPr>
      <w:r>
        <w:rPr>
          <w:rFonts w:hint="eastAsia" w:ascii="仿宋" w:hAnsi="仿宋" w:eastAsia="仿宋" w:cs="仿宋"/>
          <w:color w:val="auto"/>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spacing w:line="400" w:lineRule="exact"/>
        <w:ind w:right="680" w:rightChars="200" w:firstLine="480" w:firstLineChars="200"/>
        <w:rPr>
          <w:rFonts w:hint="eastAsia" w:ascii="仿宋" w:hAnsi="仿宋" w:eastAsia="仿宋" w:cs="仿宋"/>
          <w:color w:val="auto"/>
          <w:sz w:val="24"/>
        </w:rPr>
      </w:pPr>
    </w:p>
    <w:p>
      <w:pPr>
        <w:widowControl/>
        <w:jc w:val="left"/>
        <w:rPr>
          <w:rFonts w:hint="eastAsia" w:ascii="仿宋" w:hAnsi="仿宋" w:eastAsia="仿宋" w:cs="仿宋"/>
          <w:color w:val="auto"/>
          <w:sz w:val="24"/>
        </w:rPr>
      </w:pPr>
      <w:r>
        <w:rPr>
          <w:rFonts w:hint="eastAsia" w:ascii="仿宋" w:hAnsi="仿宋" w:eastAsia="仿宋" w:cs="仿宋"/>
          <w:color w:val="auto"/>
          <w:sz w:val="24"/>
        </w:rPr>
        <w:br w:type="page"/>
      </w:r>
    </w:p>
    <w:p>
      <w:pPr>
        <w:spacing w:line="360" w:lineRule="auto"/>
        <w:outlineLvl w:val="1"/>
        <w:rPr>
          <w:rFonts w:hint="eastAsia" w:ascii="仿宋" w:hAnsi="仿宋" w:eastAsia="仿宋" w:cs="仿宋"/>
          <w:b/>
          <w:bCs/>
          <w:color w:val="auto"/>
          <w:sz w:val="24"/>
          <w:szCs w:val="24"/>
          <w:highlight w:val="none"/>
        </w:rPr>
      </w:pPr>
      <w:bookmarkStart w:id="251" w:name="_Toc30322"/>
      <w:bookmarkStart w:id="252" w:name="_Toc1538"/>
      <w:bookmarkStart w:id="253" w:name="_Toc14199"/>
      <w:bookmarkStart w:id="254" w:name="_Toc6588"/>
      <w:bookmarkStart w:id="255" w:name="_Toc2157"/>
      <w:bookmarkStart w:id="256" w:name="_Toc16472"/>
      <w:bookmarkStart w:id="257" w:name="_Toc13740"/>
      <w:r>
        <w:rPr>
          <w:rFonts w:hint="eastAsia" w:ascii="仿宋" w:hAnsi="仿宋" w:eastAsia="仿宋" w:cs="仿宋"/>
          <w:bCs w:val="0"/>
          <w:color w:val="auto"/>
          <w:kern w:val="2"/>
          <w:sz w:val="28"/>
          <w:szCs w:val="28"/>
          <w:lang w:val="en-US" w:eastAsia="zh-CN" w:bidi="ar-SA"/>
        </w:rPr>
        <w:t>六、资格审查</w:t>
      </w:r>
      <w:bookmarkEnd w:id="251"/>
      <w:bookmarkEnd w:id="252"/>
      <w:bookmarkEnd w:id="253"/>
      <w:bookmarkEnd w:id="254"/>
      <w:r>
        <w:rPr>
          <w:rFonts w:hint="eastAsia" w:ascii="仿宋" w:hAnsi="仿宋" w:eastAsia="仿宋" w:cs="仿宋"/>
          <w:b/>
          <w:bCs/>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1、由评标委员会进行资格性评审，资格审查内容：详见《资格审查表》</w:t>
      </w:r>
    </w:p>
    <w:p>
      <w:pPr>
        <w:spacing w:line="360" w:lineRule="auto"/>
        <w:ind w:firstLine="480" w:firstLineChars="200"/>
        <w:outlineLvl w:val="1"/>
        <w:rPr>
          <w:rFonts w:hint="eastAsia" w:ascii="仿宋" w:hAnsi="仿宋" w:eastAsia="仿宋" w:cs="仿宋"/>
          <w:bCs w:val="0"/>
          <w:color w:val="auto"/>
          <w:kern w:val="2"/>
          <w:sz w:val="28"/>
          <w:szCs w:val="28"/>
          <w:lang w:val="en-US" w:eastAsia="zh-CN" w:bidi="ar-SA"/>
        </w:rPr>
      </w:pPr>
      <w:bookmarkStart w:id="258" w:name="_Toc17518"/>
      <w:r>
        <w:rPr>
          <w:rFonts w:hint="eastAsia" w:ascii="仿宋" w:hAnsi="仿宋" w:eastAsia="仿宋" w:cs="仿宋"/>
          <w:color w:val="auto"/>
          <w:sz w:val="24"/>
          <w:szCs w:val="24"/>
          <w:highlight w:val="none"/>
        </w:rPr>
        <w:t>2、合格投标人不足3家的，不得评</w:t>
      </w:r>
      <w:r>
        <w:rPr>
          <w:rFonts w:hint="eastAsia" w:ascii="仿宋" w:hAnsi="仿宋" w:eastAsia="仿宋" w:cs="仿宋"/>
          <w:color w:val="auto"/>
          <w:sz w:val="24"/>
          <w:szCs w:val="24"/>
          <w:highlight w:val="none"/>
          <w:lang w:val="en-US" w:eastAsia="zh-CN"/>
        </w:rPr>
        <w:t>审</w:t>
      </w: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r>
        <w:rPr>
          <w:rFonts w:hint="eastAsia" w:ascii="仿宋" w:hAnsi="仿宋" w:eastAsia="仿宋" w:cs="仿宋"/>
          <w:color w:val="auto"/>
          <w:sz w:val="24"/>
          <w:szCs w:val="24"/>
          <w:highlight w:val="none"/>
        </w:rPr>
        <w:t>）</w:t>
      </w:r>
      <w:bookmarkEnd w:id="258"/>
    </w:p>
    <w:bookmarkEnd w:id="255"/>
    <w:bookmarkEnd w:id="256"/>
    <w:bookmarkEnd w:id="257"/>
    <w:p>
      <w:pPr>
        <w:outlineLvl w:val="2"/>
        <w:rPr>
          <w:rFonts w:hint="eastAsia" w:ascii="仿宋" w:hAnsi="仿宋" w:eastAsia="仿宋" w:cs="仿宋"/>
          <w:b/>
          <w:color w:val="auto"/>
          <w:sz w:val="24"/>
          <w:szCs w:val="24"/>
          <w:highlight w:val="none"/>
        </w:rPr>
      </w:pPr>
      <w:bookmarkStart w:id="259" w:name="_Toc2647"/>
      <w:r>
        <w:rPr>
          <w:rFonts w:hint="eastAsia" w:ascii="仿宋" w:hAnsi="仿宋" w:eastAsia="仿宋" w:cs="仿宋"/>
          <w:b/>
          <w:color w:val="auto"/>
          <w:sz w:val="24"/>
          <w:szCs w:val="24"/>
          <w:highlight w:val="none"/>
        </w:rPr>
        <w:t>（一）资格审查表</w:t>
      </w:r>
      <w:bookmarkEnd w:id="259"/>
    </w:p>
    <w:tbl>
      <w:tblPr>
        <w:tblStyle w:val="56"/>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27"/>
        <w:gridCol w:w="5562"/>
        <w:gridCol w:w="1420"/>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1" w:hRule="atLeast"/>
          <w:tblHeader/>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556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资格审查内容</w:t>
            </w:r>
          </w:p>
        </w:tc>
        <w:tc>
          <w:tcPr>
            <w:tcW w:w="142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审查标准</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15"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p>
        </w:tc>
        <w:tc>
          <w:tcPr>
            <w:tcW w:w="5562" w:type="dxa"/>
            <w:tcBorders>
              <w:top w:val="single" w:color="auto" w:sz="4" w:space="0"/>
              <w:left w:val="single" w:color="auto" w:sz="4" w:space="0"/>
              <w:bottom w:val="single" w:color="auto" w:sz="4" w:space="0"/>
              <w:right w:val="single" w:color="auto" w:sz="4" w:space="0"/>
            </w:tcBorders>
            <w:vAlign w:val="center"/>
          </w:tcPr>
          <w:p>
            <w:pPr>
              <w:pStyle w:val="50"/>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在中华人民共和国注册的、具有独立承担民事责任能力的法人（提供工商营业执照副本、税务登记证副本和组织机构代码证或“三证合一”的营业执照副本，复印件加盖公章）；</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合法有效</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7"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5562" w:type="dxa"/>
            <w:tcBorders>
              <w:top w:val="single" w:color="auto" w:sz="4" w:space="0"/>
              <w:left w:val="single" w:color="auto" w:sz="4" w:space="0"/>
              <w:bottom w:val="single" w:color="auto" w:sz="4" w:space="0"/>
              <w:right w:val="single" w:color="auto" w:sz="4" w:space="0"/>
            </w:tcBorders>
            <w:vAlign w:val="center"/>
          </w:tcPr>
          <w:p>
            <w:pPr>
              <w:widowControl/>
              <w:tabs>
                <w:tab w:val="left" w:pos="425"/>
              </w:tabs>
              <w:snapToGrid w:val="0"/>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rPr>
              <w:t>具有良好的商业信誉和健全的财务会计制度【提供承诺函加盖公章】</w:t>
            </w:r>
            <w:r>
              <w:rPr>
                <w:rFonts w:hint="eastAsia" w:ascii="仿宋" w:hAnsi="仿宋" w:eastAsia="仿宋" w:cs="仿宋"/>
                <w:color w:val="auto"/>
                <w:sz w:val="24"/>
                <w:szCs w:val="24"/>
                <w:highlight w:val="none"/>
              </w:rPr>
              <w:t>；</w:t>
            </w:r>
          </w:p>
        </w:tc>
        <w:tc>
          <w:tcPr>
            <w:tcW w:w="142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5562" w:type="dxa"/>
            <w:tcBorders>
              <w:top w:val="single" w:color="auto" w:sz="4" w:space="0"/>
              <w:left w:val="single" w:color="auto" w:sz="4" w:space="0"/>
              <w:bottom w:val="single" w:color="auto" w:sz="4" w:space="0"/>
              <w:right w:val="single" w:color="auto" w:sz="4" w:space="0"/>
            </w:tcBorders>
            <w:vAlign w:val="center"/>
          </w:tcPr>
          <w:p>
            <w:pPr>
              <w:pStyle w:val="50"/>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rPr>
              <w:t>具有依法缴纳税收和社会保障资金的良好记录【提供承诺函加盖公章】</w:t>
            </w:r>
            <w:r>
              <w:rPr>
                <w:rFonts w:hint="eastAsia" w:ascii="仿宋" w:hAnsi="仿宋" w:eastAsia="仿宋" w:cs="仿宋"/>
                <w:color w:val="auto"/>
                <w:sz w:val="24"/>
                <w:szCs w:val="24"/>
                <w:highlight w:val="none"/>
              </w:rPr>
              <w:t>；</w:t>
            </w:r>
          </w:p>
        </w:tc>
        <w:tc>
          <w:tcPr>
            <w:tcW w:w="1420" w:type="dxa"/>
            <w:tcBorders>
              <w:top w:val="single" w:color="auto" w:sz="4" w:space="0"/>
              <w:left w:val="single" w:color="auto" w:sz="4" w:space="0"/>
              <w:bottom w:val="single" w:color="auto" w:sz="4" w:space="0"/>
              <w:right w:val="single" w:color="auto" w:sz="4" w:space="0"/>
            </w:tcBorders>
            <w:vAlign w:val="center"/>
          </w:tcPr>
          <w:p>
            <w:pPr>
              <w:pStyle w:val="17"/>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854"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color w:val="auto"/>
                <w:spacing w:val="-1"/>
                <w:sz w:val="24"/>
                <w:szCs w:val="24"/>
                <w:highlight w:val="none"/>
              </w:rPr>
            </w:pPr>
            <w:r>
              <w:rPr>
                <w:rFonts w:hint="eastAsia" w:ascii="仿宋" w:hAnsi="仿宋" w:eastAsia="仿宋" w:cs="仿宋"/>
                <w:bCs/>
                <w:color w:val="auto"/>
                <w:sz w:val="24"/>
                <w:szCs w:val="24"/>
                <w:lang w:val="en-US" w:eastAsia="zh-CN"/>
              </w:rPr>
              <w:t>具备履行合同所必需的设备和专业技术能力【提供承诺函加盖公章】</w:t>
            </w:r>
            <w:r>
              <w:rPr>
                <w:rFonts w:hint="eastAsia" w:ascii="仿宋" w:hAnsi="仿宋" w:eastAsia="仿宋" w:cs="仿宋"/>
                <w:color w:val="auto"/>
                <w:sz w:val="24"/>
                <w:szCs w:val="24"/>
                <w:highlight w:val="none"/>
              </w:rPr>
              <w:t>；</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color w:val="auto"/>
                <w:spacing w:val="-1"/>
                <w:sz w:val="24"/>
                <w:szCs w:val="24"/>
                <w:highlight w:val="none"/>
              </w:rPr>
            </w:pPr>
            <w:r>
              <w:rPr>
                <w:rFonts w:hint="eastAsia" w:ascii="仿宋" w:hAnsi="仿宋" w:eastAsia="仿宋" w:cs="仿宋"/>
                <w:color w:val="auto"/>
                <w:sz w:val="24"/>
                <w:szCs w:val="24"/>
                <w:highlight w:val="none"/>
              </w:rPr>
              <w:t>提供企业在“信用中国”（http://www.creditchina.gov.cn/）网站上查询“失信被执行人”、“重大税收违法案件当事人”、“政府采购严重违法失信名单”的结果截图（加盖公章）和在“</w:t>
            </w:r>
            <w:r>
              <w:rPr>
                <w:rFonts w:hint="eastAsia" w:ascii="仿宋" w:hAnsi="仿宋" w:eastAsia="仿宋" w:cs="仿宋"/>
                <w:color w:val="auto"/>
                <w:sz w:val="24"/>
                <w:szCs w:val="24"/>
                <w:highlight w:val="none"/>
                <w:lang w:eastAsia="zh-CN"/>
              </w:rPr>
              <w:t>中国政府采购网</w:t>
            </w:r>
            <w:r>
              <w:rPr>
                <w:rFonts w:hint="eastAsia" w:ascii="仿宋" w:hAnsi="仿宋" w:eastAsia="仿宋" w:cs="仿宋"/>
                <w:color w:val="auto"/>
                <w:sz w:val="24"/>
                <w:szCs w:val="24"/>
                <w:highlight w:val="none"/>
              </w:rPr>
              <w:t>”（http://www.ccgp.gov.cn/）网站上的“政府采购严重违法失信行为记录名单”处查询结果截图（加盖公章）；</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w:t>
            </w:r>
          </w:p>
        </w:tc>
        <w:tc>
          <w:tcPr>
            <w:tcW w:w="5562" w:type="dxa"/>
            <w:tcBorders>
              <w:top w:val="single" w:color="auto" w:sz="4" w:space="0"/>
              <w:left w:val="single" w:color="auto" w:sz="4" w:space="0"/>
              <w:bottom w:val="single" w:color="auto" w:sz="4" w:space="0"/>
              <w:right w:val="single" w:color="auto" w:sz="4" w:space="0"/>
            </w:tcBorders>
            <w:vAlign w:val="center"/>
          </w:tcPr>
          <w:p>
            <w:pPr>
              <w:pStyle w:val="50"/>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color w:val="auto"/>
                <w:spacing w:val="-1"/>
                <w:sz w:val="24"/>
                <w:szCs w:val="24"/>
                <w:highlight w:val="none"/>
              </w:rPr>
            </w:pPr>
            <w:r>
              <w:rPr>
                <w:rFonts w:hint="eastAsia" w:ascii="仿宋" w:hAnsi="仿宋" w:eastAsia="仿宋" w:cs="仿宋"/>
                <w:bCs/>
                <w:color w:val="auto"/>
                <w:sz w:val="24"/>
                <w:szCs w:val="24"/>
              </w:rPr>
              <w:t>参加本项目政府采购活动前三年内（公司成立不足三年的供应商从成立之日起算），在经营活动中没有重大违法记录【提供承诺函加盖公章】</w:t>
            </w:r>
            <w:r>
              <w:rPr>
                <w:rFonts w:hint="eastAsia" w:ascii="仿宋" w:hAnsi="仿宋" w:eastAsia="仿宋" w:cs="仿宋"/>
                <w:color w:val="auto"/>
                <w:sz w:val="24"/>
                <w:szCs w:val="24"/>
                <w:highlight w:val="none"/>
                <w:lang w:val="en-US" w:eastAsia="zh-CN"/>
              </w:rPr>
              <w:t>；</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84"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7</w:t>
            </w:r>
          </w:p>
        </w:tc>
        <w:tc>
          <w:tcPr>
            <w:tcW w:w="5562" w:type="dxa"/>
            <w:tcBorders>
              <w:top w:val="single" w:color="auto" w:sz="4" w:space="0"/>
              <w:left w:val="single" w:color="auto" w:sz="4" w:space="0"/>
              <w:bottom w:val="single" w:color="auto" w:sz="4" w:space="0"/>
              <w:right w:val="single" w:color="auto" w:sz="4" w:space="0"/>
            </w:tcBorders>
            <w:vAlign w:val="center"/>
          </w:tcPr>
          <w:p>
            <w:pPr>
              <w:pStyle w:val="50"/>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本项目不接受联合体投标。</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bl>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outlineLvl w:val="1"/>
        <w:rPr>
          <w:rFonts w:hint="eastAsia" w:ascii="仿宋" w:hAnsi="仿宋" w:eastAsia="仿宋" w:cs="仿宋"/>
          <w:b/>
          <w:bCs/>
          <w:color w:val="auto"/>
          <w:sz w:val="24"/>
          <w:szCs w:val="24"/>
          <w:highlight w:val="none"/>
        </w:rPr>
      </w:pPr>
      <w:bookmarkStart w:id="260" w:name="_Toc6861"/>
      <w:r>
        <w:rPr>
          <w:rFonts w:hint="eastAsia" w:ascii="仿宋" w:hAnsi="仿宋" w:eastAsia="仿宋" w:cs="仿宋"/>
          <w:bCs w:val="0"/>
          <w:color w:val="auto"/>
          <w:kern w:val="2"/>
          <w:sz w:val="28"/>
          <w:szCs w:val="28"/>
          <w:lang w:val="en-US" w:eastAsia="zh-CN" w:bidi="ar-SA"/>
        </w:rPr>
        <w:t>七、符合性评审</w:t>
      </w:r>
      <w:bookmarkEnd w:id="260"/>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1、由评标委员会进行符合性评审，符合性评审内容：详见《符合性审查表》</w:t>
      </w:r>
    </w:p>
    <w:p>
      <w:pPr>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2、在审查意见汇总的过程中，如存在不同审查意见，则按照少数服从多数的原则做出结论。</w:t>
      </w:r>
    </w:p>
    <w:p>
      <w:pPr>
        <w:spacing w:line="360" w:lineRule="auto"/>
        <w:outlineLvl w:val="2"/>
        <w:rPr>
          <w:rFonts w:hint="eastAsia" w:ascii="仿宋" w:hAnsi="仿宋" w:eastAsia="仿宋" w:cs="仿宋"/>
          <w:b/>
          <w:color w:val="auto"/>
          <w:sz w:val="24"/>
          <w:szCs w:val="24"/>
          <w:highlight w:val="none"/>
        </w:rPr>
      </w:pPr>
      <w:bookmarkStart w:id="261" w:name="_Toc26181"/>
      <w:r>
        <w:rPr>
          <w:rFonts w:hint="eastAsia" w:ascii="仿宋" w:hAnsi="仿宋" w:eastAsia="仿宋" w:cs="仿宋"/>
          <w:b/>
          <w:color w:val="auto"/>
          <w:sz w:val="24"/>
          <w:szCs w:val="24"/>
          <w:highlight w:val="none"/>
        </w:rPr>
        <w:t>（二）符合性审查表</w:t>
      </w:r>
      <w:bookmarkEnd w:id="261"/>
    </w:p>
    <w:tbl>
      <w:tblPr>
        <w:tblStyle w:val="56"/>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52"/>
        <w:gridCol w:w="2973"/>
        <w:gridCol w:w="4135"/>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tblHeader/>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符合性审查内容</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审查标准</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244"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1</w:t>
            </w:r>
          </w:p>
          <w:p>
            <w:pPr>
              <w:snapToGrid w:val="0"/>
              <w:spacing w:line="240" w:lineRule="auto"/>
              <w:jc w:val="center"/>
              <w:rPr>
                <w:rFonts w:hint="eastAsia" w:ascii="仿宋" w:hAnsi="仿宋" w:eastAsia="仿宋" w:cs="仿宋"/>
                <w:bCs/>
                <w:color w:val="auto"/>
                <w:kern w:val="0"/>
                <w:sz w:val="24"/>
                <w:szCs w:val="24"/>
                <w:highlight w:val="none"/>
              </w:rPr>
            </w:pP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雷同性分析</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是否满足上传投标文件设备中的CPUID、硬盘序列号、物理网卡(MAC地址)不存在两项及以上相同的情形（由系统自动分析）</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039"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2</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color w:val="auto"/>
                <w:sz w:val="24"/>
                <w:szCs w:val="24"/>
              </w:rPr>
              <w:t>磋商响应文件的有效性</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color w:val="auto"/>
                <w:sz w:val="24"/>
                <w:szCs w:val="24"/>
              </w:rPr>
              <w:t>磋商响应文件的式样、签署是否符合磋商文件要求，且内容完整无缺漏</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32"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3</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color w:val="auto"/>
                <w:sz w:val="24"/>
                <w:szCs w:val="24"/>
              </w:rPr>
              <w:t>投标有效期</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是否满足磋商文件要求（60天）</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4</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投标报价</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投标报价是否满足磋商文件要求，不超出采购预算。</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合同履行期限</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是否符合磋商文件要求</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color w:val="auto"/>
                <w:sz w:val="24"/>
                <w:szCs w:val="24"/>
              </w:rPr>
              <w:t>其它</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无其他无效投标认定条件</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76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kern w:val="0"/>
                <w:sz w:val="24"/>
                <w:szCs w:val="24"/>
                <w:highlight w:val="none"/>
                <w:lang w:val="zh-CN"/>
              </w:rPr>
            </w:pPr>
            <w:r>
              <w:rPr>
                <w:rFonts w:hint="eastAsia" w:ascii="仿宋" w:hAnsi="仿宋" w:eastAsia="仿宋" w:cs="仿宋"/>
                <w:color w:val="auto"/>
                <w:sz w:val="24"/>
                <w:szCs w:val="24"/>
              </w:rPr>
              <w:t>结论</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jc w:val="center"/>
              <w:rPr>
                <w:rFonts w:hint="eastAsia" w:ascii="仿宋" w:hAnsi="仿宋" w:eastAsia="仿宋" w:cs="仿宋"/>
                <w:bCs/>
                <w:color w:val="auto"/>
                <w:sz w:val="24"/>
                <w:szCs w:val="24"/>
                <w:highlight w:val="none"/>
              </w:rPr>
            </w:pPr>
          </w:p>
        </w:tc>
      </w:tr>
    </w:tbl>
    <w:p>
      <w:pPr>
        <w:spacing w:line="276" w:lineRule="auto"/>
        <w:rPr>
          <w:rFonts w:hint="eastAsia" w:ascii="仿宋" w:hAnsi="仿宋" w:eastAsia="仿宋" w:cs="仿宋"/>
          <w:color w:val="auto"/>
          <w:sz w:val="24"/>
          <w:szCs w:val="24"/>
        </w:rPr>
      </w:pPr>
    </w:p>
    <w:p>
      <w:pPr>
        <w:spacing w:line="276" w:lineRule="auto"/>
        <w:rPr>
          <w:rFonts w:hint="eastAsia" w:ascii="仿宋" w:hAnsi="仿宋" w:eastAsia="仿宋" w:cs="仿宋"/>
          <w:color w:val="auto"/>
          <w:sz w:val="24"/>
          <w:szCs w:val="24"/>
        </w:rPr>
      </w:pPr>
      <w:r>
        <w:rPr>
          <w:rFonts w:hint="eastAsia" w:ascii="仿宋" w:hAnsi="仿宋" w:eastAsia="仿宋" w:cs="仿宋"/>
          <w:color w:val="auto"/>
          <w:sz w:val="24"/>
          <w:szCs w:val="24"/>
        </w:rPr>
        <w:t>1、在表中的各项只需填写“√/通过”或“×/不通过”；</w:t>
      </w:r>
    </w:p>
    <w:p>
      <w:pPr>
        <w:spacing w:line="276" w:lineRule="auto"/>
        <w:rPr>
          <w:rFonts w:hint="eastAsia" w:ascii="仿宋" w:hAnsi="仿宋" w:eastAsia="仿宋" w:cs="仿宋"/>
          <w:color w:val="auto"/>
          <w:sz w:val="24"/>
          <w:szCs w:val="24"/>
        </w:rPr>
      </w:pPr>
      <w:r>
        <w:rPr>
          <w:rFonts w:hint="eastAsia" w:ascii="仿宋" w:hAnsi="仿宋" w:eastAsia="仿宋" w:cs="仿宋"/>
          <w:color w:val="auto"/>
          <w:sz w:val="24"/>
          <w:szCs w:val="24"/>
        </w:rPr>
        <w:t>2、在结论中按“一项否决”的原则，只有全部是√/通过的，填写“合格”；只要其中有一项是×/不通过的，填写“不合格”；</w:t>
      </w:r>
    </w:p>
    <w:p>
      <w:pPr>
        <w:spacing w:line="276" w:lineRule="auto"/>
        <w:rPr>
          <w:rFonts w:hint="eastAsia" w:ascii="仿宋" w:hAnsi="仿宋" w:eastAsia="仿宋" w:cs="仿宋"/>
          <w:color w:val="auto"/>
          <w:sz w:val="24"/>
          <w:szCs w:val="24"/>
        </w:rPr>
      </w:pPr>
      <w:r>
        <w:rPr>
          <w:rFonts w:hint="eastAsia" w:ascii="仿宋" w:hAnsi="仿宋" w:eastAsia="仿宋" w:cs="仿宋"/>
          <w:color w:val="auto"/>
          <w:sz w:val="24"/>
          <w:szCs w:val="24"/>
        </w:rPr>
        <w:t>3、结论是合格的，才能进入下一轮；不合格的被淘汰。</w:t>
      </w: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spacing w:line="360" w:lineRule="auto"/>
        <w:rPr>
          <w:rFonts w:hint="eastAsia" w:ascii="仿宋" w:hAnsi="仿宋" w:eastAsia="仿宋" w:cs="仿宋"/>
          <w:b/>
          <w:color w:val="auto"/>
          <w:kern w:val="2"/>
          <w:sz w:val="28"/>
          <w:szCs w:val="28"/>
        </w:rPr>
      </w:pPr>
      <w:r>
        <w:rPr>
          <w:rFonts w:hint="eastAsia" w:ascii="仿宋" w:hAnsi="仿宋" w:eastAsia="仿宋" w:cs="仿宋"/>
          <w:b/>
          <w:color w:val="auto"/>
          <w:kern w:val="2"/>
          <w:sz w:val="28"/>
          <w:szCs w:val="28"/>
        </w:rPr>
        <w:t>七、评审细则</w:t>
      </w:r>
    </w:p>
    <w:tbl>
      <w:tblPr>
        <w:tblStyle w:val="56"/>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6627"/>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17" w:type="dxa"/>
            <w:vAlign w:val="center"/>
          </w:tcPr>
          <w:p>
            <w:pPr>
              <w:spacing w:line="400" w:lineRule="exact"/>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1276" w:type="dxa"/>
            <w:vAlign w:val="center"/>
          </w:tcPr>
          <w:p>
            <w:pPr>
              <w:spacing w:line="400" w:lineRule="exact"/>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评审内容</w:t>
            </w:r>
          </w:p>
        </w:tc>
        <w:tc>
          <w:tcPr>
            <w:tcW w:w="6627" w:type="dxa"/>
            <w:vAlign w:val="center"/>
          </w:tcPr>
          <w:p>
            <w:pPr>
              <w:spacing w:line="400" w:lineRule="exact"/>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评审标准</w:t>
            </w:r>
          </w:p>
        </w:tc>
        <w:tc>
          <w:tcPr>
            <w:tcW w:w="797" w:type="dxa"/>
            <w:vAlign w:val="center"/>
          </w:tcPr>
          <w:p>
            <w:pPr>
              <w:spacing w:line="400" w:lineRule="exact"/>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1276"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投标价格</w:t>
            </w:r>
          </w:p>
        </w:tc>
        <w:tc>
          <w:tcPr>
            <w:tcW w:w="6627" w:type="dxa"/>
            <w:vAlign w:val="center"/>
          </w:tcPr>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价格分采用低价优先法计算，即满足招标文件要求且投标价格最低的投标报价为评标基准价，其价格分为满分。其他投标人的价格分统一按下列公式计算：投标报价得分=（评标基准价/投标报价）×30%×100分；计算结果保留至小数点后两位。</w:t>
            </w:r>
          </w:p>
        </w:tc>
        <w:tc>
          <w:tcPr>
            <w:tcW w:w="79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81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1276"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技术响应</w:t>
            </w:r>
          </w:p>
        </w:tc>
        <w:tc>
          <w:tcPr>
            <w:tcW w:w="6627" w:type="dxa"/>
            <w:vAlign w:val="center"/>
          </w:tcPr>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投标人提供的产品技术参数与招标文件</w:t>
            </w:r>
            <w:r>
              <w:rPr>
                <w:rFonts w:hint="eastAsia" w:ascii="仿宋" w:hAnsi="仿宋" w:eastAsia="仿宋" w:cs="仿宋"/>
                <w:color w:val="000000" w:themeColor="text1"/>
                <w:sz w:val="24"/>
                <w:szCs w:val="24"/>
                <w:lang w:val="en-US" w:eastAsia="zh-CN"/>
                <w14:textFill>
                  <w14:solidFill>
                    <w14:schemeClr w14:val="tx1"/>
                  </w14:solidFill>
                </w14:textFill>
              </w:rPr>
              <w:t>采购</w:t>
            </w:r>
            <w:r>
              <w:rPr>
                <w:rFonts w:hint="eastAsia" w:ascii="仿宋" w:hAnsi="仿宋" w:eastAsia="仿宋" w:cs="仿宋"/>
                <w:color w:val="000000" w:themeColor="text1"/>
                <w:sz w:val="24"/>
                <w:szCs w:val="24"/>
                <w14:textFill>
                  <w14:solidFill>
                    <w14:schemeClr w14:val="tx1"/>
                  </w14:solidFill>
                </w14:textFill>
              </w:rPr>
              <w:t>需求书中的产品详细技术参数要求逐一进行比较：</w:t>
            </w:r>
          </w:p>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1.完全满足采购文件要求，得46分；</w:t>
            </w:r>
          </w:p>
          <w:p>
            <w:pPr>
              <w:adjustRightInd w:val="0"/>
              <w:snapToGrid w:val="0"/>
              <w:spacing w:line="400" w:lineRule="exact"/>
              <w:rPr>
                <w:rFonts w:ascii="仿宋" w:hAnsi="仿宋" w:eastAsia="仿宋" w:cs="仿宋"/>
                <w:color w:val="FF0000"/>
                <w:sz w:val="24"/>
              </w:rPr>
            </w:pPr>
            <w:r>
              <w:rPr>
                <w:rFonts w:hint="eastAsia" w:ascii="仿宋" w:hAnsi="仿宋" w:eastAsia="仿宋" w:cs="仿宋"/>
                <w:color w:val="000000" w:themeColor="text1"/>
                <w:sz w:val="24"/>
                <w:szCs w:val="24"/>
                <w14:textFill>
                  <w14:solidFill>
                    <w14:schemeClr w14:val="tx1"/>
                  </w14:solidFill>
                </w14:textFill>
              </w:rPr>
              <w:t>2.带★项的10项条款为重要条款，需提供生产厂家功能截图证明，</w:t>
            </w:r>
            <w:r>
              <w:rPr>
                <w:rFonts w:hint="eastAsia" w:ascii="仿宋" w:hAnsi="仿宋" w:eastAsia="仿宋" w:cs="仿宋"/>
                <w:color w:val="000000" w:themeColor="text1"/>
                <w:sz w:val="24"/>
                <w14:textFill>
                  <w14:solidFill>
                    <w14:schemeClr w14:val="tx1"/>
                  </w14:solidFill>
                </w14:textFill>
              </w:rPr>
              <w:t>不满足或负偏离的每项扣2分,共计20分；</w:t>
            </w:r>
          </w:p>
          <w:p>
            <w:pPr>
              <w:adjustRightInd w:val="0"/>
              <w:snapToGrid w:val="0"/>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3.其他</w:t>
            </w:r>
            <w:r>
              <w:rPr>
                <w:rFonts w:hint="eastAsia" w:ascii="仿宋" w:hAnsi="仿宋" w:eastAsia="仿宋" w:cs="仿宋"/>
                <w:sz w:val="24"/>
              </w:rPr>
              <w:t>条款</w:t>
            </w:r>
            <w:r>
              <w:rPr>
                <w:rFonts w:hint="eastAsia" w:ascii="仿宋" w:hAnsi="仿宋" w:eastAsia="仿宋" w:cs="仿宋"/>
                <w:color w:val="auto"/>
                <w:sz w:val="24"/>
                <w:highlight w:val="none"/>
              </w:rPr>
              <w:t>（不含现场演示项）</w:t>
            </w:r>
            <w:r>
              <w:rPr>
                <w:rFonts w:hint="eastAsia" w:ascii="仿宋" w:hAnsi="仿宋" w:eastAsia="仿宋" w:cs="仿宋"/>
                <w:sz w:val="24"/>
              </w:rPr>
              <w:t>约260</w:t>
            </w:r>
            <w:r>
              <w:rPr>
                <w:rFonts w:ascii="仿宋" w:hAnsi="仿宋" w:eastAsia="仿宋" w:cs="仿宋"/>
                <w:sz w:val="24"/>
              </w:rPr>
              <w:t>项</w:t>
            </w:r>
            <w:r>
              <w:rPr>
                <w:rFonts w:hint="eastAsia" w:ascii="仿宋" w:hAnsi="仿宋" w:eastAsia="仿宋" w:cs="仿宋"/>
                <w:sz w:val="24"/>
              </w:rPr>
              <w:t>为一般条款，不满足或负偏离每一小项扣0.1分，扣完为止。共计26</w:t>
            </w:r>
            <w:r>
              <w:rPr>
                <w:rFonts w:hint="eastAsia" w:ascii="仿宋" w:hAnsi="仿宋" w:eastAsia="仿宋" w:cs="仿宋"/>
                <w:color w:val="000000" w:themeColor="text1"/>
                <w:sz w:val="24"/>
                <w14:textFill>
                  <w14:solidFill>
                    <w14:schemeClr w14:val="tx1"/>
                  </w14:solidFill>
                </w14:textFill>
              </w:rPr>
              <w:t>分。</w:t>
            </w:r>
          </w:p>
          <w:p>
            <w:pPr>
              <w:adjustRightInd w:val="0"/>
              <w:snapToGrid w:val="0"/>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注.投标人如虚假响应，交货时提供的产品未能实现招标文件用户需求书中的产品功能，采购单位有权取消其中标资格。</w:t>
            </w:r>
          </w:p>
        </w:tc>
        <w:tc>
          <w:tcPr>
            <w:tcW w:w="79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1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1276"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需求功能演示</w:t>
            </w:r>
          </w:p>
        </w:tc>
        <w:tc>
          <w:tcPr>
            <w:tcW w:w="6627" w:type="dxa"/>
            <w:vAlign w:val="center"/>
          </w:tcPr>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投标人需要对</w:t>
            </w:r>
            <w:r>
              <w:rPr>
                <w:rFonts w:hint="eastAsia" w:ascii="仿宋" w:hAnsi="仿宋" w:eastAsia="仿宋" w:cs="仿宋"/>
                <w:b/>
                <w:bCs/>
                <w:color w:val="000000" w:themeColor="text1"/>
                <w:sz w:val="24"/>
                <w:szCs w:val="24"/>
                <w14:textFill>
                  <w14:solidFill>
                    <w14:schemeClr w14:val="tx1"/>
                  </w14:solidFill>
                </w14:textFill>
              </w:rPr>
              <w:t>财会职业能力养成平台软件</w:t>
            </w:r>
            <w:r>
              <w:rPr>
                <w:rFonts w:hint="eastAsia" w:ascii="仿宋" w:hAnsi="仿宋" w:eastAsia="仿宋" w:cs="仿宋"/>
                <w:color w:val="000000" w:themeColor="text1"/>
                <w:sz w:val="24"/>
                <w:szCs w:val="24"/>
                <w14:textFill>
                  <w14:solidFill>
                    <w14:schemeClr w14:val="tx1"/>
                  </w14:solidFill>
                </w14:textFill>
              </w:rPr>
              <w:t>部分功能进行现场演示，共计5个单项功能演示，每满足一项得1分，不满足不得分，最高5分。</w:t>
            </w:r>
          </w:p>
          <w:p>
            <w:pPr>
              <w:adjustRightInd w:val="0"/>
              <w:snapToGrid w:val="0"/>
              <w:spacing w:line="400" w:lineRule="exact"/>
              <w:rPr>
                <w:rFonts w:ascii="仿宋" w:hAnsi="仿宋" w:eastAsia="仿宋" w:cs="仿宋"/>
                <w:b/>
                <w:bCs/>
                <w:color w:val="auto"/>
                <w:sz w:val="24"/>
                <w:szCs w:val="24"/>
              </w:rPr>
            </w:pPr>
            <w:r>
              <w:rPr>
                <w:rFonts w:hint="eastAsia" w:ascii="仿宋" w:hAnsi="仿宋" w:eastAsia="仿宋" w:cs="仿宋"/>
                <w:color w:val="000000" w:themeColor="text1"/>
                <w:sz w:val="24"/>
                <w:szCs w:val="24"/>
                <w14:textFill>
                  <w14:solidFill>
                    <w14:schemeClr w14:val="tx1"/>
                  </w14:solidFill>
                </w14:textFill>
              </w:rPr>
              <w:t>6. 业务协同系统相当于企业业务办理的OA，内置日历功能，完成当天工作事项后，进入下一天的工作；业务查看：点击代办业务系统，可查看本月业务目录，及查看业务详情；业务设计分岗流程、体现内控；体现团队协作、岗位职责和业务流程；逼真企业实际业务、类型丰富，包括流程审批业务、同步办理业务、外来票据核算业务、内部自制单据核算业务；具有盖章、填制等操作功能；</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须投标单位派代表到现场进行</w:t>
            </w:r>
            <w:r>
              <w:rPr>
                <w:rFonts w:hint="eastAsia" w:ascii="仿宋" w:hAnsi="仿宋" w:eastAsia="仿宋" w:cs="仿宋"/>
                <w:b/>
                <w:bCs/>
                <w:color w:val="auto"/>
                <w:sz w:val="24"/>
                <w:szCs w:val="24"/>
              </w:rPr>
              <w:t>现场演示）</w:t>
            </w:r>
          </w:p>
          <w:p>
            <w:pPr>
              <w:adjustRightInd w:val="0"/>
              <w:snapToGrid w:val="0"/>
              <w:spacing w:line="400" w:lineRule="exact"/>
              <w:rPr>
                <w:rFonts w:ascii="仿宋" w:hAnsi="仿宋" w:eastAsia="仿宋" w:cs="仿宋"/>
                <w:b/>
                <w:bCs/>
                <w:color w:val="auto"/>
                <w:sz w:val="24"/>
                <w:szCs w:val="24"/>
              </w:rPr>
            </w:pPr>
            <w:r>
              <w:rPr>
                <w:rFonts w:hint="eastAsia" w:ascii="仿宋" w:hAnsi="仿宋" w:eastAsia="仿宋" w:cs="仿宋"/>
                <w:color w:val="auto"/>
                <w:sz w:val="24"/>
                <w:szCs w:val="24"/>
              </w:rPr>
              <w:t>8. 网上银行系统仿真现实企业网上银行用户端，具有银行转账付款申请、付款审批、余额查询、明细查询、回单查询等功能，培养学生基础技能操作的同时，也培养了学生每日查询余额，账实核对，为企业经营决策提供信息支持的意识和习惯；系统将付款业务中的制单操作和审批操作权限分配给两个岗位人员，体现了内部控制流程和资金安全管理制度；</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须投标单位派代表到现场进行</w:t>
            </w:r>
            <w:r>
              <w:rPr>
                <w:rFonts w:hint="eastAsia" w:ascii="仿宋" w:hAnsi="仿宋" w:eastAsia="仿宋" w:cs="仿宋"/>
                <w:b/>
                <w:bCs/>
                <w:color w:val="auto"/>
                <w:sz w:val="24"/>
                <w:szCs w:val="24"/>
              </w:rPr>
              <w:t>现场演示）</w:t>
            </w:r>
          </w:p>
          <w:p>
            <w:pPr>
              <w:adjustRightInd w:val="0"/>
              <w:snapToGrid w:val="0"/>
              <w:spacing w:line="400" w:lineRule="exact"/>
              <w:rPr>
                <w:rFonts w:ascii="仿宋" w:hAnsi="仿宋" w:eastAsia="仿宋" w:cs="仿宋"/>
                <w:color w:val="auto"/>
                <w:sz w:val="24"/>
                <w:szCs w:val="24"/>
              </w:rPr>
            </w:pPr>
            <w:r>
              <w:rPr>
                <w:rFonts w:hint="eastAsia" w:ascii="仿宋" w:hAnsi="仿宋" w:eastAsia="仿宋" w:cs="仿宋"/>
                <w:color w:val="auto"/>
                <w:sz w:val="24"/>
                <w:szCs w:val="24"/>
              </w:rPr>
              <w:t>9. 保险柜系统仿真现实中的实物保险柜，包括密码开启、余额查询、存入现金、取出现金的基础技能操作训练；平日存、取现金的记录内置在评价系统中，可以帮助学生核查现金日记账登记的及时性与准确性，养成每日盘点现金、账实核对、日清月结的良好习惯，加强现金安全管理意识；</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须投标单位派代表到现场进行</w:t>
            </w:r>
            <w:r>
              <w:rPr>
                <w:rFonts w:hint="eastAsia" w:ascii="仿宋" w:hAnsi="仿宋" w:eastAsia="仿宋" w:cs="仿宋"/>
                <w:b/>
                <w:bCs/>
                <w:color w:val="auto"/>
                <w:sz w:val="24"/>
                <w:szCs w:val="24"/>
              </w:rPr>
              <w:t>现场演示）</w:t>
            </w:r>
          </w:p>
          <w:p>
            <w:pPr>
              <w:adjustRightInd w:val="0"/>
              <w:snapToGrid w:val="0"/>
              <w:spacing w:line="400" w:lineRule="exact"/>
              <w:rPr>
                <w:rFonts w:ascii="仿宋" w:hAnsi="仿宋" w:eastAsia="仿宋" w:cs="仿宋"/>
                <w:b/>
                <w:bCs/>
                <w:color w:val="auto"/>
                <w:sz w:val="24"/>
                <w:szCs w:val="24"/>
              </w:rPr>
            </w:pPr>
            <w:r>
              <w:rPr>
                <w:rFonts w:hint="eastAsia" w:ascii="仿宋" w:hAnsi="仿宋" w:eastAsia="仿宋" w:cs="仿宋"/>
                <w:color w:val="auto"/>
                <w:sz w:val="24"/>
                <w:szCs w:val="24"/>
              </w:rPr>
              <w:t>31.能生成月报表，按柱状图显示13个月收入、支出、利 润、账面余额；可同时选取5个收支科目进行13个月对比，以曲线图方式展示数据的变化趋势及相互作用关系；能将月报表导出成Excel文件格式；</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须投标单位派代表到现场进行</w:t>
            </w:r>
            <w:r>
              <w:rPr>
                <w:rFonts w:hint="eastAsia" w:ascii="仿宋" w:hAnsi="仿宋" w:eastAsia="仿宋" w:cs="仿宋"/>
                <w:b/>
                <w:bCs/>
                <w:color w:val="auto"/>
                <w:sz w:val="24"/>
                <w:szCs w:val="24"/>
              </w:rPr>
              <w:t>现场演示）</w:t>
            </w:r>
          </w:p>
          <w:p>
            <w:pPr>
              <w:adjustRightInd w:val="0"/>
              <w:snapToGrid w:val="0"/>
              <w:spacing w:line="400" w:lineRule="exact"/>
              <w:rPr>
                <w:rFonts w:ascii="仿宋" w:hAnsi="仿宋" w:eastAsia="仿宋" w:cs="仿宋"/>
                <w:b/>
                <w:bCs/>
                <w:color w:val="auto"/>
                <w:sz w:val="24"/>
                <w:szCs w:val="24"/>
              </w:rPr>
            </w:pPr>
            <w:r>
              <w:rPr>
                <w:rFonts w:hint="eastAsia" w:ascii="仿宋" w:hAnsi="仿宋" w:eastAsia="仿宋" w:cs="仿宋"/>
                <w:color w:val="auto"/>
                <w:sz w:val="24"/>
                <w:szCs w:val="24"/>
              </w:rPr>
              <w:t>36. 工资管理： 支持复核工资表，复核时可选择已有工资表进行对比，高亮显示同一员工不同之处，便于领导发现本月工资表与往月不一样之处；支持工资表记账，可将选定的员工工资记录合并为一笔产生一笔日记账，也可批量逐笔自动生成相同数量的日记账记录，支持从已有日记账中选取记录关联到工资表；</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须投标单位派代表到现场进行</w:t>
            </w:r>
            <w:r>
              <w:rPr>
                <w:rFonts w:hint="eastAsia" w:ascii="仿宋" w:hAnsi="仿宋" w:eastAsia="仿宋" w:cs="仿宋"/>
                <w:b/>
                <w:bCs/>
                <w:color w:val="auto"/>
                <w:sz w:val="24"/>
                <w:szCs w:val="24"/>
              </w:rPr>
              <w:t>现场演示）</w:t>
            </w:r>
          </w:p>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auto"/>
                <w:sz w:val="24"/>
                <w:szCs w:val="24"/>
              </w:rPr>
              <w:t>注：1．投标人只需演示投标产品具有以上功能，无须进行数据演示，演示时间3-5分钟。投标人需自行准备一台演示用电脑及自备无线网卡。只接受真实系统演示，采用PPT</w:t>
            </w:r>
            <w:r>
              <w:rPr>
                <w:rFonts w:hint="eastAsia" w:ascii="仿宋" w:hAnsi="仿宋" w:eastAsia="仿宋" w:cs="仿宋"/>
                <w:b/>
                <w:bCs/>
                <w:color w:val="000000" w:themeColor="text1"/>
                <w:sz w:val="24"/>
                <w:szCs w:val="24"/>
                <w14:textFill>
                  <w14:solidFill>
                    <w14:schemeClr w14:val="tx1"/>
                  </w14:solidFill>
                </w14:textFill>
              </w:rPr>
              <w:t>等演示不得分。</w:t>
            </w:r>
          </w:p>
        </w:tc>
        <w:tc>
          <w:tcPr>
            <w:tcW w:w="79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81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1276" w:type="dxa"/>
            <w:vAlign w:val="center"/>
          </w:tcPr>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投标人业绩</w:t>
            </w:r>
          </w:p>
        </w:tc>
        <w:tc>
          <w:tcPr>
            <w:tcW w:w="6627" w:type="dxa"/>
            <w:vAlign w:val="center"/>
          </w:tcPr>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投标人自</w:t>
            </w:r>
            <w:r>
              <w:rPr>
                <w:rFonts w:hint="eastAsia" w:ascii="仿宋" w:hAnsi="仿宋" w:eastAsia="仿宋" w:cs="仿宋"/>
                <w:color w:val="auto"/>
                <w:sz w:val="24"/>
                <w:szCs w:val="24"/>
              </w:rPr>
              <w:t>2020年1月1日</w:t>
            </w:r>
            <w:r>
              <w:rPr>
                <w:rFonts w:hint="eastAsia" w:ascii="仿宋" w:hAnsi="仿宋" w:eastAsia="仿宋" w:cs="仿宋"/>
                <w:color w:val="000000" w:themeColor="text1"/>
                <w:sz w:val="24"/>
                <w:szCs w:val="24"/>
                <w14:textFill>
                  <w14:solidFill>
                    <w14:schemeClr w14:val="tx1"/>
                  </w14:solidFill>
                </w14:textFill>
              </w:rPr>
              <w:t>至今签订过类似软件应用的案例证明：一份案例证明得1分，满分3分。提供证明材料合同及成交通知书复印件加盖投标商公章为准。</w:t>
            </w:r>
          </w:p>
        </w:tc>
        <w:tc>
          <w:tcPr>
            <w:tcW w:w="79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1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276"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项目实施方案</w:t>
            </w:r>
          </w:p>
        </w:tc>
        <w:tc>
          <w:tcPr>
            <w:tcW w:w="6627" w:type="dxa"/>
            <w:vAlign w:val="center"/>
          </w:tcPr>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根据投标人提交的项目实施方案进行综合评分，内容包含但不仅限于：</w:t>
            </w:r>
          </w:p>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实施计划；（2）进度安排；（3）实施人员职责分工；（4）质量控制；（5）验收方案；（6）培训计划。投标人提交完整的项目实施方案得6分，每缺少一项内容扣1分，扣完为止；项目实施方案内容存在一处缺陷（缺陷是指方案内容不符合项目实际要求、描述不详细、缺乏针对性、缺乏可操作性、不合理、相关标准引用错误、前后相互矛盾、存在无法实现预期目标的风险等）扣1分，扣完为止。</w:t>
            </w:r>
          </w:p>
        </w:tc>
        <w:tc>
          <w:tcPr>
            <w:tcW w:w="79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81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1276"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售后服务方案</w:t>
            </w:r>
          </w:p>
        </w:tc>
        <w:tc>
          <w:tcPr>
            <w:tcW w:w="6627" w:type="dxa"/>
            <w:vAlign w:val="center"/>
          </w:tcPr>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根据投标人提交的售后服务方案进行综合评分，内容包含但不仅限于：（1）机构设置及售后服务团队（含售后服务机构地址、电话、联系人等信息）；（2）售后服务流程；（3）售后保障措施；（4）应急维修响应时间。投标人提交完整的售后服务方案得8分，每缺少一项内容扣2分，扣完为止；售后服务方案内容存在一处缺陷（缺陷是指方案内容不符合项目实际要求、描述不详细、缺乏针对性、缺乏可操作性、不合理、相关标准引用错误、前后相互矛盾、存在无法实现预期目标的风险等）扣1分，扣完为止。2.为确保实训平台后续教学的有效性，投标单位须承诺若中标，须在项目所在地有合法的售后服务机构并提供项目所配备的人员名单。注：提供承诺函及配备的人员名单2分，不提供不得分。</w:t>
            </w:r>
          </w:p>
          <w:p>
            <w:pPr>
              <w:adjustRightInd w:val="0"/>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auto"/>
                <w:sz w:val="24"/>
                <w:szCs w:val="24"/>
              </w:rPr>
              <w:t>（提供服务机构营业执照、售后人员证书证件</w:t>
            </w:r>
            <w:r>
              <w:rPr>
                <w:rFonts w:hint="eastAsia" w:ascii="仿宋" w:hAnsi="仿宋" w:eastAsia="仿宋" w:cs="仿宋"/>
                <w:b/>
                <w:bCs/>
                <w:color w:val="auto"/>
                <w:sz w:val="24"/>
                <w:szCs w:val="24"/>
                <w:lang w:val="en-US" w:eastAsia="zh-CN"/>
              </w:rPr>
              <w:t>、2023年1月至今任意一个月的</w:t>
            </w:r>
            <w:r>
              <w:rPr>
                <w:rFonts w:hint="eastAsia" w:ascii="仿宋" w:hAnsi="仿宋" w:eastAsia="仿宋" w:cs="仿宋"/>
                <w:b/>
                <w:bCs/>
                <w:color w:val="auto"/>
                <w:sz w:val="24"/>
                <w:szCs w:val="24"/>
              </w:rPr>
              <w:t>社保</w:t>
            </w:r>
            <w:r>
              <w:rPr>
                <w:rFonts w:hint="eastAsia" w:ascii="仿宋" w:hAnsi="仿宋" w:eastAsia="仿宋" w:cs="仿宋"/>
                <w:b/>
                <w:bCs/>
                <w:color w:val="auto"/>
                <w:sz w:val="24"/>
                <w:szCs w:val="24"/>
                <w:lang w:val="en-US" w:eastAsia="zh-CN"/>
              </w:rPr>
              <w:t>缴纳</w:t>
            </w:r>
            <w:r>
              <w:rPr>
                <w:rFonts w:hint="eastAsia" w:ascii="仿宋" w:hAnsi="仿宋" w:eastAsia="仿宋" w:cs="仿宋"/>
                <w:b/>
                <w:bCs/>
                <w:color w:val="auto"/>
                <w:sz w:val="24"/>
                <w:szCs w:val="24"/>
              </w:rPr>
              <w:t>证明，</w:t>
            </w:r>
            <w:r>
              <w:rPr>
                <w:rFonts w:hint="eastAsia" w:ascii="仿宋" w:hAnsi="仿宋" w:eastAsia="仿宋" w:cs="仿宋"/>
                <w:b/>
                <w:bCs/>
                <w:color w:val="auto"/>
                <w:sz w:val="24"/>
                <w:szCs w:val="24"/>
                <w:lang w:val="en-US" w:eastAsia="zh-CN"/>
              </w:rPr>
              <w:t>复印件加盖公章；</w:t>
            </w:r>
            <w:r>
              <w:rPr>
                <w:rFonts w:hint="eastAsia" w:ascii="仿宋" w:hAnsi="仿宋" w:eastAsia="仿宋" w:cs="仿宋"/>
                <w:b/>
                <w:bCs/>
                <w:color w:val="auto"/>
                <w:sz w:val="24"/>
                <w:szCs w:val="24"/>
              </w:rPr>
              <w:t>如不提供当作不响应</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w:t>
            </w:r>
          </w:p>
        </w:tc>
        <w:tc>
          <w:tcPr>
            <w:tcW w:w="797" w:type="dxa"/>
            <w:vAlign w:val="center"/>
          </w:tcPr>
          <w:p>
            <w:pPr>
              <w:adjustRightInd w:val="0"/>
              <w:snapToGrid w:val="0"/>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r>
    </w:tbl>
    <w:p>
      <w:pPr>
        <w:rPr>
          <w:rFonts w:hint="eastAsia" w:ascii="仿宋" w:hAnsi="仿宋" w:eastAsia="仿宋" w:cs="仿宋"/>
          <w:color w:val="auto"/>
          <w:sz w:val="28"/>
          <w:szCs w:val="28"/>
        </w:rPr>
      </w:pPr>
    </w:p>
    <w:p>
      <w:pPr>
        <w:rPr>
          <w:rFonts w:hint="eastAsia" w:ascii="仿宋" w:hAnsi="仿宋" w:eastAsia="仿宋" w:cs="仿宋"/>
          <w:color w:val="auto"/>
          <w:sz w:val="24"/>
          <w:szCs w:val="24"/>
        </w:rPr>
      </w:pPr>
    </w:p>
    <w:p>
      <w:pPr>
        <w:pStyle w:val="2"/>
        <w:pageBreakBefore/>
        <w:spacing w:line="360" w:lineRule="auto"/>
        <w:rPr>
          <w:rFonts w:hint="eastAsia" w:ascii="仿宋" w:hAnsi="仿宋" w:eastAsia="仿宋" w:cs="仿宋"/>
          <w:color w:val="auto"/>
          <w:sz w:val="24"/>
          <w:szCs w:val="24"/>
        </w:rPr>
      </w:pPr>
      <w:bookmarkStart w:id="262" w:name="_Toc495679414"/>
      <w:bookmarkStart w:id="263" w:name="_Toc16720"/>
      <w:bookmarkStart w:id="264" w:name="_Toc511832124"/>
      <w:r>
        <w:rPr>
          <w:rFonts w:hint="eastAsia" w:ascii="仿宋" w:hAnsi="仿宋" w:eastAsia="仿宋" w:cs="仿宋"/>
          <w:color w:val="auto"/>
          <w:sz w:val="44"/>
          <w:szCs w:val="44"/>
        </w:rPr>
        <w:t>第五章  合同</w:t>
      </w:r>
      <w:bookmarkEnd w:id="262"/>
      <w:r>
        <w:rPr>
          <w:rFonts w:hint="eastAsia" w:ascii="仿宋" w:hAnsi="仿宋" w:eastAsia="仿宋" w:cs="仿宋"/>
          <w:color w:val="auto"/>
          <w:sz w:val="44"/>
          <w:szCs w:val="44"/>
        </w:rPr>
        <w:t>文本</w:t>
      </w:r>
      <w:bookmarkEnd w:id="263"/>
      <w:bookmarkEnd w:id="264"/>
    </w:p>
    <w:p>
      <w:pPr>
        <w:jc w:val="center"/>
        <w:rPr>
          <w:rFonts w:hint="eastAsia" w:ascii="仿宋" w:hAnsi="仿宋" w:eastAsia="仿宋" w:cs="仿宋"/>
          <w:b/>
          <w:color w:val="auto"/>
          <w:sz w:val="24"/>
        </w:rPr>
      </w:pPr>
      <w:r>
        <w:rPr>
          <w:rFonts w:hint="eastAsia" w:ascii="仿宋" w:hAnsi="仿宋" w:eastAsia="仿宋" w:cs="仿宋"/>
          <w:b/>
          <w:color w:val="auto"/>
          <w:sz w:val="24"/>
        </w:rPr>
        <w:t>（以下合同模板仅供参考，具体内容由双方协商为准）</w:t>
      </w:r>
    </w:p>
    <w:p>
      <w:pPr>
        <w:widowControl/>
        <w:jc w:val="center"/>
        <w:rPr>
          <w:rFonts w:hint="eastAsia" w:ascii="仿宋" w:hAnsi="仿宋" w:eastAsia="仿宋" w:cs="仿宋"/>
          <w:b/>
          <w:bCs/>
          <w:color w:val="auto"/>
          <w:sz w:val="32"/>
          <w:szCs w:val="32"/>
        </w:rPr>
      </w:pPr>
      <w:bookmarkStart w:id="265" w:name="_Toc494316571"/>
      <w:bookmarkEnd w:id="265"/>
    </w:p>
    <w:p>
      <w:pPr>
        <w:jc w:val="center"/>
        <w:rPr>
          <w:rFonts w:hint="eastAsia" w:ascii="仿宋" w:hAnsi="仿宋" w:eastAsia="仿宋" w:cs="仿宋"/>
          <w:sz w:val="24"/>
          <w:szCs w:val="24"/>
          <w:u w:val="single"/>
        </w:rPr>
      </w:pPr>
      <w:r>
        <w:rPr>
          <w:rFonts w:hint="eastAsia" w:ascii="仿宋" w:hAnsi="仿宋" w:eastAsia="仿宋" w:cs="仿宋"/>
          <w:b/>
          <w:sz w:val="28"/>
          <w:szCs w:val="28"/>
        </w:rPr>
        <w:t>合同编号：</w:t>
      </w:r>
    </w:p>
    <w:p>
      <w:pPr>
        <w:spacing w:line="360" w:lineRule="auto"/>
        <w:jc w:val="left"/>
        <w:rPr>
          <w:rFonts w:hint="eastAsia" w:ascii="仿宋" w:hAnsi="仿宋" w:eastAsia="仿宋" w:cs="仿宋"/>
          <w:b/>
          <w:sz w:val="24"/>
          <w:szCs w:val="24"/>
        </w:rPr>
      </w:pPr>
    </w:p>
    <w:p>
      <w:pPr>
        <w:spacing w:line="360" w:lineRule="auto"/>
        <w:ind w:right="40"/>
        <w:jc w:val="left"/>
        <w:rPr>
          <w:rFonts w:hint="eastAsia" w:ascii="仿宋" w:hAnsi="仿宋" w:eastAsia="仿宋" w:cs="仿宋"/>
          <w:sz w:val="24"/>
          <w:szCs w:val="24"/>
        </w:rPr>
      </w:pPr>
    </w:p>
    <w:p>
      <w:pPr>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海南省政府采购项目</w:t>
      </w:r>
    </w:p>
    <w:p>
      <w:pPr>
        <w:spacing w:line="360" w:lineRule="auto"/>
        <w:rPr>
          <w:rFonts w:hint="eastAsia" w:ascii="仿宋" w:hAnsi="仿宋" w:eastAsia="仿宋" w:cs="仿宋"/>
          <w:b/>
          <w:sz w:val="36"/>
          <w:szCs w:val="36"/>
        </w:rPr>
      </w:pPr>
    </w:p>
    <w:p>
      <w:pPr>
        <w:spacing w:line="360" w:lineRule="auto"/>
        <w:jc w:val="center"/>
        <w:rPr>
          <w:rFonts w:hint="eastAsia" w:ascii="仿宋" w:hAnsi="仿宋" w:eastAsia="仿宋" w:cs="仿宋"/>
          <w:b/>
          <w:sz w:val="24"/>
          <w:szCs w:val="24"/>
        </w:rPr>
      </w:pPr>
      <w:r>
        <w:rPr>
          <w:rFonts w:hint="eastAsia" w:ascii="仿宋" w:hAnsi="仿宋" w:eastAsia="仿宋" w:cs="仿宋"/>
          <w:b/>
          <w:sz w:val="36"/>
          <w:szCs w:val="36"/>
        </w:rPr>
        <w:t>合   同   书</w:t>
      </w:r>
    </w:p>
    <w:p>
      <w:pPr>
        <w:spacing w:line="360" w:lineRule="auto"/>
        <w:jc w:val="center"/>
        <w:rPr>
          <w:rFonts w:hint="eastAsia" w:ascii="仿宋" w:hAnsi="仿宋" w:eastAsia="仿宋" w:cs="仿宋"/>
          <w:b/>
          <w:sz w:val="24"/>
          <w:szCs w:val="24"/>
        </w:rPr>
      </w:pPr>
    </w:p>
    <w:p>
      <w:pPr>
        <w:spacing w:line="360" w:lineRule="auto"/>
        <w:rPr>
          <w:rFonts w:hint="eastAsia" w:ascii="仿宋" w:hAnsi="仿宋" w:eastAsia="仿宋" w:cs="仿宋"/>
          <w:b/>
          <w:sz w:val="24"/>
          <w:szCs w:val="24"/>
        </w:rPr>
      </w:pPr>
    </w:p>
    <w:p>
      <w:pPr>
        <w:tabs>
          <w:tab w:val="left" w:pos="1260"/>
          <w:tab w:val="left" w:pos="1620"/>
          <w:tab w:val="left" w:pos="6840"/>
          <w:tab w:val="left" w:pos="7020"/>
          <w:tab w:val="left" w:pos="7200"/>
        </w:tabs>
        <w:adjustRightInd w:val="0"/>
        <w:spacing w:line="360" w:lineRule="auto"/>
        <w:ind w:right="-547" w:rightChars="-161" w:firstLine="1446" w:firstLineChars="600"/>
        <w:rPr>
          <w:rFonts w:hint="eastAsia" w:ascii="仿宋" w:hAnsi="仿宋" w:eastAsia="仿宋" w:cs="仿宋"/>
          <w:b/>
          <w:sz w:val="24"/>
          <w:szCs w:val="24"/>
        </w:rPr>
      </w:pPr>
    </w:p>
    <w:p>
      <w:pPr>
        <w:tabs>
          <w:tab w:val="left" w:pos="1260"/>
          <w:tab w:val="left" w:pos="1620"/>
          <w:tab w:val="left" w:pos="6840"/>
          <w:tab w:val="left" w:pos="7020"/>
          <w:tab w:val="left" w:pos="7200"/>
        </w:tabs>
        <w:adjustRightInd w:val="0"/>
        <w:spacing w:line="360" w:lineRule="auto"/>
        <w:ind w:right="-547" w:rightChars="-161" w:firstLine="1446" w:firstLineChars="600"/>
        <w:rPr>
          <w:rFonts w:hint="eastAsia" w:ascii="仿宋" w:hAnsi="仿宋" w:eastAsia="仿宋" w:cs="仿宋"/>
          <w:b/>
          <w:sz w:val="24"/>
          <w:szCs w:val="24"/>
        </w:rPr>
      </w:pPr>
    </w:p>
    <w:p>
      <w:pPr>
        <w:rPr>
          <w:rFonts w:hint="eastAsia"/>
        </w:rPr>
      </w:pPr>
    </w:p>
    <w:p>
      <w:pPr>
        <w:tabs>
          <w:tab w:val="left" w:pos="1260"/>
          <w:tab w:val="left" w:pos="1620"/>
          <w:tab w:val="left" w:pos="6840"/>
          <w:tab w:val="left" w:pos="7020"/>
          <w:tab w:val="left" w:pos="7200"/>
        </w:tabs>
        <w:adjustRightInd w:val="0"/>
        <w:spacing w:line="360" w:lineRule="auto"/>
        <w:ind w:right="-547" w:rightChars="-161" w:firstLine="0" w:firstLineChars="0"/>
        <w:rPr>
          <w:rFonts w:hint="eastAsia" w:ascii="仿宋" w:hAnsi="仿宋" w:eastAsia="仿宋" w:cs="仿宋"/>
          <w:b/>
          <w:sz w:val="28"/>
          <w:szCs w:val="28"/>
        </w:rPr>
      </w:pPr>
      <w:r>
        <w:rPr>
          <w:rFonts w:hint="eastAsia" w:cs="仿宋_GB2312" w:asciiTheme="minorEastAsia" w:hAnsiTheme="minorEastAsia"/>
          <w:highlight w:val="none"/>
        </w:rPr>
        <w:t>“采购代理机构声明：本合同标的经采购代理机构依法定程序采购，最终有效合同以双方签字盖章生效版本为准。”</w:t>
      </w:r>
    </w:p>
    <w:p>
      <w:pPr>
        <w:pStyle w:val="3"/>
        <w:rPr>
          <w:rFonts w:hint="eastAsia" w:ascii="仿宋" w:hAnsi="仿宋" w:eastAsia="仿宋" w:cs="仿宋"/>
          <w:sz w:val="24"/>
          <w:szCs w:val="24"/>
        </w:rPr>
      </w:pPr>
    </w:p>
    <w:p>
      <w:pPr>
        <w:spacing w:line="360" w:lineRule="auto"/>
        <w:ind w:firstLine="964" w:firstLineChars="400"/>
        <w:rPr>
          <w:rFonts w:hint="eastAsia" w:ascii="仿宋" w:hAnsi="仿宋" w:eastAsia="仿宋" w:cs="仿宋"/>
          <w:b/>
          <w:sz w:val="24"/>
          <w:szCs w:val="24"/>
        </w:rPr>
      </w:pPr>
    </w:p>
    <w:p>
      <w:pPr>
        <w:spacing w:line="480" w:lineRule="auto"/>
        <w:ind w:firstLine="482" w:firstLineChars="200"/>
        <w:rPr>
          <w:rFonts w:hint="eastAsia" w:ascii="仿宋" w:hAnsi="仿宋" w:eastAsia="仿宋" w:cs="仿宋"/>
          <w:color w:val="auto"/>
          <w:sz w:val="24"/>
          <w:szCs w:val="24"/>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b/>
          <w:sz w:val="24"/>
          <w:szCs w:val="24"/>
        </w:rPr>
        <w:br w:type="page"/>
      </w:r>
    </w:p>
    <w:p>
      <w:pPr>
        <w:pStyle w:val="2"/>
        <w:pageBreakBefore/>
        <w:spacing w:before="0" w:after="0" w:line="360" w:lineRule="auto"/>
        <w:ind w:firstLine="1767" w:firstLineChars="400"/>
        <w:jc w:val="both"/>
        <w:rPr>
          <w:rFonts w:hint="eastAsia" w:ascii="仿宋" w:hAnsi="仿宋" w:eastAsia="仿宋" w:cs="仿宋"/>
          <w:color w:val="auto"/>
          <w:sz w:val="44"/>
          <w:szCs w:val="44"/>
        </w:rPr>
      </w:pPr>
      <w:bookmarkStart w:id="266" w:name="_Toc22551"/>
      <w:bookmarkStart w:id="267" w:name="_Toc511832125"/>
      <w:bookmarkStart w:id="268" w:name="_Toc495679415"/>
      <w:r>
        <w:rPr>
          <w:rFonts w:hint="eastAsia" w:ascii="仿宋" w:hAnsi="仿宋" w:eastAsia="仿宋" w:cs="仿宋"/>
          <w:color w:val="auto"/>
          <w:sz w:val="44"/>
          <w:szCs w:val="44"/>
        </w:rPr>
        <w:t>第六章磋商响应文件格式</w:t>
      </w:r>
      <w:bookmarkEnd w:id="266"/>
      <w:bookmarkEnd w:id="267"/>
      <w:bookmarkEnd w:id="268"/>
    </w:p>
    <w:p>
      <w:pPr>
        <w:keepNext/>
        <w:keepLines/>
        <w:spacing w:before="260" w:after="260" w:line="413" w:lineRule="auto"/>
        <w:rPr>
          <w:rFonts w:hint="eastAsia" w:ascii="仿宋" w:hAnsi="仿宋" w:eastAsia="仿宋" w:cs="仿宋"/>
          <w:b/>
          <w:color w:val="auto"/>
          <w:sz w:val="24"/>
        </w:rPr>
      </w:pPr>
      <w:bookmarkStart w:id="269" w:name="_Toc520356217"/>
      <w:bookmarkStart w:id="270" w:name="_Ref467988698"/>
      <w:bookmarkStart w:id="271" w:name="_Toc480942349"/>
      <w:r>
        <w:rPr>
          <w:rFonts w:hint="eastAsia" w:ascii="仿宋" w:hAnsi="仿宋" w:eastAsia="仿宋" w:cs="仿宋"/>
          <w:b/>
          <w:color w:val="auto"/>
          <w:sz w:val="24"/>
        </w:rPr>
        <w:t>封面格式：以下为参考格式，报价人可自行排版，但必须包含下述参考格式中的内容。</w:t>
      </w:r>
    </w:p>
    <w:p>
      <w:pPr>
        <w:spacing w:line="360" w:lineRule="auto"/>
        <w:rPr>
          <w:rFonts w:hint="eastAsia" w:ascii="仿宋" w:hAnsi="仿宋" w:eastAsia="仿宋" w:cs="仿宋"/>
          <w:b/>
          <w:color w:val="auto"/>
          <w:sz w:val="32"/>
          <w:szCs w:val="32"/>
        </w:rPr>
      </w:pPr>
    </w:p>
    <w:p>
      <w:pPr>
        <w:spacing w:line="360" w:lineRule="auto"/>
        <w:ind w:firstLine="482" w:firstLineChars="150"/>
        <w:rPr>
          <w:rFonts w:hint="eastAsia" w:ascii="仿宋" w:hAnsi="仿宋" w:eastAsia="仿宋" w:cs="仿宋"/>
          <w:b/>
          <w:color w:val="auto"/>
          <w:sz w:val="32"/>
          <w:szCs w:val="32"/>
          <w:u w:val="single"/>
        </w:rPr>
      </w:pPr>
      <w:r>
        <w:rPr>
          <w:rFonts w:hint="eastAsia" w:ascii="仿宋" w:hAnsi="仿宋" w:eastAsia="仿宋" w:cs="仿宋"/>
          <w:b/>
          <w:color w:val="auto"/>
          <w:sz w:val="32"/>
          <w:szCs w:val="32"/>
        </w:rPr>
        <w:t xml:space="preserve">项目名称： </w:t>
      </w:r>
      <w:r>
        <w:rPr>
          <w:rFonts w:hint="eastAsia" w:ascii="仿宋" w:hAnsi="仿宋" w:eastAsia="仿宋" w:cs="仿宋"/>
          <w:b/>
          <w:color w:val="auto"/>
          <w:sz w:val="32"/>
          <w:szCs w:val="32"/>
          <w:u w:val="single"/>
        </w:rPr>
        <w:t xml:space="preserve">            </w:t>
      </w:r>
    </w:p>
    <w:p>
      <w:pPr>
        <w:spacing w:line="360" w:lineRule="auto"/>
        <w:ind w:firstLine="482" w:firstLineChars="150"/>
        <w:rPr>
          <w:rFonts w:hint="eastAsia" w:ascii="仿宋" w:hAnsi="仿宋" w:eastAsia="仿宋" w:cs="仿宋"/>
          <w:b/>
          <w:color w:val="auto"/>
          <w:sz w:val="32"/>
          <w:szCs w:val="32"/>
          <w:u w:val="single"/>
        </w:rPr>
      </w:pPr>
      <w:r>
        <w:rPr>
          <w:rFonts w:hint="eastAsia" w:ascii="仿宋" w:hAnsi="仿宋" w:eastAsia="仿宋" w:cs="仿宋"/>
          <w:b/>
          <w:color w:val="auto"/>
          <w:sz w:val="32"/>
          <w:szCs w:val="32"/>
        </w:rPr>
        <w:t xml:space="preserve">项目编号： </w:t>
      </w:r>
      <w:r>
        <w:rPr>
          <w:rFonts w:hint="eastAsia" w:ascii="仿宋" w:hAnsi="仿宋" w:eastAsia="仿宋" w:cs="仿宋"/>
          <w:b/>
          <w:color w:val="auto"/>
          <w:sz w:val="32"/>
          <w:szCs w:val="32"/>
          <w:u w:val="single"/>
        </w:rPr>
        <w:t xml:space="preserve">            </w:t>
      </w: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t>磋商响应文件</w:t>
      </w:r>
    </w:p>
    <w:p>
      <w:pPr>
        <w:jc w:val="center"/>
        <w:rPr>
          <w:rFonts w:hint="eastAsia" w:ascii="仿宋" w:hAnsi="仿宋" w:eastAsia="仿宋" w:cs="仿宋"/>
          <w:b/>
          <w:bCs/>
          <w:color w:val="auto"/>
          <w:sz w:val="40"/>
          <w:szCs w:val="84"/>
          <w14:shadow w14:blurRad="50800" w14:dist="38100" w14:dir="2700000" w14:sx="100000" w14:sy="100000" w14:kx="0" w14:ky="0" w14:algn="tl">
            <w14:srgbClr w14:val="000000">
              <w14:alpha w14:val="60000"/>
            </w14:srgbClr>
          </w14:shadow>
        </w:rPr>
      </w:pPr>
      <w:r>
        <w:rPr>
          <w:rFonts w:hint="eastAsia" w:ascii="仿宋" w:hAnsi="仿宋" w:eastAsia="仿宋" w:cs="仿宋"/>
          <w:b/>
          <w:bCs/>
          <w:color w:val="auto"/>
          <w:sz w:val="40"/>
          <w:szCs w:val="84"/>
          <w14:shadow w14:blurRad="50800" w14:dist="38100" w14:dir="2700000" w14:sx="100000" w14:sy="100000" w14:kx="0" w14:ky="0" w14:algn="tl">
            <w14:srgbClr w14:val="000000">
              <w14:alpha w14:val="60000"/>
            </w14:srgbClr>
          </w14:shadow>
        </w:rPr>
        <w:t>【正本/副本】</w:t>
      </w: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        </w:t>
      </w:r>
    </w:p>
    <w:p>
      <w:pPr>
        <w:tabs>
          <w:tab w:val="left" w:pos="630"/>
        </w:tabs>
        <w:autoSpaceDE w:val="0"/>
        <w:autoSpaceDN w:val="0"/>
        <w:spacing w:line="360" w:lineRule="auto"/>
        <w:ind w:firstLine="482" w:firstLineChars="150"/>
        <w:textAlignment w:val="bottom"/>
        <w:rPr>
          <w:rFonts w:hint="eastAsia" w:ascii="仿宋" w:hAnsi="仿宋" w:eastAsia="仿宋" w:cs="仿宋"/>
          <w:b/>
          <w:color w:val="auto"/>
          <w:sz w:val="32"/>
          <w:szCs w:val="32"/>
          <w:u w:val="single"/>
        </w:rPr>
      </w:pPr>
      <w:r>
        <w:rPr>
          <w:rFonts w:hint="eastAsia" w:ascii="仿宋" w:hAnsi="仿宋" w:eastAsia="仿宋" w:cs="仿宋"/>
          <w:b/>
          <w:color w:val="auto"/>
          <w:sz w:val="32"/>
          <w:szCs w:val="32"/>
        </w:rPr>
        <w:t xml:space="preserve">供应商名称（公章）： </w:t>
      </w:r>
      <w:r>
        <w:rPr>
          <w:rFonts w:hint="eastAsia" w:ascii="仿宋" w:hAnsi="仿宋" w:eastAsia="仿宋" w:cs="仿宋"/>
          <w:b/>
          <w:color w:val="auto"/>
          <w:sz w:val="32"/>
          <w:szCs w:val="32"/>
          <w:u w:val="single"/>
        </w:rPr>
        <w:t xml:space="preserve">                    </w:t>
      </w:r>
    </w:p>
    <w:p>
      <w:pPr>
        <w:spacing w:line="360" w:lineRule="auto"/>
        <w:ind w:firstLine="482" w:firstLineChars="150"/>
        <w:rPr>
          <w:rFonts w:hint="eastAsia" w:ascii="仿宋" w:hAnsi="仿宋" w:eastAsia="仿宋" w:cs="仿宋"/>
          <w:b/>
          <w:color w:val="auto"/>
          <w:sz w:val="32"/>
          <w:szCs w:val="32"/>
          <w:u w:val="single"/>
        </w:rPr>
      </w:pPr>
      <w:r>
        <w:rPr>
          <w:rFonts w:hint="eastAsia" w:ascii="仿宋" w:hAnsi="仿宋" w:eastAsia="仿宋" w:cs="仿宋"/>
          <w:b/>
          <w:color w:val="auto"/>
          <w:sz w:val="32"/>
          <w:szCs w:val="32"/>
        </w:rPr>
        <w:t>法定代表人或授权代表签字：</w:t>
      </w:r>
      <w:r>
        <w:rPr>
          <w:rFonts w:hint="eastAsia" w:ascii="仿宋" w:hAnsi="仿宋" w:eastAsia="仿宋" w:cs="仿宋"/>
          <w:b/>
          <w:color w:val="auto"/>
          <w:sz w:val="32"/>
          <w:szCs w:val="32"/>
          <w:u w:val="single"/>
        </w:rPr>
        <w:t xml:space="preserve">              </w:t>
      </w:r>
    </w:p>
    <w:p>
      <w:pPr>
        <w:spacing w:line="360" w:lineRule="auto"/>
        <w:ind w:firstLine="482" w:firstLineChars="150"/>
        <w:rPr>
          <w:rFonts w:hint="eastAsia" w:ascii="仿宋" w:hAnsi="仿宋" w:eastAsia="仿宋" w:cs="仿宋"/>
          <w:color w:val="auto"/>
          <w:sz w:val="24"/>
        </w:rPr>
      </w:pPr>
      <w:r>
        <w:rPr>
          <w:rFonts w:hint="eastAsia" w:ascii="仿宋" w:hAnsi="仿宋" w:eastAsia="仿宋" w:cs="仿宋"/>
          <w:b/>
          <w:color w:val="auto"/>
          <w:sz w:val="32"/>
          <w:szCs w:val="32"/>
        </w:rPr>
        <w:t>磋商日期：       年   月   日</w:t>
      </w:r>
    </w:p>
    <w:p>
      <w:pPr>
        <w:tabs>
          <w:tab w:val="left" w:pos="900"/>
          <w:tab w:val="left" w:pos="5580"/>
        </w:tabs>
        <w:spacing w:line="360" w:lineRule="auto"/>
        <w:ind w:left="902" w:firstLine="480" w:firstLineChars="200"/>
        <w:rPr>
          <w:rFonts w:hint="eastAsia" w:ascii="仿宋" w:hAnsi="仿宋" w:eastAsia="仿宋" w:cs="仿宋"/>
          <w:color w:val="auto"/>
          <w:sz w:val="24"/>
          <w:szCs w:val="24"/>
        </w:rPr>
      </w:pPr>
    </w:p>
    <w:p>
      <w:pPr>
        <w:widowControl/>
        <w:jc w:val="left"/>
        <w:rPr>
          <w:rFonts w:hint="eastAsia" w:ascii="仿宋" w:hAnsi="仿宋" w:eastAsia="仿宋" w:cs="仿宋"/>
          <w:color w:val="auto"/>
          <w:sz w:val="24"/>
        </w:rPr>
      </w:pPr>
      <w:r>
        <w:rPr>
          <w:rFonts w:hint="eastAsia" w:ascii="仿宋" w:hAnsi="仿宋" w:eastAsia="仿宋" w:cs="仿宋"/>
          <w:color w:val="auto"/>
          <w:sz w:val="24"/>
        </w:rPr>
        <w:br w:type="page"/>
      </w:r>
    </w:p>
    <w:bookmarkEnd w:id="6"/>
    <w:bookmarkEnd w:id="7"/>
    <w:bookmarkEnd w:id="269"/>
    <w:bookmarkEnd w:id="270"/>
    <w:bookmarkEnd w:id="271"/>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内容及格式要求：</w:t>
      </w:r>
      <w:r>
        <w:rPr>
          <w:rFonts w:hint="eastAsia" w:ascii="仿宋" w:hAnsi="仿宋" w:eastAsia="仿宋" w:cs="仿宋"/>
          <w:sz w:val="24"/>
          <w:u w:val="single"/>
          <w:lang w:eastAsia="zh-CN"/>
        </w:rPr>
        <w:t>供应商</w:t>
      </w:r>
      <w:r>
        <w:rPr>
          <w:rFonts w:hint="eastAsia" w:ascii="仿宋" w:hAnsi="仿宋" w:eastAsia="仿宋" w:cs="仿宋"/>
          <w:sz w:val="24"/>
          <w:u w:val="single"/>
        </w:rPr>
        <w:t>提交的磋商响应文件应包括（但不限于）以下内容（或</w:t>
      </w:r>
      <w:r>
        <w:rPr>
          <w:rFonts w:hint="eastAsia" w:ascii="仿宋" w:hAnsi="仿宋" w:eastAsia="仿宋" w:cs="仿宋"/>
          <w:sz w:val="24"/>
          <w:u w:val="single"/>
          <w:lang w:eastAsia="zh-CN"/>
        </w:rPr>
        <w:t>供应商</w:t>
      </w:r>
      <w:r>
        <w:rPr>
          <w:rFonts w:hint="eastAsia" w:ascii="仿宋" w:hAnsi="仿宋" w:eastAsia="仿宋" w:cs="仿宋"/>
          <w:sz w:val="24"/>
          <w:u w:val="single"/>
        </w:rPr>
        <w:t>认为有必要增加的其他内容），并按以下顺序胶装成册：</w:t>
      </w:r>
    </w:p>
    <w:p>
      <w:pPr>
        <w:tabs>
          <w:tab w:val="left" w:pos="900"/>
          <w:tab w:val="left" w:pos="5580"/>
        </w:tabs>
        <w:spacing w:line="360" w:lineRule="auto"/>
        <w:ind w:left="902" w:firstLine="480" w:firstLineChars="200"/>
        <w:rPr>
          <w:rFonts w:ascii="仿宋" w:hAnsi="仿宋" w:eastAsia="仿宋" w:cs="仿宋"/>
          <w:sz w:val="24"/>
          <w:szCs w:val="24"/>
        </w:rPr>
      </w:pPr>
    </w:p>
    <w:p>
      <w:pPr>
        <w:spacing w:line="360" w:lineRule="auto"/>
        <w:ind w:left="-14" w:leftChars="-4" w:firstLine="188" w:firstLineChars="52"/>
        <w:jc w:val="center"/>
        <w:outlineLvl w:val="0"/>
        <w:rPr>
          <w:rFonts w:ascii="仿宋" w:hAnsi="仿宋" w:eastAsia="仿宋" w:cs="仿宋"/>
          <w:b/>
          <w:bCs/>
          <w:sz w:val="36"/>
          <w:szCs w:val="36"/>
        </w:rPr>
      </w:pPr>
      <w:bookmarkStart w:id="272" w:name="_Toc2413"/>
      <w:r>
        <w:rPr>
          <w:rFonts w:hint="eastAsia" w:ascii="仿宋" w:hAnsi="仿宋" w:eastAsia="仿宋" w:cs="仿宋"/>
          <w:b/>
          <w:bCs/>
          <w:sz w:val="36"/>
          <w:szCs w:val="36"/>
        </w:rPr>
        <w:t>目   录</w:t>
      </w:r>
      <w:bookmarkEnd w:id="272"/>
    </w:p>
    <w:p>
      <w:pPr>
        <w:spacing w:line="360" w:lineRule="auto"/>
        <w:ind w:left="-14" w:leftChars="-4" w:firstLine="124" w:firstLineChars="52"/>
        <w:outlineLvl w:val="0"/>
        <w:rPr>
          <w:rFonts w:ascii="仿宋" w:hAnsi="仿宋" w:eastAsia="仿宋" w:cs="仿宋"/>
          <w:sz w:val="24"/>
          <w:szCs w:val="24"/>
        </w:rPr>
      </w:pPr>
      <w:bookmarkStart w:id="273" w:name="_Toc25499"/>
      <w:r>
        <w:rPr>
          <w:rFonts w:hint="eastAsia" w:ascii="仿宋" w:hAnsi="仿宋" w:eastAsia="仿宋" w:cs="仿宋"/>
          <w:sz w:val="24"/>
          <w:szCs w:val="24"/>
        </w:rPr>
        <w:t>1、投标函（附件1）</w:t>
      </w:r>
      <w:bookmarkEnd w:id="273"/>
    </w:p>
    <w:p>
      <w:pPr>
        <w:spacing w:line="360" w:lineRule="auto"/>
        <w:ind w:left="-14" w:leftChars="-4" w:firstLine="124" w:firstLineChars="52"/>
        <w:outlineLvl w:val="0"/>
        <w:rPr>
          <w:rFonts w:ascii="仿宋" w:hAnsi="仿宋" w:eastAsia="仿宋" w:cs="仿宋"/>
          <w:sz w:val="24"/>
          <w:szCs w:val="24"/>
        </w:rPr>
      </w:pPr>
      <w:bookmarkStart w:id="274" w:name="_Toc23789"/>
      <w:r>
        <w:rPr>
          <w:rFonts w:hint="eastAsia" w:ascii="仿宋" w:hAnsi="仿宋" w:eastAsia="仿宋" w:cs="仿宋"/>
          <w:sz w:val="24"/>
          <w:szCs w:val="24"/>
        </w:rPr>
        <w:t>2、开标一览表（附件2）</w:t>
      </w:r>
      <w:bookmarkEnd w:id="274"/>
    </w:p>
    <w:p>
      <w:pPr>
        <w:spacing w:line="360" w:lineRule="auto"/>
        <w:ind w:firstLine="120" w:firstLineChars="50"/>
        <w:outlineLvl w:val="0"/>
        <w:rPr>
          <w:rFonts w:ascii="仿宋" w:hAnsi="仿宋" w:eastAsia="仿宋" w:cs="仿宋"/>
          <w:sz w:val="24"/>
          <w:szCs w:val="24"/>
        </w:rPr>
      </w:pPr>
      <w:bookmarkStart w:id="275" w:name="_Toc8728"/>
      <w:r>
        <w:rPr>
          <w:rFonts w:hint="eastAsia" w:ascii="仿宋" w:hAnsi="仿宋" w:eastAsia="仿宋" w:cs="仿宋"/>
          <w:sz w:val="24"/>
          <w:szCs w:val="24"/>
        </w:rPr>
        <w:t>3、</w:t>
      </w:r>
      <w:r>
        <w:rPr>
          <w:rFonts w:hint="eastAsia" w:ascii="仿宋" w:hAnsi="仿宋" w:eastAsia="仿宋" w:cs="仿宋"/>
          <w:sz w:val="24"/>
          <w:szCs w:val="24"/>
          <w:lang w:eastAsia="zh-CN"/>
        </w:rPr>
        <w:t>供应商</w:t>
      </w:r>
      <w:r>
        <w:rPr>
          <w:rFonts w:hint="eastAsia" w:ascii="仿宋" w:hAnsi="仿宋" w:eastAsia="仿宋" w:cs="仿宋"/>
          <w:sz w:val="24"/>
          <w:szCs w:val="24"/>
        </w:rPr>
        <w:t>基本情况表（附件3）</w:t>
      </w:r>
      <w:bookmarkEnd w:id="275"/>
    </w:p>
    <w:p>
      <w:pPr>
        <w:spacing w:line="360" w:lineRule="auto"/>
        <w:ind w:left="-14" w:leftChars="-4" w:firstLine="124" w:firstLineChars="52"/>
        <w:outlineLvl w:val="0"/>
        <w:rPr>
          <w:rFonts w:ascii="仿宋" w:hAnsi="仿宋" w:eastAsia="仿宋" w:cs="仿宋"/>
          <w:sz w:val="24"/>
          <w:szCs w:val="24"/>
        </w:rPr>
      </w:pPr>
      <w:bookmarkStart w:id="276" w:name="_Toc9509"/>
      <w:r>
        <w:rPr>
          <w:rFonts w:hint="eastAsia" w:ascii="仿宋" w:hAnsi="仿宋" w:eastAsia="仿宋" w:cs="仿宋"/>
          <w:sz w:val="24"/>
          <w:szCs w:val="24"/>
        </w:rPr>
        <w:t>4、法定代表人证明书、法定代表人委托书（附件4）</w:t>
      </w:r>
      <w:bookmarkEnd w:id="276"/>
    </w:p>
    <w:p>
      <w:pPr>
        <w:spacing w:line="360" w:lineRule="auto"/>
        <w:ind w:left="-14" w:leftChars="-4" w:firstLine="124" w:firstLineChars="52"/>
        <w:outlineLvl w:val="0"/>
        <w:rPr>
          <w:rFonts w:ascii="仿宋" w:hAnsi="仿宋" w:eastAsia="仿宋" w:cs="仿宋"/>
          <w:sz w:val="24"/>
          <w:szCs w:val="24"/>
        </w:rPr>
      </w:pPr>
      <w:bookmarkStart w:id="277" w:name="_Toc23620"/>
      <w:r>
        <w:rPr>
          <w:rFonts w:hint="eastAsia" w:ascii="仿宋" w:hAnsi="仿宋" w:eastAsia="仿宋" w:cs="仿宋"/>
          <w:sz w:val="24"/>
          <w:szCs w:val="24"/>
          <w:lang w:val="en-US" w:eastAsia="zh-CN"/>
        </w:rPr>
        <w:t>5</w:t>
      </w:r>
      <w:r>
        <w:rPr>
          <w:rFonts w:hint="eastAsia" w:ascii="仿宋" w:hAnsi="仿宋" w:eastAsia="仿宋" w:cs="仿宋"/>
          <w:sz w:val="24"/>
          <w:szCs w:val="24"/>
        </w:rPr>
        <w:t>、供应商资格证明文件（详见第一章供应商资格要求）</w:t>
      </w:r>
      <w:bookmarkEnd w:id="277"/>
    </w:p>
    <w:p>
      <w:pPr>
        <w:spacing w:line="360" w:lineRule="auto"/>
        <w:ind w:left="-14" w:leftChars="-4" w:firstLine="124" w:firstLineChars="52"/>
        <w:outlineLvl w:val="0"/>
        <w:rPr>
          <w:rFonts w:hint="eastAsia" w:ascii="仿宋" w:hAnsi="仿宋" w:eastAsia="仿宋" w:cs="仿宋"/>
          <w:sz w:val="24"/>
          <w:szCs w:val="24"/>
        </w:rPr>
      </w:pPr>
      <w:bookmarkStart w:id="278" w:name="_Toc26910"/>
      <w:r>
        <w:rPr>
          <w:rFonts w:hint="eastAsia" w:ascii="仿宋" w:hAnsi="仿宋" w:eastAsia="仿宋" w:cs="仿宋"/>
          <w:sz w:val="24"/>
          <w:szCs w:val="24"/>
          <w:lang w:val="en-US" w:eastAsia="zh-CN"/>
        </w:rPr>
        <w:t>6</w:t>
      </w:r>
      <w:r>
        <w:rPr>
          <w:rFonts w:hint="eastAsia" w:ascii="仿宋" w:hAnsi="仿宋" w:eastAsia="仿宋" w:cs="仿宋"/>
          <w:sz w:val="24"/>
          <w:szCs w:val="24"/>
        </w:rPr>
        <w:t>、无重大违法记录声明（附件5）</w:t>
      </w:r>
      <w:bookmarkEnd w:id="278"/>
    </w:p>
    <w:p>
      <w:pPr>
        <w:spacing w:line="360" w:lineRule="auto"/>
        <w:ind w:left="-14" w:leftChars="-4" w:firstLine="124" w:firstLineChars="52"/>
        <w:outlineLvl w:val="0"/>
        <w:rPr>
          <w:rFonts w:hint="eastAsia" w:ascii="仿宋" w:hAnsi="仿宋" w:eastAsia="仿宋" w:cs="仿宋"/>
          <w:sz w:val="24"/>
          <w:szCs w:val="24"/>
        </w:rPr>
      </w:pPr>
      <w:r>
        <w:rPr>
          <w:rFonts w:hint="eastAsia" w:ascii="仿宋" w:hAnsi="仿宋" w:eastAsia="仿宋" w:cs="仿宋"/>
          <w:sz w:val="24"/>
          <w:szCs w:val="24"/>
          <w:lang w:val="en-US" w:eastAsia="zh-CN"/>
        </w:rPr>
        <w:t>7、拟投入本项目负责人简历表（附件6）</w:t>
      </w:r>
    </w:p>
    <w:p>
      <w:pPr>
        <w:spacing w:line="360" w:lineRule="auto"/>
        <w:ind w:left="-14" w:leftChars="-4" w:firstLine="124" w:firstLineChars="52"/>
        <w:outlineLvl w:val="0"/>
        <w:rPr>
          <w:rFonts w:ascii="仿宋" w:hAnsi="仿宋" w:eastAsia="仿宋" w:cs="仿宋"/>
          <w:sz w:val="24"/>
          <w:szCs w:val="24"/>
        </w:rPr>
      </w:pPr>
      <w:bookmarkStart w:id="279" w:name="_Toc25901"/>
      <w:r>
        <w:rPr>
          <w:rFonts w:hint="eastAsia" w:ascii="仿宋" w:hAnsi="仿宋" w:eastAsia="仿宋" w:cs="仿宋"/>
          <w:sz w:val="24"/>
          <w:szCs w:val="24"/>
          <w:lang w:val="en-US" w:eastAsia="zh-CN"/>
        </w:rPr>
        <w:t>8</w:t>
      </w:r>
      <w:r>
        <w:rPr>
          <w:rFonts w:hint="eastAsia" w:ascii="仿宋" w:hAnsi="仿宋" w:eastAsia="仿宋" w:cs="仿宋"/>
          <w:sz w:val="24"/>
          <w:szCs w:val="24"/>
        </w:rPr>
        <w:t>、类似业绩一览表（附件</w:t>
      </w:r>
      <w:r>
        <w:rPr>
          <w:rFonts w:hint="eastAsia" w:ascii="仿宋" w:hAnsi="仿宋" w:eastAsia="仿宋" w:cs="仿宋"/>
          <w:sz w:val="24"/>
          <w:szCs w:val="24"/>
          <w:lang w:val="en-US" w:eastAsia="zh-CN"/>
        </w:rPr>
        <w:t>7</w:t>
      </w:r>
      <w:r>
        <w:rPr>
          <w:rFonts w:hint="eastAsia" w:ascii="仿宋" w:hAnsi="仿宋" w:eastAsia="仿宋" w:cs="仿宋"/>
          <w:sz w:val="24"/>
          <w:szCs w:val="24"/>
        </w:rPr>
        <w:t>）</w:t>
      </w:r>
      <w:bookmarkEnd w:id="279"/>
    </w:p>
    <w:p>
      <w:pPr>
        <w:spacing w:line="360" w:lineRule="auto"/>
        <w:ind w:left="-14" w:leftChars="-4" w:firstLine="124" w:firstLineChars="52"/>
        <w:outlineLvl w:val="0"/>
        <w:rPr>
          <w:rFonts w:ascii="仿宋" w:hAnsi="仿宋" w:eastAsia="仿宋" w:cs="仿宋"/>
          <w:sz w:val="24"/>
          <w:szCs w:val="24"/>
        </w:rPr>
      </w:pPr>
      <w:bookmarkStart w:id="280" w:name="_Toc1623"/>
      <w:r>
        <w:rPr>
          <w:rFonts w:hint="eastAsia" w:ascii="仿宋" w:hAnsi="仿宋" w:eastAsia="仿宋" w:cs="仿宋"/>
          <w:sz w:val="24"/>
          <w:szCs w:val="24"/>
          <w:lang w:val="en-US" w:eastAsia="zh-CN"/>
        </w:rPr>
        <w:t>9</w:t>
      </w:r>
      <w:r>
        <w:rPr>
          <w:rFonts w:hint="eastAsia" w:ascii="仿宋" w:hAnsi="仿宋" w:eastAsia="仿宋" w:cs="仿宋"/>
          <w:sz w:val="24"/>
          <w:szCs w:val="24"/>
        </w:rPr>
        <w:t>、产品规格、技术参数响应表（附件</w:t>
      </w:r>
      <w:r>
        <w:rPr>
          <w:rFonts w:hint="eastAsia" w:ascii="仿宋" w:hAnsi="仿宋" w:eastAsia="仿宋" w:cs="仿宋"/>
          <w:sz w:val="24"/>
          <w:szCs w:val="24"/>
          <w:lang w:val="en-US" w:eastAsia="zh-CN"/>
        </w:rPr>
        <w:t>8</w:t>
      </w:r>
      <w:r>
        <w:rPr>
          <w:rFonts w:hint="eastAsia" w:ascii="仿宋" w:hAnsi="仿宋" w:eastAsia="仿宋" w:cs="仿宋"/>
          <w:sz w:val="24"/>
          <w:szCs w:val="24"/>
        </w:rPr>
        <w:t>）</w:t>
      </w:r>
      <w:bookmarkEnd w:id="280"/>
    </w:p>
    <w:p>
      <w:pPr>
        <w:tabs>
          <w:tab w:val="left" w:pos="900"/>
        </w:tabs>
        <w:snapToGrid w:val="0"/>
        <w:spacing w:line="360" w:lineRule="auto"/>
        <w:ind w:firstLine="120" w:firstLineChars="50"/>
        <w:outlineLvl w:val="0"/>
        <w:rPr>
          <w:rFonts w:hint="eastAsia" w:ascii="仿宋" w:hAnsi="仿宋" w:eastAsia="仿宋" w:cs="仿宋"/>
          <w:sz w:val="24"/>
          <w:szCs w:val="24"/>
          <w:lang w:val="en-US" w:eastAsia="zh-CN"/>
        </w:rPr>
      </w:pPr>
      <w:bookmarkStart w:id="281" w:name="_Toc2541"/>
      <w:r>
        <w:rPr>
          <w:rFonts w:hint="eastAsia" w:ascii="仿宋" w:hAnsi="仿宋" w:eastAsia="仿宋" w:cs="仿宋"/>
          <w:sz w:val="24"/>
          <w:szCs w:val="24"/>
          <w:lang w:val="en-US" w:eastAsia="zh-CN"/>
        </w:rPr>
        <w:t>10、商务要求响应表（附件9）</w:t>
      </w:r>
    </w:p>
    <w:p>
      <w:pPr>
        <w:tabs>
          <w:tab w:val="left" w:pos="900"/>
        </w:tabs>
        <w:snapToGrid w:val="0"/>
        <w:spacing w:line="360" w:lineRule="auto"/>
        <w:ind w:firstLine="120" w:firstLineChars="50"/>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11、投标人诚信承诺书（附件10）</w:t>
      </w:r>
    </w:p>
    <w:p>
      <w:pPr>
        <w:tabs>
          <w:tab w:val="left" w:pos="900"/>
        </w:tabs>
        <w:snapToGrid w:val="0"/>
        <w:spacing w:line="360" w:lineRule="auto"/>
        <w:ind w:firstLine="120" w:firstLineChars="50"/>
        <w:outlineLvl w:val="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w:t>
      </w:r>
      <w:bookmarkEnd w:id="281"/>
      <w:r>
        <w:rPr>
          <w:rFonts w:hint="eastAsia" w:ascii="仿宋" w:hAnsi="仿宋" w:eastAsia="仿宋" w:cs="仿宋"/>
          <w:sz w:val="24"/>
          <w:szCs w:val="24"/>
        </w:rPr>
        <w:t>中小企业声明函（附件</w:t>
      </w:r>
      <w:r>
        <w:rPr>
          <w:rFonts w:hint="eastAsia" w:ascii="仿宋" w:hAnsi="仿宋" w:eastAsia="仿宋" w:cs="仿宋"/>
          <w:sz w:val="24"/>
          <w:szCs w:val="24"/>
          <w:lang w:val="en-US" w:eastAsia="zh-CN"/>
        </w:rPr>
        <w:t>11</w:t>
      </w:r>
      <w:r>
        <w:rPr>
          <w:rFonts w:hint="eastAsia" w:ascii="仿宋" w:hAnsi="仿宋" w:eastAsia="仿宋" w:cs="仿宋"/>
          <w:sz w:val="24"/>
          <w:szCs w:val="24"/>
        </w:rPr>
        <w:t>）</w:t>
      </w:r>
    </w:p>
    <w:p>
      <w:pPr>
        <w:tabs>
          <w:tab w:val="left" w:pos="900"/>
        </w:tabs>
        <w:snapToGrid w:val="0"/>
        <w:spacing w:line="360" w:lineRule="auto"/>
        <w:ind w:firstLine="120" w:firstLineChars="50"/>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13、残疾人福利性声明函（附件12）</w:t>
      </w:r>
    </w:p>
    <w:p>
      <w:pPr>
        <w:tabs>
          <w:tab w:val="left" w:pos="900"/>
        </w:tabs>
        <w:snapToGrid w:val="0"/>
        <w:spacing w:line="360" w:lineRule="auto"/>
        <w:ind w:firstLine="120" w:firstLineChars="50"/>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14、联合体协议书（本项目不接受联合体）</w:t>
      </w:r>
    </w:p>
    <w:p>
      <w:pPr>
        <w:spacing w:line="360" w:lineRule="auto"/>
        <w:ind w:left="-14" w:leftChars="-4" w:firstLine="124" w:firstLineChars="52"/>
        <w:outlineLvl w:val="0"/>
        <w:rPr>
          <w:rFonts w:ascii="仿宋" w:hAnsi="仿宋" w:eastAsia="仿宋" w:cs="仿宋"/>
          <w:sz w:val="24"/>
          <w:szCs w:val="24"/>
        </w:rPr>
      </w:pPr>
      <w:bookmarkStart w:id="282" w:name="_Toc4493"/>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w:t>
      </w:r>
      <w:bookmarkEnd w:id="282"/>
      <w:r>
        <w:rPr>
          <w:rFonts w:hint="eastAsia" w:ascii="仿宋" w:hAnsi="仿宋" w:eastAsia="仿宋" w:cs="仿宋"/>
          <w:sz w:val="24"/>
          <w:szCs w:val="24"/>
        </w:rPr>
        <w:t>实施方案</w:t>
      </w:r>
    </w:p>
    <w:p>
      <w:pPr>
        <w:spacing w:line="360" w:lineRule="auto"/>
        <w:ind w:left="-14" w:leftChars="-4" w:firstLine="124" w:firstLineChars="52"/>
        <w:outlineLvl w:val="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、其他供应商认为需提供的材料</w:t>
      </w:r>
    </w:p>
    <w:p>
      <w:pPr>
        <w:shd w:val="solid" w:color="FFFFFF" w:fill="auto"/>
        <w:autoSpaceDN w:val="0"/>
        <w:spacing w:line="276" w:lineRule="auto"/>
        <w:rPr>
          <w:rFonts w:ascii="仿宋" w:hAnsi="仿宋" w:eastAsia="仿宋" w:cs="仿宋"/>
          <w:b/>
          <w:sz w:val="24"/>
        </w:rPr>
      </w:pPr>
      <w:r>
        <w:rPr>
          <w:rFonts w:hint="eastAsia" w:ascii="仿宋" w:hAnsi="仿宋" w:eastAsia="仿宋" w:cs="仿宋"/>
          <w:b/>
          <w:sz w:val="24"/>
        </w:rPr>
        <w:t>注：1、供应商编制上述文件时，本磋商响应文件第六章已提供格式的文件须按格式要求填写。</w:t>
      </w:r>
    </w:p>
    <w:p>
      <w:pPr>
        <w:shd w:val="solid" w:color="FFFFFF" w:fill="auto"/>
        <w:autoSpaceDN w:val="0"/>
        <w:spacing w:line="276" w:lineRule="auto"/>
        <w:ind w:firstLine="463" w:firstLineChars="192"/>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shd w:val="clear" w:color="auto" w:fill="FFFFFF"/>
        </w:rPr>
        <w:t>根据招标文件提出的服务内容及其工作要求，</w:t>
      </w:r>
      <w:r>
        <w:rPr>
          <w:rFonts w:hint="eastAsia" w:ascii="仿宋" w:hAnsi="仿宋" w:eastAsia="仿宋" w:cs="仿宋"/>
          <w:b/>
          <w:sz w:val="24"/>
          <w:shd w:val="clear" w:color="auto" w:fill="FFFFFF"/>
          <w:lang w:eastAsia="zh-CN"/>
        </w:rPr>
        <w:t>供应商</w:t>
      </w:r>
      <w:r>
        <w:rPr>
          <w:rFonts w:hint="eastAsia" w:ascii="仿宋" w:hAnsi="仿宋" w:eastAsia="仿宋" w:cs="仿宋"/>
          <w:b/>
          <w:sz w:val="24"/>
          <w:shd w:val="clear" w:color="auto" w:fill="FFFFFF"/>
        </w:rPr>
        <w:t>先查看现场再编制</w:t>
      </w:r>
      <w:r>
        <w:rPr>
          <w:rFonts w:hint="eastAsia" w:ascii="仿宋" w:hAnsi="仿宋" w:eastAsia="仿宋" w:cs="仿宋"/>
          <w:b/>
          <w:sz w:val="24"/>
        </w:rPr>
        <w:t>磋商响应文件</w:t>
      </w:r>
      <w:r>
        <w:rPr>
          <w:rFonts w:hint="eastAsia" w:ascii="仿宋" w:hAnsi="仿宋" w:eastAsia="仿宋" w:cs="仿宋"/>
          <w:b/>
          <w:sz w:val="24"/>
          <w:shd w:val="clear" w:color="auto" w:fill="FFFFFF"/>
        </w:rPr>
        <w:t>；</w:t>
      </w:r>
      <w:r>
        <w:rPr>
          <w:rFonts w:hint="eastAsia" w:ascii="仿宋" w:hAnsi="仿宋" w:eastAsia="仿宋" w:cs="仿宋"/>
          <w:b/>
          <w:sz w:val="24"/>
        </w:rPr>
        <w:t>供应商所提供的相关资料必须真实、一旦发现提供弄虚作假的证明材料，则取消中标资格，并按骗取中标行为通报给主管部门进行处罚。</w:t>
      </w:r>
    </w:p>
    <w:p>
      <w:pPr>
        <w:shd w:val="solid" w:color="FFFFFF" w:fill="auto"/>
        <w:autoSpaceDN w:val="0"/>
        <w:ind w:right="482" w:firstLine="420"/>
        <w:jc w:val="center"/>
        <w:rPr>
          <w:rFonts w:ascii="仿宋" w:hAnsi="仿宋" w:eastAsia="仿宋" w:cs="仿宋"/>
          <w:b/>
          <w:sz w:val="32"/>
          <w:szCs w:val="32"/>
          <w:shd w:val="clear" w:color="auto" w:fill="FFFFFF"/>
        </w:rPr>
      </w:pPr>
      <w:bookmarkStart w:id="303" w:name="_GoBack"/>
      <w:bookmarkEnd w:id="303"/>
    </w:p>
    <w:p>
      <w:pPr>
        <w:shd w:val="solid" w:color="FFFFFF" w:fill="auto"/>
        <w:autoSpaceDN w:val="0"/>
        <w:ind w:right="482" w:firstLine="420"/>
        <w:jc w:val="center"/>
        <w:rPr>
          <w:rFonts w:ascii="仿宋" w:hAnsi="仿宋" w:eastAsia="仿宋" w:cs="仿宋"/>
          <w:b/>
          <w:sz w:val="32"/>
          <w:szCs w:val="32"/>
          <w:shd w:val="clear" w:color="auto" w:fill="FFFFFF"/>
        </w:rPr>
      </w:pPr>
    </w:p>
    <w:p>
      <w:pPr>
        <w:shd w:val="solid" w:color="FFFFFF" w:fill="auto"/>
        <w:autoSpaceDN w:val="0"/>
        <w:ind w:right="482" w:firstLine="420"/>
        <w:jc w:val="center"/>
        <w:rPr>
          <w:rFonts w:ascii="仿宋" w:hAnsi="仿宋" w:eastAsia="仿宋" w:cs="仿宋"/>
          <w:b/>
          <w:sz w:val="32"/>
          <w:szCs w:val="32"/>
          <w:shd w:val="clear" w:color="auto" w:fill="FFFFFF"/>
        </w:rPr>
      </w:pPr>
    </w:p>
    <w:p>
      <w:pPr>
        <w:shd w:val="solid" w:color="FFFFFF" w:fill="auto"/>
        <w:autoSpaceDN w:val="0"/>
        <w:ind w:right="482"/>
        <w:rPr>
          <w:rFonts w:ascii="仿宋" w:hAnsi="仿宋" w:eastAsia="仿宋" w:cs="仿宋"/>
          <w:b/>
          <w:sz w:val="32"/>
          <w:szCs w:val="32"/>
          <w:shd w:val="clear" w:color="auto" w:fill="FFFFFF"/>
        </w:rPr>
      </w:pPr>
    </w:p>
    <w:p>
      <w:pPr>
        <w:pStyle w:val="3"/>
        <w:pageBreakBefore/>
        <w:tabs>
          <w:tab w:val="left" w:pos="5580"/>
        </w:tabs>
        <w:spacing w:before="0" w:after="0" w:line="22" w:lineRule="atLeast"/>
        <w:rPr>
          <w:rFonts w:hint="eastAsia" w:ascii="仿宋" w:hAnsi="仿宋" w:eastAsia="仿宋" w:cs="仿宋"/>
          <w:b/>
          <w:bCs w:val="0"/>
          <w:kern w:val="0"/>
          <w:sz w:val="28"/>
          <w:szCs w:val="28"/>
        </w:rPr>
      </w:pPr>
      <w:r>
        <w:rPr>
          <w:rFonts w:hint="eastAsia" w:ascii="仿宋" w:hAnsi="仿宋" w:eastAsia="仿宋" w:cs="仿宋"/>
          <w:b/>
          <w:bCs w:val="0"/>
          <w:kern w:val="0"/>
          <w:sz w:val="28"/>
          <w:szCs w:val="28"/>
        </w:rPr>
        <w:t>1、投标函（附件1）</w:t>
      </w:r>
    </w:p>
    <w:p>
      <w:pPr>
        <w:snapToGrid w:val="0"/>
        <w:spacing w:line="360" w:lineRule="auto"/>
        <w:jc w:val="center"/>
        <w:rPr>
          <w:rFonts w:hint="eastAsia" w:ascii="仿宋" w:hAnsi="仿宋" w:eastAsia="仿宋" w:cs="仿宋"/>
          <w:b/>
          <w:bCs/>
          <w:sz w:val="32"/>
          <w:szCs w:val="32"/>
        </w:rPr>
      </w:pPr>
    </w:p>
    <w:p>
      <w:pPr>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投 标 函</w:t>
      </w:r>
    </w:p>
    <w:p>
      <w:pPr>
        <w:snapToGrid w:val="0"/>
        <w:spacing w:line="276" w:lineRule="auto"/>
        <w:rPr>
          <w:rFonts w:hint="eastAsia" w:ascii="仿宋" w:hAnsi="仿宋" w:eastAsia="仿宋" w:cs="仿宋"/>
          <w:sz w:val="24"/>
          <w:szCs w:val="24"/>
          <w:lang w:eastAsia="zh-CN"/>
        </w:rPr>
      </w:pPr>
      <w:r>
        <w:rPr>
          <w:rFonts w:hint="eastAsia" w:ascii="仿宋" w:hAnsi="仿宋" w:eastAsia="仿宋" w:cs="仿宋"/>
          <w:sz w:val="24"/>
          <w:szCs w:val="24"/>
        </w:rPr>
        <w:t>致：</w:t>
      </w:r>
      <w:r>
        <w:rPr>
          <w:rFonts w:hint="eastAsia" w:ascii="仿宋" w:hAnsi="仿宋" w:eastAsia="仿宋" w:cs="仿宋"/>
          <w:sz w:val="24"/>
          <w:szCs w:val="24"/>
          <w:lang w:eastAsia="zh-CN"/>
        </w:rPr>
        <w:t>海南和顺项目管理有限公司</w:t>
      </w:r>
    </w:p>
    <w:p>
      <w:pPr>
        <w:snapToGrid w:val="0"/>
        <w:spacing w:line="276" w:lineRule="auto"/>
        <w:ind w:firstLine="480" w:firstLineChars="200"/>
        <w:rPr>
          <w:rFonts w:ascii="仿宋" w:hAnsi="仿宋" w:eastAsia="仿宋" w:cs="仿宋"/>
          <w:sz w:val="24"/>
          <w:szCs w:val="24"/>
        </w:rPr>
      </w:pPr>
      <w:r>
        <w:rPr>
          <w:rFonts w:hint="eastAsia" w:ascii="仿宋" w:hAnsi="仿宋" w:eastAsia="仿宋" w:cs="仿宋"/>
          <w:sz w:val="24"/>
          <w:szCs w:val="24"/>
        </w:rPr>
        <w:t>贵公司</w:t>
      </w:r>
      <w:r>
        <w:rPr>
          <w:rFonts w:hint="eastAsia" w:ascii="仿宋" w:hAnsi="仿宋" w:eastAsia="仿宋" w:cs="仿宋"/>
          <w:sz w:val="24"/>
          <w:szCs w:val="24"/>
          <w:u w:val="single"/>
          <w:lang w:eastAsia="zh-CN"/>
        </w:rPr>
        <w:t>计算机财务共享中心</w:t>
      </w:r>
      <w:r>
        <w:rPr>
          <w:rFonts w:hint="eastAsia" w:ascii="仿宋" w:hAnsi="仿宋" w:eastAsia="仿宋" w:cs="仿宋"/>
          <w:sz w:val="24"/>
          <w:szCs w:val="24"/>
          <w:u w:val="single"/>
        </w:rPr>
        <w:t>（</w:t>
      </w:r>
      <w:r>
        <w:rPr>
          <w:rFonts w:hint="eastAsia" w:ascii="仿宋" w:hAnsi="仿宋" w:eastAsia="仿宋" w:cs="仿宋"/>
          <w:sz w:val="24"/>
          <w:szCs w:val="24"/>
          <w:u w:val="single"/>
          <w:lang w:eastAsia="zh-CN"/>
        </w:rPr>
        <w:t>HNHS-2024-019</w:t>
      </w:r>
      <w:r>
        <w:rPr>
          <w:rFonts w:hint="eastAsia" w:ascii="仿宋" w:hAnsi="仿宋" w:eastAsia="仿宋" w:cs="仿宋"/>
          <w:sz w:val="24"/>
          <w:szCs w:val="24"/>
          <w:u w:val="single"/>
        </w:rPr>
        <w:t>）</w:t>
      </w:r>
      <w:r>
        <w:rPr>
          <w:rFonts w:hint="eastAsia" w:ascii="仿宋" w:hAnsi="仿宋" w:eastAsia="仿宋" w:cs="仿宋"/>
          <w:sz w:val="24"/>
          <w:szCs w:val="24"/>
        </w:rPr>
        <w:t>磋商文件（包括更正公告，如有）收悉，我们经详细审阅和研究，现决定参加本项目的投标。我方正式授权</w:t>
      </w:r>
      <w:r>
        <w:rPr>
          <w:rFonts w:hint="eastAsia" w:ascii="仿宋" w:hAnsi="仿宋" w:eastAsia="仿宋" w:cs="仿宋"/>
          <w:sz w:val="24"/>
          <w:szCs w:val="24"/>
          <w:u w:val="single"/>
        </w:rPr>
        <w:t xml:space="preserve">        </w:t>
      </w:r>
      <w:r>
        <w:rPr>
          <w:rFonts w:hint="eastAsia" w:ascii="仿宋" w:hAnsi="仿宋" w:eastAsia="仿宋" w:cs="仿宋"/>
          <w:sz w:val="24"/>
          <w:szCs w:val="24"/>
        </w:rPr>
        <w:t>(授权代表全名, 职务，身份证号)代表我方进行有关本投标的一切事宜。</w:t>
      </w:r>
    </w:p>
    <w:p>
      <w:pPr>
        <w:snapToGrid w:val="0"/>
        <w:spacing w:line="276" w:lineRule="auto"/>
        <w:ind w:firstLine="480" w:firstLineChars="200"/>
        <w:rPr>
          <w:rFonts w:ascii="仿宋" w:hAnsi="仿宋" w:eastAsia="仿宋" w:cs="仿宋"/>
          <w:sz w:val="24"/>
          <w:szCs w:val="24"/>
        </w:rPr>
      </w:pPr>
      <w:r>
        <w:rPr>
          <w:rFonts w:hint="eastAsia" w:ascii="仿宋" w:hAnsi="仿宋" w:eastAsia="仿宋" w:cs="仿宋"/>
          <w:sz w:val="24"/>
        </w:rPr>
        <w:t>磋商响应文件包括并不限于磋商文件要求的内容。我方已完全明白磋商文件的所有条款要求，并重申以下几点：</w:t>
      </w:r>
    </w:p>
    <w:p>
      <w:pPr>
        <w:snapToGrid w:val="0"/>
        <w:spacing w:line="276" w:lineRule="auto"/>
        <w:ind w:firstLine="480" w:firstLineChars="200"/>
        <w:rPr>
          <w:rFonts w:ascii="仿宋" w:hAnsi="仿宋" w:eastAsia="仿宋" w:cs="仿宋"/>
          <w:sz w:val="24"/>
          <w:szCs w:val="24"/>
        </w:rPr>
      </w:pPr>
      <w:r>
        <w:rPr>
          <w:rFonts w:hint="eastAsia" w:ascii="仿宋" w:hAnsi="仿宋" w:eastAsia="仿宋" w:cs="仿宋"/>
          <w:sz w:val="24"/>
          <w:szCs w:val="24"/>
        </w:rPr>
        <w:t>（1）我方满足《政府采购法》第二十二款的规定，在法律、财务和运作上符合磋商文件对咨询公司的资格要求，我方承诺提供满足“采购需求书”的相应服务，提交所有文件和全部说明是真实的和正确的。</w:t>
      </w:r>
    </w:p>
    <w:p>
      <w:pPr>
        <w:snapToGrid w:val="0"/>
        <w:spacing w:line="276" w:lineRule="auto"/>
        <w:ind w:firstLine="420"/>
        <w:rPr>
          <w:rFonts w:ascii="仿宋" w:hAnsi="仿宋" w:eastAsia="仿宋" w:cs="仿宋"/>
          <w:sz w:val="24"/>
          <w:szCs w:val="24"/>
        </w:rPr>
      </w:pPr>
      <w:r>
        <w:rPr>
          <w:rFonts w:hint="eastAsia" w:ascii="仿宋" w:hAnsi="仿宋" w:eastAsia="仿宋" w:cs="仿宋"/>
          <w:sz w:val="24"/>
          <w:szCs w:val="24"/>
        </w:rPr>
        <w:t>（2）我们接受磋商文件的所有的条款和规定。</w:t>
      </w:r>
    </w:p>
    <w:p>
      <w:pPr>
        <w:snapToGrid w:val="0"/>
        <w:spacing w:line="276" w:lineRule="auto"/>
        <w:ind w:firstLine="420"/>
        <w:rPr>
          <w:rFonts w:ascii="仿宋" w:hAnsi="仿宋" w:eastAsia="仿宋" w:cs="仿宋"/>
          <w:sz w:val="24"/>
          <w:szCs w:val="24"/>
        </w:rPr>
      </w:pPr>
      <w:r>
        <w:rPr>
          <w:rFonts w:hint="eastAsia" w:ascii="仿宋" w:hAnsi="仿宋" w:eastAsia="仿宋" w:cs="仿宋"/>
          <w:sz w:val="24"/>
          <w:szCs w:val="24"/>
        </w:rPr>
        <w:t>（3）我方本项目的投标总报价为：人民币</w:t>
      </w:r>
      <w:r>
        <w:rPr>
          <w:rFonts w:hint="eastAsia" w:ascii="仿宋" w:hAnsi="仿宋" w:eastAsia="仿宋" w:cs="仿宋"/>
          <w:sz w:val="24"/>
          <w:szCs w:val="24"/>
          <w:u w:val="single"/>
        </w:rPr>
        <w:t xml:space="preserve">　  </w:t>
      </w:r>
      <w:r>
        <w:rPr>
          <w:rFonts w:hint="eastAsia" w:ascii="仿宋" w:hAnsi="仿宋" w:eastAsia="仿宋" w:cs="仿宋"/>
          <w:b/>
          <w:sz w:val="24"/>
          <w:szCs w:val="24"/>
          <w:u w:val="single"/>
        </w:rPr>
        <w:t>（大写）</w:t>
      </w:r>
      <w:r>
        <w:rPr>
          <w:rFonts w:hint="eastAsia" w:ascii="仿宋" w:hAnsi="仿宋" w:eastAsia="仿宋" w:cs="仿宋"/>
          <w:sz w:val="24"/>
          <w:szCs w:val="24"/>
          <w:u w:val="single"/>
        </w:rPr>
        <w:t>　</w:t>
      </w:r>
      <w:r>
        <w:rPr>
          <w:rFonts w:hint="eastAsia" w:ascii="仿宋" w:hAnsi="仿宋" w:eastAsia="仿宋" w:cs="仿宋"/>
          <w:sz w:val="24"/>
          <w:szCs w:val="24"/>
        </w:rPr>
        <w:t>元（￥</w:t>
      </w:r>
      <w:r>
        <w:rPr>
          <w:rFonts w:hint="eastAsia" w:ascii="仿宋" w:hAnsi="仿宋" w:eastAsia="仿宋" w:cs="仿宋"/>
          <w:b/>
          <w:sz w:val="24"/>
          <w:szCs w:val="24"/>
          <w:u w:val="single"/>
        </w:rPr>
        <w:t>（小写）</w:t>
      </w:r>
      <w:r>
        <w:rPr>
          <w:rFonts w:hint="eastAsia" w:ascii="仿宋" w:hAnsi="仿宋" w:eastAsia="仿宋" w:cs="仿宋"/>
          <w:sz w:val="24"/>
          <w:szCs w:val="24"/>
        </w:rPr>
        <w:t>元）。</w:t>
      </w:r>
    </w:p>
    <w:p>
      <w:pPr>
        <w:snapToGrid w:val="0"/>
        <w:spacing w:line="276" w:lineRule="auto"/>
        <w:ind w:firstLine="420"/>
        <w:rPr>
          <w:rFonts w:ascii="仿宋" w:hAnsi="仿宋" w:eastAsia="仿宋" w:cs="仿宋"/>
          <w:sz w:val="24"/>
          <w:szCs w:val="24"/>
        </w:rPr>
      </w:pPr>
      <w:r>
        <w:rPr>
          <w:rFonts w:hint="eastAsia" w:ascii="仿宋" w:hAnsi="仿宋" w:eastAsia="仿宋" w:cs="仿宋"/>
          <w:sz w:val="24"/>
          <w:szCs w:val="24"/>
        </w:rPr>
        <w:t>（4）合同履行期限为：</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napToGrid w:val="0"/>
        <w:spacing w:line="276" w:lineRule="auto"/>
        <w:ind w:firstLine="420"/>
        <w:rPr>
          <w:rFonts w:ascii="仿宋" w:hAnsi="仿宋" w:eastAsia="仿宋" w:cs="仿宋"/>
          <w:sz w:val="24"/>
          <w:szCs w:val="24"/>
        </w:rPr>
      </w:pPr>
      <w:r>
        <w:rPr>
          <w:rFonts w:hint="eastAsia" w:ascii="仿宋" w:hAnsi="仿宋" w:eastAsia="仿宋" w:cs="仿宋"/>
          <w:sz w:val="24"/>
          <w:szCs w:val="24"/>
        </w:rPr>
        <w:t>（5）已按要求缴纳磋商保证金，金额为人民币</w:t>
      </w:r>
      <w:r>
        <w:rPr>
          <w:rFonts w:hint="eastAsia" w:ascii="仿宋" w:hAnsi="仿宋" w:eastAsia="仿宋" w:cs="仿宋"/>
          <w:sz w:val="24"/>
          <w:szCs w:val="24"/>
          <w:u w:val="single"/>
        </w:rPr>
        <w:t xml:space="preserve">　  </w:t>
      </w:r>
      <w:r>
        <w:rPr>
          <w:rFonts w:hint="eastAsia" w:ascii="仿宋" w:hAnsi="仿宋" w:eastAsia="仿宋" w:cs="仿宋"/>
          <w:b/>
          <w:sz w:val="24"/>
          <w:szCs w:val="24"/>
          <w:u w:val="single"/>
        </w:rPr>
        <w:t>（大写）</w:t>
      </w:r>
      <w:r>
        <w:rPr>
          <w:rFonts w:hint="eastAsia" w:ascii="仿宋" w:hAnsi="仿宋" w:eastAsia="仿宋" w:cs="仿宋"/>
          <w:sz w:val="24"/>
          <w:szCs w:val="24"/>
          <w:u w:val="single"/>
        </w:rPr>
        <w:t>　</w:t>
      </w:r>
      <w:r>
        <w:rPr>
          <w:rFonts w:hint="eastAsia" w:ascii="仿宋" w:hAnsi="仿宋" w:eastAsia="仿宋" w:cs="仿宋"/>
          <w:sz w:val="24"/>
          <w:szCs w:val="24"/>
        </w:rPr>
        <w:t>元（￥</w:t>
      </w:r>
      <w:r>
        <w:rPr>
          <w:rFonts w:hint="eastAsia" w:ascii="仿宋" w:hAnsi="仿宋" w:eastAsia="仿宋" w:cs="仿宋"/>
          <w:b/>
          <w:sz w:val="24"/>
          <w:szCs w:val="24"/>
          <w:u w:val="single"/>
        </w:rPr>
        <w:t>（小写）</w:t>
      </w:r>
      <w:r>
        <w:rPr>
          <w:rFonts w:hint="eastAsia" w:ascii="仿宋" w:hAnsi="仿宋" w:eastAsia="仿宋" w:cs="仿宋"/>
          <w:sz w:val="24"/>
          <w:szCs w:val="24"/>
        </w:rPr>
        <w:t>元）。</w:t>
      </w:r>
    </w:p>
    <w:p>
      <w:pPr>
        <w:snapToGrid w:val="0"/>
        <w:spacing w:line="276" w:lineRule="auto"/>
        <w:ind w:firstLine="420"/>
        <w:rPr>
          <w:rFonts w:ascii="仿宋" w:hAnsi="仿宋" w:eastAsia="仿宋" w:cs="仿宋"/>
          <w:sz w:val="24"/>
          <w:szCs w:val="24"/>
        </w:rPr>
      </w:pPr>
      <w:r>
        <w:rPr>
          <w:rFonts w:hint="eastAsia" w:ascii="仿宋" w:hAnsi="仿宋" w:eastAsia="仿宋" w:cs="仿宋"/>
          <w:sz w:val="24"/>
          <w:szCs w:val="24"/>
        </w:rPr>
        <w:t>（6）我们同意按照磋商文件第三章“供应商须知前附表”第11项的规定，本磋商响应文件的有效期为</w:t>
      </w:r>
      <w:r>
        <w:rPr>
          <w:rFonts w:hint="eastAsia" w:ascii="仿宋" w:hAnsi="仿宋" w:eastAsia="仿宋" w:cs="仿宋"/>
          <w:color w:val="auto"/>
          <w:sz w:val="24"/>
          <w:szCs w:val="24"/>
        </w:rPr>
        <w:t>开标截止之日起计算的</w:t>
      </w:r>
      <w:r>
        <w:rPr>
          <w:rFonts w:hint="eastAsia" w:ascii="仿宋" w:hAnsi="仿宋" w:eastAsia="仿宋" w:cs="仿宋"/>
          <w:color w:val="auto"/>
          <w:sz w:val="24"/>
          <w:szCs w:val="24"/>
          <w:u w:val="single"/>
        </w:rPr>
        <w:t>60</w:t>
      </w:r>
      <w:r>
        <w:rPr>
          <w:rFonts w:hint="eastAsia" w:ascii="仿宋" w:hAnsi="仿宋" w:eastAsia="仿宋" w:cs="仿宋"/>
          <w:color w:val="auto"/>
          <w:sz w:val="24"/>
          <w:szCs w:val="24"/>
        </w:rPr>
        <w:t>天</w:t>
      </w:r>
      <w:r>
        <w:rPr>
          <w:rFonts w:hint="eastAsia" w:ascii="仿宋" w:hAnsi="仿宋" w:eastAsia="仿宋" w:cs="仿宋"/>
          <w:sz w:val="24"/>
          <w:szCs w:val="24"/>
        </w:rPr>
        <w:t>，在此期间，本磋商响应文件将始终对我们具有约束力，并可随时被接受。如果我们中标，本磋商响应文件在此期间之后将继续保持有效。</w:t>
      </w:r>
    </w:p>
    <w:p>
      <w:pPr>
        <w:snapToGrid w:val="0"/>
        <w:spacing w:line="276" w:lineRule="auto"/>
        <w:rPr>
          <w:rFonts w:ascii="仿宋" w:hAnsi="仿宋" w:eastAsia="仿宋" w:cs="仿宋"/>
          <w:sz w:val="24"/>
          <w:szCs w:val="24"/>
        </w:rPr>
      </w:pPr>
      <w:r>
        <w:rPr>
          <w:rFonts w:hint="eastAsia" w:ascii="仿宋" w:hAnsi="仿宋" w:eastAsia="仿宋" w:cs="仿宋"/>
          <w:sz w:val="24"/>
          <w:szCs w:val="24"/>
        </w:rPr>
        <w:t xml:space="preserve">    （7）我们同意提供采购人要求的有关本次采购的所有资料。</w:t>
      </w:r>
    </w:p>
    <w:p>
      <w:pPr>
        <w:snapToGrid w:val="0"/>
        <w:spacing w:line="276" w:lineRule="auto"/>
        <w:rPr>
          <w:rFonts w:ascii="仿宋" w:hAnsi="仿宋" w:eastAsia="仿宋" w:cs="仿宋"/>
          <w:sz w:val="24"/>
          <w:szCs w:val="24"/>
        </w:rPr>
      </w:pPr>
      <w:r>
        <w:rPr>
          <w:rFonts w:hint="eastAsia" w:ascii="仿宋" w:hAnsi="仿宋" w:eastAsia="仿宋" w:cs="仿宋"/>
          <w:sz w:val="24"/>
          <w:szCs w:val="24"/>
        </w:rPr>
        <w:t xml:space="preserve">    （8）我们理解，你们无义务必须接受投标价最低的投标，并有权拒绝所有的投标。同时也理解你们不承担我们本次投标的费用。</w:t>
      </w:r>
    </w:p>
    <w:p>
      <w:pPr>
        <w:snapToGrid w:val="0"/>
        <w:spacing w:line="276" w:lineRule="auto"/>
        <w:rPr>
          <w:rFonts w:ascii="仿宋" w:hAnsi="仿宋" w:eastAsia="仿宋" w:cs="仿宋"/>
          <w:sz w:val="24"/>
          <w:szCs w:val="24"/>
        </w:rPr>
      </w:pPr>
      <w:r>
        <w:rPr>
          <w:rFonts w:hint="eastAsia" w:ascii="仿宋" w:hAnsi="仿宋" w:eastAsia="仿宋" w:cs="仿宋"/>
          <w:sz w:val="24"/>
          <w:szCs w:val="24"/>
        </w:rPr>
        <w:t xml:space="preserve">    （9）如果我们中标，为执行合同，我们将按采购有关要求提供必要的履约保证金。</w:t>
      </w:r>
    </w:p>
    <w:p>
      <w:pPr>
        <w:pStyle w:val="29"/>
        <w:tabs>
          <w:tab w:val="left" w:pos="5580"/>
        </w:tabs>
        <w:spacing w:line="276" w:lineRule="auto"/>
        <w:ind w:left="180"/>
        <w:rPr>
          <w:rFonts w:ascii="仿宋" w:hAnsi="仿宋" w:eastAsia="仿宋" w:cs="仿宋"/>
          <w:sz w:val="24"/>
          <w:szCs w:val="24"/>
        </w:rPr>
      </w:pPr>
      <w:r>
        <w:rPr>
          <w:rFonts w:hint="eastAsia" w:ascii="仿宋" w:hAnsi="仿宋" w:eastAsia="仿宋" w:cs="仿宋"/>
          <w:sz w:val="24"/>
          <w:szCs w:val="24"/>
        </w:rPr>
        <w:t>与本投标有关的一切正式往来信函请寄：</w:t>
      </w:r>
    </w:p>
    <w:p>
      <w:pPr>
        <w:pStyle w:val="29"/>
        <w:tabs>
          <w:tab w:val="left" w:pos="5580"/>
        </w:tabs>
        <w:spacing w:line="276" w:lineRule="auto"/>
        <w:ind w:left="420"/>
        <w:rPr>
          <w:rFonts w:ascii="仿宋" w:hAnsi="仿宋" w:eastAsia="仿宋" w:cs="仿宋"/>
          <w:sz w:val="24"/>
          <w:szCs w:val="24"/>
        </w:rPr>
      </w:pPr>
      <w:r>
        <w:rPr>
          <w:rFonts w:hint="eastAsia" w:ascii="仿宋" w:hAnsi="仿宋" w:eastAsia="仿宋" w:cs="仿宋"/>
          <w:sz w:val="24"/>
          <w:szCs w:val="24"/>
        </w:rPr>
        <w:t>地址_________________________    传真____________________________</w:t>
      </w:r>
    </w:p>
    <w:p>
      <w:pPr>
        <w:pStyle w:val="29"/>
        <w:tabs>
          <w:tab w:val="left" w:pos="5580"/>
        </w:tabs>
        <w:spacing w:line="276" w:lineRule="auto"/>
        <w:ind w:left="420"/>
        <w:rPr>
          <w:rFonts w:ascii="仿宋" w:hAnsi="仿宋" w:eastAsia="仿宋" w:cs="仿宋"/>
          <w:sz w:val="24"/>
          <w:szCs w:val="24"/>
        </w:rPr>
      </w:pPr>
      <w:r>
        <w:rPr>
          <w:rFonts w:hint="eastAsia" w:ascii="仿宋" w:hAnsi="仿宋" w:eastAsia="仿宋" w:cs="仿宋"/>
          <w:sz w:val="24"/>
          <w:szCs w:val="24"/>
        </w:rPr>
        <w:t>电话_________________________    电子函件________________________</w:t>
      </w:r>
    </w:p>
    <w:p>
      <w:pPr>
        <w:pStyle w:val="29"/>
        <w:tabs>
          <w:tab w:val="left" w:pos="5580"/>
        </w:tabs>
        <w:spacing w:line="276" w:lineRule="auto"/>
        <w:ind w:left="420"/>
        <w:rPr>
          <w:rFonts w:ascii="仿宋" w:hAnsi="仿宋" w:eastAsia="仿宋" w:cs="仿宋"/>
          <w:sz w:val="24"/>
          <w:szCs w:val="24"/>
          <w:u w:val="single"/>
        </w:rPr>
      </w:pPr>
      <w:r>
        <w:rPr>
          <w:rFonts w:hint="eastAsia" w:ascii="仿宋" w:hAnsi="仿宋" w:eastAsia="仿宋" w:cs="仿宋"/>
          <w:sz w:val="24"/>
          <w:szCs w:val="24"/>
        </w:rPr>
        <w:t>供应商授权代表签字：</w:t>
      </w:r>
    </w:p>
    <w:p>
      <w:pPr>
        <w:pStyle w:val="29"/>
        <w:tabs>
          <w:tab w:val="left" w:pos="5580"/>
        </w:tabs>
        <w:spacing w:line="276" w:lineRule="auto"/>
        <w:ind w:left="420"/>
        <w:rPr>
          <w:rFonts w:ascii="仿宋" w:hAnsi="仿宋" w:eastAsia="仿宋" w:cs="仿宋"/>
          <w:sz w:val="24"/>
          <w:szCs w:val="24"/>
        </w:rPr>
      </w:pPr>
      <w:r>
        <w:rPr>
          <w:rFonts w:hint="eastAsia" w:ascii="仿宋" w:hAnsi="仿宋" w:eastAsia="仿宋" w:cs="仿宋"/>
          <w:sz w:val="24"/>
          <w:szCs w:val="24"/>
        </w:rPr>
        <w:t>供应商名称（全称）（公章）：</w:t>
      </w:r>
    </w:p>
    <w:p>
      <w:pPr>
        <w:pStyle w:val="29"/>
        <w:tabs>
          <w:tab w:val="left" w:pos="5580"/>
        </w:tabs>
        <w:spacing w:line="276" w:lineRule="auto"/>
        <w:ind w:left="420"/>
        <w:rPr>
          <w:rFonts w:ascii="仿宋" w:hAnsi="仿宋" w:eastAsia="仿宋" w:cs="仿宋"/>
          <w:sz w:val="24"/>
          <w:szCs w:val="24"/>
        </w:rPr>
      </w:pPr>
      <w:r>
        <w:rPr>
          <w:rFonts w:hint="eastAsia" w:ascii="仿宋" w:hAnsi="仿宋" w:eastAsia="仿宋" w:cs="仿宋"/>
          <w:sz w:val="24"/>
          <w:szCs w:val="24"/>
        </w:rPr>
        <w:t>供应商开户银行（全称）</w:t>
      </w:r>
      <w:r>
        <w:rPr>
          <w:rFonts w:hint="eastAsia" w:ascii="仿宋" w:hAnsi="仿宋" w:eastAsia="仿宋" w:cs="仿宋"/>
          <w:sz w:val="24"/>
          <w:szCs w:val="24"/>
          <w:u w:val="single"/>
        </w:rPr>
        <w:t xml:space="preserve">　　　　　　 </w:t>
      </w:r>
    </w:p>
    <w:p>
      <w:pPr>
        <w:pStyle w:val="29"/>
        <w:tabs>
          <w:tab w:val="left" w:pos="5580"/>
        </w:tabs>
        <w:spacing w:line="276" w:lineRule="auto"/>
        <w:ind w:left="420"/>
        <w:rPr>
          <w:rFonts w:ascii="仿宋" w:hAnsi="仿宋" w:eastAsia="仿宋" w:cs="仿宋"/>
          <w:sz w:val="24"/>
          <w:szCs w:val="24"/>
        </w:rPr>
      </w:pPr>
      <w:r>
        <w:rPr>
          <w:rFonts w:hint="eastAsia" w:ascii="仿宋" w:hAnsi="仿宋" w:eastAsia="仿宋" w:cs="仿宋"/>
          <w:sz w:val="24"/>
          <w:szCs w:val="24"/>
        </w:rPr>
        <w:t>供应商银行帐号</w:t>
      </w:r>
      <w:r>
        <w:rPr>
          <w:rFonts w:hint="eastAsia" w:ascii="仿宋" w:hAnsi="仿宋" w:eastAsia="仿宋" w:cs="仿宋"/>
          <w:sz w:val="24"/>
          <w:szCs w:val="24"/>
          <w:u w:val="single"/>
        </w:rPr>
        <w:t>　　　　　　　　　　</w:t>
      </w:r>
    </w:p>
    <w:p>
      <w:pPr>
        <w:pStyle w:val="29"/>
        <w:tabs>
          <w:tab w:val="left" w:pos="5580"/>
        </w:tabs>
        <w:spacing w:line="276" w:lineRule="auto"/>
        <w:jc w:val="right"/>
        <w:rPr>
          <w:rFonts w:hint="eastAsia" w:ascii="仿宋" w:hAnsi="仿宋" w:eastAsia="仿宋" w:cs="仿宋"/>
          <w:sz w:val="24"/>
          <w:szCs w:val="24"/>
        </w:rPr>
        <w:sectPr>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sz w:val="24"/>
          <w:szCs w:val="24"/>
        </w:rPr>
        <w:t>日 期：     年  月  日</w:t>
      </w:r>
    </w:p>
    <w:p>
      <w:pPr>
        <w:pStyle w:val="29"/>
        <w:tabs>
          <w:tab w:val="left" w:pos="5580"/>
        </w:tabs>
        <w:spacing w:line="276" w:lineRule="auto"/>
        <w:jc w:val="right"/>
        <w:rPr>
          <w:rFonts w:hint="eastAsia" w:ascii="仿宋" w:hAnsi="仿宋" w:eastAsia="仿宋" w:cs="仿宋"/>
          <w:sz w:val="24"/>
          <w:szCs w:val="24"/>
        </w:rPr>
      </w:pPr>
    </w:p>
    <w:p>
      <w:pPr>
        <w:pStyle w:val="3"/>
        <w:pageBreakBefore w:val="0"/>
        <w:numPr>
          <w:ilvl w:val="0"/>
          <w:numId w:val="0"/>
        </w:numPr>
        <w:tabs>
          <w:tab w:val="left" w:pos="5580"/>
        </w:tabs>
        <w:spacing w:before="0" w:after="0" w:line="22" w:lineRule="atLeast"/>
        <w:rPr>
          <w:rFonts w:hint="eastAsia" w:ascii="仿宋" w:hAnsi="仿宋" w:eastAsia="仿宋" w:cs="仿宋"/>
          <w:b/>
          <w:bCs w:val="0"/>
          <w:kern w:val="0"/>
          <w:sz w:val="28"/>
          <w:szCs w:val="28"/>
        </w:rPr>
      </w:pPr>
      <w:r>
        <w:rPr>
          <w:rFonts w:hint="eastAsia" w:ascii="仿宋" w:hAnsi="仿宋" w:eastAsia="仿宋" w:cs="仿宋"/>
          <w:b/>
          <w:bCs w:val="0"/>
          <w:kern w:val="0"/>
          <w:sz w:val="28"/>
          <w:szCs w:val="28"/>
          <w:lang w:val="en-US" w:eastAsia="zh-CN"/>
        </w:rPr>
        <w:t>2、</w:t>
      </w:r>
      <w:r>
        <w:rPr>
          <w:rFonts w:hint="eastAsia" w:ascii="仿宋" w:hAnsi="仿宋" w:eastAsia="仿宋" w:cs="仿宋"/>
          <w:b/>
          <w:bCs w:val="0"/>
          <w:kern w:val="0"/>
          <w:sz w:val="28"/>
          <w:szCs w:val="28"/>
        </w:rPr>
        <w:t>开标一览表（附件2）</w:t>
      </w:r>
    </w:p>
    <w:p>
      <w:pPr>
        <w:jc w:val="center"/>
        <w:rPr>
          <w:rFonts w:ascii="仿宋" w:hAnsi="仿宋" w:eastAsia="仿宋" w:cs="仿宋"/>
          <w:b/>
          <w:sz w:val="36"/>
        </w:rPr>
      </w:pPr>
      <w:r>
        <w:rPr>
          <w:rFonts w:hint="eastAsia" w:ascii="仿宋" w:hAnsi="仿宋" w:eastAsia="仿宋" w:cs="仿宋"/>
          <w:b/>
          <w:sz w:val="36"/>
        </w:rPr>
        <w:t>开标一览表</w:t>
      </w:r>
    </w:p>
    <w:p>
      <w:pPr>
        <w:ind w:left="1080" w:hanging="1080" w:hangingChars="450"/>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计算机财务共享中心</w:t>
      </w:r>
    </w:p>
    <w:p>
      <w:pPr>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eastAsia="zh-CN"/>
        </w:rPr>
        <w:t>HNHS-2024-019</w:t>
      </w:r>
      <w:r>
        <w:rPr>
          <w:rFonts w:hint="eastAsia" w:ascii="仿宋" w:hAnsi="仿宋" w:eastAsia="仿宋" w:cs="仿宋"/>
          <w:sz w:val="24"/>
          <w:szCs w:val="24"/>
        </w:rPr>
        <w:t xml:space="preserve"> </w:t>
      </w:r>
    </w:p>
    <w:p>
      <w:pPr>
        <w:rPr>
          <w:rFonts w:ascii="仿宋" w:hAnsi="仿宋" w:eastAsia="仿宋" w:cs="仿宋"/>
          <w:sz w:val="24"/>
          <w:szCs w:val="24"/>
        </w:rPr>
      </w:pPr>
      <w:r>
        <w:rPr>
          <w:rFonts w:hint="eastAsia" w:ascii="仿宋" w:hAnsi="仿宋" w:eastAsia="仿宋" w:cs="仿宋"/>
          <w:sz w:val="24"/>
          <w:szCs w:val="24"/>
        </w:rPr>
        <w:t xml:space="preserve">                   </w:t>
      </w:r>
    </w:p>
    <w:tbl>
      <w:tblPr>
        <w:tblStyle w:val="56"/>
        <w:tblW w:w="8752" w:type="dxa"/>
        <w:jc w:val="center"/>
        <w:tblLayout w:type="fixed"/>
        <w:tblCellMar>
          <w:top w:w="0" w:type="dxa"/>
          <w:left w:w="30" w:type="dxa"/>
          <w:bottom w:w="0" w:type="dxa"/>
          <w:right w:w="30" w:type="dxa"/>
        </w:tblCellMar>
      </w:tblPr>
      <w:tblGrid>
        <w:gridCol w:w="2527"/>
        <w:gridCol w:w="6225"/>
      </w:tblGrid>
      <w:tr>
        <w:tblPrEx>
          <w:tblCellMar>
            <w:top w:w="0" w:type="dxa"/>
            <w:left w:w="30" w:type="dxa"/>
            <w:bottom w:w="0" w:type="dxa"/>
            <w:right w:w="30" w:type="dxa"/>
          </w:tblCellMar>
        </w:tblPrEx>
        <w:trPr>
          <w:cantSplit/>
          <w:trHeight w:val="983" w:hRule="exact"/>
          <w:jc w:val="center"/>
        </w:trPr>
        <w:tc>
          <w:tcPr>
            <w:tcW w:w="2527" w:type="dxa"/>
            <w:vMerge w:val="restart"/>
            <w:tcBorders>
              <w:top w:val="single" w:color="auto" w:sz="6" w:space="0"/>
              <w:left w:val="single" w:color="auto" w:sz="6" w:space="0"/>
              <w:right w:val="single" w:color="auto" w:sz="4" w:space="0"/>
            </w:tcBorders>
            <w:vAlign w:val="center"/>
          </w:tcPr>
          <w:p>
            <w:pPr>
              <w:autoSpaceDE w:val="0"/>
              <w:autoSpaceDN w:val="0"/>
              <w:adjustRightInd w:val="0"/>
              <w:jc w:val="center"/>
              <w:rPr>
                <w:rFonts w:ascii="仿宋" w:hAnsi="仿宋" w:eastAsia="仿宋" w:cs="仿宋"/>
                <w:sz w:val="24"/>
                <w:szCs w:val="21"/>
              </w:rPr>
            </w:pPr>
            <w:r>
              <w:rPr>
                <w:rFonts w:hint="eastAsia" w:ascii="仿宋" w:hAnsi="仿宋" w:eastAsia="仿宋" w:cs="仿宋"/>
                <w:sz w:val="24"/>
                <w:szCs w:val="21"/>
              </w:rPr>
              <w:t>投标总报价</w:t>
            </w:r>
          </w:p>
          <w:p>
            <w:pPr>
              <w:autoSpaceDE w:val="0"/>
              <w:autoSpaceDN w:val="0"/>
              <w:adjustRightInd w:val="0"/>
              <w:jc w:val="center"/>
              <w:rPr>
                <w:rFonts w:ascii="仿宋" w:hAnsi="仿宋" w:eastAsia="仿宋" w:cs="仿宋"/>
                <w:sz w:val="24"/>
                <w:szCs w:val="21"/>
              </w:rPr>
            </w:pPr>
            <w:r>
              <w:rPr>
                <w:rFonts w:hint="eastAsia" w:ascii="仿宋" w:hAnsi="仿宋" w:eastAsia="仿宋" w:cs="仿宋"/>
                <w:sz w:val="24"/>
                <w:szCs w:val="21"/>
              </w:rPr>
              <w:t>（大小写一致）</w:t>
            </w:r>
          </w:p>
        </w:tc>
        <w:tc>
          <w:tcPr>
            <w:tcW w:w="622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仿宋"/>
                <w:sz w:val="24"/>
                <w:szCs w:val="21"/>
              </w:rPr>
            </w:pPr>
            <w:r>
              <w:rPr>
                <w:rFonts w:hint="eastAsia" w:ascii="仿宋" w:hAnsi="仿宋" w:eastAsia="仿宋" w:cs="仿宋"/>
                <w:sz w:val="24"/>
                <w:szCs w:val="21"/>
              </w:rPr>
              <w:t>（小写）：</w:t>
            </w:r>
          </w:p>
        </w:tc>
      </w:tr>
      <w:tr>
        <w:tblPrEx>
          <w:tblCellMar>
            <w:top w:w="0" w:type="dxa"/>
            <w:left w:w="30" w:type="dxa"/>
            <w:bottom w:w="0" w:type="dxa"/>
            <w:right w:w="30" w:type="dxa"/>
          </w:tblCellMar>
        </w:tblPrEx>
        <w:trPr>
          <w:cantSplit/>
          <w:trHeight w:val="983" w:hRule="exact"/>
          <w:jc w:val="center"/>
        </w:trPr>
        <w:tc>
          <w:tcPr>
            <w:tcW w:w="2527" w:type="dxa"/>
            <w:vMerge w:val="continue"/>
            <w:tcBorders>
              <w:left w:val="single" w:color="auto" w:sz="6"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1"/>
              </w:rPr>
            </w:pPr>
          </w:p>
        </w:tc>
        <w:tc>
          <w:tcPr>
            <w:tcW w:w="622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仿宋"/>
                <w:sz w:val="24"/>
                <w:szCs w:val="21"/>
              </w:rPr>
            </w:pPr>
            <w:r>
              <w:rPr>
                <w:rFonts w:hint="eastAsia" w:ascii="仿宋" w:hAnsi="仿宋" w:eastAsia="仿宋" w:cs="仿宋"/>
                <w:sz w:val="24"/>
                <w:szCs w:val="21"/>
              </w:rPr>
              <w:t>（大写）：</w:t>
            </w:r>
          </w:p>
        </w:tc>
      </w:tr>
      <w:tr>
        <w:tblPrEx>
          <w:tblCellMar>
            <w:top w:w="0" w:type="dxa"/>
            <w:left w:w="30" w:type="dxa"/>
            <w:bottom w:w="0" w:type="dxa"/>
            <w:right w:w="30" w:type="dxa"/>
          </w:tblCellMar>
        </w:tblPrEx>
        <w:trPr>
          <w:cantSplit/>
          <w:trHeight w:val="608" w:hRule="exact"/>
          <w:jc w:val="center"/>
        </w:trPr>
        <w:tc>
          <w:tcPr>
            <w:tcW w:w="252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仿宋"/>
                <w:sz w:val="24"/>
                <w:szCs w:val="21"/>
              </w:rPr>
            </w:pPr>
            <w:r>
              <w:rPr>
                <w:rFonts w:hint="eastAsia" w:ascii="仿宋" w:hAnsi="仿宋" w:eastAsia="仿宋" w:cs="仿宋"/>
                <w:sz w:val="24"/>
                <w:szCs w:val="21"/>
              </w:rPr>
              <w:t>合同履行期限</w:t>
            </w:r>
          </w:p>
        </w:tc>
        <w:tc>
          <w:tcPr>
            <w:tcW w:w="622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szCs w:val="21"/>
              </w:rPr>
            </w:pPr>
          </w:p>
        </w:tc>
      </w:tr>
      <w:tr>
        <w:tblPrEx>
          <w:tblCellMar>
            <w:top w:w="0" w:type="dxa"/>
            <w:left w:w="30" w:type="dxa"/>
            <w:bottom w:w="0" w:type="dxa"/>
            <w:right w:w="30" w:type="dxa"/>
          </w:tblCellMar>
        </w:tblPrEx>
        <w:trPr>
          <w:cantSplit/>
          <w:trHeight w:val="604" w:hRule="exact"/>
          <w:jc w:val="center"/>
        </w:trPr>
        <w:tc>
          <w:tcPr>
            <w:tcW w:w="2527"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sz w:val="24"/>
                <w:szCs w:val="21"/>
              </w:rPr>
            </w:pPr>
            <w:r>
              <w:rPr>
                <w:rFonts w:hint="eastAsia" w:ascii="仿宋" w:hAnsi="仿宋" w:eastAsia="仿宋" w:cs="仿宋"/>
                <w:sz w:val="24"/>
                <w:szCs w:val="21"/>
              </w:rPr>
              <w:t>服务地点</w:t>
            </w:r>
          </w:p>
        </w:tc>
        <w:tc>
          <w:tcPr>
            <w:tcW w:w="622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szCs w:val="21"/>
              </w:rPr>
            </w:pPr>
            <w:r>
              <w:rPr>
                <w:rFonts w:hint="eastAsia" w:ascii="仿宋" w:hAnsi="仿宋" w:eastAsia="仿宋" w:cs="仿宋"/>
                <w:sz w:val="24"/>
                <w:szCs w:val="24"/>
              </w:rPr>
              <w:t xml:space="preserve">  </w:t>
            </w:r>
          </w:p>
        </w:tc>
      </w:tr>
    </w:tbl>
    <w:p>
      <w:pPr>
        <w:rPr>
          <w:rFonts w:ascii="仿宋" w:hAnsi="仿宋" w:eastAsia="仿宋" w:cs="仿宋"/>
          <w:sz w:val="24"/>
          <w:szCs w:val="24"/>
        </w:rPr>
      </w:pPr>
    </w:p>
    <w:p>
      <w:pPr>
        <w:spacing w:line="400" w:lineRule="exact"/>
        <w:rPr>
          <w:rFonts w:ascii="仿宋" w:hAnsi="仿宋" w:eastAsia="仿宋" w:cs="仿宋"/>
          <w:b/>
          <w:sz w:val="24"/>
          <w:szCs w:val="24"/>
        </w:rPr>
      </w:pPr>
      <w:r>
        <w:rPr>
          <w:rFonts w:hint="eastAsia" w:ascii="仿宋" w:hAnsi="仿宋" w:eastAsia="仿宋" w:cs="仿宋"/>
          <w:b/>
          <w:sz w:val="24"/>
          <w:szCs w:val="24"/>
        </w:rPr>
        <w:t>注：本次采购的</w:t>
      </w:r>
      <w:r>
        <w:rPr>
          <w:rFonts w:hint="eastAsia" w:ascii="仿宋" w:hAnsi="仿宋" w:eastAsia="仿宋" w:cs="仿宋"/>
          <w:b/>
          <w:sz w:val="24"/>
          <w:szCs w:val="24"/>
          <w:lang w:val="en-US" w:eastAsia="zh-CN"/>
        </w:rPr>
        <w:t>货物</w:t>
      </w:r>
      <w:r>
        <w:rPr>
          <w:rFonts w:hint="eastAsia" w:ascii="仿宋" w:hAnsi="仿宋" w:eastAsia="仿宋" w:cs="仿宋"/>
          <w:b/>
          <w:sz w:val="24"/>
          <w:szCs w:val="24"/>
        </w:rPr>
        <w:t>报价单位为：人民币元。</w:t>
      </w:r>
    </w:p>
    <w:p>
      <w:pPr>
        <w:widowControl/>
        <w:autoSpaceDE w:val="0"/>
        <w:autoSpaceDN w:val="0"/>
        <w:ind w:firstLine="360" w:firstLineChars="150"/>
        <w:jc w:val="left"/>
        <w:textAlignment w:val="bottom"/>
        <w:rPr>
          <w:rFonts w:ascii="仿宋" w:hAnsi="仿宋" w:eastAsia="仿宋" w:cs="仿宋"/>
          <w:sz w:val="24"/>
          <w:szCs w:val="24"/>
        </w:rPr>
      </w:pPr>
    </w:p>
    <w:p>
      <w:pPr>
        <w:widowControl/>
        <w:autoSpaceDE w:val="0"/>
        <w:autoSpaceDN w:val="0"/>
        <w:spacing w:line="360" w:lineRule="auto"/>
        <w:jc w:val="left"/>
        <w:textAlignment w:val="bottom"/>
        <w:rPr>
          <w:rFonts w:ascii="仿宋" w:hAnsi="仿宋" w:eastAsia="仿宋" w:cs="仿宋"/>
          <w:sz w:val="24"/>
          <w:szCs w:val="24"/>
        </w:rPr>
      </w:pPr>
      <w:r>
        <w:rPr>
          <w:rFonts w:hint="eastAsia" w:ascii="仿宋" w:hAnsi="仿宋" w:eastAsia="仿宋" w:cs="仿宋"/>
          <w:sz w:val="24"/>
          <w:szCs w:val="24"/>
        </w:rPr>
        <w:t>注:1、磋商报价应包括磋商文件所规定的采购范围的全部内容；</w:t>
      </w:r>
    </w:p>
    <w:p>
      <w:pPr>
        <w:widowControl/>
        <w:numPr>
          <w:ilvl w:val="0"/>
          <w:numId w:val="10"/>
        </w:numPr>
        <w:autoSpaceDE w:val="0"/>
        <w:autoSpaceDN w:val="0"/>
        <w:spacing w:line="360" w:lineRule="auto"/>
        <w:ind w:firstLine="360" w:firstLineChars="150"/>
        <w:jc w:val="left"/>
        <w:textAlignment w:val="bottom"/>
        <w:rPr>
          <w:rFonts w:ascii="仿宋" w:hAnsi="仿宋" w:eastAsia="仿宋" w:cs="仿宋"/>
          <w:sz w:val="24"/>
          <w:szCs w:val="24"/>
        </w:rPr>
      </w:pPr>
      <w:r>
        <w:rPr>
          <w:rFonts w:hint="eastAsia" w:ascii="仿宋" w:hAnsi="仿宋" w:eastAsia="仿宋" w:cs="仿宋"/>
          <w:sz w:val="24"/>
          <w:szCs w:val="24"/>
        </w:rPr>
        <w:t>磋商小组发现供应商的报价明显低于其他磋商报价，或者其磋商报价可能低于其成本的，应当要求该供应商作出书面说明并提供相应的证明材料。供应商不能合理说明或者不能提供相应证明材料的，由磋商小组认定该供应商以低于成本报价竞标，其投标作废标处理。</w:t>
      </w:r>
    </w:p>
    <w:p>
      <w:pPr>
        <w:widowControl/>
        <w:autoSpaceDE w:val="0"/>
        <w:autoSpaceDN w:val="0"/>
        <w:spacing w:line="360" w:lineRule="auto"/>
        <w:jc w:val="left"/>
        <w:textAlignment w:val="bottom"/>
        <w:rPr>
          <w:rFonts w:ascii="仿宋" w:hAnsi="仿宋" w:eastAsia="仿宋" w:cs="仿宋"/>
          <w:sz w:val="24"/>
          <w:szCs w:val="24"/>
        </w:rPr>
      </w:pPr>
    </w:p>
    <w:p>
      <w:pPr>
        <w:pStyle w:val="29"/>
        <w:tabs>
          <w:tab w:val="left" w:pos="5580"/>
        </w:tabs>
        <w:spacing w:line="400" w:lineRule="exact"/>
        <w:rPr>
          <w:rFonts w:ascii="仿宋" w:hAnsi="仿宋" w:eastAsia="仿宋" w:cs="仿宋"/>
          <w:sz w:val="24"/>
          <w:szCs w:val="24"/>
        </w:rPr>
      </w:pPr>
      <w:r>
        <w:rPr>
          <w:rFonts w:hint="eastAsia" w:ascii="仿宋" w:hAnsi="仿宋" w:eastAsia="仿宋" w:cs="仿宋"/>
          <w:sz w:val="24"/>
          <w:szCs w:val="24"/>
        </w:rPr>
        <w:t>供应商名称（盖章）：</w:t>
      </w:r>
    </w:p>
    <w:p>
      <w:pPr>
        <w:pStyle w:val="29"/>
        <w:tabs>
          <w:tab w:val="left" w:pos="5580"/>
        </w:tabs>
        <w:spacing w:line="400" w:lineRule="exact"/>
        <w:rPr>
          <w:rFonts w:ascii="仿宋" w:hAnsi="仿宋" w:eastAsia="仿宋" w:cs="仿宋"/>
          <w:sz w:val="24"/>
          <w:szCs w:val="24"/>
          <w:u w:val="single"/>
        </w:rPr>
      </w:pPr>
      <w:r>
        <w:rPr>
          <w:rFonts w:hint="eastAsia" w:ascii="仿宋" w:hAnsi="仿宋" w:eastAsia="仿宋" w:cs="仿宋"/>
          <w:sz w:val="24"/>
          <w:szCs w:val="24"/>
        </w:rPr>
        <w:t>供应商授权代表(签字):</w:t>
      </w:r>
      <w:r>
        <w:rPr>
          <w:rFonts w:hint="eastAsia" w:ascii="仿宋" w:hAnsi="仿宋" w:eastAsia="仿宋" w:cs="仿宋"/>
          <w:sz w:val="24"/>
          <w:szCs w:val="24"/>
          <w:u w:val="single"/>
        </w:rPr>
        <w:tab/>
      </w:r>
    </w:p>
    <w:p>
      <w:pPr>
        <w:pStyle w:val="29"/>
        <w:tabs>
          <w:tab w:val="left" w:pos="5580"/>
        </w:tabs>
        <w:spacing w:line="400" w:lineRule="exact"/>
        <w:rPr>
          <w:rFonts w:hint="eastAsia" w:ascii="仿宋" w:hAnsi="仿宋" w:eastAsia="仿宋" w:cs="仿宋"/>
          <w:sz w:val="24"/>
          <w:szCs w:val="24"/>
        </w:rPr>
        <w:sectPr>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sz w:val="24"/>
          <w:szCs w:val="24"/>
        </w:rPr>
        <w:t>日期：     年   月   日</w:t>
      </w:r>
    </w:p>
    <w:p>
      <w:pPr>
        <w:pStyle w:val="29"/>
        <w:ind w:firstLine="560" w:firstLineChars="200"/>
        <w:jc w:val="center"/>
        <w:rPr>
          <w:rFonts w:hint="eastAsia" w:ascii="仿宋" w:hAnsi="仿宋" w:eastAsia="仿宋" w:cs="仿宋"/>
          <w:color w:val="auto"/>
          <w:sz w:val="24"/>
          <w:szCs w:val="24"/>
        </w:rPr>
      </w:pPr>
      <w:r>
        <w:rPr>
          <w:rFonts w:hint="eastAsia" w:ascii="仿宋" w:hAnsi="仿宋" w:eastAsia="仿宋" w:cs="仿宋"/>
          <w:bCs/>
          <w:color w:val="auto"/>
          <w:sz w:val="28"/>
          <w:szCs w:val="28"/>
        </w:rPr>
        <w:t>分项价格表（如有，格式自拟）</w:t>
      </w:r>
    </w:p>
    <w:p>
      <w:pPr>
        <w:pStyle w:val="29"/>
        <w:spacing w:line="360" w:lineRule="auto"/>
        <w:ind w:firstLine="480" w:firstLineChars="200"/>
        <w:rPr>
          <w:rFonts w:hint="eastAsia" w:ascii="仿宋" w:hAnsi="仿宋" w:eastAsia="仿宋" w:cs="仿宋"/>
          <w:color w:val="auto"/>
          <w:sz w:val="24"/>
          <w:szCs w:val="24"/>
        </w:rPr>
      </w:pPr>
    </w:p>
    <w:p>
      <w:pPr>
        <w:pStyle w:val="2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lang w:eastAsia="zh-CN"/>
        </w:rPr>
        <w:t>计算机财务共享中心</w:t>
      </w:r>
      <w:r>
        <w:rPr>
          <w:rFonts w:hint="eastAsia" w:ascii="仿宋" w:hAnsi="仿宋" w:eastAsia="仿宋" w:cs="仿宋"/>
          <w:color w:val="auto"/>
          <w:sz w:val="24"/>
          <w:szCs w:val="24"/>
        </w:rPr>
        <w:t>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w:t>
      </w:r>
    </w:p>
    <w:p>
      <w:pPr>
        <w:pStyle w:val="2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金额单位：元</w:t>
      </w:r>
    </w:p>
    <w:tbl>
      <w:tblPr>
        <w:tblStyle w:val="56"/>
        <w:tblW w:w="15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23"/>
        <w:gridCol w:w="2453"/>
        <w:gridCol w:w="1637"/>
        <w:gridCol w:w="2269"/>
        <w:gridCol w:w="2371"/>
        <w:gridCol w:w="216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647"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序号</w:t>
            </w:r>
          </w:p>
        </w:tc>
        <w:tc>
          <w:tcPr>
            <w:tcW w:w="1923" w:type="dxa"/>
            <w:vAlign w:val="center"/>
          </w:tcPr>
          <w:p>
            <w:pPr>
              <w:pStyle w:val="29"/>
              <w:jc w:val="center"/>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采购品目名称</w:t>
            </w:r>
          </w:p>
        </w:tc>
        <w:tc>
          <w:tcPr>
            <w:tcW w:w="2453" w:type="dxa"/>
            <w:vAlign w:val="center"/>
          </w:tcPr>
          <w:p>
            <w:pPr>
              <w:pStyle w:val="29"/>
              <w:jc w:val="center"/>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厂商</w:t>
            </w:r>
          </w:p>
        </w:tc>
        <w:tc>
          <w:tcPr>
            <w:tcW w:w="1637" w:type="dxa"/>
            <w:vAlign w:val="center"/>
          </w:tcPr>
          <w:p>
            <w:pPr>
              <w:pStyle w:val="29"/>
              <w:jc w:val="center"/>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品牌、规格型号</w:t>
            </w:r>
          </w:p>
        </w:tc>
        <w:tc>
          <w:tcPr>
            <w:tcW w:w="2269" w:type="dxa"/>
            <w:vAlign w:val="center"/>
          </w:tcPr>
          <w:p>
            <w:pPr>
              <w:pStyle w:val="29"/>
              <w:jc w:val="center"/>
              <w:rPr>
                <w:rFonts w:hint="default" w:ascii="仿宋" w:hAnsi="仿宋" w:eastAsia="仿宋" w:cs="仿宋"/>
                <w:color w:val="auto"/>
                <w:kern w:val="2"/>
                <w:sz w:val="24"/>
                <w:szCs w:val="24"/>
                <w:lang w:val="en-US" w:eastAsia="zh-CN"/>
              </w:rPr>
            </w:pPr>
            <w:r>
              <w:rPr>
                <w:rFonts w:hint="eastAsia" w:ascii="仿宋" w:hAnsi="仿宋" w:eastAsia="仿宋" w:cs="仿宋"/>
                <w:b w:val="0"/>
                <w:bCs w:val="0"/>
                <w:sz w:val="24"/>
                <w:szCs w:val="24"/>
              </w:rPr>
              <w:t>数量/单位</w:t>
            </w:r>
          </w:p>
        </w:tc>
        <w:tc>
          <w:tcPr>
            <w:tcW w:w="2371" w:type="dxa"/>
            <w:vAlign w:val="center"/>
          </w:tcPr>
          <w:p>
            <w:pPr>
              <w:pStyle w:val="29"/>
              <w:jc w:val="center"/>
              <w:rPr>
                <w:rFonts w:hint="default"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单价</w:t>
            </w:r>
          </w:p>
        </w:tc>
        <w:tc>
          <w:tcPr>
            <w:tcW w:w="2167" w:type="dxa"/>
            <w:vAlign w:val="center"/>
          </w:tcPr>
          <w:p>
            <w:pPr>
              <w:pStyle w:val="29"/>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单项总价</w:t>
            </w:r>
          </w:p>
        </w:tc>
        <w:tc>
          <w:tcPr>
            <w:tcW w:w="2269"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备注</w:t>
            </w:r>
          </w:p>
          <w:p>
            <w:pPr>
              <w:pStyle w:val="29"/>
              <w:jc w:val="center"/>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7"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c>
          <w:tcPr>
            <w:tcW w:w="1923" w:type="dxa"/>
            <w:vAlign w:val="center"/>
          </w:tcPr>
          <w:p>
            <w:pPr>
              <w:pStyle w:val="29"/>
              <w:jc w:val="center"/>
              <w:rPr>
                <w:rFonts w:hint="eastAsia" w:ascii="仿宋" w:hAnsi="仿宋" w:eastAsia="仿宋" w:cs="仿宋"/>
                <w:color w:val="auto"/>
                <w:kern w:val="2"/>
                <w:sz w:val="24"/>
                <w:szCs w:val="24"/>
              </w:rPr>
            </w:pPr>
          </w:p>
        </w:tc>
        <w:tc>
          <w:tcPr>
            <w:tcW w:w="2453" w:type="dxa"/>
            <w:vAlign w:val="center"/>
          </w:tcPr>
          <w:p>
            <w:pPr>
              <w:pStyle w:val="29"/>
              <w:jc w:val="center"/>
              <w:rPr>
                <w:rFonts w:hint="eastAsia" w:ascii="仿宋" w:hAnsi="仿宋" w:eastAsia="仿宋" w:cs="仿宋"/>
                <w:color w:val="auto"/>
                <w:kern w:val="2"/>
                <w:sz w:val="24"/>
                <w:szCs w:val="24"/>
              </w:rPr>
            </w:pPr>
          </w:p>
        </w:tc>
        <w:tc>
          <w:tcPr>
            <w:tcW w:w="163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c>
          <w:tcPr>
            <w:tcW w:w="2371" w:type="dxa"/>
            <w:vAlign w:val="center"/>
          </w:tcPr>
          <w:p>
            <w:pPr>
              <w:pStyle w:val="29"/>
              <w:jc w:val="center"/>
              <w:rPr>
                <w:rFonts w:hint="eastAsia" w:ascii="仿宋" w:hAnsi="仿宋" w:eastAsia="仿宋" w:cs="仿宋"/>
                <w:color w:val="auto"/>
                <w:kern w:val="2"/>
                <w:sz w:val="24"/>
                <w:szCs w:val="24"/>
              </w:rPr>
            </w:pPr>
          </w:p>
        </w:tc>
        <w:tc>
          <w:tcPr>
            <w:tcW w:w="216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7"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w:t>
            </w:r>
          </w:p>
        </w:tc>
        <w:tc>
          <w:tcPr>
            <w:tcW w:w="1923" w:type="dxa"/>
            <w:vAlign w:val="center"/>
          </w:tcPr>
          <w:p>
            <w:pPr>
              <w:pStyle w:val="29"/>
              <w:jc w:val="center"/>
              <w:rPr>
                <w:rFonts w:hint="eastAsia" w:ascii="仿宋" w:hAnsi="仿宋" w:eastAsia="仿宋" w:cs="仿宋"/>
                <w:color w:val="auto"/>
                <w:kern w:val="2"/>
                <w:sz w:val="24"/>
                <w:szCs w:val="24"/>
              </w:rPr>
            </w:pPr>
          </w:p>
        </w:tc>
        <w:tc>
          <w:tcPr>
            <w:tcW w:w="2453" w:type="dxa"/>
            <w:vAlign w:val="center"/>
          </w:tcPr>
          <w:p>
            <w:pPr>
              <w:pStyle w:val="29"/>
              <w:jc w:val="center"/>
              <w:rPr>
                <w:rFonts w:hint="eastAsia" w:ascii="仿宋" w:hAnsi="仿宋" w:eastAsia="仿宋" w:cs="仿宋"/>
                <w:color w:val="auto"/>
                <w:kern w:val="2"/>
                <w:sz w:val="24"/>
                <w:szCs w:val="24"/>
              </w:rPr>
            </w:pPr>
          </w:p>
        </w:tc>
        <w:tc>
          <w:tcPr>
            <w:tcW w:w="163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c>
          <w:tcPr>
            <w:tcW w:w="2371" w:type="dxa"/>
            <w:vAlign w:val="center"/>
          </w:tcPr>
          <w:p>
            <w:pPr>
              <w:pStyle w:val="29"/>
              <w:jc w:val="center"/>
              <w:rPr>
                <w:rFonts w:hint="eastAsia" w:ascii="仿宋" w:hAnsi="仿宋" w:eastAsia="仿宋" w:cs="仿宋"/>
                <w:color w:val="auto"/>
                <w:kern w:val="2"/>
                <w:sz w:val="24"/>
                <w:szCs w:val="24"/>
              </w:rPr>
            </w:pPr>
          </w:p>
        </w:tc>
        <w:tc>
          <w:tcPr>
            <w:tcW w:w="216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7"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w:t>
            </w:r>
          </w:p>
        </w:tc>
        <w:tc>
          <w:tcPr>
            <w:tcW w:w="1923" w:type="dxa"/>
            <w:vAlign w:val="center"/>
          </w:tcPr>
          <w:p>
            <w:pPr>
              <w:pStyle w:val="29"/>
              <w:jc w:val="center"/>
              <w:rPr>
                <w:rFonts w:hint="eastAsia" w:ascii="仿宋" w:hAnsi="仿宋" w:eastAsia="仿宋" w:cs="仿宋"/>
                <w:color w:val="auto"/>
                <w:kern w:val="2"/>
                <w:sz w:val="24"/>
                <w:szCs w:val="24"/>
              </w:rPr>
            </w:pPr>
          </w:p>
        </w:tc>
        <w:tc>
          <w:tcPr>
            <w:tcW w:w="2453" w:type="dxa"/>
            <w:vAlign w:val="center"/>
          </w:tcPr>
          <w:p>
            <w:pPr>
              <w:pStyle w:val="29"/>
              <w:jc w:val="center"/>
              <w:rPr>
                <w:rFonts w:hint="eastAsia" w:ascii="仿宋" w:hAnsi="仿宋" w:eastAsia="仿宋" w:cs="仿宋"/>
                <w:color w:val="auto"/>
                <w:kern w:val="2"/>
                <w:sz w:val="24"/>
                <w:szCs w:val="24"/>
              </w:rPr>
            </w:pPr>
          </w:p>
        </w:tc>
        <w:tc>
          <w:tcPr>
            <w:tcW w:w="163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c>
          <w:tcPr>
            <w:tcW w:w="2371" w:type="dxa"/>
            <w:vAlign w:val="center"/>
          </w:tcPr>
          <w:p>
            <w:pPr>
              <w:pStyle w:val="29"/>
              <w:jc w:val="center"/>
              <w:rPr>
                <w:rFonts w:hint="eastAsia" w:ascii="仿宋" w:hAnsi="仿宋" w:eastAsia="仿宋" w:cs="仿宋"/>
                <w:color w:val="auto"/>
                <w:kern w:val="2"/>
                <w:sz w:val="24"/>
                <w:szCs w:val="24"/>
              </w:rPr>
            </w:pPr>
          </w:p>
        </w:tc>
        <w:tc>
          <w:tcPr>
            <w:tcW w:w="216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7"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w:t>
            </w:r>
          </w:p>
        </w:tc>
        <w:tc>
          <w:tcPr>
            <w:tcW w:w="1923"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w:t>
            </w:r>
          </w:p>
        </w:tc>
        <w:tc>
          <w:tcPr>
            <w:tcW w:w="2453" w:type="dxa"/>
            <w:vAlign w:val="center"/>
          </w:tcPr>
          <w:p>
            <w:pPr>
              <w:pStyle w:val="29"/>
              <w:jc w:val="center"/>
              <w:rPr>
                <w:rFonts w:hint="eastAsia" w:ascii="仿宋" w:hAnsi="仿宋" w:eastAsia="仿宋" w:cs="仿宋"/>
                <w:color w:val="auto"/>
                <w:kern w:val="2"/>
                <w:sz w:val="24"/>
                <w:szCs w:val="24"/>
              </w:rPr>
            </w:pPr>
          </w:p>
        </w:tc>
        <w:tc>
          <w:tcPr>
            <w:tcW w:w="163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c>
          <w:tcPr>
            <w:tcW w:w="2371" w:type="dxa"/>
            <w:vAlign w:val="center"/>
          </w:tcPr>
          <w:p>
            <w:pPr>
              <w:pStyle w:val="29"/>
              <w:jc w:val="center"/>
              <w:rPr>
                <w:rFonts w:hint="eastAsia" w:ascii="仿宋" w:hAnsi="仿宋" w:eastAsia="仿宋" w:cs="仿宋"/>
                <w:color w:val="auto"/>
                <w:kern w:val="2"/>
                <w:sz w:val="24"/>
                <w:szCs w:val="24"/>
              </w:rPr>
            </w:pPr>
          </w:p>
        </w:tc>
        <w:tc>
          <w:tcPr>
            <w:tcW w:w="216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2570" w:type="dxa"/>
            <w:gridSpan w:val="2"/>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总计</w:t>
            </w:r>
          </w:p>
        </w:tc>
        <w:tc>
          <w:tcPr>
            <w:tcW w:w="2453" w:type="dxa"/>
            <w:vAlign w:val="center"/>
          </w:tcPr>
          <w:p>
            <w:pPr>
              <w:pStyle w:val="29"/>
              <w:jc w:val="center"/>
              <w:rPr>
                <w:rFonts w:hint="eastAsia" w:ascii="仿宋" w:hAnsi="仿宋" w:eastAsia="仿宋" w:cs="仿宋"/>
                <w:color w:val="auto"/>
                <w:kern w:val="2"/>
                <w:sz w:val="24"/>
                <w:szCs w:val="24"/>
              </w:rPr>
            </w:pPr>
          </w:p>
        </w:tc>
        <w:tc>
          <w:tcPr>
            <w:tcW w:w="10713" w:type="dxa"/>
            <w:gridSpan w:val="5"/>
            <w:vAlign w:val="center"/>
          </w:tcPr>
          <w:p>
            <w:pPr>
              <w:pStyle w:val="29"/>
              <w:jc w:val="left"/>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大写：人民币________________元</w:t>
            </w:r>
          </w:p>
          <w:p>
            <w:pPr>
              <w:pStyle w:val="29"/>
              <w:jc w:val="left"/>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小写：￥________________</w:t>
            </w:r>
          </w:p>
        </w:tc>
      </w:tr>
    </w:tbl>
    <w:p>
      <w:pPr>
        <w:pStyle w:val="29"/>
        <w:ind w:firstLine="480" w:firstLineChars="200"/>
        <w:rPr>
          <w:rFonts w:hint="eastAsia" w:ascii="仿宋" w:hAnsi="仿宋" w:eastAsia="仿宋" w:cs="仿宋"/>
          <w:color w:val="auto"/>
          <w:sz w:val="24"/>
          <w:szCs w:val="24"/>
        </w:rPr>
      </w:pPr>
    </w:p>
    <w:p>
      <w:pPr>
        <w:pStyle w:val="2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供应商(公章)：________________</w:t>
      </w:r>
    </w:p>
    <w:p>
      <w:pPr>
        <w:pStyle w:val="2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法定代表人或其授权代表(签字或盖章)：________________</w:t>
      </w:r>
    </w:p>
    <w:p>
      <w:pPr>
        <w:pStyle w:val="29"/>
        <w:tabs>
          <w:tab w:val="left" w:pos="5580"/>
        </w:tabs>
        <w:spacing w:line="400" w:lineRule="exact"/>
        <w:ind w:firstLine="480" w:firstLineChars="200"/>
        <w:rPr>
          <w:rFonts w:hint="eastAsia" w:ascii="仿宋" w:hAnsi="仿宋" w:eastAsia="仿宋" w:cs="仿宋"/>
          <w:sz w:val="24"/>
          <w:szCs w:val="24"/>
        </w:rPr>
        <w:sectPr>
          <w:pgSz w:w="16838" w:h="11906" w:orient="landscape"/>
          <w:pgMar w:top="1418" w:right="1440" w:bottom="1418" w:left="1259" w:header="851" w:footer="992" w:gutter="0"/>
          <w:pgNumType w:fmt="decimal"/>
          <w:cols w:space="720" w:num="1"/>
          <w:titlePg/>
          <w:docGrid w:linePitch="312" w:charSpace="0"/>
        </w:sectPr>
      </w:pPr>
      <w:r>
        <w:rPr>
          <w:rFonts w:hint="eastAsia" w:ascii="仿宋" w:hAnsi="仿宋" w:eastAsia="仿宋" w:cs="仿宋"/>
          <w:color w:val="auto"/>
          <w:sz w:val="24"/>
          <w:szCs w:val="24"/>
        </w:rPr>
        <w:t>日期：______年____月____日</w:t>
      </w:r>
    </w:p>
    <w:p>
      <w:pPr>
        <w:pStyle w:val="3"/>
        <w:pageBreakBefore/>
        <w:numPr>
          <w:ilvl w:val="-1"/>
          <w:numId w:val="0"/>
        </w:numPr>
        <w:tabs>
          <w:tab w:val="left" w:pos="5580"/>
        </w:tabs>
        <w:spacing w:before="0" w:after="0" w:line="22" w:lineRule="atLeast"/>
        <w:ind w:firstLine="0" w:firstLineChars="0"/>
        <w:rPr>
          <w:rFonts w:hint="eastAsia" w:ascii="仿宋" w:hAnsi="仿宋" w:eastAsia="仿宋" w:cs="仿宋"/>
          <w:b/>
          <w:bCs w:val="0"/>
          <w:kern w:val="0"/>
          <w:sz w:val="28"/>
          <w:szCs w:val="28"/>
        </w:rPr>
      </w:pPr>
      <w:r>
        <w:rPr>
          <w:rFonts w:hint="eastAsia" w:ascii="仿宋" w:hAnsi="仿宋" w:eastAsia="仿宋" w:cs="仿宋"/>
          <w:b/>
          <w:bCs w:val="0"/>
          <w:kern w:val="0"/>
          <w:sz w:val="28"/>
          <w:szCs w:val="28"/>
          <w:lang w:val="en-US" w:eastAsia="zh-CN"/>
        </w:rPr>
        <w:t>3、供应商基本情况表（附件3）</w:t>
      </w:r>
    </w:p>
    <w:p>
      <w:pPr>
        <w:widowControl/>
        <w:shd w:val="clear" w:color="auto" w:fill="auto"/>
        <w:autoSpaceDN/>
        <w:spacing w:line="240" w:lineRule="auto"/>
        <w:jc w:val="left"/>
      </w:pPr>
    </w:p>
    <w:tbl>
      <w:tblPr>
        <w:tblStyle w:val="56"/>
        <w:tblW w:w="8835" w:type="dxa"/>
        <w:tblInd w:w="108" w:type="dxa"/>
        <w:tblLayout w:type="fixed"/>
        <w:tblCellMar>
          <w:top w:w="0" w:type="dxa"/>
          <w:left w:w="108" w:type="dxa"/>
          <w:bottom w:w="0" w:type="dxa"/>
          <w:right w:w="108" w:type="dxa"/>
        </w:tblCellMar>
      </w:tblPr>
      <w:tblGrid>
        <w:gridCol w:w="1503"/>
        <w:gridCol w:w="972"/>
        <w:gridCol w:w="1206"/>
        <w:gridCol w:w="1332"/>
        <w:gridCol w:w="1332"/>
        <w:gridCol w:w="397"/>
        <w:gridCol w:w="1017"/>
        <w:gridCol w:w="1076"/>
      </w:tblGrid>
      <w:tr>
        <w:tblPrEx>
          <w:tblCellMar>
            <w:top w:w="0" w:type="dxa"/>
            <w:left w:w="108" w:type="dxa"/>
            <w:bottom w:w="0" w:type="dxa"/>
            <w:right w:w="108" w:type="dxa"/>
          </w:tblCellMar>
        </w:tblPrEx>
        <w:trPr>
          <w:trHeight w:val="757" w:hRule="atLeast"/>
        </w:trPr>
        <w:tc>
          <w:tcPr>
            <w:tcW w:w="1503" w:type="dxa"/>
            <w:tcBorders>
              <w:top w:val="single" w:color="000000" w:sz="18"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lang w:eastAsia="zh-CN"/>
              </w:rPr>
              <w:t>供应商</w:t>
            </w:r>
            <w:r>
              <w:rPr>
                <w:rFonts w:hint="eastAsia" w:ascii="仿宋" w:hAnsi="仿宋" w:eastAsia="仿宋" w:cs="仿宋"/>
                <w:sz w:val="24"/>
                <w:shd w:val="clear" w:color="auto" w:fill="FFFFFF"/>
              </w:rPr>
              <w:t>名称</w:t>
            </w:r>
          </w:p>
        </w:tc>
        <w:tc>
          <w:tcPr>
            <w:tcW w:w="7332" w:type="dxa"/>
            <w:gridSpan w:val="7"/>
            <w:tcBorders>
              <w:top w:val="single" w:color="000000" w:sz="18"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r>
      <w:tr>
        <w:tblPrEx>
          <w:tblCellMar>
            <w:top w:w="0" w:type="dxa"/>
            <w:left w:w="108" w:type="dxa"/>
            <w:bottom w:w="0" w:type="dxa"/>
            <w:right w:w="108" w:type="dxa"/>
          </w:tblCellMar>
        </w:tblPrEx>
        <w:trPr>
          <w:trHeight w:val="699" w:hRule="atLeast"/>
        </w:trPr>
        <w:tc>
          <w:tcPr>
            <w:tcW w:w="1503" w:type="dxa"/>
            <w:tcBorders>
              <w:top w:val="single" w:color="000000" w:sz="6"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联系方式</w:t>
            </w:r>
          </w:p>
        </w:tc>
        <w:tc>
          <w:tcPr>
            <w:tcW w:w="972"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联系人</w:t>
            </w:r>
          </w:p>
        </w:tc>
        <w:tc>
          <w:tcPr>
            <w:tcW w:w="2538"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332"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电话</w:t>
            </w:r>
          </w:p>
        </w:tc>
        <w:tc>
          <w:tcPr>
            <w:tcW w:w="2490" w:type="dxa"/>
            <w:gridSpan w:val="3"/>
            <w:tcBorders>
              <w:top w:val="single" w:color="000000" w:sz="6"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r>
      <w:tr>
        <w:tblPrEx>
          <w:tblCellMar>
            <w:top w:w="0" w:type="dxa"/>
            <w:left w:w="108" w:type="dxa"/>
            <w:bottom w:w="0" w:type="dxa"/>
            <w:right w:w="108" w:type="dxa"/>
          </w:tblCellMar>
        </w:tblPrEx>
        <w:trPr>
          <w:trHeight w:val="695" w:hRule="atLeast"/>
        </w:trPr>
        <w:tc>
          <w:tcPr>
            <w:tcW w:w="1503" w:type="dxa"/>
            <w:tcBorders>
              <w:top w:val="single" w:color="000000" w:sz="6"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法定代表人</w:t>
            </w:r>
          </w:p>
        </w:tc>
        <w:tc>
          <w:tcPr>
            <w:tcW w:w="972"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姓名</w:t>
            </w:r>
          </w:p>
        </w:tc>
        <w:tc>
          <w:tcPr>
            <w:tcW w:w="1206"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332"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技术职称</w:t>
            </w:r>
          </w:p>
        </w:tc>
        <w:tc>
          <w:tcPr>
            <w:tcW w:w="1332"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414"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电话</w:t>
            </w:r>
          </w:p>
        </w:tc>
        <w:tc>
          <w:tcPr>
            <w:tcW w:w="1076" w:type="dxa"/>
            <w:tcBorders>
              <w:top w:val="single" w:color="000000" w:sz="6"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b/>
                <w:sz w:val="24"/>
                <w:shd w:val="clear" w:color="auto" w:fill="FFFFFF"/>
              </w:rPr>
              <w:t xml:space="preserve"> </w:t>
            </w:r>
          </w:p>
        </w:tc>
      </w:tr>
      <w:tr>
        <w:tblPrEx>
          <w:tblCellMar>
            <w:top w:w="0" w:type="dxa"/>
            <w:left w:w="108" w:type="dxa"/>
            <w:bottom w:w="0" w:type="dxa"/>
            <w:right w:w="108" w:type="dxa"/>
          </w:tblCellMar>
        </w:tblPrEx>
        <w:trPr>
          <w:trHeight w:val="691" w:hRule="atLeast"/>
        </w:trPr>
        <w:tc>
          <w:tcPr>
            <w:tcW w:w="1503" w:type="dxa"/>
            <w:tcBorders>
              <w:top w:val="single" w:color="000000" w:sz="6"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成立时间</w:t>
            </w:r>
          </w:p>
        </w:tc>
        <w:tc>
          <w:tcPr>
            <w:tcW w:w="2178"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5154" w:type="dxa"/>
            <w:gridSpan w:val="5"/>
            <w:tcBorders>
              <w:top w:val="single" w:color="000000" w:sz="6"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ind w:firstLine="1680" w:firstLineChars="700"/>
              <w:jc w:val="left"/>
              <w:rPr>
                <w:rFonts w:ascii="仿宋" w:hAnsi="仿宋" w:eastAsia="仿宋" w:cs="仿宋"/>
                <w:shd w:val="clear" w:color="auto" w:fill="FFFFFF"/>
              </w:rPr>
            </w:pPr>
            <w:r>
              <w:rPr>
                <w:rFonts w:hint="eastAsia" w:ascii="仿宋" w:hAnsi="仿宋" w:eastAsia="仿宋" w:cs="仿宋"/>
                <w:sz w:val="24"/>
                <w:shd w:val="clear" w:color="auto" w:fill="FFFFFF"/>
              </w:rPr>
              <w:t>员工总人数：</w:t>
            </w:r>
          </w:p>
        </w:tc>
      </w:tr>
      <w:tr>
        <w:tblPrEx>
          <w:tblCellMar>
            <w:top w:w="0" w:type="dxa"/>
            <w:left w:w="108" w:type="dxa"/>
            <w:bottom w:w="0" w:type="dxa"/>
            <w:right w:w="108" w:type="dxa"/>
          </w:tblCellMar>
        </w:tblPrEx>
        <w:trPr>
          <w:trHeight w:val="701" w:hRule="atLeast"/>
        </w:trPr>
        <w:tc>
          <w:tcPr>
            <w:tcW w:w="1503" w:type="dxa"/>
            <w:tcBorders>
              <w:top w:val="single" w:color="000000" w:sz="6"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营业执照号</w:t>
            </w:r>
          </w:p>
        </w:tc>
        <w:tc>
          <w:tcPr>
            <w:tcW w:w="2178"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332" w:type="dxa"/>
            <w:vMerge w:val="restart"/>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729"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高级职称人员</w:t>
            </w:r>
          </w:p>
        </w:tc>
        <w:tc>
          <w:tcPr>
            <w:tcW w:w="2093" w:type="dxa"/>
            <w:gridSpan w:val="2"/>
            <w:tcBorders>
              <w:top w:val="single" w:color="000000" w:sz="6"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b/>
                <w:sz w:val="24"/>
                <w:shd w:val="clear" w:color="auto" w:fill="FFFFFF"/>
              </w:rPr>
              <w:t xml:space="preserve"> </w:t>
            </w:r>
          </w:p>
        </w:tc>
      </w:tr>
      <w:tr>
        <w:tblPrEx>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注册资金</w:t>
            </w:r>
          </w:p>
        </w:tc>
        <w:tc>
          <w:tcPr>
            <w:tcW w:w="2178"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332" w:type="dxa"/>
            <w:vMerge w:val="continue"/>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rPr>
                <w:rFonts w:ascii="仿宋" w:hAnsi="仿宋" w:eastAsia="仿宋" w:cs="仿宋"/>
              </w:rPr>
            </w:pPr>
          </w:p>
        </w:tc>
        <w:tc>
          <w:tcPr>
            <w:tcW w:w="1729"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中级职称人员</w:t>
            </w:r>
          </w:p>
        </w:tc>
        <w:tc>
          <w:tcPr>
            <w:tcW w:w="2093" w:type="dxa"/>
            <w:gridSpan w:val="2"/>
            <w:tcBorders>
              <w:top w:val="single" w:color="000000" w:sz="6"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b/>
                <w:sz w:val="24"/>
                <w:shd w:val="clear" w:color="auto" w:fill="FFFFFF"/>
              </w:rPr>
              <w:t xml:space="preserve"> </w:t>
            </w:r>
          </w:p>
        </w:tc>
      </w:tr>
      <w:tr>
        <w:tblPrEx>
          <w:tblCellMar>
            <w:top w:w="0" w:type="dxa"/>
            <w:left w:w="108" w:type="dxa"/>
            <w:bottom w:w="0" w:type="dxa"/>
            <w:right w:w="108" w:type="dxa"/>
          </w:tblCellMar>
        </w:tblPrEx>
        <w:trPr>
          <w:trHeight w:val="1072" w:hRule="atLeast"/>
        </w:trPr>
        <w:tc>
          <w:tcPr>
            <w:tcW w:w="1503" w:type="dxa"/>
            <w:tcBorders>
              <w:top w:val="single" w:color="000000" w:sz="6" w:space="0"/>
              <w:left w:val="single" w:color="000000" w:sz="18" w:space="0"/>
              <w:bottom w:val="single" w:color="000000" w:sz="18" w:space="0"/>
              <w:right w:val="single" w:color="000000" w:sz="6" w:space="0"/>
            </w:tcBorders>
            <w:shd w:val="solid" w:color="FFFFFF" w:fill="auto"/>
            <w:tcMar>
              <w:top w:w="0" w:type="dxa"/>
              <w:left w:w="108" w:type="dxa"/>
              <w:bottom w:w="0" w:type="dxa"/>
              <w:right w:w="108" w:type="dxa"/>
            </w:tcMa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备注</w:t>
            </w:r>
          </w:p>
        </w:tc>
        <w:tc>
          <w:tcPr>
            <w:tcW w:w="7332" w:type="dxa"/>
            <w:gridSpan w:val="7"/>
            <w:tcBorders>
              <w:top w:val="single" w:color="000000" w:sz="6" w:space="0"/>
              <w:left w:val="single" w:color="000000" w:sz="6" w:space="0"/>
              <w:bottom w:val="single" w:color="000000" w:sz="18" w:space="0"/>
              <w:right w:val="single" w:color="000000" w:sz="18" w:space="0"/>
            </w:tcBorders>
            <w:shd w:val="solid" w:color="FFFFFF" w:fill="auto"/>
            <w:tcMar>
              <w:top w:w="0" w:type="dxa"/>
              <w:left w:w="108" w:type="dxa"/>
              <w:bottom w:w="0" w:type="dxa"/>
              <w:right w:w="108" w:type="dxa"/>
            </w:tcMar>
          </w:tcPr>
          <w:p>
            <w:pPr>
              <w:widowControl/>
              <w:shd w:val="solid" w:color="FFFFFF" w:fill="auto"/>
              <w:autoSpaceDN w:val="0"/>
              <w:spacing w:line="400" w:lineRule="exact"/>
              <w:jc w:val="left"/>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r>
    </w:tbl>
    <w:p>
      <w:pPr>
        <w:widowControl/>
        <w:shd w:val="solid" w:color="FFFFFF" w:fill="auto"/>
        <w:autoSpaceDN w:val="0"/>
        <w:jc w:val="left"/>
        <w:rPr>
          <w:rFonts w:ascii="仿宋" w:hAnsi="仿宋" w:eastAsia="仿宋" w:cs="仿宋"/>
          <w:b/>
          <w:sz w:val="24"/>
          <w:szCs w:val="24"/>
          <w:shd w:val="clear" w:color="auto" w:fill="FFFFFF"/>
        </w:rPr>
      </w:pPr>
      <w:r>
        <w:rPr>
          <w:rFonts w:hint="eastAsia" w:ascii="仿宋" w:hAnsi="仿宋" w:eastAsia="仿宋" w:cs="仿宋"/>
          <w:b/>
          <w:sz w:val="24"/>
          <w:szCs w:val="24"/>
          <w:shd w:val="clear" w:color="auto" w:fill="FFFFFF"/>
        </w:rPr>
        <w:t xml:space="preserve"> 附：</w:t>
      </w:r>
      <w:r>
        <w:rPr>
          <w:rFonts w:hint="eastAsia" w:ascii="仿宋" w:hAnsi="仿宋" w:eastAsia="仿宋" w:cs="仿宋"/>
          <w:b/>
          <w:sz w:val="24"/>
          <w:szCs w:val="24"/>
          <w:shd w:val="clear" w:color="auto" w:fill="FFFFFF"/>
          <w:lang w:eastAsia="zh-CN"/>
        </w:rPr>
        <w:t>供应商</w:t>
      </w:r>
      <w:r>
        <w:rPr>
          <w:rFonts w:hint="eastAsia" w:ascii="仿宋" w:hAnsi="仿宋" w:eastAsia="仿宋" w:cs="仿宋"/>
          <w:b/>
          <w:sz w:val="24"/>
          <w:szCs w:val="24"/>
          <w:shd w:val="clear" w:color="auto" w:fill="FFFFFF"/>
        </w:rPr>
        <w:t>的营业执照副本复印件、税务登记证副本复印件、组织机构代码证副本复印件或三证合一（一证一照）的新证复印件。</w:t>
      </w:r>
    </w:p>
    <w:p>
      <w:pPr>
        <w:widowControl/>
        <w:shd w:val="solid" w:color="FFFFFF" w:fill="auto"/>
        <w:autoSpaceDN w:val="0"/>
        <w:jc w:val="left"/>
        <w:rPr>
          <w:rFonts w:ascii="仿宋" w:hAnsi="仿宋" w:eastAsia="仿宋" w:cs="仿宋"/>
          <w:b/>
          <w:sz w:val="24"/>
          <w:szCs w:val="24"/>
          <w:shd w:val="clear" w:color="auto" w:fill="FFFFFF"/>
        </w:rPr>
      </w:pPr>
    </w:p>
    <w:p>
      <w:pPr>
        <w:widowControl/>
        <w:shd w:val="solid" w:color="FFFFFF" w:fill="auto"/>
        <w:autoSpaceDN w:val="0"/>
        <w:spacing w:line="480" w:lineRule="auto"/>
        <w:ind w:firstLine="240" w:firstLineChars="100"/>
        <w:jc w:val="left"/>
        <w:rPr>
          <w:rFonts w:ascii="仿宋" w:hAnsi="仿宋" w:eastAsia="仿宋" w:cs="仿宋"/>
          <w:shd w:val="clear" w:color="auto" w:fill="FFFFFF"/>
        </w:rPr>
      </w:pPr>
      <w:r>
        <w:rPr>
          <w:rFonts w:hint="eastAsia" w:ascii="仿宋" w:hAnsi="仿宋" w:eastAsia="仿宋" w:cs="仿宋"/>
          <w:sz w:val="24"/>
          <w:shd w:val="clear" w:color="auto" w:fill="FFFFFF"/>
          <w:lang w:eastAsia="zh-CN"/>
        </w:rPr>
        <w:t>供应商</w:t>
      </w:r>
      <w:r>
        <w:rPr>
          <w:rFonts w:hint="eastAsia" w:ascii="仿宋" w:hAnsi="仿宋" w:eastAsia="仿宋" w:cs="仿宋"/>
          <w:sz w:val="24"/>
          <w:shd w:val="clear" w:color="auto" w:fill="FFFFFF"/>
        </w:rPr>
        <w:t>名称：        （盖章）</w:t>
      </w:r>
    </w:p>
    <w:p>
      <w:pPr>
        <w:widowControl/>
        <w:shd w:val="solid" w:color="FFFFFF" w:fill="auto"/>
        <w:autoSpaceDN w:val="0"/>
        <w:spacing w:line="480" w:lineRule="auto"/>
        <w:ind w:firstLine="240" w:firstLineChars="100"/>
        <w:jc w:val="left"/>
        <w:rPr>
          <w:rFonts w:ascii="仿宋" w:hAnsi="仿宋" w:eastAsia="仿宋" w:cs="仿宋"/>
          <w:shd w:val="clear" w:color="auto" w:fill="FFFFFF"/>
        </w:rPr>
      </w:pPr>
      <w:r>
        <w:rPr>
          <w:rFonts w:hint="eastAsia" w:ascii="仿宋" w:hAnsi="仿宋" w:eastAsia="仿宋" w:cs="仿宋"/>
          <w:sz w:val="24"/>
          <w:shd w:val="clear" w:color="auto" w:fill="FFFFFF"/>
        </w:rPr>
        <w:t>法定代表人或授权代表（签字）：</w:t>
      </w:r>
    </w:p>
    <w:p>
      <w:pPr>
        <w:widowControl/>
        <w:shd w:val="solid" w:color="FFFFFF" w:fill="auto"/>
        <w:autoSpaceDN w:val="0"/>
        <w:spacing w:line="480" w:lineRule="auto"/>
        <w:ind w:firstLine="240" w:firstLineChars="100"/>
        <w:jc w:val="left"/>
        <w:rPr>
          <w:rFonts w:ascii="仿宋" w:hAnsi="仿宋" w:eastAsia="仿宋" w:cs="仿宋"/>
          <w:shd w:val="clear" w:color="auto" w:fill="FFFFFF"/>
        </w:rPr>
      </w:pPr>
      <w:r>
        <w:rPr>
          <w:rFonts w:hint="eastAsia" w:ascii="仿宋" w:hAnsi="仿宋" w:eastAsia="仿宋" w:cs="仿宋"/>
          <w:sz w:val="24"/>
          <w:shd w:val="clear" w:color="auto" w:fill="FFFFFF"/>
        </w:rPr>
        <w:t>投标日期:</w:t>
      </w:r>
    </w:p>
    <w:p>
      <w:pPr>
        <w:pStyle w:val="401"/>
      </w:pPr>
    </w:p>
    <w:p>
      <w:pPr>
        <w:widowControl/>
        <w:autoSpaceDE w:val="0"/>
        <w:autoSpaceDN w:val="0"/>
        <w:spacing w:line="360" w:lineRule="auto"/>
        <w:jc w:val="left"/>
        <w:textAlignment w:val="bottom"/>
        <w:rPr>
          <w:rFonts w:ascii="仿宋" w:hAnsi="仿宋" w:eastAsia="仿宋" w:cs="仿宋"/>
          <w:sz w:val="24"/>
          <w:szCs w:val="24"/>
        </w:rPr>
      </w:pPr>
    </w:p>
    <w:p>
      <w:pPr>
        <w:pStyle w:val="3"/>
        <w:pageBreakBefore/>
        <w:tabs>
          <w:tab w:val="left" w:pos="5580"/>
        </w:tabs>
        <w:spacing w:before="0" w:after="0" w:line="22" w:lineRule="atLeast"/>
        <w:rPr>
          <w:rFonts w:hint="eastAsia" w:ascii="仿宋" w:hAnsi="仿宋" w:eastAsia="仿宋" w:cs="仿宋"/>
          <w:b/>
          <w:bCs w:val="0"/>
          <w:kern w:val="0"/>
          <w:sz w:val="28"/>
          <w:szCs w:val="28"/>
        </w:rPr>
      </w:pPr>
      <w:bookmarkStart w:id="283" w:name="_Toc183588706"/>
      <w:bookmarkStart w:id="284" w:name="_Ref467990058"/>
      <w:bookmarkStart w:id="285" w:name="_Toc520125062"/>
      <w:bookmarkStart w:id="286" w:name="_Toc520356229"/>
      <w:bookmarkStart w:id="287" w:name="_Ref467988485"/>
      <w:bookmarkStart w:id="288" w:name="_Ref467988471"/>
      <w:bookmarkStart w:id="289" w:name="_Ref467990064"/>
      <w:bookmarkStart w:id="290" w:name="_Ref467988479"/>
      <w:bookmarkStart w:id="291" w:name="_Toc480942358"/>
      <w:bookmarkStart w:id="292" w:name="_Ref467990101"/>
      <w:bookmarkStart w:id="293" w:name="_Toc480942357"/>
      <w:bookmarkStart w:id="294" w:name="_Ref467990100"/>
      <w:bookmarkStart w:id="295" w:name="_Toc520356228"/>
      <w:bookmarkStart w:id="296" w:name="_Toc520125061"/>
      <w:r>
        <w:rPr>
          <w:rFonts w:hint="eastAsia" w:ascii="仿宋" w:hAnsi="仿宋" w:eastAsia="仿宋" w:cs="仿宋"/>
          <w:b/>
          <w:bCs w:val="0"/>
          <w:kern w:val="0"/>
          <w:sz w:val="28"/>
          <w:szCs w:val="28"/>
          <w:lang w:val="en-US" w:eastAsia="zh-CN"/>
        </w:rPr>
        <w:t>4、法定代表人证明书、法定代表人委托书（附件4）</w:t>
      </w:r>
    </w:p>
    <w:bookmarkEnd w:id="283"/>
    <w:p>
      <w:pPr>
        <w:pStyle w:val="14"/>
        <w:rPr>
          <w:rFonts w:ascii="仿宋" w:hAnsi="仿宋" w:eastAsia="仿宋" w:cs="仿宋"/>
          <w:sz w:val="21"/>
          <w:szCs w:val="21"/>
        </w:rPr>
      </w:pPr>
    </w:p>
    <w:p>
      <w:pPr>
        <w:spacing w:line="560" w:lineRule="exact"/>
        <w:jc w:val="center"/>
        <w:rPr>
          <w:rFonts w:ascii="仿宋" w:hAnsi="仿宋" w:eastAsia="仿宋" w:cs="仿宋"/>
          <w:b/>
          <w:sz w:val="32"/>
          <w:szCs w:val="32"/>
        </w:rPr>
      </w:pPr>
    </w:p>
    <w:p>
      <w:pPr>
        <w:spacing w:line="560" w:lineRule="exact"/>
        <w:jc w:val="center"/>
        <w:rPr>
          <w:rFonts w:ascii="仿宋" w:hAnsi="仿宋" w:eastAsia="仿宋" w:cs="仿宋"/>
          <w:b/>
          <w:sz w:val="32"/>
          <w:szCs w:val="32"/>
        </w:rPr>
      </w:pPr>
      <w:r>
        <w:rPr>
          <w:rFonts w:hint="eastAsia" w:ascii="仿宋" w:hAnsi="仿宋" w:eastAsia="仿宋" w:cs="仿宋"/>
          <w:b/>
          <w:sz w:val="32"/>
          <w:szCs w:val="32"/>
        </w:rPr>
        <w:t>法定代表人身份证明书</w:t>
      </w: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单位名称：</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姓    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 别：</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年    龄：</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职 务：</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供应商</w:t>
      </w:r>
      <w:r>
        <w:rPr>
          <w:rFonts w:hint="eastAsia" w:ascii="仿宋" w:hAnsi="仿宋" w:eastAsia="仿宋" w:cs="仿宋"/>
          <w:sz w:val="28"/>
          <w:szCs w:val="28"/>
          <w:u w:val="single"/>
        </w:rPr>
        <w:t xml:space="preserve">单位名称）        </w:t>
      </w:r>
      <w:r>
        <w:rPr>
          <w:rFonts w:hint="eastAsia" w:ascii="仿宋" w:hAnsi="仿宋" w:eastAsia="仿宋" w:cs="仿宋"/>
          <w:sz w:val="28"/>
          <w:szCs w:val="28"/>
        </w:rPr>
        <w:t>的法定代表人。</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附：法定代表人身份证复印件</w:t>
      </w:r>
    </w:p>
    <w:p>
      <w:pPr>
        <w:spacing w:line="360" w:lineRule="auto"/>
        <w:ind w:firstLine="3920" w:firstLineChars="1400"/>
        <w:rPr>
          <w:rFonts w:ascii="仿宋" w:hAnsi="仿宋" w:eastAsia="仿宋" w:cs="仿宋"/>
          <w:sz w:val="28"/>
          <w:szCs w:val="28"/>
        </w:rPr>
      </w:pPr>
    </w:p>
    <w:p>
      <w:pPr>
        <w:spacing w:line="360" w:lineRule="auto"/>
        <w:ind w:firstLine="3920" w:firstLineChars="1400"/>
        <w:rPr>
          <w:rFonts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ind w:firstLine="3920" w:firstLineChars="14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20" w:lineRule="exact"/>
        <w:ind w:right="74"/>
        <w:jc w:val="left"/>
        <w:rPr>
          <w:rFonts w:ascii="仿宋" w:hAnsi="仿宋" w:eastAsia="仿宋" w:cs="仿宋"/>
          <w:bCs/>
          <w:sz w:val="21"/>
          <w:szCs w:val="21"/>
        </w:rPr>
      </w:pPr>
      <w:r>
        <w:rPr>
          <w:rFonts w:hint="eastAsia" w:ascii="仿宋" w:hAnsi="仿宋" w:eastAsia="仿宋" w:cs="仿宋"/>
          <w:bCs/>
          <w:sz w:val="21"/>
          <w:szCs w:val="21"/>
        </w:rPr>
        <mc:AlternateContent>
          <mc:Choice Requires="wps">
            <w:drawing>
              <wp:anchor distT="0" distB="0" distL="114300" distR="114300" simplePos="0" relativeHeight="251663360" behindDoc="0" locked="0" layoutInCell="1" allowOverlap="1">
                <wp:simplePos x="0" y="0"/>
                <wp:positionH relativeFrom="column">
                  <wp:posOffset>371475</wp:posOffset>
                </wp:positionH>
                <wp:positionV relativeFrom="paragraph">
                  <wp:posOffset>245110</wp:posOffset>
                </wp:positionV>
                <wp:extent cx="4390390" cy="2179320"/>
                <wp:effectExtent l="5080" t="4445" r="5080" b="6985"/>
                <wp:wrapNone/>
                <wp:docPr id="2" name="Text Box 4"/>
                <wp:cNvGraphicFramePr/>
                <a:graphic xmlns:a="http://schemas.openxmlformats.org/drawingml/2006/main">
                  <a:graphicData uri="http://schemas.microsoft.com/office/word/2010/wordprocessingShape">
                    <wps:wsp>
                      <wps:cNvSpPr txBox="1"/>
                      <wps:spPr>
                        <a:xfrm>
                          <a:off x="0" y="0"/>
                          <a:ext cx="439039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sz w:val="28"/>
                                <w:szCs w:val="28"/>
                              </w:rPr>
                            </w:pPr>
                          </w:p>
                          <w:p>
                            <w:pPr>
                              <w:jc w:val="center"/>
                              <w:rPr>
                                <w:sz w:val="28"/>
                                <w:szCs w:val="28"/>
                              </w:rPr>
                            </w:pPr>
                            <w:r>
                              <w:rPr>
                                <w:rFonts w:hint="eastAsia"/>
                                <w:sz w:val="28"/>
                                <w:szCs w:val="28"/>
                              </w:rPr>
                              <w:t>法人代表人身份证复印件</w:t>
                            </w:r>
                          </w:p>
                        </w:txbxContent>
                      </wps:txbx>
                      <wps:bodyPr upright="1"/>
                    </wps:wsp>
                  </a:graphicData>
                </a:graphic>
              </wp:anchor>
            </w:drawing>
          </mc:Choice>
          <mc:Fallback>
            <w:pict>
              <v:shape id="Text Box 4" o:spid="_x0000_s1026" o:spt="202" type="#_x0000_t202" style="position:absolute;left:0pt;margin-left:29.25pt;margin-top:19.3pt;height:171.6pt;width:345.7pt;z-index:251663360;mso-width-relative:page;mso-height-relative:page;" fillcolor="#FFFFFF" filled="t" stroked="t" coordsize="21600,21600" o:gfxdata="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gzsUNgAAAAJAQAADwAAAAAAAAABACAAAAAiAAAAZHJzL2Rvd25y&#10;ZXYueG1sUEsBAhQAFAAAAAgAh07iQAdshCr+AQAANgQAAA4AAAAAAAAAAQAgAAAAJwEAAGRycy9l&#10;Mm9Eb2MueG1sUEsFBgAAAAAGAAYAWQEAAJcFAAAAAA==&#10;">
                <v:fill on="t" focussize="0,0"/>
                <v:stroke color="#000000" joinstyle="miter"/>
                <v:imagedata o:title=""/>
                <o:lock v:ext="edit" aspectratio="f"/>
                <v:textbox>
                  <w:txbxContent>
                    <w:p>
                      <w:pPr>
                        <w:jc w:val="center"/>
                      </w:pPr>
                    </w:p>
                    <w:p>
                      <w:pPr>
                        <w:jc w:val="center"/>
                      </w:pPr>
                    </w:p>
                    <w:p>
                      <w:pPr>
                        <w:jc w:val="center"/>
                        <w:rPr>
                          <w:sz w:val="28"/>
                          <w:szCs w:val="28"/>
                        </w:rPr>
                      </w:pPr>
                    </w:p>
                    <w:p>
                      <w:pPr>
                        <w:jc w:val="center"/>
                        <w:rPr>
                          <w:sz w:val="28"/>
                          <w:szCs w:val="28"/>
                        </w:rPr>
                      </w:pPr>
                      <w:r>
                        <w:rPr>
                          <w:rFonts w:hint="eastAsia"/>
                          <w:sz w:val="28"/>
                          <w:szCs w:val="28"/>
                        </w:rPr>
                        <w:t>法人代表人身份证复印件</w:t>
                      </w:r>
                    </w:p>
                  </w:txbxContent>
                </v:textbox>
              </v:shape>
            </w:pict>
          </mc:Fallback>
        </mc:AlternateContent>
      </w:r>
    </w:p>
    <w:p>
      <w:pPr>
        <w:pStyle w:val="29"/>
        <w:tabs>
          <w:tab w:val="left" w:pos="5580"/>
        </w:tabs>
        <w:spacing w:line="360" w:lineRule="auto"/>
        <w:rPr>
          <w:rFonts w:ascii="仿宋" w:hAnsi="仿宋" w:eastAsia="仿宋" w:cs="仿宋"/>
          <w:sz w:val="24"/>
          <w:szCs w:val="24"/>
          <w:u w:val="single"/>
        </w:rPr>
      </w:pPr>
    </w:p>
    <w:p>
      <w:pPr>
        <w:widowControl/>
        <w:jc w:val="left"/>
        <w:rPr>
          <w:rFonts w:ascii="仿宋" w:hAnsi="仿宋" w:eastAsia="仿宋" w:cs="仿宋"/>
          <w:sz w:val="24"/>
          <w:szCs w:val="24"/>
        </w:rPr>
      </w:pPr>
      <w:r>
        <w:rPr>
          <w:rFonts w:hint="eastAsia" w:ascii="仿宋" w:hAnsi="仿宋" w:eastAsia="仿宋" w:cs="仿宋"/>
          <w:sz w:val="24"/>
          <w:szCs w:val="24"/>
        </w:rPr>
        <w:br w:type="page"/>
      </w:r>
    </w:p>
    <w:p>
      <w:pPr>
        <w:pStyle w:val="29"/>
        <w:tabs>
          <w:tab w:val="left" w:pos="5580"/>
        </w:tabs>
        <w:spacing w:line="360" w:lineRule="auto"/>
        <w:rPr>
          <w:rFonts w:ascii="仿宋" w:hAnsi="仿宋" w:eastAsia="仿宋" w:cs="仿宋"/>
          <w:sz w:val="24"/>
          <w:szCs w:val="24"/>
        </w:rPr>
      </w:pPr>
    </w:p>
    <w:p>
      <w:pPr>
        <w:spacing w:line="560" w:lineRule="exact"/>
        <w:jc w:val="center"/>
        <w:rPr>
          <w:rFonts w:ascii="仿宋" w:hAnsi="仿宋" w:eastAsia="仿宋" w:cs="仿宋"/>
          <w:b/>
          <w:sz w:val="32"/>
          <w:szCs w:val="32"/>
        </w:rPr>
      </w:pPr>
      <w:r>
        <w:rPr>
          <w:rFonts w:hint="eastAsia" w:ascii="仿宋" w:hAnsi="仿宋" w:eastAsia="仿宋" w:cs="仿宋"/>
          <w:b/>
          <w:sz w:val="32"/>
          <w:szCs w:val="32"/>
        </w:rPr>
        <w:t>法定代表人授权委托书</w:t>
      </w:r>
    </w:p>
    <w:p>
      <w:pPr>
        <w:spacing w:line="560" w:lineRule="exact"/>
        <w:jc w:val="center"/>
        <w:rPr>
          <w:rFonts w:ascii="仿宋" w:hAnsi="仿宋" w:eastAsia="仿宋" w:cs="仿宋"/>
          <w:b/>
          <w:sz w:val="32"/>
          <w:szCs w:val="32"/>
        </w:rPr>
      </w:pPr>
    </w:p>
    <w:p>
      <w:pPr>
        <w:spacing w:line="560" w:lineRule="exact"/>
        <w:jc w:val="center"/>
        <w:rPr>
          <w:rFonts w:ascii="仿宋" w:hAnsi="仿宋" w:eastAsia="仿宋" w:cs="仿宋"/>
          <w:b/>
          <w:sz w:val="32"/>
          <w:szCs w:val="32"/>
        </w:rPr>
      </w:pPr>
    </w:p>
    <w:p>
      <w:pPr>
        <w:pStyle w:val="29"/>
        <w:adjustRightInd w:val="0"/>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我</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(姓名)系</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供应商</w:t>
      </w:r>
      <w:r>
        <w:rPr>
          <w:rFonts w:hint="eastAsia" w:ascii="仿宋" w:hAnsi="仿宋" w:eastAsia="仿宋" w:cs="仿宋"/>
          <w:sz w:val="28"/>
          <w:szCs w:val="28"/>
        </w:rPr>
        <w:t>名称)的法定代表人，现授权委托我单位</w:t>
      </w:r>
      <w:r>
        <w:rPr>
          <w:rFonts w:hint="eastAsia" w:ascii="仿宋" w:hAnsi="仿宋" w:eastAsia="仿宋" w:cs="仿宋"/>
          <w:sz w:val="28"/>
          <w:szCs w:val="28"/>
          <w:u w:val="single"/>
        </w:rPr>
        <w:t xml:space="preserve">            </w:t>
      </w:r>
      <w:r>
        <w:rPr>
          <w:rFonts w:hint="eastAsia" w:ascii="仿宋" w:hAnsi="仿宋" w:eastAsia="仿宋" w:cs="仿宋"/>
          <w:sz w:val="28"/>
          <w:szCs w:val="28"/>
        </w:rPr>
        <w:t>(姓名、职务)为我公司代理人。代理人根据授权，以我方名义签署、澄清、说明、补正、递交、撤回、修改</w:t>
      </w:r>
      <w:r>
        <w:rPr>
          <w:rFonts w:hint="eastAsia" w:ascii="仿宋" w:hAnsi="仿宋" w:eastAsia="仿宋" w:cs="仿宋"/>
          <w:sz w:val="28"/>
          <w:szCs w:val="28"/>
          <w:u w:val="single"/>
        </w:rPr>
        <w:t xml:space="preserve">              </w:t>
      </w:r>
      <w:r>
        <w:rPr>
          <w:rFonts w:hint="eastAsia" w:ascii="仿宋" w:hAnsi="仿宋" w:eastAsia="仿宋" w:cs="仿宋"/>
          <w:sz w:val="28"/>
          <w:szCs w:val="28"/>
        </w:rPr>
        <w:t>(项目名称)</w:t>
      </w:r>
      <w:r>
        <w:rPr>
          <w:rFonts w:hint="eastAsia" w:ascii="仿宋" w:hAnsi="仿宋" w:eastAsia="仿宋" w:cs="仿宋"/>
          <w:sz w:val="28"/>
          <w:szCs w:val="28"/>
          <w:lang w:val="en-US" w:eastAsia="zh-CN"/>
        </w:rPr>
        <w:t>的</w:t>
      </w:r>
      <w:r>
        <w:rPr>
          <w:rFonts w:hint="eastAsia" w:ascii="仿宋" w:hAnsi="仿宋" w:eastAsia="仿宋" w:cs="仿宋"/>
          <w:sz w:val="28"/>
          <w:szCs w:val="28"/>
        </w:rPr>
        <w:t>磋商响应文件、签订合同和处理有关事宜，其法律后果由我方承担。</w:t>
      </w:r>
    </w:p>
    <w:p>
      <w:pPr>
        <w:pStyle w:val="29"/>
        <w:adjustRightInd w:val="0"/>
        <w:snapToGrid w:val="0"/>
        <w:spacing w:line="360" w:lineRule="auto"/>
        <w:ind w:left="412"/>
        <w:rPr>
          <w:rFonts w:ascii="仿宋" w:hAnsi="仿宋" w:eastAsia="仿宋" w:cs="仿宋"/>
          <w:sz w:val="28"/>
          <w:szCs w:val="28"/>
        </w:rPr>
      </w:pPr>
      <w:r>
        <w:rPr>
          <w:rFonts w:hint="eastAsia" w:ascii="仿宋" w:hAnsi="仿宋" w:eastAsia="仿宋" w:cs="仿宋"/>
          <w:sz w:val="28"/>
          <w:szCs w:val="28"/>
        </w:rPr>
        <w:t>代理人无转委托权。特此委托。</w:t>
      </w:r>
      <w:r>
        <w:rPr>
          <w:rFonts w:hint="eastAsia" w:ascii="仿宋" w:hAnsi="仿宋" w:eastAsia="仿宋" w:cs="仿宋"/>
          <w:sz w:val="28"/>
          <w:szCs w:val="28"/>
        </w:rPr>
        <w:cr/>
      </w:r>
      <w:r>
        <w:rPr>
          <w:rFonts w:hint="eastAsia" w:ascii="仿宋" w:hAnsi="仿宋" w:eastAsia="仿宋" w:cs="仿宋"/>
          <w:sz w:val="28"/>
          <w:szCs w:val="28"/>
        </w:rPr>
        <w:t>附：委托代理人身份证复印件</w:t>
      </w:r>
    </w:p>
    <w:p>
      <w:pPr>
        <w:pStyle w:val="29"/>
        <w:adjustRightInd w:val="0"/>
        <w:snapToGrid w:val="0"/>
        <w:spacing w:line="360" w:lineRule="auto"/>
        <w:ind w:left="412"/>
        <w:rPr>
          <w:rFonts w:ascii="仿宋" w:hAnsi="仿宋" w:eastAsia="仿宋" w:cs="仿宋"/>
          <w:sz w:val="28"/>
          <w:szCs w:val="28"/>
        </w:rPr>
      </w:pPr>
    </w:p>
    <w:p>
      <w:pPr>
        <w:pStyle w:val="29"/>
        <w:adjustRightInd w:val="0"/>
        <w:snapToGrid w:val="0"/>
        <w:spacing w:line="360" w:lineRule="auto"/>
        <w:rPr>
          <w:rFonts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pStyle w:val="29"/>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(签字)</w:t>
      </w:r>
    </w:p>
    <w:p>
      <w:pPr>
        <w:pStyle w:val="29"/>
        <w:adjustRightInd w:val="0"/>
        <w:snapToGrid w:val="0"/>
        <w:spacing w:line="360" w:lineRule="auto"/>
        <w:rPr>
          <w:rFonts w:ascii="仿宋" w:hAnsi="仿宋" w:eastAsia="仿宋" w:cs="仿宋"/>
          <w:sz w:val="28"/>
          <w:szCs w:val="28"/>
          <w:u w:val="single"/>
        </w:rPr>
      </w:pPr>
      <w:r>
        <w:rPr>
          <w:rFonts w:hint="eastAsia" w:ascii="仿宋" w:hAnsi="仿宋" w:eastAsia="仿宋" w:cs="仿宋"/>
          <w:sz w:val="28"/>
          <w:szCs w:val="28"/>
        </w:rPr>
        <w:t>委托代理人：</w:t>
      </w:r>
      <w:r>
        <w:rPr>
          <w:rFonts w:hint="eastAsia" w:ascii="仿宋" w:hAnsi="仿宋" w:eastAsia="仿宋" w:cs="仿宋"/>
          <w:sz w:val="28"/>
          <w:szCs w:val="28"/>
          <w:u w:val="single"/>
        </w:rPr>
        <w:t xml:space="preserve">                        </w:t>
      </w:r>
      <w:r>
        <w:rPr>
          <w:rFonts w:hint="eastAsia" w:ascii="仿宋" w:hAnsi="仿宋" w:eastAsia="仿宋" w:cs="仿宋"/>
          <w:sz w:val="28"/>
          <w:szCs w:val="28"/>
        </w:rPr>
        <w:t>(签字)</w:t>
      </w:r>
    </w:p>
    <w:p>
      <w:pPr>
        <w:pStyle w:val="29"/>
        <w:adjustRightInd w:val="0"/>
        <w:snapToGrid w:val="0"/>
        <w:spacing w:line="360" w:lineRule="auto"/>
        <w:ind w:firstLine="2940" w:firstLineChars="1050"/>
        <w:rPr>
          <w:rFonts w:ascii="仿宋" w:hAnsi="仿宋" w:eastAsia="仿宋" w:cs="仿宋"/>
          <w:sz w:val="28"/>
          <w:szCs w:val="28"/>
          <w:u w:val="single"/>
        </w:rPr>
      </w:pPr>
    </w:p>
    <w:p>
      <w:pPr>
        <w:spacing w:line="660" w:lineRule="exact"/>
        <w:ind w:firstLine="4900" w:firstLineChars="1750"/>
        <w:rPr>
          <w:rFonts w:hint="eastAsia" w:ascii="仿宋" w:hAnsi="仿宋" w:eastAsia="仿宋" w:cs="仿宋"/>
          <w:sz w:val="28"/>
          <w:szCs w:val="28"/>
          <w:lang w:val="en-US" w:eastAsia="zh-CN"/>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val="en-US" w:eastAsia="zh-CN"/>
        </w:rPr>
        <w:t>日</w:t>
      </w:r>
    </w:p>
    <w:p>
      <w:pPr>
        <w:spacing w:line="660" w:lineRule="exact"/>
        <w:ind w:firstLine="560" w:firstLineChars="200"/>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200025</wp:posOffset>
                </wp:positionV>
                <wp:extent cx="4390390" cy="2179320"/>
                <wp:effectExtent l="5080" t="4445" r="5080" b="6985"/>
                <wp:wrapNone/>
                <wp:docPr id="1" name="Text Box 3"/>
                <wp:cNvGraphicFramePr/>
                <a:graphic xmlns:a="http://schemas.openxmlformats.org/drawingml/2006/main">
                  <a:graphicData uri="http://schemas.microsoft.com/office/word/2010/wordprocessingShape">
                    <wps:wsp>
                      <wps:cNvSpPr txBox="1"/>
                      <wps:spPr>
                        <a:xfrm>
                          <a:off x="0" y="0"/>
                          <a:ext cx="439039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sz w:val="28"/>
                                <w:szCs w:val="28"/>
                              </w:rPr>
                            </w:pPr>
                            <w:r>
                              <w:rPr>
                                <w:rFonts w:hint="eastAsia"/>
                                <w:sz w:val="28"/>
                                <w:szCs w:val="28"/>
                              </w:rPr>
                              <w:t>委托代理人身份证复印件</w:t>
                            </w:r>
                          </w:p>
                        </w:txbxContent>
                      </wps:txbx>
                      <wps:bodyPr upright="1"/>
                    </wps:wsp>
                  </a:graphicData>
                </a:graphic>
              </wp:anchor>
            </w:drawing>
          </mc:Choice>
          <mc:Fallback>
            <w:pict>
              <v:shape id="Text Box 3" o:spid="_x0000_s1026" o:spt="202" type="#_x0000_t202" style="position:absolute;left:0pt;margin-left:45pt;margin-top:15.75pt;height:171.6pt;width:345.7pt;z-index:251662336;mso-width-relative:page;mso-height-relative:page;" fillcolor="#FFFFFF" filled="t" stroked="t" coordsize="21600,21600" o:gfxdata="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WTM8tkAAAAJAQAADwAAAAAAAAABACAAAAAiAAAAZHJzL2Rvd25y&#10;ZXYueG1sUEsBAhQAFAAAAAgAh07iQIAUHmr9AQAANgQAAA4AAAAAAAAAAQAgAAAAKAEAAGRycy9l&#10;Mm9Eb2MueG1sUEsFBgAAAAAGAAYAWQEAAJcFAAAAAA==&#10;">
                <v:fill on="t" focussize="0,0"/>
                <v:stroke color="#000000" joinstyle="miter"/>
                <v:imagedata o:title=""/>
                <o:lock v:ext="edit" aspectratio="f"/>
                <v:textbox>
                  <w:txbxContent>
                    <w:p>
                      <w:pPr>
                        <w:jc w:val="center"/>
                      </w:pPr>
                    </w:p>
                    <w:p>
                      <w:pPr>
                        <w:jc w:val="center"/>
                      </w:pPr>
                    </w:p>
                    <w:p>
                      <w:pPr>
                        <w:jc w:val="center"/>
                      </w:pPr>
                    </w:p>
                    <w:p>
                      <w:pPr>
                        <w:jc w:val="center"/>
                        <w:rPr>
                          <w:sz w:val="28"/>
                          <w:szCs w:val="28"/>
                        </w:rPr>
                      </w:pPr>
                      <w:r>
                        <w:rPr>
                          <w:rFonts w:hint="eastAsia"/>
                          <w:sz w:val="28"/>
                          <w:szCs w:val="28"/>
                        </w:rPr>
                        <w:t>委托代理人身份证复印件</w:t>
                      </w:r>
                    </w:p>
                  </w:txbxContent>
                </v:textbox>
              </v:shape>
            </w:pict>
          </mc:Fallback>
        </mc:AlternateContent>
      </w:r>
    </w:p>
    <w:p>
      <w:pPr>
        <w:spacing w:line="660" w:lineRule="exact"/>
        <w:ind w:firstLine="600" w:firstLineChars="200"/>
        <w:rPr>
          <w:rFonts w:ascii="仿宋" w:hAnsi="仿宋" w:eastAsia="仿宋" w:cs="仿宋"/>
          <w:sz w:val="30"/>
          <w:szCs w:val="30"/>
        </w:rPr>
      </w:pPr>
    </w:p>
    <w:p>
      <w:pPr>
        <w:spacing w:line="660" w:lineRule="exact"/>
        <w:ind w:firstLine="600" w:firstLineChars="200"/>
        <w:rPr>
          <w:rFonts w:ascii="仿宋" w:hAnsi="仿宋" w:eastAsia="仿宋" w:cs="仿宋"/>
          <w:sz w:val="30"/>
          <w:szCs w:val="30"/>
        </w:rPr>
      </w:pPr>
    </w:p>
    <w:p>
      <w:pPr>
        <w:spacing w:line="660" w:lineRule="exact"/>
        <w:ind w:firstLine="600" w:firstLineChars="200"/>
        <w:rPr>
          <w:rFonts w:ascii="仿宋" w:hAnsi="仿宋" w:eastAsia="仿宋" w:cs="仿宋"/>
          <w:sz w:val="30"/>
          <w:szCs w:val="30"/>
        </w:rPr>
      </w:pPr>
    </w:p>
    <w:p>
      <w:pPr>
        <w:spacing w:line="660" w:lineRule="exact"/>
        <w:ind w:firstLine="600" w:firstLineChars="200"/>
        <w:rPr>
          <w:rFonts w:ascii="仿宋" w:hAnsi="仿宋" w:eastAsia="仿宋" w:cs="仿宋"/>
          <w:sz w:val="30"/>
          <w:szCs w:val="30"/>
        </w:rPr>
      </w:pPr>
    </w:p>
    <w:p>
      <w:pPr>
        <w:spacing w:line="660" w:lineRule="exact"/>
        <w:ind w:firstLine="600" w:firstLineChars="200"/>
        <w:rPr>
          <w:rFonts w:ascii="仿宋" w:hAnsi="仿宋" w:eastAsia="仿宋" w:cs="仿宋"/>
          <w:sz w:val="30"/>
          <w:szCs w:val="30"/>
        </w:rPr>
      </w:pPr>
    </w:p>
    <w:p>
      <w:pPr>
        <w:pStyle w:val="29"/>
        <w:tabs>
          <w:tab w:val="left" w:pos="5580"/>
        </w:tabs>
        <w:spacing w:line="360" w:lineRule="auto"/>
        <w:rPr>
          <w:rFonts w:ascii="仿宋" w:hAnsi="仿宋" w:eastAsia="仿宋" w:cs="仿宋"/>
          <w:sz w:val="24"/>
          <w:szCs w:val="24"/>
        </w:rPr>
      </w:pPr>
      <w:r>
        <w:rPr>
          <w:rFonts w:hint="eastAsia" w:ascii="仿宋" w:hAnsi="仿宋" w:eastAsia="仿宋" w:cs="仿宋"/>
          <w:b/>
          <w:sz w:val="36"/>
          <w:szCs w:val="36"/>
        </w:rPr>
        <w:br w:type="page"/>
      </w:r>
    </w:p>
    <w:bookmarkEnd w:id="284"/>
    <w:bookmarkEnd w:id="285"/>
    <w:bookmarkEnd w:id="286"/>
    <w:bookmarkEnd w:id="287"/>
    <w:bookmarkEnd w:id="288"/>
    <w:bookmarkEnd w:id="289"/>
    <w:bookmarkEnd w:id="290"/>
    <w:bookmarkEnd w:id="291"/>
    <w:bookmarkEnd w:id="292"/>
    <w:bookmarkEnd w:id="293"/>
    <w:bookmarkEnd w:id="294"/>
    <w:bookmarkEnd w:id="295"/>
    <w:bookmarkEnd w:id="296"/>
    <w:p>
      <w:pPr>
        <w:pStyle w:val="3"/>
        <w:pageBreakBefore/>
        <w:tabs>
          <w:tab w:val="left" w:pos="5580"/>
        </w:tabs>
        <w:spacing w:before="0" w:after="0" w:line="22" w:lineRule="atLeast"/>
        <w:rPr>
          <w:rFonts w:hint="eastAsia" w:ascii="仿宋" w:hAnsi="仿宋" w:eastAsia="仿宋" w:cs="仿宋"/>
          <w:sz w:val="28"/>
          <w:szCs w:val="28"/>
        </w:rPr>
        <w:sectPr>
          <w:pgSz w:w="11906" w:h="16838"/>
          <w:pgMar w:top="1440" w:right="1418" w:bottom="1259" w:left="1418" w:header="851" w:footer="992" w:gutter="0"/>
          <w:pgNumType w:fmt="decimal"/>
          <w:cols w:space="720" w:num="1"/>
          <w:titlePg/>
          <w:docGrid w:linePitch="312" w:charSpace="0"/>
        </w:sectPr>
      </w:pPr>
      <w:bookmarkStart w:id="297" w:name="_Toc495679419"/>
      <w:bookmarkStart w:id="298" w:name="_Toc26705"/>
    </w:p>
    <w:p>
      <w:pPr>
        <w:pStyle w:val="3"/>
        <w:pageBreakBefore/>
        <w:tabs>
          <w:tab w:val="left" w:pos="5580"/>
        </w:tabs>
        <w:spacing w:before="0" w:after="0" w:line="22" w:lineRule="atLeast"/>
        <w:rPr>
          <w:rFonts w:hint="eastAsia" w:ascii="仿宋" w:hAnsi="仿宋" w:eastAsia="仿宋" w:cs="仿宋"/>
          <w:b/>
          <w:bCs w:val="0"/>
          <w:kern w:val="0"/>
          <w:sz w:val="28"/>
          <w:szCs w:val="28"/>
        </w:rPr>
      </w:pPr>
      <w:r>
        <w:rPr>
          <w:rFonts w:hint="eastAsia" w:ascii="仿宋" w:hAnsi="仿宋" w:eastAsia="仿宋" w:cs="仿宋"/>
          <w:b/>
          <w:bCs w:val="0"/>
          <w:kern w:val="0"/>
          <w:sz w:val="28"/>
          <w:szCs w:val="28"/>
          <w:lang w:val="en-US" w:eastAsia="zh-CN"/>
        </w:rPr>
        <w:t>5、</w:t>
      </w:r>
      <w:r>
        <w:rPr>
          <w:rFonts w:hint="eastAsia" w:ascii="仿宋" w:hAnsi="仿宋" w:eastAsia="仿宋" w:cs="仿宋"/>
          <w:b/>
          <w:bCs w:val="0"/>
          <w:kern w:val="0"/>
          <w:sz w:val="28"/>
          <w:szCs w:val="28"/>
        </w:rPr>
        <w:t>供应商资格证明文件（详见第一章供应商资格要求）</w:t>
      </w:r>
    </w:p>
    <w:bookmarkEnd w:id="297"/>
    <w:bookmarkEnd w:id="298"/>
    <w:p>
      <w:pPr>
        <w:pStyle w:val="3"/>
        <w:pageBreakBefore/>
        <w:tabs>
          <w:tab w:val="left" w:pos="5580"/>
        </w:tabs>
        <w:spacing w:before="0" w:after="0" w:line="22" w:lineRule="atLeast"/>
        <w:rPr>
          <w:rFonts w:hint="eastAsia" w:ascii="仿宋" w:hAnsi="仿宋" w:eastAsia="仿宋" w:cs="仿宋"/>
          <w:b/>
          <w:bCs w:val="0"/>
          <w:kern w:val="0"/>
          <w:sz w:val="28"/>
          <w:szCs w:val="28"/>
        </w:rPr>
      </w:pPr>
      <w:r>
        <w:rPr>
          <w:rFonts w:hint="eastAsia" w:ascii="仿宋" w:hAnsi="仿宋" w:eastAsia="仿宋" w:cs="仿宋"/>
          <w:b/>
          <w:bCs w:val="0"/>
          <w:kern w:val="0"/>
          <w:sz w:val="28"/>
          <w:szCs w:val="28"/>
          <w:lang w:val="en-US" w:eastAsia="zh-CN"/>
        </w:rPr>
        <w:t>6、</w:t>
      </w:r>
      <w:r>
        <w:rPr>
          <w:rFonts w:hint="eastAsia" w:ascii="仿宋" w:hAnsi="仿宋" w:eastAsia="仿宋" w:cs="仿宋"/>
          <w:b/>
          <w:bCs w:val="0"/>
          <w:kern w:val="0"/>
          <w:sz w:val="28"/>
          <w:szCs w:val="28"/>
        </w:rPr>
        <w:t>无重大违法记录声明（附件5）</w:t>
      </w:r>
    </w:p>
    <w:p>
      <w:pPr>
        <w:pStyle w:val="29"/>
        <w:tabs>
          <w:tab w:val="left" w:pos="5580"/>
        </w:tabs>
        <w:spacing w:line="360" w:lineRule="auto"/>
        <w:rPr>
          <w:rFonts w:ascii="仿宋" w:hAnsi="仿宋" w:eastAsia="仿宋" w:cs="仿宋"/>
          <w:b/>
          <w:sz w:val="24"/>
          <w:szCs w:val="24"/>
          <w:lang w:val="en-US" w:eastAsia="zh-CN" w:bidi="ar-SA"/>
        </w:rPr>
      </w:pPr>
    </w:p>
    <w:p>
      <w:pPr>
        <w:pStyle w:val="29"/>
        <w:tabs>
          <w:tab w:val="left" w:pos="5580"/>
        </w:tabs>
        <w:spacing w:line="360" w:lineRule="auto"/>
        <w:jc w:val="center"/>
        <w:rPr>
          <w:rFonts w:ascii="仿宋" w:hAnsi="仿宋" w:eastAsia="仿宋" w:cs="仿宋"/>
          <w:sz w:val="28"/>
          <w:szCs w:val="28"/>
        </w:rPr>
      </w:pPr>
    </w:p>
    <w:p>
      <w:pPr>
        <w:pStyle w:val="29"/>
        <w:tabs>
          <w:tab w:val="left" w:pos="5580"/>
        </w:tabs>
        <w:spacing w:line="320" w:lineRule="exact"/>
        <w:ind w:firstLine="1181" w:firstLineChars="490"/>
        <w:rPr>
          <w:rFonts w:ascii="仿宋" w:hAnsi="仿宋" w:eastAsia="仿宋" w:cs="仿宋"/>
          <w:b/>
          <w:sz w:val="24"/>
        </w:rPr>
      </w:pPr>
      <w:bookmarkStart w:id="299" w:name="_Toc183588718"/>
    </w:p>
    <w:p>
      <w:pPr>
        <w:pStyle w:val="29"/>
        <w:tabs>
          <w:tab w:val="left" w:pos="5580"/>
        </w:tabs>
        <w:spacing w:line="360" w:lineRule="auto"/>
        <w:jc w:val="center"/>
        <w:rPr>
          <w:rFonts w:ascii="仿宋" w:hAnsi="仿宋" w:eastAsia="仿宋" w:cs="仿宋"/>
          <w:b/>
          <w:sz w:val="40"/>
          <w:szCs w:val="24"/>
        </w:rPr>
      </w:pPr>
      <w:r>
        <w:rPr>
          <w:rFonts w:hint="eastAsia" w:ascii="仿宋" w:hAnsi="仿宋" w:eastAsia="仿宋" w:cs="仿宋"/>
          <w:b/>
          <w:sz w:val="40"/>
          <w:szCs w:val="24"/>
        </w:rPr>
        <w:t>无重大违法记录声明</w:t>
      </w:r>
    </w:p>
    <w:p>
      <w:pPr>
        <w:pStyle w:val="29"/>
        <w:tabs>
          <w:tab w:val="left" w:pos="5580"/>
        </w:tabs>
        <w:spacing w:line="360" w:lineRule="auto"/>
        <w:rPr>
          <w:rFonts w:ascii="仿宋" w:hAnsi="仿宋" w:eastAsia="仿宋" w:cs="仿宋"/>
          <w:sz w:val="24"/>
          <w:szCs w:val="24"/>
        </w:rPr>
      </w:pPr>
    </w:p>
    <w:p>
      <w:pPr>
        <w:spacing w:line="360" w:lineRule="auto"/>
        <w:ind w:left="1260" w:hanging="1080" w:hangingChars="450"/>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计算机财务共享中心</w:t>
      </w:r>
    </w:p>
    <w:p>
      <w:pPr>
        <w:pStyle w:val="29"/>
        <w:tabs>
          <w:tab w:val="left" w:pos="5580"/>
        </w:tabs>
        <w:spacing w:line="360" w:lineRule="auto"/>
        <w:rPr>
          <w:rFonts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eastAsia="zh-CN"/>
        </w:rPr>
        <w:t>HNHS-2024-019</w:t>
      </w:r>
      <w:r>
        <w:rPr>
          <w:rFonts w:hint="eastAsia" w:ascii="仿宋" w:hAnsi="仿宋" w:eastAsia="仿宋" w:cs="仿宋"/>
          <w:sz w:val="24"/>
          <w:szCs w:val="24"/>
        </w:rPr>
        <w:t xml:space="preserve">             </w:t>
      </w:r>
    </w:p>
    <w:p>
      <w:pPr>
        <w:pStyle w:val="29"/>
        <w:tabs>
          <w:tab w:val="left" w:pos="5580"/>
        </w:tabs>
        <w:spacing w:line="360" w:lineRule="auto"/>
        <w:ind w:firstLine="120" w:firstLineChars="50"/>
        <w:rPr>
          <w:rFonts w:ascii="仿宋" w:hAnsi="仿宋" w:eastAsia="仿宋" w:cs="仿宋"/>
          <w:sz w:val="24"/>
          <w:szCs w:val="24"/>
        </w:rPr>
      </w:pPr>
      <w:r>
        <w:rPr>
          <w:rFonts w:hint="eastAsia" w:ascii="仿宋" w:hAnsi="仿宋" w:eastAsia="仿宋" w:cs="仿宋"/>
          <w:sz w:val="24"/>
          <w:szCs w:val="24"/>
          <w:lang w:eastAsia="zh-CN"/>
        </w:rPr>
        <w:t>海南和顺项目管理有限公司</w:t>
      </w:r>
      <w:r>
        <w:rPr>
          <w:rFonts w:hint="eastAsia" w:ascii="仿宋" w:hAnsi="仿宋" w:eastAsia="仿宋" w:cs="仿宋"/>
          <w:sz w:val="24"/>
          <w:szCs w:val="24"/>
        </w:rPr>
        <w:t>：</w:t>
      </w:r>
    </w:p>
    <w:p>
      <w:pPr>
        <w:pStyle w:val="29"/>
        <w:tabs>
          <w:tab w:val="left" w:pos="5580"/>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郑重声明，我方参加本项目采购活动前三年内无重大违法活动记录（成立不足三年的从成立之日起算），符合《政府采购法》规定的供应商资格条件。我方对此声明负全部法律责任。</w:t>
      </w:r>
    </w:p>
    <w:p>
      <w:pPr>
        <w:pStyle w:val="29"/>
        <w:tabs>
          <w:tab w:val="left" w:pos="5580"/>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特此声明。</w:t>
      </w: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r>
        <w:rPr>
          <w:rFonts w:hint="eastAsia" w:ascii="仿宋" w:hAnsi="仿宋" w:eastAsia="仿宋" w:cs="仿宋"/>
          <w:sz w:val="24"/>
          <w:szCs w:val="24"/>
        </w:rPr>
        <w:t xml:space="preserve">供应商代表签字：                 </w:t>
      </w:r>
    </w:p>
    <w:p>
      <w:pPr>
        <w:pStyle w:val="29"/>
        <w:tabs>
          <w:tab w:val="left" w:pos="5580"/>
        </w:tabs>
        <w:spacing w:line="360" w:lineRule="auto"/>
        <w:rPr>
          <w:rFonts w:ascii="仿宋" w:hAnsi="仿宋" w:eastAsia="仿宋" w:cs="仿宋"/>
          <w:sz w:val="24"/>
          <w:szCs w:val="24"/>
        </w:rPr>
      </w:pPr>
      <w:r>
        <w:rPr>
          <w:rFonts w:hint="eastAsia" w:ascii="仿宋" w:hAnsi="仿宋" w:eastAsia="仿宋" w:cs="仿宋"/>
          <w:sz w:val="24"/>
          <w:szCs w:val="24"/>
        </w:rPr>
        <w:t>供应商（全称并加盖公章）：</w:t>
      </w:r>
    </w:p>
    <w:p>
      <w:pPr>
        <w:pStyle w:val="29"/>
        <w:tabs>
          <w:tab w:val="left" w:pos="5580"/>
        </w:tabs>
        <w:spacing w:line="360" w:lineRule="auto"/>
        <w:rPr>
          <w:rFonts w:ascii="仿宋" w:hAnsi="仿宋" w:eastAsia="仿宋" w:cs="仿宋"/>
          <w:sz w:val="24"/>
          <w:szCs w:val="24"/>
        </w:rPr>
      </w:pPr>
      <w:r>
        <w:rPr>
          <w:rFonts w:hint="eastAsia" w:ascii="仿宋" w:hAnsi="仿宋" w:eastAsia="仿宋" w:cs="仿宋"/>
          <w:sz w:val="24"/>
          <w:szCs w:val="24"/>
        </w:rPr>
        <w:t>日  期：     年   月   日</w:t>
      </w: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3"/>
        <w:pageBreakBefore/>
        <w:tabs>
          <w:tab w:val="left" w:pos="5580"/>
        </w:tabs>
        <w:spacing w:before="0" w:after="0" w:line="22" w:lineRule="atLeast"/>
        <w:rPr>
          <w:rFonts w:hint="eastAsia" w:ascii="仿宋" w:hAnsi="仿宋" w:eastAsia="仿宋" w:cs="仿宋"/>
          <w:sz w:val="30"/>
          <w:szCs w:val="30"/>
          <w:lang w:val="en-US" w:eastAsia="zh-CN"/>
        </w:rPr>
        <w:sectPr>
          <w:pgSz w:w="11906" w:h="16838"/>
          <w:pgMar w:top="1440" w:right="1418" w:bottom="1259" w:left="1418" w:header="851" w:footer="992" w:gutter="0"/>
          <w:pgNumType w:fmt="decimal"/>
          <w:cols w:space="720" w:num="1"/>
          <w:titlePg/>
          <w:docGrid w:linePitch="312" w:charSpace="0"/>
        </w:sectPr>
      </w:pPr>
    </w:p>
    <w:p>
      <w:pPr>
        <w:pStyle w:val="3"/>
        <w:pageBreakBefore/>
        <w:tabs>
          <w:tab w:val="left" w:pos="5580"/>
        </w:tabs>
        <w:spacing w:before="0" w:after="0" w:line="22" w:lineRule="atLeast"/>
        <w:rPr>
          <w:rFonts w:hint="eastAsia" w:ascii="仿宋" w:hAnsi="仿宋" w:eastAsia="仿宋" w:cs="仿宋"/>
          <w:b/>
          <w:bCs w:val="0"/>
          <w:kern w:val="0"/>
          <w:sz w:val="28"/>
          <w:szCs w:val="28"/>
        </w:rPr>
      </w:pPr>
      <w:r>
        <w:rPr>
          <w:rFonts w:hint="eastAsia" w:ascii="仿宋" w:hAnsi="仿宋" w:eastAsia="仿宋" w:cs="仿宋"/>
          <w:b/>
          <w:bCs w:val="0"/>
          <w:kern w:val="0"/>
          <w:sz w:val="28"/>
          <w:szCs w:val="28"/>
          <w:lang w:val="en-US" w:eastAsia="zh-CN"/>
        </w:rPr>
        <w:t>7、</w:t>
      </w:r>
      <w:r>
        <w:rPr>
          <w:rFonts w:hint="eastAsia" w:ascii="仿宋" w:hAnsi="仿宋" w:eastAsia="仿宋" w:cs="仿宋"/>
          <w:b/>
          <w:bCs w:val="0"/>
          <w:kern w:val="0"/>
          <w:sz w:val="28"/>
          <w:szCs w:val="28"/>
        </w:rPr>
        <w:t>拟投入本项目</w:t>
      </w:r>
      <w:r>
        <w:rPr>
          <w:rFonts w:hint="eastAsia" w:ascii="仿宋" w:hAnsi="仿宋" w:eastAsia="仿宋" w:cs="仿宋"/>
          <w:b/>
          <w:bCs w:val="0"/>
          <w:kern w:val="0"/>
          <w:sz w:val="28"/>
          <w:szCs w:val="28"/>
          <w:lang w:val="en-US" w:eastAsia="zh-CN"/>
        </w:rPr>
        <w:t>负责人简历表</w:t>
      </w:r>
      <w:r>
        <w:rPr>
          <w:rFonts w:hint="eastAsia" w:ascii="仿宋" w:hAnsi="仿宋" w:eastAsia="仿宋" w:cs="仿宋"/>
          <w:b/>
          <w:bCs w:val="0"/>
          <w:kern w:val="0"/>
          <w:sz w:val="28"/>
          <w:szCs w:val="28"/>
        </w:rPr>
        <w:t>（附件</w:t>
      </w:r>
      <w:r>
        <w:rPr>
          <w:rFonts w:hint="eastAsia" w:ascii="仿宋" w:hAnsi="仿宋" w:eastAsia="仿宋" w:cs="仿宋"/>
          <w:b/>
          <w:bCs w:val="0"/>
          <w:kern w:val="0"/>
          <w:sz w:val="28"/>
          <w:szCs w:val="28"/>
          <w:lang w:val="en-US" w:eastAsia="zh-CN"/>
        </w:rPr>
        <w:t>6</w:t>
      </w:r>
      <w:r>
        <w:rPr>
          <w:rFonts w:hint="eastAsia" w:ascii="仿宋" w:hAnsi="仿宋" w:eastAsia="仿宋" w:cs="仿宋"/>
          <w:b/>
          <w:bCs w:val="0"/>
          <w:kern w:val="0"/>
          <w:sz w:val="28"/>
          <w:szCs w:val="28"/>
        </w:rPr>
        <w:t>）</w:t>
      </w:r>
    </w:p>
    <w:p>
      <w:pPr>
        <w:jc w:val="both"/>
        <w:rPr>
          <w:rFonts w:hint="eastAsia" w:ascii="仿宋" w:hAnsi="仿宋" w:eastAsia="仿宋" w:cs="仿宋"/>
          <w:color w:val="000000"/>
          <w:sz w:val="28"/>
          <w:szCs w:val="28"/>
        </w:rPr>
      </w:pPr>
    </w:p>
    <w:p>
      <w:pPr>
        <w:pStyle w:val="29"/>
        <w:ind w:firstLine="560" w:firstLineChars="200"/>
        <w:rPr>
          <w:rFonts w:hint="eastAsia" w:ascii="仿宋" w:hAnsi="仿宋" w:eastAsia="仿宋" w:cs="仿宋"/>
          <w:color w:val="000000"/>
          <w:sz w:val="28"/>
          <w:szCs w:val="28"/>
        </w:rPr>
      </w:pPr>
    </w:p>
    <w:tbl>
      <w:tblPr>
        <w:tblStyle w:val="56"/>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7"/>
        <w:gridCol w:w="1942"/>
        <w:gridCol w:w="2187"/>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姓　名</w:t>
            </w: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性　别</w:t>
            </w: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职　务</w:t>
            </w: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职　称</w:t>
            </w: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毕业学校、专业</w:t>
            </w:r>
          </w:p>
        </w:tc>
        <w:tc>
          <w:tcPr>
            <w:tcW w:w="6811" w:type="dxa"/>
            <w:gridSpan w:val="3"/>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身份证号</w:t>
            </w: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拟在本项目任职</w:t>
            </w: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职业</w:t>
            </w:r>
            <w:r>
              <w:rPr>
                <w:rFonts w:hint="eastAsia" w:ascii="仿宋" w:hAnsi="仿宋" w:eastAsia="仿宋" w:cs="仿宋"/>
                <w:color w:val="000000"/>
                <w:sz w:val="28"/>
                <w:szCs w:val="28"/>
              </w:rPr>
              <w:t>资格证</w:t>
            </w: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职业</w:t>
            </w:r>
            <w:r>
              <w:rPr>
                <w:rFonts w:hint="eastAsia" w:ascii="仿宋" w:hAnsi="仿宋" w:eastAsia="仿宋" w:cs="仿宋"/>
                <w:color w:val="000000"/>
                <w:sz w:val="28"/>
                <w:szCs w:val="28"/>
              </w:rPr>
              <w:t>资格证书号</w:t>
            </w: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738" w:type="dxa"/>
            <w:gridSpan w:val="4"/>
            <w:vAlign w:val="center"/>
          </w:tcPr>
          <w:p>
            <w:pPr>
              <w:pStyle w:val="29"/>
              <w:jc w:val="left"/>
              <w:rPr>
                <w:rFonts w:hint="eastAsia" w:ascii="仿宋" w:hAnsi="仿宋" w:eastAsia="仿宋" w:cs="仿宋"/>
                <w:color w:val="000000"/>
                <w:sz w:val="28"/>
                <w:szCs w:val="28"/>
              </w:rPr>
            </w:pPr>
            <w:r>
              <w:rPr>
                <w:rFonts w:hint="eastAsia" w:ascii="仿宋" w:hAnsi="仿宋" w:eastAsia="仿宋" w:cs="仿宋"/>
                <w:color w:val="000000"/>
                <w:sz w:val="28"/>
                <w:szCs w:val="28"/>
              </w:rPr>
              <w:t>近____年承担项目情况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时间</w:t>
            </w:r>
          </w:p>
        </w:tc>
        <w:tc>
          <w:tcPr>
            <w:tcW w:w="1942"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类似项目名称</w:t>
            </w:r>
          </w:p>
        </w:tc>
        <w:tc>
          <w:tcPr>
            <w:tcW w:w="218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担任职务</w:t>
            </w:r>
          </w:p>
        </w:tc>
        <w:tc>
          <w:tcPr>
            <w:tcW w:w="2682"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项目单位名称及电话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bl>
    <w:p>
      <w:pPr>
        <w:pStyle w:val="29"/>
        <w:ind w:firstLine="560" w:firstLineChars="200"/>
        <w:rPr>
          <w:rFonts w:hint="eastAsia" w:ascii="仿宋" w:hAnsi="仿宋" w:eastAsia="仿宋" w:cs="仿宋"/>
          <w:color w:val="000000"/>
          <w:sz w:val="28"/>
          <w:szCs w:val="28"/>
        </w:rPr>
      </w:pPr>
    </w:p>
    <w:p>
      <w:pPr>
        <w:pStyle w:val="29"/>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供应商名称(公章)：________________</w:t>
      </w:r>
    </w:p>
    <w:p>
      <w:pPr>
        <w:pStyle w:val="29"/>
        <w:spacing w:line="440" w:lineRule="exact"/>
        <w:ind w:firstLine="560" w:firstLineChars="200"/>
        <w:rPr>
          <w:rFonts w:hint="eastAsia" w:ascii="仿宋" w:hAnsi="仿宋" w:eastAsia="仿宋" w:cs="仿宋"/>
          <w:color w:val="000000"/>
          <w:sz w:val="28"/>
          <w:szCs w:val="28"/>
        </w:rPr>
      </w:pPr>
    </w:p>
    <w:p>
      <w:pPr>
        <w:pStyle w:val="29"/>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法定代表人或授权代表(签字或盖章)：________________</w:t>
      </w:r>
    </w:p>
    <w:p>
      <w:pPr>
        <w:pStyle w:val="29"/>
        <w:spacing w:line="440" w:lineRule="exact"/>
        <w:ind w:firstLine="560" w:firstLineChars="200"/>
        <w:rPr>
          <w:rFonts w:hint="eastAsia" w:ascii="仿宋" w:hAnsi="仿宋" w:eastAsia="仿宋" w:cs="仿宋"/>
          <w:color w:val="000000"/>
          <w:sz w:val="28"/>
          <w:szCs w:val="28"/>
        </w:rPr>
      </w:pPr>
    </w:p>
    <w:p>
      <w:pPr>
        <w:pStyle w:val="29"/>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日期：______年______月______日</w:t>
      </w:r>
    </w:p>
    <w:p>
      <w:pPr>
        <w:pStyle w:val="29"/>
        <w:spacing w:line="440" w:lineRule="exact"/>
        <w:rPr>
          <w:rFonts w:hint="eastAsia" w:ascii="仿宋" w:hAnsi="仿宋" w:eastAsia="仿宋" w:cs="仿宋"/>
          <w:color w:val="000000"/>
          <w:sz w:val="28"/>
          <w:szCs w:val="28"/>
        </w:rPr>
      </w:pPr>
    </w:p>
    <w:p>
      <w:pPr>
        <w:tabs>
          <w:tab w:val="center" w:pos="4535"/>
        </w:tabs>
        <w:bidi w:val="0"/>
        <w:jc w:val="left"/>
        <w:rPr>
          <w:rFonts w:hint="eastAsia" w:ascii="仿宋" w:hAnsi="仿宋" w:eastAsia="仿宋" w:cs="仿宋"/>
          <w:b/>
          <w:bCs/>
          <w:color w:val="000000"/>
          <w:sz w:val="28"/>
          <w:szCs w:val="28"/>
        </w:rPr>
      </w:pPr>
    </w:p>
    <w:p>
      <w:pPr>
        <w:tabs>
          <w:tab w:val="center" w:pos="4535"/>
        </w:tabs>
        <w:bidi w:val="0"/>
        <w:ind w:firstLine="562" w:firstLineChars="200"/>
        <w:jc w:val="left"/>
        <w:rPr>
          <w:rFonts w:hint="eastAsia"/>
          <w:lang w:val="en-US" w:eastAsia="zh-CN"/>
        </w:rPr>
        <w:sectPr>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b/>
          <w:bCs/>
          <w:color w:val="000000"/>
          <w:sz w:val="28"/>
          <w:szCs w:val="28"/>
        </w:rPr>
        <w:t>注：该表格仅供参考，投标人可根据投标项目进行调整</w:t>
      </w:r>
    </w:p>
    <w:p>
      <w:pPr>
        <w:pStyle w:val="3"/>
        <w:pageBreakBefore/>
        <w:tabs>
          <w:tab w:val="left" w:pos="5580"/>
        </w:tabs>
        <w:spacing w:before="0" w:after="0" w:line="22" w:lineRule="atLeast"/>
        <w:rPr>
          <w:rFonts w:ascii="仿宋" w:hAnsi="仿宋" w:eastAsia="仿宋" w:cs="仿宋"/>
          <w:sz w:val="28"/>
          <w:szCs w:val="28"/>
        </w:rPr>
      </w:pPr>
      <w:r>
        <w:rPr>
          <w:rFonts w:hint="eastAsia" w:ascii="仿宋" w:hAnsi="仿宋" w:eastAsia="仿宋" w:cs="仿宋"/>
          <w:b/>
          <w:bCs w:val="0"/>
          <w:kern w:val="0"/>
          <w:sz w:val="28"/>
          <w:szCs w:val="28"/>
          <w:lang w:val="en-US" w:eastAsia="zh-CN"/>
        </w:rPr>
        <w:t>8、类似业绩一览表（附件7）</w:t>
      </w:r>
      <w:r>
        <w:rPr>
          <w:rFonts w:hint="eastAsia" w:ascii="仿宋" w:hAnsi="仿宋" w:eastAsia="仿宋" w:cs="仿宋"/>
          <w:sz w:val="28"/>
          <w:szCs w:val="28"/>
        </w:rPr>
        <w:t xml:space="preserve"> </w:t>
      </w:r>
    </w:p>
    <w:p>
      <w:pPr>
        <w:shd w:val="solid" w:color="FFFFFF" w:fill="auto"/>
        <w:autoSpaceDN w:val="0"/>
        <w:spacing w:line="400" w:lineRule="exact"/>
        <w:rPr>
          <w:rFonts w:ascii="仿宋" w:hAnsi="仿宋" w:eastAsia="仿宋" w:cs="仿宋"/>
          <w:sz w:val="24"/>
          <w:shd w:val="clear" w:color="auto" w:fill="FFFFFF"/>
        </w:rPr>
      </w:pPr>
    </w:p>
    <w:tbl>
      <w:tblPr>
        <w:tblStyle w:val="56"/>
        <w:tblW w:w="870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730"/>
        <w:gridCol w:w="10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20" w:firstLineChars="50"/>
              <w:jc w:val="center"/>
              <w:rPr>
                <w:rFonts w:ascii="仿宋" w:hAnsi="仿宋" w:eastAsia="仿宋" w:cs="仿宋"/>
                <w:b/>
                <w:sz w:val="24"/>
                <w:szCs w:val="24"/>
              </w:rPr>
            </w:pPr>
            <w:r>
              <w:rPr>
                <w:rFonts w:hint="eastAsia" w:ascii="仿宋" w:hAnsi="仿宋" w:eastAsia="仿宋" w:cs="仿宋"/>
                <w:b/>
                <w:sz w:val="24"/>
                <w:szCs w:val="24"/>
              </w:rPr>
              <w:t>年份</w:t>
            </w:r>
          </w:p>
        </w:tc>
        <w:tc>
          <w:tcPr>
            <w:tcW w:w="1440" w:type="dxa"/>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用户名称</w:t>
            </w:r>
          </w:p>
        </w:tc>
        <w:tc>
          <w:tcPr>
            <w:tcW w:w="1320" w:type="dxa"/>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项目名称</w:t>
            </w:r>
          </w:p>
        </w:tc>
        <w:tc>
          <w:tcPr>
            <w:tcW w:w="1161" w:type="dxa"/>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完成时间</w:t>
            </w:r>
          </w:p>
        </w:tc>
        <w:tc>
          <w:tcPr>
            <w:tcW w:w="1260" w:type="dxa"/>
            <w:vAlign w:val="center"/>
          </w:tcPr>
          <w:p>
            <w:pPr>
              <w:spacing w:line="400" w:lineRule="exact"/>
              <w:ind w:firstLine="120" w:firstLineChars="50"/>
              <w:jc w:val="center"/>
              <w:rPr>
                <w:rFonts w:ascii="仿宋" w:hAnsi="仿宋" w:eastAsia="仿宋" w:cs="仿宋"/>
                <w:b/>
                <w:sz w:val="24"/>
                <w:szCs w:val="24"/>
              </w:rPr>
            </w:pPr>
            <w:r>
              <w:rPr>
                <w:rFonts w:hint="eastAsia" w:ascii="仿宋" w:hAnsi="仿宋" w:eastAsia="仿宋" w:cs="仿宋"/>
                <w:b/>
                <w:sz w:val="24"/>
                <w:szCs w:val="24"/>
              </w:rPr>
              <w:t>合同金额</w:t>
            </w:r>
          </w:p>
        </w:tc>
        <w:tc>
          <w:tcPr>
            <w:tcW w:w="1730" w:type="dxa"/>
            <w:tcBorders>
              <w:right w:val="single" w:color="auto" w:sz="4" w:space="0"/>
            </w:tcBorders>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完成项目质量</w:t>
            </w:r>
          </w:p>
        </w:tc>
        <w:tc>
          <w:tcPr>
            <w:tcW w:w="1077" w:type="dxa"/>
            <w:tcBorders>
              <w:left w:val="single" w:color="auto" w:sz="4" w:space="0"/>
            </w:tcBorders>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jc w:val="center"/>
              <w:rPr>
                <w:rFonts w:ascii="仿宋" w:hAnsi="仿宋" w:eastAsia="仿宋" w:cs="仿宋"/>
                <w:sz w:val="24"/>
                <w:szCs w:val="24"/>
              </w:rPr>
            </w:pPr>
          </w:p>
        </w:tc>
        <w:tc>
          <w:tcPr>
            <w:tcW w:w="1440" w:type="dxa"/>
            <w:vAlign w:val="center"/>
          </w:tcPr>
          <w:p>
            <w:pPr>
              <w:spacing w:line="400" w:lineRule="exact"/>
              <w:jc w:val="center"/>
              <w:rPr>
                <w:rFonts w:ascii="仿宋" w:hAnsi="仿宋" w:eastAsia="仿宋" w:cs="仿宋"/>
                <w:sz w:val="24"/>
                <w:szCs w:val="24"/>
              </w:rPr>
            </w:pPr>
          </w:p>
        </w:tc>
        <w:tc>
          <w:tcPr>
            <w:tcW w:w="1320" w:type="dxa"/>
            <w:vAlign w:val="center"/>
          </w:tcPr>
          <w:p>
            <w:pPr>
              <w:spacing w:line="400" w:lineRule="exact"/>
              <w:jc w:val="center"/>
              <w:rPr>
                <w:rFonts w:ascii="仿宋" w:hAnsi="仿宋" w:eastAsia="仿宋" w:cs="仿宋"/>
                <w:sz w:val="24"/>
                <w:szCs w:val="24"/>
              </w:rPr>
            </w:pPr>
          </w:p>
        </w:tc>
        <w:tc>
          <w:tcPr>
            <w:tcW w:w="1161" w:type="dxa"/>
            <w:vAlign w:val="center"/>
          </w:tcPr>
          <w:p>
            <w:pPr>
              <w:spacing w:line="400" w:lineRule="exact"/>
              <w:jc w:val="center"/>
              <w:rPr>
                <w:rFonts w:ascii="仿宋" w:hAnsi="仿宋" w:eastAsia="仿宋" w:cs="仿宋"/>
                <w:sz w:val="24"/>
                <w:szCs w:val="24"/>
              </w:rPr>
            </w:pPr>
          </w:p>
        </w:tc>
        <w:tc>
          <w:tcPr>
            <w:tcW w:w="1260" w:type="dxa"/>
            <w:vAlign w:val="center"/>
          </w:tcPr>
          <w:p>
            <w:pPr>
              <w:spacing w:line="400" w:lineRule="exact"/>
              <w:jc w:val="center"/>
              <w:rPr>
                <w:rFonts w:ascii="仿宋" w:hAnsi="仿宋" w:eastAsia="仿宋" w:cs="仿宋"/>
                <w:sz w:val="24"/>
                <w:szCs w:val="24"/>
              </w:rPr>
            </w:pPr>
          </w:p>
        </w:tc>
        <w:tc>
          <w:tcPr>
            <w:tcW w:w="1730" w:type="dxa"/>
            <w:tcBorders>
              <w:right w:val="single" w:color="auto" w:sz="4" w:space="0"/>
            </w:tcBorders>
            <w:vAlign w:val="center"/>
          </w:tcPr>
          <w:p>
            <w:pPr>
              <w:spacing w:line="400" w:lineRule="exact"/>
              <w:jc w:val="center"/>
              <w:rPr>
                <w:rFonts w:ascii="仿宋" w:hAnsi="仿宋" w:eastAsia="仿宋" w:cs="仿宋"/>
                <w:sz w:val="24"/>
                <w:szCs w:val="24"/>
              </w:rPr>
            </w:pPr>
          </w:p>
        </w:tc>
        <w:tc>
          <w:tcPr>
            <w:tcW w:w="1077" w:type="dxa"/>
            <w:tcBorders>
              <w:left w:val="single" w:color="auto" w:sz="4" w:space="0"/>
            </w:tcBorders>
            <w:vAlign w:val="center"/>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jc w:val="center"/>
              <w:rPr>
                <w:rFonts w:ascii="仿宋" w:hAnsi="仿宋" w:eastAsia="仿宋" w:cs="仿宋"/>
                <w:sz w:val="24"/>
                <w:szCs w:val="24"/>
              </w:rPr>
            </w:pPr>
          </w:p>
        </w:tc>
        <w:tc>
          <w:tcPr>
            <w:tcW w:w="1440" w:type="dxa"/>
            <w:vAlign w:val="center"/>
          </w:tcPr>
          <w:p>
            <w:pPr>
              <w:spacing w:line="400" w:lineRule="exact"/>
              <w:jc w:val="center"/>
              <w:rPr>
                <w:rFonts w:ascii="仿宋" w:hAnsi="仿宋" w:eastAsia="仿宋" w:cs="仿宋"/>
                <w:sz w:val="24"/>
                <w:szCs w:val="24"/>
              </w:rPr>
            </w:pPr>
          </w:p>
        </w:tc>
        <w:tc>
          <w:tcPr>
            <w:tcW w:w="1320" w:type="dxa"/>
            <w:vAlign w:val="center"/>
          </w:tcPr>
          <w:p>
            <w:pPr>
              <w:spacing w:line="400" w:lineRule="exact"/>
              <w:jc w:val="center"/>
              <w:rPr>
                <w:rFonts w:ascii="仿宋" w:hAnsi="仿宋" w:eastAsia="仿宋" w:cs="仿宋"/>
                <w:sz w:val="24"/>
                <w:szCs w:val="24"/>
              </w:rPr>
            </w:pPr>
          </w:p>
        </w:tc>
        <w:tc>
          <w:tcPr>
            <w:tcW w:w="1161" w:type="dxa"/>
            <w:vAlign w:val="center"/>
          </w:tcPr>
          <w:p>
            <w:pPr>
              <w:spacing w:line="400" w:lineRule="exact"/>
              <w:jc w:val="center"/>
              <w:rPr>
                <w:rFonts w:ascii="仿宋" w:hAnsi="仿宋" w:eastAsia="仿宋" w:cs="仿宋"/>
                <w:sz w:val="24"/>
                <w:szCs w:val="24"/>
              </w:rPr>
            </w:pPr>
          </w:p>
        </w:tc>
        <w:tc>
          <w:tcPr>
            <w:tcW w:w="1260" w:type="dxa"/>
            <w:vAlign w:val="center"/>
          </w:tcPr>
          <w:p>
            <w:pPr>
              <w:spacing w:line="400" w:lineRule="exact"/>
              <w:jc w:val="center"/>
              <w:rPr>
                <w:rFonts w:ascii="仿宋" w:hAnsi="仿宋" w:eastAsia="仿宋" w:cs="仿宋"/>
                <w:sz w:val="24"/>
                <w:szCs w:val="24"/>
              </w:rPr>
            </w:pPr>
          </w:p>
        </w:tc>
        <w:tc>
          <w:tcPr>
            <w:tcW w:w="1730" w:type="dxa"/>
            <w:tcBorders>
              <w:right w:val="single" w:color="auto" w:sz="4" w:space="0"/>
            </w:tcBorders>
            <w:vAlign w:val="center"/>
          </w:tcPr>
          <w:p>
            <w:pPr>
              <w:spacing w:line="400" w:lineRule="exact"/>
              <w:jc w:val="center"/>
              <w:rPr>
                <w:rFonts w:ascii="仿宋" w:hAnsi="仿宋" w:eastAsia="仿宋" w:cs="仿宋"/>
                <w:sz w:val="24"/>
                <w:szCs w:val="24"/>
              </w:rPr>
            </w:pPr>
          </w:p>
        </w:tc>
        <w:tc>
          <w:tcPr>
            <w:tcW w:w="1077" w:type="dxa"/>
            <w:tcBorders>
              <w:left w:val="single" w:color="auto" w:sz="4" w:space="0"/>
            </w:tcBorders>
            <w:vAlign w:val="center"/>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jc w:val="center"/>
              <w:rPr>
                <w:rFonts w:ascii="仿宋" w:hAnsi="仿宋" w:eastAsia="仿宋" w:cs="仿宋"/>
                <w:sz w:val="24"/>
                <w:szCs w:val="24"/>
              </w:rPr>
            </w:pPr>
          </w:p>
        </w:tc>
        <w:tc>
          <w:tcPr>
            <w:tcW w:w="1440" w:type="dxa"/>
            <w:vAlign w:val="center"/>
          </w:tcPr>
          <w:p>
            <w:pPr>
              <w:spacing w:line="400" w:lineRule="exact"/>
              <w:jc w:val="center"/>
              <w:rPr>
                <w:rFonts w:ascii="仿宋" w:hAnsi="仿宋" w:eastAsia="仿宋" w:cs="仿宋"/>
                <w:sz w:val="24"/>
                <w:szCs w:val="24"/>
              </w:rPr>
            </w:pPr>
          </w:p>
        </w:tc>
        <w:tc>
          <w:tcPr>
            <w:tcW w:w="1320" w:type="dxa"/>
            <w:vAlign w:val="center"/>
          </w:tcPr>
          <w:p>
            <w:pPr>
              <w:spacing w:line="400" w:lineRule="exact"/>
              <w:jc w:val="center"/>
              <w:rPr>
                <w:rFonts w:ascii="仿宋" w:hAnsi="仿宋" w:eastAsia="仿宋" w:cs="仿宋"/>
                <w:sz w:val="24"/>
                <w:szCs w:val="24"/>
              </w:rPr>
            </w:pPr>
          </w:p>
        </w:tc>
        <w:tc>
          <w:tcPr>
            <w:tcW w:w="1161" w:type="dxa"/>
            <w:vAlign w:val="center"/>
          </w:tcPr>
          <w:p>
            <w:pPr>
              <w:spacing w:line="400" w:lineRule="exact"/>
              <w:jc w:val="center"/>
              <w:rPr>
                <w:rFonts w:ascii="仿宋" w:hAnsi="仿宋" w:eastAsia="仿宋" w:cs="仿宋"/>
                <w:sz w:val="24"/>
                <w:szCs w:val="24"/>
              </w:rPr>
            </w:pPr>
          </w:p>
        </w:tc>
        <w:tc>
          <w:tcPr>
            <w:tcW w:w="1260" w:type="dxa"/>
            <w:vAlign w:val="center"/>
          </w:tcPr>
          <w:p>
            <w:pPr>
              <w:spacing w:line="400" w:lineRule="exact"/>
              <w:jc w:val="center"/>
              <w:rPr>
                <w:rFonts w:ascii="仿宋" w:hAnsi="仿宋" w:eastAsia="仿宋" w:cs="仿宋"/>
                <w:sz w:val="24"/>
                <w:szCs w:val="24"/>
              </w:rPr>
            </w:pPr>
          </w:p>
        </w:tc>
        <w:tc>
          <w:tcPr>
            <w:tcW w:w="1730" w:type="dxa"/>
            <w:tcBorders>
              <w:right w:val="single" w:color="auto" w:sz="4" w:space="0"/>
            </w:tcBorders>
            <w:vAlign w:val="center"/>
          </w:tcPr>
          <w:p>
            <w:pPr>
              <w:spacing w:line="400" w:lineRule="exact"/>
              <w:jc w:val="center"/>
              <w:rPr>
                <w:rFonts w:ascii="仿宋" w:hAnsi="仿宋" w:eastAsia="仿宋" w:cs="仿宋"/>
                <w:sz w:val="24"/>
                <w:szCs w:val="24"/>
              </w:rPr>
            </w:pPr>
          </w:p>
        </w:tc>
        <w:tc>
          <w:tcPr>
            <w:tcW w:w="1077" w:type="dxa"/>
            <w:tcBorders>
              <w:left w:val="single" w:color="auto" w:sz="4" w:space="0"/>
            </w:tcBorders>
            <w:vAlign w:val="center"/>
          </w:tcPr>
          <w:p>
            <w:pPr>
              <w:spacing w:line="400" w:lineRule="exact"/>
              <w:jc w:val="center"/>
              <w:rPr>
                <w:rFonts w:ascii="仿宋" w:hAnsi="仿宋" w:eastAsia="仿宋" w:cs="仿宋"/>
                <w:sz w:val="24"/>
                <w:szCs w:val="24"/>
              </w:rPr>
            </w:pPr>
          </w:p>
        </w:tc>
      </w:tr>
    </w:tbl>
    <w:p>
      <w:pPr>
        <w:shd w:val="solid" w:color="FFFFFF" w:fill="auto"/>
        <w:autoSpaceDN w:val="0"/>
        <w:spacing w:line="400" w:lineRule="exact"/>
        <w:rPr>
          <w:rFonts w:ascii="仿宋" w:hAnsi="仿宋" w:eastAsia="仿宋" w:cs="仿宋"/>
          <w:shd w:val="clear" w:color="auto" w:fill="FFFFFF"/>
        </w:rPr>
      </w:pPr>
    </w:p>
    <w:p>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241" w:firstLineChars="100"/>
        <w:rPr>
          <w:rFonts w:ascii="仿宋" w:hAnsi="仿宋" w:eastAsia="仿宋" w:cs="仿宋"/>
          <w:b/>
          <w:shd w:val="clear" w:color="auto" w:fill="FFFFFF"/>
        </w:rPr>
      </w:pPr>
      <w:r>
        <w:rPr>
          <w:rFonts w:hint="eastAsia" w:ascii="仿宋" w:hAnsi="仿宋" w:eastAsia="仿宋" w:cs="仿宋"/>
          <w:b/>
          <w:sz w:val="24"/>
          <w:shd w:val="clear" w:color="auto" w:fill="FFFFFF"/>
        </w:rPr>
        <w:t>附：以上业绩的合同复印件及有关书面证明材料。</w:t>
      </w:r>
    </w:p>
    <w:p>
      <w:pPr>
        <w:shd w:val="solid" w:color="FFFFFF" w:fill="auto"/>
        <w:autoSpaceDN w:val="0"/>
        <w:spacing w:line="480" w:lineRule="auto"/>
        <w:ind w:firstLine="480" w:firstLineChars="200"/>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p>
      <w:pPr>
        <w:shd w:val="solid" w:color="FFFFFF" w:fill="auto"/>
        <w:autoSpaceDN w:val="0"/>
        <w:spacing w:line="480" w:lineRule="auto"/>
        <w:ind w:firstLine="480" w:firstLineChars="200"/>
        <w:rPr>
          <w:rFonts w:ascii="仿宋" w:hAnsi="仿宋" w:eastAsia="仿宋" w:cs="仿宋"/>
          <w:shd w:val="clear" w:color="auto" w:fill="FFFFFF"/>
        </w:rPr>
      </w:pPr>
      <w:r>
        <w:rPr>
          <w:rFonts w:hint="eastAsia" w:ascii="仿宋" w:hAnsi="仿宋" w:eastAsia="仿宋" w:cs="仿宋"/>
          <w:sz w:val="24"/>
          <w:shd w:val="clear" w:color="auto" w:fill="FFFFFF"/>
          <w:lang w:eastAsia="zh-CN"/>
        </w:rPr>
        <w:t>供应商</w:t>
      </w:r>
      <w:r>
        <w:rPr>
          <w:rFonts w:hint="eastAsia" w:ascii="仿宋" w:hAnsi="仿宋" w:eastAsia="仿宋" w:cs="仿宋"/>
          <w:sz w:val="24"/>
          <w:shd w:val="clear" w:color="auto" w:fill="FFFFFF"/>
        </w:rPr>
        <w:t>名称（盖章）：</w:t>
      </w:r>
    </w:p>
    <w:p>
      <w:pPr>
        <w:shd w:val="solid" w:color="FFFFFF" w:fill="auto"/>
        <w:autoSpaceDN w:val="0"/>
        <w:spacing w:line="480" w:lineRule="auto"/>
        <w:ind w:firstLine="480" w:firstLineChars="200"/>
        <w:rPr>
          <w:rFonts w:ascii="仿宋" w:hAnsi="仿宋" w:eastAsia="仿宋" w:cs="仿宋"/>
          <w:shd w:val="clear" w:color="auto" w:fill="FFFFFF"/>
        </w:rPr>
      </w:pPr>
      <w:r>
        <w:rPr>
          <w:rFonts w:hint="eastAsia" w:ascii="仿宋" w:hAnsi="仿宋" w:eastAsia="仿宋" w:cs="仿宋"/>
          <w:sz w:val="24"/>
          <w:shd w:val="clear" w:color="auto" w:fill="FFFFFF"/>
        </w:rPr>
        <w:t>法定代表人或授权代表（签字）：</w:t>
      </w:r>
    </w:p>
    <w:p>
      <w:pPr>
        <w:shd w:val="solid" w:color="FFFFFF" w:fill="auto"/>
        <w:autoSpaceDN w:val="0"/>
        <w:spacing w:line="480" w:lineRule="auto"/>
        <w:ind w:firstLine="480" w:firstLineChars="200"/>
        <w:rPr>
          <w:rFonts w:ascii="仿宋" w:hAnsi="仿宋" w:eastAsia="仿宋" w:cs="仿宋"/>
          <w:sz w:val="24"/>
          <w:shd w:val="clear" w:color="auto" w:fill="FFFFFF"/>
        </w:rPr>
        <w:sectPr>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sz w:val="24"/>
          <w:shd w:val="clear" w:color="auto" w:fill="FFFFFF"/>
        </w:rPr>
        <w:t>投标日期:</w:t>
      </w:r>
    </w:p>
    <w:p>
      <w:pPr>
        <w:snapToGrid w:val="0"/>
        <w:spacing w:line="360" w:lineRule="auto"/>
        <w:jc w:val="center"/>
        <w:outlineLvl w:val="0"/>
        <w:rPr>
          <w:rFonts w:ascii="仿宋" w:hAnsi="仿宋" w:eastAsia="仿宋" w:cs="仿宋"/>
          <w:b/>
          <w:sz w:val="32"/>
        </w:rPr>
      </w:pPr>
      <w:r>
        <w:rPr>
          <w:rFonts w:hint="eastAsia" w:ascii="仿宋" w:hAnsi="仿宋" w:eastAsia="仿宋" w:cs="仿宋"/>
          <w:b/>
          <w:sz w:val="28"/>
          <w:szCs w:val="28"/>
          <w:lang w:val="en-US" w:eastAsia="zh-CN"/>
        </w:rPr>
        <w:t>9、产品规格、技术参数响应表（附件8）</w:t>
      </w:r>
    </w:p>
    <w:p>
      <w:pPr>
        <w:spacing w:before="19" w:line="360" w:lineRule="auto"/>
        <w:rPr>
          <w:rFonts w:ascii="仿宋" w:hAnsi="仿宋" w:eastAsia="仿宋" w:cs="仿宋"/>
          <w:b/>
          <w:sz w:val="24"/>
          <w:u w:val="single"/>
        </w:rPr>
      </w:pPr>
      <w:r>
        <w:rPr>
          <w:rFonts w:hint="eastAsia" w:ascii="仿宋" w:hAnsi="仿宋" w:eastAsia="仿宋" w:cs="仿宋"/>
          <w:b/>
          <w:sz w:val="24"/>
        </w:rPr>
        <w:t>项目名称：</w:t>
      </w:r>
      <w:r>
        <w:rPr>
          <w:rFonts w:hint="eastAsia" w:ascii="仿宋" w:hAnsi="仿宋" w:eastAsia="仿宋" w:cs="仿宋"/>
          <w:b/>
          <w:sz w:val="24"/>
          <w:lang w:eastAsia="zh-CN"/>
        </w:rPr>
        <w:t>计算机财务共享中心</w:t>
      </w:r>
    </w:p>
    <w:p>
      <w:pPr>
        <w:rPr>
          <w:rFonts w:hint="default" w:ascii="仿宋" w:hAnsi="仿宋" w:eastAsia="仿宋" w:cs="仿宋"/>
          <w:b/>
          <w:bCs/>
          <w:sz w:val="24"/>
          <w:lang w:val="en-US" w:eastAsia="zh-CN"/>
        </w:rPr>
      </w:pPr>
      <w:r>
        <w:rPr>
          <w:rFonts w:hint="eastAsia" w:ascii="仿宋" w:hAnsi="仿宋" w:eastAsia="仿宋" w:cs="仿宋"/>
          <w:b/>
          <w:bCs/>
          <w:sz w:val="24"/>
          <w:lang w:val="en-US" w:eastAsia="zh-CN"/>
        </w:rPr>
        <w:t xml:space="preserve">项目编号：HNHS-2024-019             </w:t>
      </w:r>
    </w:p>
    <w:p>
      <w:pPr>
        <w:rPr>
          <w:rFonts w:hint="default" w:ascii="仿宋" w:hAnsi="仿宋" w:eastAsia="仿宋" w:cs="仿宋"/>
          <w:b/>
          <w:sz w:val="24"/>
          <w:lang w:val="en-US" w:eastAsia="zh-CN"/>
        </w:rPr>
      </w:pP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lang w:val="en-US" w:eastAsia="zh-CN"/>
        </w:rPr>
        <w:t xml:space="preserve">说明：供应商必须仔细阅读招标文件中所有“采购需求书”中的技术规范条款和相关功能要求，并对所有技术规范和功能偏离的条目列入下表。投标文件有正、负偏离均应在下表中列明。  </w:t>
      </w:r>
    </w:p>
    <w:tbl>
      <w:tblPr>
        <w:tblStyle w:val="5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959"/>
        <w:gridCol w:w="2694"/>
        <w:gridCol w:w="2268"/>
        <w:gridCol w:w="1275"/>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72" w:type="dxa"/>
            <w:shd w:val="clear" w:color="auto" w:fill="D9D9D9"/>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序号</w:t>
            </w:r>
          </w:p>
        </w:tc>
        <w:tc>
          <w:tcPr>
            <w:tcW w:w="959" w:type="dxa"/>
            <w:shd w:val="clear" w:color="auto" w:fill="D9D9D9"/>
            <w:vAlign w:val="center"/>
          </w:tcPr>
          <w:p>
            <w:pPr>
              <w:snapToGrid w:val="0"/>
              <w:jc w:val="center"/>
              <w:rPr>
                <w:rFonts w:ascii="仿宋" w:hAnsi="仿宋" w:eastAsia="仿宋" w:cs="仿宋"/>
                <w:sz w:val="24"/>
                <w:szCs w:val="24"/>
              </w:rPr>
            </w:pPr>
            <w:r>
              <w:rPr>
                <w:rFonts w:hint="eastAsia" w:ascii="仿宋" w:hAnsi="仿宋" w:eastAsia="仿宋" w:cs="仿宋"/>
                <w:sz w:val="24"/>
                <w:szCs w:val="24"/>
              </w:rPr>
              <w:t>采购品目/内容</w:t>
            </w:r>
          </w:p>
        </w:tc>
        <w:tc>
          <w:tcPr>
            <w:tcW w:w="2694" w:type="dxa"/>
            <w:shd w:val="clear" w:color="auto" w:fill="D9D9D9"/>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原技术规范主要条款</w:t>
            </w:r>
          </w:p>
          <w:p>
            <w:pPr>
              <w:snapToGrid w:val="0"/>
              <w:jc w:val="center"/>
              <w:rPr>
                <w:rFonts w:ascii="仿宋" w:hAnsi="仿宋" w:eastAsia="仿宋" w:cs="仿宋"/>
                <w:sz w:val="24"/>
                <w:szCs w:val="24"/>
              </w:rPr>
            </w:pPr>
            <w:r>
              <w:rPr>
                <w:rFonts w:hint="eastAsia" w:ascii="仿宋" w:hAnsi="仿宋" w:eastAsia="仿宋" w:cs="仿宋"/>
                <w:sz w:val="24"/>
                <w:szCs w:val="24"/>
              </w:rPr>
              <w:t>描述</w:t>
            </w:r>
          </w:p>
        </w:tc>
        <w:tc>
          <w:tcPr>
            <w:tcW w:w="2268" w:type="dxa"/>
            <w:shd w:val="clear" w:color="auto" w:fill="D9D9D9"/>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报价人技术规范</w:t>
            </w:r>
          </w:p>
          <w:p>
            <w:pPr>
              <w:snapToGrid w:val="0"/>
              <w:jc w:val="center"/>
              <w:rPr>
                <w:rFonts w:ascii="仿宋" w:hAnsi="仿宋" w:eastAsia="仿宋" w:cs="仿宋"/>
                <w:sz w:val="24"/>
                <w:szCs w:val="24"/>
              </w:rPr>
            </w:pPr>
            <w:r>
              <w:rPr>
                <w:rFonts w:hint="eastAsia" w:ascii="仿宋" w:hAnsi="仿宋" w:eastAsia="仿宋" w:cs="仿宋"/>
                <w:sz w:val="24"/>
                <w:szCs w:val="24"/>
              </w:rPr>
              <w:t>描述</w:t>
            </w:r>
          </w:p>
        </w:tc>
        <w:tc>
          <w:tcPr>
            <w:tcW w:w="1275" w:type="dxa"/>
            <w:shd w:val="clear" w:color="auto" w:fill="D9D9D9"/>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偏离情况说明（＋/-/=）</w:t>
            </w:r>
          </w:p>
        </w:tc>
        <w:tc>
          <w:tcPr>
            <w:tcW w:w="1496" w:type="dxa"/>
            <w:shd w:val="clear" w:color="auto" w:fill="D9D9D9"/>
            <w:vAlign w:val="center"/>
          </w:tcPr>
          <w:p>
            <w:pPr>
              <w:jc w:val="center"/>
              <w:rPr>
                <w:rFonts w:ascii="仿宋" w:hAnsi="仿宋" w:eastAsia="仿宋" w:cs="仿宋"/>
                <w:sz w:val="24"/>
                <w:szCs w:val="24"/>
              </w:rPr>
            </w:pPr>
            <w:r>
              <w:rPr>
                <w:rFonts w:hint="eastAsia" w:ascii="仿宋" w:hAnsi="仿宋" w:eastAsia="仿宋" w:cs="仿宋"/>
                <w:sz w:val="24"/>
                <w:szCs w:val="24"/>
              </w:rPr>
              <w:t>相关证明材料的页码索引（如有）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772"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959" w:type="dxa"/>
            <w:vAlign w:val="center"/>
          </w:tcPr>
          <w:p>
            <w:pPr>
              <w:snapToGrid w:val="0"/>
              <w:jc w:val="center"/>
              <w:rPr>
                <w:rFonts w:ascii="仿宋" w:hAnsi="仿宋" w:eastAsia="仿宋" w:cs="仿宋"/>
                <w:sz w:val="24"/>
                <w:szCs w:val="24"/>
              </w:rPr>
            </w:pPr>
          </w:p>
        </w:tc>
        <w:tc>
          <w:tcPr>
            <w:tcW w:w="2694" w:type="dxa"/>
            <w:vAlign w:val="center"/>
          </w:tcPr>
          <w:p>
            <w:pPr>
              <w:snapToGrid w:val="0"/>
              <w:jc w:val="center"/>
              <w:rPr>
                <w:rFonts w:ascii="仿宋" w:hAnsi="仿宋" w:eastAsia="仿宋" w:cs="仿宋"/>
                <w:sz w:val="24"/>
                <w:szCs w:val="24"/>
              </w:rPr>
            </w:pPr>
          </w:p>
        </w:tc>
        <w:tc>
          <w:tcPr>
            <w:tcW w:w="2268" w:type="dxa"/>
            <w:vAlign w:val="center"/>
          </w:tcPr>
          <w:p>
            <w:pPr>
              <w:snapToGrid w:val="0"/>
              <w:jc w:val="center"/>
              <w:rPr>
                <w:rFonts w:ascii="仿宋" w:hAnsi="仿宋" w:eastAsia="仿宋" w:cs="仿宋"/>
                <w:sz w:val="24"/>
                <w:szCs w:val="24"/>
              </w:rPr>
            </w:pPr>
          </w:p>
        </w:tc>
        <w:tc>
          <w:tcPr>
            <w:tcW w:w="1275" w:type="dxa"/>
            <w:vAlign w:val="center"/>
          </w:tcPr>
          <w:p>
            <w:pPr>
              <w:snapToGrid w:val="0"/>
              <w:jc w:val="center"/>
              <w:rPr>
                <w:rFonts w:ascii="仿宋" w:hAnsi="仿宋" w:eastAsia="仿宋" w:cs="仿宋"/>
                <w:sz w:val="24"/>
                <w:szCs w:val="24"/>
              </w:rPr>
            </w:pPr>
          </w:p>
        </w:tc>
        <w:tc>
          <w:tcPr>
            <w:tcW w:w="1496" w:type="dxa"/>
            <w:vAlign w:val="center"/>
          </w:tcPr>
          <w:p>
            <w:pPr>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72"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959" w:type="dxa"/>
            <w:vAlign w:val="center"/>
          </w:tcPr>
          <w:p>
            <w:pPr>
              <w:snapToGrid w:val="0"/>
              <w:jc w:val="center"/>
              <w:rPr>
                <w:rFonts w:ascii="仿宋" w:hAnsi="仿宋" w:eastAsia="仿宋" w:cs="仿宋"/>
                <w:sz w:val="24"/>
                <w:szCs w:val="24"/>
              </w:rPr>
            </w:pPr>
          </w:p>
        </w:tc>
        <w:tc>
          <w:tcPr>
            <w:tcW w:w="2694" w:type="dxa"/>
            <w:vAlign w:val="center"/>
          </w:tcPr>
          <w:p>
            <w:pPr>
              <w:snapToGrid w:val="0"/>
              <w:jc w:val="center"/>
              <w:rPr>
                <w:rFonts w:ascii="仿宋" w:hAnsi="仿宋" w:eastAsia="仿宋" w:cs="仿宋"/>
                <w:sz w:val="24"/>
                <w:szCs w:val="24"/>
              </w:rPr>
            </w:pPr>
          </w:p>
        </w:tc>
        <w:tc>
          <w:tcPr>
            <w:tcW w:w="2268" w:type="dxa"/>
            <w:vAlign w:val="center"/>
          </w:tcPr>
          <w:p>
            <w:pPr>
              <w:snapToGrid w:val="0"/>
              <w:jc w:val="center"/>
              <w:rPr>
                <w:rFonts w:ascii="仿宋" w:hAnsi="仿宋" w:eastAsia="仿宋" w:cs="仿宋"/>
                <w:sz w:val="24"/>
                <w:szCs w:val="24"/>
              </w:rPr>
            </w:pPr>
          </w:p>
        </w:tc>
        <w:tc>
          <w:tcPr>
            <w:tcW w:w="1275" w:type="dxa"/>
            <w:vAlign w:val="center"/>
          </w:tcPr>
          <w:p>
            <w:pPr>
              <w:snapToGrid w:val="0"/>
              <w:jc w:val="center"/>
              <w:rPr>
                <w:rFonts w:ascii="仿宋" w:hAnsi="仿宋" w:eastAsia="仿宋" w:cs="仿宋"/>
                <w:sz w:val="24"/>
                <w:szCs w:val="24"/>
              </w:rPr>
            </w:pPr>
          </w:p>
        </w:tc>
        <w:tc>
          <w:tcPr>
            <w:tcW w:w="1496" w:type="dxa"/>
            <w:vAlign w:val="center"/>
          </w:tcPr>
          <w:p>
            <w:pPr>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72"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959" w:type="dxa"/>
            <w:vAlign w:val="center"/>
          </w:tcPr>
          <w:p>
            <w:pPr>
              <w:snapToGrid w:val="0"/>
              <w:jc w:val="center"/>
              <w:rPr>
                <w:rFonts w:ascii="仿宋" w:hAnsi="仿宋" w:eastAsia="仿宋" w:cs="仿宋"/>
                <w:sz w:val="24"/>
                <w:szCs w:val="24"/>
              </w:rPr>
            </w:pPr>
          </w:p>
        </w:tc>
        <w:tc>
          <w:tcPr>
            <w:tcW w:w="2694" w:type="dxa"/>
            <w:vAlign w:val="center"/>
          </w:tcPr>
          <w:p>
            <w:pPr>
              <w:snapToGrid w:val="0"/>
              <w:jc w:val="center"/>
              <w:rPr>
                <w:rFonts w:ascii="仿宋" w:hAnsi="仿宋" w:eastAsia="仿宋" w:cs="仿宋"/>
                <w:sz w:val="24"/>
                <w:szCs w:val="24"/>
              </w:rPr>
            </w:pPr>
          </w:p>
        </w:tc>
        <w:tc>
          <w:tcPr>
            <w:tcW w:w="2268" w:type="dxa"/>
            <w:vAlign w:val="center"/>
          </w:tcPr>
          <w:p>
            <w:pPr>
              <w:snapToGrid w:val="0"/>
              <w:jc w:val="center"/>
              <w:rPr>
                <w:rFonts w:ascii="仿宋" w:hAnsi="仿宋" w:eastAsia="仿宋" w:cs="仿宋"/>
                <w:sz w:val="24"/>
                <w:szCs w:val="24"/>
              </w:rPr>
            </w:pPr>
          </w:p>
        </w:tc>
        <w:tc>
          <w:tcPr>
            <w:tcW w:w="1275" w:type="dxa"/>
            <w:vAlign w:val="center"/>
          </w:tcPr>
          <w:p>
            <w:pPr>
              <w:snapToGrid w:val="0"/>
              <w:jc w:val="center"/>
              <w:rPr>
                <w:rFonts w:ascii="仿宋" w:hAnsi="仿宋" w:eastAsia="仿宋" w:cs="仿宋"/>
                <w:sz w:val="24"/>
                <w:szCs w:val="24"/>
              </w:rPr>
            </w:pPr>
          </w:p>
        </w:tc>
        <w:tc>
          <w:tcPr>
            <w:tcW w:w="1496" w:type="dxa"/>
            <w:vAlign w:val="center"/>
          </w:tcPr>
          <w:p>
            <w:pPr>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72"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959" w:type="dxa"/>
            <w:vAlign w:val="center"/>
          </w:tcPr>
          <w:p>
            <w:pPr>
              <w:snapToGrid w:val="0"/>
              <w:jc w:val="center"/>
              <w:rPr>
                <w:rFonts w:ascii="仿宋" w:hAnsi="仿宋" w:eastAsia="仿宋" w:cs="仿宋"/>
                <w:sz w:val="24"/>
                <w:szCs w:val="24"/>
              </w:rPr>
            </w:pPr>
          </w:p>
        </w:tc>
        <w:tc>
          <w:tcPr>
            <w:tcW w:w="2694" w:type="dxa"/>
            <w:vAlign w:val="center"/>
          </w:tcPr>
          <w:p>
            <w:pPr>
              <w:snapToGrid w:val="0"/>
              <w:jc w:val="center"/>
              <w:rPr>
                <w:rFonts w:ascii="仿宋" w:hAnsi="仿宋" w:eastAsia="仿宋" w:cs="仿宋"/>
                <w:sz w:val="24"/>
                <w:szCs w:val="24"/>
              </w:rPr>
            </w:pPr>
          </w:p>
        </w:tc>
        <w:tc>
          <w:tcPr>
            <w:tcW w:w="2268" w:type="dxa"/>
            <w:vAlign w:val="center"/>
          </w:tcPr>
          <w:p>
            <w:pPr>
              <w:snapToGrid w:val="0"/>
              <w:jc w:val="center"/>
              <w:rPr>
                <w:rFonts w:ascii="仿宋" w:hAnsi="仿宋" w:eastAsia="仿宋" w:cs="仿宋"/>
                <w:sz w:val="24"/>
                <w:szCs w:val="24"/>
              </w:rPr>
            </w:pPr>
          </w:p>
        </w:tc>
        <w:tc>
          <w:tcPr>
            <w:tcW w:w="1275" w:type="dxa"/>
            <w:vAlign w:val="center"/>
          </w:tcPr>
          <w:p>
            <w:pPr>
              <w:snapToGrid w:val="0"/>
              <w:jc w:val="center"/>
              <w:rPr>
                <w:rFonts w:ascii="仿宋" w:hAnsi="仿宋" w:eastAsia="仿宋" w:cs="仿宋"/>
                <w:sz w:val="24"/>
                <w:szCs w:val="24"/>
              </w:rPr>
            </w:pPr>
          </w:p>
        </w:tc>
        <w:tc>
          <w:tcPr>
            <w:tcW w:w="1496" w:type="dxa"/>
            <w:vAlign w:val="center"/>
          </w:tcPr>
          <w:p>
            <w:pPr>
              <w:snapToGrid w:val="0"/>
              <w:jc w:val="center"/>
              <w:rPr>
                <w:rFonts w:ascii="仿宋" w:hAnsi="仿宋" w:eastAsia="仿宋" w:cs="仿宋"/>
                <w:sz w:val="24"/>
                <w:szCs w:val="24"/>
              </w:rPr>
            </w:pPr>
          </w:p>
        </w:tc>
      </w:tr>
    </w:tbl>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r>
        <w:rPr>
          <w:rFonts w:hint="eastAsia" w:ascii="仿宋" w:hAnsi="仿宋" w:eastAsia="仿宋" w:cs="仿宋"/>
          <w:sz w:val="24"/>
        </w:rPr>
        <w:t>报价人全称（公章）：</w:t>
      </w:r>
    </w:p>
    <w:p>
      <w:pPr>
        <w:snapToGrid w:val="0"/>
        <w:spacing w:line="360" w:lineRule="auto"/>
        <w:rPr>
          <w:rFonts w:ascii="仿宋" w:hAnsi="仿宋" w:eastAsia="仿宋" w:cs="仿宋"/>
          <w:sz w:val="24"/>
        </w:rPr>
      </w:pPr>
      <w:r>
        <w:rPr>
          <w:rFonts w:hint="eastAsia" w:ascii="仿宋" w:hAnsi="仿宋" w:eastAsia="仿宋" w:cs="仿宋"/>
          <w:sz w:val="24"/>
        </w:rPr>
        <w:t>授权代表（签字）：</w:t>
      </w:r>
    </w:p>
    <w:p>
      <w:pPr>
        <w:tabs>
          <w:tab w:val="left" w:pos="11130"/>
        </w:tabs>
        <w:snapToGrid w:val="0"/>
        <w:spacing w:line="360" w:lineRule="auto"/>
        <w:rPr>
          <w:rFonts w:ascii="仿宋" w:hAnsi="仿宋" w:eastAsia="仿宋" w:cs="仿宋"/>
          <w:sz w:val="24"/>
        </w:rPr>
      </w:pPr>
      <w:r>
        <w:rPr>
          <w:rFonts w:hint="eastAsia" w:ascii="仿宋" w:hAnsi="仿宋" w:eastAsia="仿宋" w:cs="仿宋"/>
          <w:sz w:val="24"/>
        </w:rPr>
        <w:t>日期：</w:t>
      </w:r>
    </w:p>
    <w:p>
      <w:pPr>
        <w:spacing w:line="36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注： 注：1、此表为表样，行数可自行添加，但表式不变。</w:t>
      </w:r>
      <w:r>
        <w:rPr>
          <w:rFonts w:hint="eastAsia" w:ascii="仿宋" w:hAnsi="仿宋" w:eastAsia="仿宋" w:cs="仿宋"/>
          <w:sz w:val="24"/>
          <w:lang w:val="en-US" w:eastAsia="zh-CN"/>
        </w:rPr>
        <w:tab/>
      </w:r>
    </w:p>
    <w:p>
      <w:pPr>
        <w:spacing w:line="36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2、供应商根据系统方案添加的设备、材料等也请列出。</w:t>
      </w:r>
    </w:p>
    <w:p>
      <w:pPr>
        <w:spacing w:line="36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3、请在“采购需求书”中列出所投设备/项目的详细技术参数情况。</w:t>
      </w:r>
    </w:p>
    <w:p>
      <w:pPr>
        <w:spacing w:line="360" w:lineRule="auto"/>
        <w:jc w:val="left"/>
        <w:rPr>
          <w:rFonts w:hint="eastAsia" w:ascii="仿宋" w:hAnsi="仿宋" w:eastAsia="仿宋" w:cs="仿宋"/>
          <w:sz w:val="24"/>
        </w:rPr>
      </w:pPr>
      <w:r>
        <w:rPr>
          <w:rFonts w:hint="eastAsia" w:ascii="仿宋" w:hAnsi="仿宋" w:eastAsia="仿宋" w:cs="仿宋"/>
          <w:sz w:val="24"/>
          <w:lang w:val="en-US" w:eastAsia="zh-CN"/>
        </w:rPr>
        <w:t xml:space="preserve">4、是否偏离用符号“+、=、-”分别表示正偏离、完全响应、负偏离，必须逐次对应响应。 </w:t>
      </w:r>
    </w:p>
    <w:bookmarkEnd w:id="299"/>
    <w:p>
      <w:pPr>
        <w:spacing w:line="360" w:lineRule="auto"/>
        <w:jc w:val="left"/>
        <w:rPr>
          <w:rFonts w:hint="eastAsia" w:ascii="仿宋" w:hAnsi="仿宋" w:eastAsia="仿宋" w:cs="仿宋"/>
          <w:b/>
          <w:sz w:val="28"/>
          <w:szCs w:val="28"/>
          <w:lang w:val="en-US" w:eastAsia="zh-CN"/>
        </w:rPr>
        <w:sectPr>
          <w:headerReference r:id="rId8" w:type="default"/>
          <w:footerReference r:id="rId9" w:type="default"/>
          <w:pgSz w:w="11906" w:h="16838"/>
          <w:pgMar w:top="1440" w:right="1418" w:bottom="1259" w:left="1418" w:header="851" w:footer="992" w:gutter="0"/>
          <w:pgNumType w:fmt="decimal"/>
          <w:cols w:space="720" w:num="1"/>
          <w:titlePg/>
          <w:docGrid w:linePitch="312" w:charSpace="0"/>
        </w:sectPr>
      </w:pPr>
    </w:p>
    <w:p>
      <w:pPr>
        <w:pStyle w:val="672"/>
        <w:ind w:right="340"/>
        <w:jc w:val="center"/>
        <w:rPr>
          <w:rFonts w:hint="eastAsia" w:ascii="仿宋" w:hAnsi="仿宋" w:eastAsia="仿宋" w:cs="仿宋"/>
          <w:color w:val="auto"/>
          <w:sz w:val="24"/>
          <w:szCs w:val="24"/>
        </w:rPr>
      </w:pPr>
      <w:r>
        <w:rPr>
          <w:rFonts w:hint="eastAsia" w:ascii="仿宋" w:hAnsi="仿宋" w:eastAsia="仿宋" w:cs="仿宋"/>
          <w:b/>
          <w:color w:val="auto"/>
          <w:sz w:val="28"/>
          <w:szCs w:val="28"/>
          <w:lang w:val="en-US" w:eastAsia="zh-CN"/>
        </w:rPr>
        <w:t>10、</w:t>
      </w:r>
      <w:r>
        <w:rPr>
          <w:rFonts w:hint="eastAsia" w:ascii="仿宋" w:hAnsi="仿宋" w:eastAsia="仿宋" w:cs="仿宋"/>
          <w:b/>
          <w:color w:val="auto"/>
          <w:sz w:val="28"/>
          <w:szCs w:val="28"/>
        </w:rPr>
        <w:t>商务要求响应表</w:t>
      </w:r>
      <w:r>
        <w:rPr>
          <w:rFonts w:hint="eastAsia" w:ascii="仿宋" w:hAnsi="仿宋" w:eastAsia="仿宋" w:cs="仿宋"/>
          <w:b/>
          <w:sz w:val="28"/>
          <w:szCs w:val="28"/>
          <w:lang w:val="en-US" w:eastAsia="zh-CN"/>
        </w:rPr>
        <w:t>（附件9）</w:t>
      </w:r>
    </w:p>
    <w:p>
      <w:pPr>
        <w:pStyle w:val="29"/>
        <w:spacing w:line="360" w:lineRule="auto"/>
        <w:ind w:left="680"/>
        <w:rPr>
          <w:rFonts w:hint="eastAsia" w:ascii="仿宋" w:hAnsi="仿宋" w:eastAsia="仿宋" w:cs="仿宋"/>
          <w:color w:val="auto"/>
          <w:sz w:val="24"/>
          <w:szCs w:val="24"/>
        </w:rPr>
      </w:pPr>
    </w:p>
    <w:p>
      <w:pPr>
        <w:spacing w:before="19" w:line="360" w:lineRule="auto"/>
        <w:ind w:firstLine="0" w:firstLineChars="0"/>
        <w:rPr>
          <w:rFonts w:ascii="仿宋" w:hAnsi="仿宋" w:eastAsia="仿宋" w:cs="仿宋"/>
          <w:b/>
          <w:sz w:val="24"/>
          <w:u w:val="single"/>
        </w:rPr>
      </w:pPr>
      <w:r>
        <w:rPr>
          <w:rFonts w:hint="eastAsia" w:ascii="仿宋" w:hAnsi="仿宋" w:eastAsia="仿宋" w:cs="仿宋"/>
          <w:b/>
          <w:sz w:val="24"/>
        </w:rPr>
        <w:t>项目名称：</w:t>
      </w:r>
      <w:r>
        <w:rPr>
          <w:rFonts w:hint="eastAsia" w:ascii="仿宋" w:hAnsi="仿宋" w:eastAsia="仿宋" w:cs="仿宋"/>
          <w:b/>
          <w:sz w:val="24"/>
          <w:lang w:eastAsia="zh-CN"/>
        </w:rPr>
        <w:t>计算机财务共享中心</w:t>
      </w:r>
    </w:p>
    <w:p>
      <w:pPr>
        <w:pStyle w:val="29"/>
        <w:spacing w:line="360" w:lineRule="auto"/>
        <w:ind w:left="0"/>
        <w:rPr>
          <w:rFonts w:hint="eastAsia" w:ascii="仿宋" w:hAnsi="仿宋" w:eastAsia="仿宋" w:cs="仿宋"/>
          <w:color w:val="auto"/>
          <w:sz w:val="24"/>
          <w:szCs w:val="24"/>
          <w:u w:val="single"/>
        </w:rPr>
      </w:pPr>
      <w:r>
        <w:rPr>
          <w:rFonts w:hint="eastAsia" w:ascii="仿宋" w:hAnsi="仿宋" w:eastAsia="仿宋" w:cs="仿宋"/>
          <w:b/>
          <w:bCs/>
          <w:sz w:val="24"/>
          <w:lang w:val="en-US" w:eastAsia="zh-CN"/>
        </w:rPr>
        <w:t>项目编号：HNHS-2024-019</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说明：供应商必须仔细阅读本项目磋商文件</w:t>
      </w:r>
      <w:r>
        <w:rPr>
          <w:rFonts w:hint="eastAsia" w:ascii="仿宋" w:hAnsi="仿宋" w:eastAsia="仿宋" w:cs="仿宋"/>
          <w:b/>
          <w:color w:val="auto"/>
          <w:sz w:val="24"/>
          <w:szCs w:val="24"/>
        </w:rPr>
        <w:t>第三章 采购需求</w:t>
      </w:r>
      <w:r>
        <w:rPr>
          <w:rFonts w:hint="eastAsia" w:ascii="仿宋" w:hAnsi="仿宋" w:eastAsia="仿宋" w:cs="仿宋"/>
          <w:b/>
          <w:color w:val="auto"/>
          <w:sz w:val="24"/>
          <w:szCs w:val="24"/>
          <w:lang w:val="en-US" w:eastAsia="zh-CN"/>
        </w:rPr>
        <w:t>书</w:t>
      </w:r>
      <w:r>
        <w:rPr>
          <w:rFonts w:hint="eastAsia" w:ascii="仿宋" w:hAnsi="仿宋" w:eastAsia="仿宋" w:cs="仿宋"/>
          <w:b/>
          <w:color w:val="auto"/>
          <w:sz w:val="24"/>
          <w:szCs w:val="24"/>
        </w:rPr>
        <w:t>“</w:t>
      </w:r>
      <w:r>
        <w:rPr>
          <w:rFonts w:hint="eastAsia" w:ascii="仿宋" w:hAnsi="仿宋" w:eastAsia="仿宋" w:cs="仿宋"/>
          <w:b/>
          <w:color w:val="auto"/>
          <w:sz w:val="24"/>
          <w:szCs w:val="24"/>
          <w:lang w:val="en-US" w:eastAsia="zh-CN"/>
        </w:rPr>
        <w:t>五、</w:t>
      </w:r>
      <w:r>
        <w:rPr>
          <w:rFonts w:hint="eastAsia" w:ascii="仿宋" w:hAnsi="仿宋" w:eastAsia="仿宋" w:cs="仿宋"/>
          <w:b/>
          <w:color w:val="auto"/>
          <w:sz w:val="24"/>
          <w:szCs w:val="24"/>
        </w:rPr>
        <w:t>商务要求” 的所有要求，</w:t>
      </w:r>
      <w:r>
        <w:rPr>
          <w:rFonts w:hint="eastAsia" w:ascii="仿宋" w:hAnsi="仿宋" w:eastAsia="仿宋" w:cs="仿宋"/>
          <w:color w:val="auto"/>
          <w:sz w:val="24"/>
          <w:szCs w:val="24"/>
          <w:shd w:val="clear" w:color="auto" w:fill="FFFFFF"/>
        </w:rPr>
        <w:t>并将所有条目列入下表，未列入下表的视作报价人不响应；带▲的指标列入下表时，必须在指标前面保留▲。</w:t>
      </w:r>
      <w:r>
        <w:rPr>
          <w:rFonts w:hint="eastAsia" w:ascii="仿宋" w:hAnsi="仿宋" w:eastAsia="仿宋" w:cs="仿宋"/>
          <w:b/>
          <w:color w:val="auto"/>
          <w:sz w:val="24"/>
          <w:szCs w:val="24"/>
          <w:u w:val="single"/>
          <w:shd w:val="clear" w:color="auto" w:fill="FFFFFF"/>
        </w:rPr>
        <w:t>投标人必须根据所投产品/服务的实际情况如实填写，评委会如发现有虚假描述的，该投标文件作无效处理。</w:t>
      </w:r>
    </w:p>
    <w:tbl>
      <w:tblPr>
        <w:tblStyle w:val="5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100"/>
        <w:gridCol w:w="2694"/>
        <w:gridCol w:w="2268"/>
        <w:gridCol w:w="1275"/>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631" w:type="dxa"/>
            <w:shd w:val="clear" w:color="auto" w:fill="FFFFFF"/>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序号</w:t>
            </w:r>
          </w:p>
        </w:tc>
        <w:tc>
          <w:tcPr>
            <w:tcW w:w="1100" w:type="dxa"/>
            <w:shd w:val="clear" w:color="auto" w:fill="FFFFFF"/>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商务</w:t>
            </w:r>
          </w:p>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条款</w:t>
            </w:r>
          </w:p>
        </w:tc>
        <w:tc>
          <w:tcPr>
            <w:tcW w:w="2694" w:type="dxa"/>
            <w:shd w:val="clear" w:color="auto" w:fill="FFFFFF"/>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原 “▲</w:t>
            </w:r>
            <w:r>
              <w:rPr>
                <w:rFonts w:hint="eastAsia" w:ascii="仿宋" w:hAnsi="仿宋" w:eastAsia="仿宋" w:cs="仿宋"/>
                <w:color w:val="auto"/>
                <w:sz w:val="24"/>
                <w:szCs w:val="24"/>
                <w:shd w:val="clear" w:color="auto" w:fill="FFFFFF"/>
                <w:lang w:val="en-US" w:eastAsia="zh-CN"/>
              </w:rPr>
              <w:t>五、</w:t>
            </w:r>
            <w:r>
              <w:rPr>
                <w:rFonts w:hint="eastAsia" w:ascii="仿宋" w:hAnsi="仿宋" w:eastAsia="仿宋" w:cs="仿宋"/>
                <w:color w:val="auto"/>
                <w:sz w:val="24"/>
                <w:szCs w:val="24"/>
                <w:shd w:val="clear" w:color="auto" w:fill="FFFFFF"/>
              </w:rPr>
              <w:t>商务要求”中商务条款描述</w:t>
            </w:r>
          </w:p>
        </w:tc>
        <w:tc>
          <w:tcPr>
            <w:tcW w:w="2268" w:type="dxa"/>
            <w:shd w:val="clear" w:color="auto" w:fill="FFFFFF"/>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供应商的商务要求描述</w:t>
            </w:r>
          </w:p>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（逐条对应编写）</w:t>
            </w:r>
          </w:p>
        </w:tc>
        <w:tc>
          <w:tcPr>
            <w:tcW w:w="1275" w:type="dxa"/>
            <w:shd w:val="clear" w:color="auto" w:fill="FFFFFF"/>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偏离情况说明（＋/-/=）</w:t>
            </w:r>
          </w:p>
        </w:tc>
        <w:tc>
          <w:tcPr>
            <w:tcW w:w="1496" w:type="dxa"/>
            <w:shd w:val="clear" w:color="auto" w:fill="FFFFFF"/>
            <w:vAlign w:val="center"/>
          </w:tcPr>
          <w:p>
            <w:pPr>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相关证明材料的页码索引（如有）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31" w:type="dxa"/>
            <w:vAlign w:val="center"/>
          </w:tcPr>
          <w:p>
            <w:pPr>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1</w:t>
            </w:r>
          </w:p>
        </w:tc>
        <w:tc>
          <w:tcPr>
            <w:tcW w:w="1100" w:type="dxa"/>
            <w:vAlign w:val="center"/>
          </w:tcPr>
          <w:p>
            <w:pPr>
              <w:snapToGrid w:val="0"/>
              <w:jc w:val="center"/>
              <w:rPr>
                <w:rFonts w:hint="eastAsia" w:ascii="仿宋" w:hAnsi="仿宋" w:eastAsia="仿宋" w:cs="仿宋"/>
                <w:color w:val="auto"/>
                <w:sz w:val="24"/>
                <w:szCs w:val="24"/>
                <w:shd w:val="clear" w:color="auto" w:fill="FFFFFF"/>
              </w:rPr>
            </w:pPr>
          </w:p>
        </w:tc>
        <w:tc>
          <w:tcPr>
            <w:tcW w:w="2694" w:type="dxa"/>
            <w:vAlign w:val="center"/>
          </w:tcPr>
          <w:p>
            <w:pPr>
              <w:snapToGrid w:val="0"/>
              <w:jc w:val="center"/>
              <w:rPr>
                <w:rFonts w:hint="eastAsia" w:ascii="仿宋" w:hAnsi="仿宋" w:eastAsia="仿宋" w:cs="仿宋"/>
                <w:color w:val="auto"/>
                <w:sz w:val="24"/>
                <w:szCs w:val="24"/>
                <w:shd w:val="clear" w:color="auto" w:fill="FFFFFF"/>
              </w:rPr>
            </w:pPr>
          </w:p>
        </w:tc>
        <w:tc>
          <w:tcPr>
            <w:tcW w:w="2268" w:type="dxa"/>
            <w:vAlign w:val="center"/>
          </w:tcPr>
          <w:p>
            <w:pPr>
              <w:snapToGrid w:val="0"/>
              <w:jc w:val="center"/>
              <w:rPr>
                <w:rFonts w:hint="eastAsia" w:ascii="仿宋" w:hAnsi="仿宋" w:eastAsia="仿宋" w:cs="仿宋"/>
                <w:color w:val="auto"/>
                <w:sz w:val="24"/>
                <w:szCs w:val="24"/>
                <w:shd w:val="clear" w:color="auto" w:fill="FFFFFF"/>
              </w:rPr>
            </w:pPr>
          </w:p>
        </w:tc>
        <w:tc>
          <w:tcPr>
            <w:tcW w:w="1275" w:type="dxa"/>
            <w:vAlign w:val="center"/>
          </w:tcPr>
          <w:p>
            <w:pPr>
              <w:snapToGrid w:val="0"/>
              <w:jc w:val="center"/>
              <w:rPr>
                <w:rFonts w:hint="eastAsia" w:ascii="仿宋" w:hAnsi="仿宋" w:eastAsia="仿宋" w:cs="仿宋"/>
                <w:color w:val="auto"/>
                <w:sz w:val="24"/>
                <w:szCs w:val="24"/>
                <w:shd w:val="clear" w:color="auto" w:fill="FFFFFF"/>
              </w:rPr>
            </w:pPr>
          </w:p>
        </w:tc>
        <w:tc>
          <w:tcPr>
            <w:tcW w:w="1496" w:type="dxa"/>
            <w:vAlign w:val="center"/>
          </w:tcPr>
          <w:p>
            <w:pPr>
              <w:snapToGrid w:val="0"/>
              <w:jc w:val="center"/>
              <w:rPr>
                <w:rFonts w:hint="eastAsia" w:ascii="仿宋" w:hAnsi="仿宋" w:eastAsia="仿宋" w:cs="仿宋"/>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1" w:type="dxa"/>
            <w:vAlign w:val="center"/>
          </w:tcPr>
          <w:p>
            <w:pPr>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2</w:t>
            </w:r>
          </w:p>
        </w:tc>
        <w:tc>
          <w:tcPr>
            <w:tcW w:w="1100" w:type="dxa"/>
            <w:vAlign w:val="center"/>
          </w:tcPr>
          <w:p>
            <w:pPr>
              <w:snapToGrid w:val="0"/>
              <w:jc w:val="center"/>
              <w:rPr>
                <w:rFonts w:hint="eastAsia" w:ascii="仿宋" w:hAnsi="仿宋" w:eastAsia="仿宋" w:cs="仿宋"/>
                <w:color w:val="auto"/>
                <w:sz w:val="24"/>
                <w:szCs w:val="24"/>
                <w:shd w:val="clear" w:color="auto" w:fill="FFFFFF"/>
              </w:rPr>
            </w:pPr>
          </w:p>
        </w:tc>
        <w:tc>
          <w:tcPr>
            <w:tcW w:w="2694" w:type="dxa"/>
            <w:vAlign w:val="center"/>
          </w:tcPr>
          <w:p>
            <w:pPr>
              <w:snapToGrid w:val="0"/>
              <w:jc w:val="center"/>
              <w:rPr>
                <w:rFonts w:hint="eastAsia" w:ascii="仿宋" w:hAnsi="仿宋" w:eastAsia="仿宋" w:cs="仿宋"/>
                <w:color w:val="auto"/>
                <w:sz w:val="24"/>
                <w:szCs w:val="24"/>
                <w:shd w:val="clear" w:color="auto" w:fill="FFFFFF"/>
              </w:rPr>
            </w:pPr>
          </w:p>
        </w:tc>
        <w:tc>
          <w:tcPr>
            <w:tcW w:w="2268" w:type="dxa"/>
            <w:vAlign w:val="center"/>
          </w:tcPr>
          <w:p>
            <w:pPr>
              <w:snapToGrid w:val="0"/>
              <w:jc w:val="center"/>
              <w:rPr>
                <w:rFonts w:hint="eastAsia" w:ascii="仿宋" w:hAnsi="仿宋" w:eastAsia="仿宋" w:cs="仿宋"/>
                <w:color w:val="auto"/>
                <w:sz w:val="24"/>
                <w:szCs w:val="24"/>
                <w:shd w:val="clear" w:color="auto" w:fill="FFFFFF"/>
              </w:rPr>
            </w:pPr>
          </w:p>
        </w:tc>
        <w:tc>
          <w:tcPr>
            <w:tcW w:w="1275" w:type="dxa"/>
            <w:vAlign w:val="center"/>
          </w:tcPr>
          <w:p>
            <w:pPr>
              <w:snapToGrid w:val="0"/>
              <w:jc w:val="center"/>
              <w:rPr>
                <w:rFonts w:hint="eastAsia" w:ascii="仿宋" w:hAnsi="仿宋" w:eastAsia="仿宋" w:cs="仿宋"/>
                <w:color w:val="auto"/>
                <w:sz w:val="24"/>
                <w:szCs w:val="24"/>
                <w:shd w:val="clear" w:color="auto" w:fill="FFFFFF"/>
              </w:rPr>
            </w:pPr>
          </w:p>
        </w:tc>
        <w:tc>
          <w:tcPr>
            <w:tcW w:w="1496" w:type="dxa"/>
            <w:vAlign w:val="center"/>
          </w:tcPr>
          <w:p>
            <w:pPr>
              <w:snapToGrid w:val="0"/>
              <w:jc w:val="center"/>
              <w:rPr>
                <w:rFonts w:hint="eastAsia" w:ascii="仿宋" w:hAnsi="仿宋" w:eastAsia="仿宋" w:cs="仿宋"/>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1" w:type="dxa"/>
            <w:vAlign w:val="center"/>
          </w:tcPr>
          <w:p>
            <w:pPr>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3</w:t>
            </w:r>
          </w:p>
        </w:tc>
        <w:tc>
          <w:tcPr>
            <w:tcW w:w="1100" w:type="dxa"/>
            <w:vAlign w:val="center"/>
          </w:tcPr>
          <w:p>
            <w:pPr>
              <w:snapToGrid w:val="0"/>
              <w:jc w:val="center"/>
              <w:rPr>
                <w:rFonts w:hint="eastAsia" w:ascii="仿宋" w:hAnsi="仿宋" w:eastAsia="仿宋" w:cs="仿宋"/>
                <w:color w:val="auto"/>
                <w:sz w:val="24"/>
                <w:szCs w:val="24"/>
                <w:shd w:val="clear" w:color="auto" w:fill="FFFFFF"/>
              </w:rPr>
            </w:pPr>
          </w:p>
        </w:tc>
        <w:tc>
          <w:tcPr>
            <w:tcW w:w="2694" w:type="dxa"/>
            <w:vAlign w:val="center"/>
          </w:tcPr>
          <w:p>
            <w:pPr>
              <w:snapToGrid w:val="0"/>
              <w:jc w:val="center"/>
              <w:rPr>
                <w:rFonts w:hint="eastAsia" w:ascii="仿宋" w:hAnsi="仿宋" w:eastAsia="仿宋" w:cs="仿宋"/>
                <w:color w:val="auto"/>
                <w:sz w:val="24"/>
                <w:szCs w:val="24"/>
                <w:shd w:val="clear" w:color="auto" w:fill="FFFFFF"/>
              </w:rPr>
            </w:pPr>
          </w:p>
        </w:tc>
        <w:tc>
          <w:tcPr>
            <w:tcW w:w="2268" w:type="dxa"/>
            <w:vAlign w:val="center"/>
          </w:tcPr>
          <w:p>
            <w:pPr>
              <w:snapToGrid w:val="0"/>
              <w:jc w:val="center"/>
              <w:rPr>
                <w:rFonts w:hint="eastAsia" w:ascii="仿宋" w:hAnsi="仿宋" w:eastAsia="仿宋" w:cs="仿宋"/>
                <w:color w:val="auto"/>
                <w:sz w:val="24"/>
                <w:szCs w:val="24"/>
                <w:shd w:val="clear" w:color="auto" w:fill="FFFFFF"/>
              </w:rPr>
            </w:pPr>
          </w:p>
        </w:tc>
        <w:tc>
          <w:tcPr>
            <w:tcW w:w="1275" w:type="dxa"/>
            <w:vAlign w:val="center"/>
          </w:tcPr>
          <w:p>
            <w:pPr>
              <w:snapToGrid w:val="0"/>
              <w:jc w:val="center"/>
              <w:rPr>
                <w:rFonts w:hint="eastAsia" w:ascii="仿宋" w:hAnsi="仿宋" w:eastAsia="仿宋" w:cs="仿宋"/>
                <w:color w:val="auto"/>
                <w:sz w:val="24"/>
                <w:szCs w:val="24"/>
                <w:shd w:val="clear" w:color="auto" w:fill="FFFFFF"/>
              </w:rPr>
            </w:pPr>
          </w:p>
        </w:tc>
        <w:tc>
          <w:tcPr>
            <w:tcW w:w="1496" w:type="dxa"/>
            <w:vAlign w:val="center"/>
          </w:tcPr>
          <w:p>
            <w:pPr>
              <w:snapToGrid w:val="0"/>
              <w:jc w:val="center"/>
              <w:rPr>
                <w:rFonts w:hint="eastAsia" w:ascii="仿宋" w:hAnsi="仿宋" w:eastAsia="仿宋" w:cs="仿宋"/>
                <w:color w:val="auto"/>
                <w:sz w:val="24"/>
                <w:szCs w:val="24"/>
                <w:shd w:val="clear" w:color="auto" w:fill="FFFFFF"/>
              </w:rPr>
            </w:pPr>
          </w:p>
        </w:tc>
      </w:tr>
    </w:tbl>
    <w:p>
      <w:pPr>
        <w:pStyle w:val="29"/>
        <w:spacing w:line="360" w:lineRule="auto"/>
        <w:ind w:left="1414" w:leftChars="257" w:hanging="540"/>
        <w:rPr>
          <w:rFonts w:hint="eastAsia" w:ascii="仿宋" w:hAnsi="仿宋" w:eastAsia="仿宋" w:cs="仿宋"/>
          <w:color w:val="auto"/>
          <w:sz w:val="24"/>
          <w:szCs w:val="24"/>
        </w:rPr>
      </w:pPr>
    </w:p>
    <w:p>
      <w:pPr>
        <w:widowControl/>
        <w:spacing w:line="360" w:lineRule="auto"/>
        <w:ind w:left="-228" w:leftChars="-67" w:firstLine="360" w:firstLineChars="150"/>
        <w:rPr>
          <w:rFonts w:hint="eastAsia" w:ascii="仿宋" w:hAnsi="仿宋" w:eastAsia="仿宋" w:cs="仿宋"/>
          <w:color w:val="auto"/>
          <w:sz w:val="24"/>
          <w:szCs w:val="24"/>
          <w:u w:val="single"/>
        </w:rPr>
      </w:pPr>
      <w:r>
        <w:rPr>
          <w:rFonts w:hint="eastAsia" w:ascii="仿宋" w:hAnsi="仿宋" w:eastAsia="仿宋" w:cs="仿宋"/>
          <w:color w:val="auto"/>
          <w:sz w:val="24"/>
          <w:szCs w:val="24"/>
        </w:rPr>
        <w:t>供应商名称（全称并加盖公章）：</w:t>
      </w:r>
      <w:r>
        <w:rPr>
          <w:rFonts w:hint="eastAsia" w:ascii="仿宋" w:hAnsi="仿宋" w:eastAsia="仿宋" w:cs="仿宋"/>
          <w:color w:val="auto"/>
          <w:sz w:val="24"/>
          <w:szCs w:val="24"/>
          <w:u w:val="single"/>
        </w:rPr>
        <w:t xml:space="preserve">                    </w:t>
      </w:r>
    </w:p>
    <w:p>
      <w:pPr>
        <w:pStyle w:val="29"/>
        <w:tabs>
          <w:tab w:val="left" w:pos="5100"/>
        </w:tabs>
        <w:spacing w:line="360" w:lineRule="auto"/>
        <w:ind w:left="353" w:leftChars="51" w:hanging="180" w:hangingChars="75"/>
        <w:rPr>
          <w:rFonts w:hint="eastAsia" w:ascii="仿宋" w:hAnsi="仿宋" w:eastAsia="仿宋" w:cs="仿宋"/>
          <w:color w:val="auto"/>
          <w:sz w:val="24"/>
          <w:szCs w:val="24"/>
        </w:rPr>
      </w:pPr>
      <w:r>
        <w:rPr>
          <w:rFonts w:hint="eastAsia" w:ascii="仿宋" w:hAnsi="仿宋" w:eastAsia="仿宋" w:cs="仿宋"/>
          <w:color w:val="auto"/>
          <w:sz w:val="24"/>
          <w:szCs w:val="24"/>
        </w:rPr>
        <w:t xml:space="preserve">日期：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29"/>
        <w:spacing w:line="360" w:lineRule="auto"/>
        <w:ind w:left="680"/>
        <w:rPr>
          <w:rFonts w:hint="eastAsia" w:ascii="仿宋" w:hAnsi="仿宋" w:eastAsia="仿宋" w:cs="仿宋"/>
          <w:color w:val="auto"/>
          <w:sz w:val="24"/>
          <w:szCs w:val="24"/>
        </w:rPr>
      </w:pPr>
    </w:p>
    <w:p>
      <w:pPr>
        <w:pStyle w:val="29"/>
        <w:spacing w:line="360" w:lineRule="auto"/>
        <w:ind w:left="0"/>
        <w:rPr>
          <w:rFonts w:hint="eastAsia" w:ascii="仿宋" w:hAnsi="仿宋" w:eastAsia="仿宋" w:cs="仿宋"/>
          <w:b/>
          <w:color w:val="auto"/>
          <w:sz w:val="24"/>
          <w:szCs w:val="24"/>
          <w:lang w:val="en-US"/>
        </w:rPr>
      </w:pPr>
      <w:r>
        <w:rPr>
          <w:rFonts w:hint="eastAsia" w:ascii="仿宋" w:hAnsi="仿宋" w:eastAsia="仿宋" w:cs="仿宋"/>
          <w:b/>
          <w:color w:val="auto"/>
          <w:sz w:val="24"/>
          <w:szCs w:val="24"/>
          <w:lang w:val="en-US"/>
        </w:rPr>
        <w:t>注：1、此表为表样，行数可自行添加，但表式不变。</w:t>
      </w:r>
      <w:r>
        <w:rPr>
          <w:rFonts w:hint="eastAsia" w:ascii="仿宋" w:hAnsi="仿宋" w:eastAsia="仿宋" w:cs="仿宋"/>
          <w:b/>
          <w:color w:val="auto"/>
          <w:sz w:val="24"/>
          <w:szCs w:val="24"/>
          <w:lang w:val="en-US"/>
        </w:rPr>
        <w:tab/>
      </w:r>
    </w:p>
    <w:p>
      <w:pPr>
        <w:pStyle w:val="3"/>
        <w:rPr>
          <w:rFonts w:hint="eastAsia"/>
          <w:lang w:val="en-US" w:eastAsia="zh-CN"/>
        </w:rPr>
        <w:sectPr>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b/>
          <w:color w:val="auto"/>
          <w:sz w:val="24"/>
          <w:szCs w:val="24"/>
          <w:lang w:val="en-US"/>
        </w:rPr>
        <w:t>2、是否偏离用符号“+、=、-”分别表示正偏离、完全响应、负偏离，必须逐次对应响应，</w:t>
      </w:r>
      <w:r>
        <w:rPr>
          <w:rFonts w:hint="eastAsia" w:ascii="仿宋" w:hAnsi="仿宋" w:eastAsia="仿宋" w:cs="仿宋"/>
          <w:b/>
          <w:color w:val="auto"/>
          <w:sz w:val="24"/>
          <w:szCs w:val="24"/>
          <w:u w:val="single"/>
          <w:lang w:val="en-US"/>
        </w:rPr>
        <w:t>未列入表格的视作“负偏离”</w:t>
      </w:r>
      <w:r>
        <w:rPr>
          <w:rFonts w:hint="eastAsia" w:ascii="仿宋" w:hAnsi="仿宋" w:eastAsia="仿宋" w:cs="仿宋"/>
          <w:b/>
          <w:color w:val="auto"/>
          <w:sz w:val="24"/>
          <w:szCs w:val="24"/>
          <w:lang w:val="en-US"/>
        </w:rPr>
        <w:t>。</w:t>
      </w:r>
    </w:p>
    <w:p>
      <w:pPr>
        <w:snapToGrid w:val="0"/>
        <w:spacing w:line="360" w:lineRule="auto"/>
        <w:jc w:val="center"/>
        <w:outlineLvl w:val="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 xml:space="preserve">11、投标人诚信承诺书（附件10） </w:t>
      </w:r>
    </w:p>
    <w:p>
      <w:pPr>
        <w:snapToGrid w:val="0"/>
        <w:spacing w:line="360" w:lineRule="auto"/>
        <w:ind w:firstLine="562" w:firstLineChars="200"/>
        <w:jc w:val="left"/>
        <w:outlineLvl w:val="0"/>
        <w:rPr>
          <w:rFonts w:hint="eastAsia" w:ascii="仿宋" w:hAnsi="仿宋" w:eastAsia="仿宋" w:cs="仿宋"/>
          <w:b/>
          <w:sz w:val="28"/>
          <w:szCs w:val="28"/>
          <w:lang w:val="en-US" w:eastAsia="zh-CN"/>
        </w:rPr>
      </w:pPr>
    </w:p>
    <w:p>
      <w:pPr>
        <w:spacing w:line="44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我单位在参加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项目的投标活动中，郑重承诺如下： </w:t>
      </w:r>
    </w:p>
    <w:p>
      <w:pPr>
        <w:spacing w:line="440" w:lineRule="exact"/>
        <w:ind w:left="476" w:leftChars="140" w:firstLine="0" w:firstLineChars="0"/>
        <w:rPr>
          <w:rFonts w:hint="eastAsia" w:ascii="仿宋" w:hAnsi="仿宋" w:eastAsia="仿宋" w:cs="仿宋"/>
          <w:sz w:val="24"/>
          <w:szCs w:val="24"/>
          <w:lang w:val="en-US" w:eastAsia="zh-CN"/>
        </w:rPr>
      </w:pPr>
    </w:p>
    <w:p>
      <w:pPr>
        <w:spacing w:line="440" w:lineRule="exact"/>
        <w:ind w:left="476" w:leftChars="14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1、我方在此声明，本次招标投标活动中申报的所有资料都是真实、准确完整的，如发现提供虚假资料，或与事实不符而导致投标无效，甚至造成任何法律和经济责任，完全由我方负责； </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2、我方在本次投标活动中绝无资质挂靠、串标、围标情形，若经贵方查出，立即取消我方投标资格并承担相应的法律责任； </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3、我方在以往的招标投标活动中，无重大违法、违规的不良记录；我方人员针对维护项目没有重大违法记录； </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4、我方未被地市级及其以上行政主管部门做出取消投标资格的处罚且该处罚在有效期内的； </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5、我方一旦中标，将严格按照投标文件中所承诺的报价、质量、工期、措施、项目负责人等内容组织实施； </w:t>
      </w:r>
    </w:p>
    <w:p>
      <w:pPr>
        <w:spacing w:line="440" w:lineRule="exact"/>
        <w:ind w:firstLine="480" w:firstLineChars="200"/>
        <w:rPr>
          <w:rFonts w:hint="eastAsia" w:ascii="仿宋" w:hAnsi="仿宋" w:eastAsia="仿宋" w:cs="仿宋"/>
          <w:b/>
          <w:sz w:val="28"/>
          <w:szCs w:val="28"/>
          <w:lang w:val="en-US" w:eastAsia="zh-CN"/>
        </w:rPr>
      </w:pPr>
      <w:r>
        <w:rPr>
          <w:rFonts w:hint="eastAsia" w:ascii="仿宋" w:hAnsi="仿宋" w:eastAsia="仿宋" w:cs="仿宋"/>
          <w:sz w:val="24"/>
          <w:szCs w:val="24"/>
          <w:lang w:val="en-US" w:eastAsia="zh-CN"/>
        </w:rPr>
        <w:t>6、我方一旦中标，将按规定及时与建设单位签订合同。</w:t>
      </w:r>
      <w:r>
        <w:rPr>
          <w:rFonts w:hint="eastAsia" w:ascii="仿宋" w:hAnsi="仿宋" w:eastAsia="仿宋" w:cs="仿宋"/>
          <w:b/>
          <w:sz w:val="28"/>
          <w:szCs w:val="28"/>
          <w:lang w:val="en-US" w:eastAsia="zh-CN"/>
        </w:rPr>
        <w:t xml:space="preserve"> </w:t>
      </w:r>
    </w:p>
    <w:p>
      <w:pPr>
        <w:snapToGrid w:val="0"/>
        <w:spacing w:line="360" w:lineRule="auto"/>
        <w:jc w:val="left"/>
        <w:outlineLvl w:val="0"/>
        <w:rPr>
          <w:rFonts w:hint="eastAsia" w:ascii="仿宋" w:hAnsi="仿宋" w:eastAsia="仿宋" w:cs="仿宋"/>
          <w:b/>
          <w:sz w:val="28"/>
          <w:szCs w:val="28"/>
          <w:lang w:val="en-US" w:eastAsia="zh-CN"/>
        </w:rPr>
      </w:pP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投标人名称： （盖公章） </w:t>
      </w:r>
    </w:p>
    <w:p>
      <w:pPr>
        <w:spacing w:line="440" w:lineRule="exact"/>
        <w:ind w:firstLine="480" w:firstLineChars="200"/>
        <w:rPr>
          <w:rFonts w:hint="eastAsia" w:ascii="仿宋" w:hAnsi="仿宋" w:eastAsia="仿宋" w:cs="仿宋"/>
          <w:sz w:val="24"/>
          <w:szCs w:val="24"/>
          <w:lang w:val="en-US" w:eastAsia="zh-CN"/>
        </w:rPr>
      </w:pP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法定代表人（或授权代理人）： （签字或盖章） </w:t>
      </w:r>
    </w:p>
    <w:p>
      <w:pPr>
        <w:spacing w:line="440" w:lineRule="exact"/>
        <w:ind w:firstLine="480" w:firstLineChars="200"/>
        <w:rPr>
          <w:rFonts w:hint="eastAsia" w:ascii="仿宋" w:hAnsi="仿宋" w:eastAsia="仿宋" w:cs="仿宋"/>
          <w:sz w:val="24"/>
          <w:szCs w:val="24"/>
          <w:lang w:val="en-US" w:eastAsia="zh-CN"/>
        </w:rPr>
      </w:pP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日期： 年 月 日</w:t>
      </w:r>
    </w:p>
    <w:p>
      <w:pPr>
        <w:snapToGrid w:val="0"/>
        <w:spacing w:line="360" w:lineRule="auto"/>
        <w:jc w:val="center"/>
        <w:outlineLvl w:val="0"/>
        <w:rPr>
          <w:rFonts w:hint="default" w:ascii="仿宋" w:hAnsi="仿宋" w:eastAsia="仿宋" w:cs="仿宋"/>
          <w:b/>
          <w:sz w:val="28"/>
          <w:szCs w:val="28"/>
          <w:lang w:val="en-US" w:eastAsia="zh-CN"/>
        </w:rPr>
        <w:sectPr>
          <w:pgSz w:w="11906" w:h="16838"/>
          <w:pgMar w:top="1440" w:right="1418" w:bottom="1259" w:left="1418" w:header="851" w:footer="992" w:gutter="0"/>
          <w:pgNumType w:fmt="decimal"/>
          <w:cols w:space="720" w:num="1"/>
          <w:titlePg/>
          <w:docGrid w:linePitch="312" w:charSpace="0"/>
        </w:sectPr>
      </w:pPr>
    </w:p>
    <w:p>
      <w:pPr>
        <w:snapToGrid w:val="0"/>
        <w:spacing w:line="360" w:lineRule="auto"/>
        <w:jc w:val="center"/>
        <w:outlineLvl w:val="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12、中小企业声明函（附件11）</w:t>
      </w:r>
    </w:p>
    <w:p>
      <w:pPr>
        <w:pStyle w:val="29"/>
        <w:jc w:val="center"/>
        <w:rPr>
          <w:rFonts w:hint="eastAsia" w:ascii="仿宋" w:hAnsi="仿宋" w:eastAsia="仿宋" w:cs="仿宋"/>
          <w:sz w:val="28"/>
          <w:szCs w:val="28"/>
        </w:rPr>
      </w:pPr>
    </w:p>
    <w:p>
      <w:pPr>
        <w:pStyle w:val="29"/>
        <w:jc w:val="center"/>
        <w:rPr>
          <w:rFonts w:ascii="仿宋" w:hAnsi="仿宋" w:eastAsia="仿宋" w:cs="仿宋"/>
          <w:sz w:val="24"/>
          <w:szCs w:val="24"/>
        </w:rPr>
      </w:pPr>
      <w:r>
        <w:rPr>
          <w:rFonts w:hint="eastAsia" w:ascii="仿宋" w:hAnsi="仿宋" w:eastAsia="仿宋" w:cs="仿宋"/>
          <w:sz w:val="24"/>
          <w:szCs w:val="24"/>
        </w:rPr>
        <w:t>中小企业声明函</w:t>
      </w:r>
    </w:p>
    <w:p>
      <w:pPr>
        <w:pStyle w:val="29"/>
        <w:rPr>
          <w:rFonts w:ascii="仿宋" w:hAnsi="仿宋" w:eastAsia="仿宋" w:cs="仿宋"/>
          <w:sz w:val="24"/>
          <w:szCs w:val="24"/>
        </w:rPr>
      </w:pP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本公司(联合体)郑重声明，根据《政府采购促进中小企业发展管理办法》(财库(2020)46号)的规定，本公司(联合体)参加</w:t>
      </w:r>
      <w:r>
        <w:rPr>
          <w:rFonts w:hint="eastAsia" w:ascii="仿宋" w:hAnsi="仿宋" w:eastAsia="仿宋" w:cs="仿宋"/>
          <w:sz w:val="24"/>
          <w:szCs w:val="24"/>
          <w:u w:val="single"/>
          <w:lang w:val="en-US" w:eastAsia="zh-CN"/>
        </w:rPr>
        <w:t xml:space="preserve"> (单位名称) </w:t>
      </w:r>
      <w:r>
        <w:rPr>
          <w:rFonts w:hint="eastAsia" w:ascii="仿宋" w:hAnsi="仿宋" w:eastAsia="仿宋" w:cs="仿宋"/>
          <w:sz w:val="24"/>
          <w:szCs w:val="24"/>
          <w:lang w:val="en-US" w:eastAsia="zh-CN"/>
        </w:rPr>
        <w:t>的</w:t>
      </w:r>
      <w:r>
        <w:rPr>
          <w:rFonts w:hint="eastAsia" w:ascii="仿宋" w:hAnsi="仿宋" w:eastAsia="仿宋" w:cs="仿宋"/>
          <w:sz w:val="24"/>
          <w:szCs w:val="24"/>
          <w:u w:val="single"/>
          <w:lang w:val="en-US" w:eastAsia="zh-CN"/>
        </w:rPr>
        <w:t xml:space="preserve"> (项目名称) </w:t>
      </w:r>
      <w:r>
        <w:rPr>
          <w:rFonts w:hint="eastAsia" w:ascii="仿宋" w:hAnsi="仿宋" w:eastAsia="仿宋" w:cs="仿宋"/>
          <w:sz w:val="24"/>
          <w:szCs w:val="24"/>
          <w:lang w:val="en-US" w:eastAsia="zh-CN"/>
        </w:rPr>
        <w:t xml:space="preserve">采购活动，提供的货物全部由符合政策要求的中小企业制造。相关企业(含联合体中的中小企业、签订分包意向协议的中小企业)的具体情况如下: </w:t>
      </w:r>
    </w:p>
    <w:p>
      <w:pPr>
        <w:spacing w:line="440" w:lineRule="exact"/>
        <w:ind w:firstLine="480" w:firstLineChars="200"/>
        <w:rPr>
          <w:rFonts w:ascii="仿宋" w:hAnsi="仿宋" w:eastAsia="仿宋" w:cs="仿宋"/>
          <w:sz w:val="24"/>
          <w:szCs w:val="24"/>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u w:val="none"/>
          <w:lang w:val="en-US" w:eastAsia="zh-CN"/>
        </w:rPr>
        <w:t xml:space="preserve">1.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(标的名称)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行业</w:t>
      </w:r>
      <w:r>
        <w:rPr>
          <w:rFonts w:hint="eastAsia" w:ascii="仿宋" w:hAnsi="仿宋" w:eastAsia="仿宋" w:cs="仿宋"/>
          <w:sz w:val="24"/>
          <w:szCs w:val="24"/>
          <w:lang w:eastAsia="zh-CN"/>
        </w:rPr>
        <w:t>；</w:t>
      </w:r>
      <w:r>
        <w:rPr>
          <w:rFonts w:hint="eastAsia" w:ascii="仿宋" w:hAnsi="仿宋" w:eastAsia="仿宋" w:cs="仿宋"/>
          <w:sz w:val="24"/>
          <w:szCs w:val="24"/>
        </w:rPr>
        <w:t>制造商为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(企业名称</w:t>
      </w:r>
      <w:r>
        <w:rPr>
          <w:rFonts w:hint="eastAsia" w:ascii="仿宋" w:hAnsi="仿宋" w:eastAsia="仿宋" w:cs="仿宋"/>
          <w:sz w:val="24"/>
          <w:szCs w:val="24"/>
          <w:u w:val="single"/>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从业人员</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auto"/>
        <w:ind w:firstLine="480" w:firstLineChars="200"/>
        <w:jc w:val="left"/>
        <w:textAlignment w:val="auto"/>
        <w:rPr>
          <w:rFonts w:hint="eastAsia" w:ascii="仿宋" w:hAnsi="仿宋" w:eastAsia="仿宋" w:cs="仿宋"/>
          <w:sz w:val="24"/>
          <w:szCs w:val="24"/>
          <w:u w:val="singl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u w:val="none"/>
          <w:lang w:val="en-US" w:eastAsia="zh-CN"/>
        </w:rPr>
        <w:t>2.</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(标的名称)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行业</w:t>
      </w:r>
      <w:r>
        <w:rPr>
          <w:rFonts w:hint="eastAsia" w:ascii="仿宋" w:hAnsi="仿宋" w:eastAsia="仿宋" w:cs="仿宋"/>
          <w:sz w:val="24"/>
          <w:szCs w:val="24"/>
          <w:lang w:eastAsia="zh-CN"/>
        </w:rPr>
        <w:t>；</w:t>
      </w:r>
      <w:r>
        <w:rPr>
          <w:rFonts w:hint="eastAsia" w:ascii="仿宋" w:hAnsi="仿宋" w:eastAsia="仿宋" w:cs="仿宋"/>
          <w:sz w:val="24"/>
          <w:szCs w:val="24"/>
        </w:rPr>
        <w:t>制造商为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(企业名称</w:t>
      </w:r>
      <w:r>
        <w:rPr>
          <w:rFonts w:hint="eastAsia" w:ascii="仿宋" w:hAnsi="仿宋" w:eastAsia="仿宋" w:cs="仿宋"/>
          <w:sz w:val="24"/>
          <w:szCs w:val="24"/>
          <w:u w:val="single"/>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从业人员</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jc w:val="left"/>
        <w:textAlignment w:val="auto"/>
        <w:rPr>
          <w:rFonts w:hint="eastAsia" w:ascii="仿宋" w:hAnsi="仿宋" w:eastAsia="仿宋" w:cs="仿宋"/>
          <w:sz w:val="24"/>
          <w:szCs w:val="24"/>
        </w:rPr>
      </w:pPr>
    </w:p>
    <w:p>
      <w:pPr>
        <w:pStyle w:val="29"/>
        <w:spacing w:line="360" w:lineRule="auto"/>
        <w:ind w:firstLine="480" w:firstLineChars="200"/>
        <w:jc w:val="left"/>
        <w:rPr>
          <w:rFonts w:ascii="仿宋" w:hAnsi="仿宋" w:eastAsia="仿宋" w:cs="仿宋"/>
          <w:sz w:val="24"/>
          <w:szCs w:val="24"/>
        </w:rPr>
      </w:pPr>
    </w:p>
    <w:p>
      <w:pPr>
        <w:keepNext w:val="0"/>
        <w:keepLines w:val="0"/>
        <w:widowControl/>
        <w:suppressLineNumbers w:val="0"/>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 </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本企业对上述声明内容的真实性负责。如有虚假，将依法承担相应责任。 </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企业名称（盖章）： </w:t>
      </w: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                                  </w:t>
      </w:r>
    </w:p>
    <w:p>
      <w:pPr>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            日期： </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注：从业人员、营业收入、资产总额填报上一年度数据，无上一年度数据的新成立企业可不填报。</w:t>
      </w:r>
      <w:r>
        <w:rPr>
          <w:rFonts w:hint="eastAsia" w:ascii="宋体" w:hAnsi="宋体" w:eastAsia="宋体" w:cs="宋体"/>
          <w:color w:val="000000"/>
          <w:kern w:val="0"/>
          <w:sz w:val="24"/>
          <w:szCs w:val="24"/>
          <w:lang w:val="en-US" w:eastAsia="zh-CN" w:bidi="ar"/>
        </w:rPr>
        <w:t xml:space="preserve"> </w:t>
      </w:r>
    </w:p>
    <w:p>
      <w:pPr>
        <w:pStyle w:val="29"/>
        <w:rPr>
          <w:rFonts w:ascii="仿宋" w:hAnsi="仿宋" w:eastAsia="仿宋" w:cs="仿宋"/>
          <w:sz w:val="28"/>
          <w:szCs w:val="28"/>
        </w:rPr>
      </w:pPr>
    </w:p>
    <w:p>
      <w:pPr>
        <w:rPr>
          <w:rFonts w:ascii="仿宋" w:hAnsi="仿宋" w:eastAsia="仿宋" w:cs="仿宋"/>
          <w:sz w:val="28"/>
          <w:szCs w:val="28"/>
        </w:rPr>
        <w:sectPr>
          <w:pgSz w:w="11906" w:h="16838"/>
          <w:pgMar w:top="1440" w:right="1418" w:bottom="1259" w:left="1418" w:header="851" w:footer="992" w:gutter="0"/>
          <w:pgNumType w:fmt="decimal"/>
          <w:cols w:space="720" w:num="1"/>
          <w:titlePg/>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4"/>
          <w:lang w:val="en-US" w:eastAsia="zh-CN"/>
        </w:rPr>
      </w:pPr>
    </w:p>
    <w:p>
      <w:pPr>
        <w:pStyle w:val="29"/>
        <w:tabs>
          <w:tab w:val="left" w:pos="5580"/>
        </w:tabs>
        <w:spacing w:line="360" w:lineRule="auto"/>
        <w:jc w:val="center"/>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13、</w:t>
      </w:r>
      <w:r>
        <w:rPr>
          <w:rFonts w:hint="eastAsia" w:ascii="仿宋" w:hAnsi="仿宋" w:eastAsia="仿宋" w:cs="仿宋"/>
          <w:b/>
          <w:bCs/>
          <w:color w:val="auto"/>
          <w:sz w:val="28"/>
          <w:szCs w:val="28"/>
          <w:lang w:eastAsia="zh-CN"/>
        </w:rPr>
        <w:t>残疾人福利性</w:t>
      </w:r>
      <w:r>
        <w:rPr>
          <w:rFonts w:hint="eastAsia" w:ascii="仿宋" w:hAnsi="仿宋" w:eastAsia="仿宋" w:cs="仿宋"/>
          <w:b/>
          <w:bCs/>
          <w:color w:val="auto"/>
          <w:sz w:val="28"/>
          <w:szCs w:val="28"/>
        </w:rPr>
        <w:t>声明函</w:t>
      </w:r>
      <w:r>
        <w:rPr>
          <w:rFonts w:hint="eastAsia" w:ascii="仿宋" w:hAnsi="仿宋" w:eastAsia="仿宋" w:cs="仿宋"/>
          <w:b/>
          <w:sz w:val="28"/>
          <w:szCs w:val="28"/>
          <w:lang w:val="en-US" w:eastAsia="zh-CN"/>
        </w:rPr>
        <w:t>（附件</w:t>
      </w:r>
      <w:r>
        <w:rPr>
          <w:rFonts w:hint="eastAsia" w:ascii="仿宋" w:hAnsi="仿宋" w:eastAsia="仿宋" w:cs="仿宋"/>
          <w:b/>
          <w:bCs/>
          <w:color w:val="auto"/>
          <w:sz w:val="28"/>
          <w:szCs w:val="28"/>
          <w:lang w:val="en-US" w:eastAsia="zh-CN"/>
        </w:rPr>
        <w:t>12</w:t>
      </w:r>
      <w:r>
        <w:rPr>
          <w:rFonts w:hint="eastAsia" w:ascii="仿宋" w:hAnsi="仿宋" w:eastAsia="仿宋" w:cs="仿宋"/>
          <w:b/>
          <w:sz w:val="28"/>
          <w:szCs w:val="28"/>
          <w:lang w:val="en-US" w:eastAsia="zh-CN"/>
        </w:rPr>
        <w:t>）</w:t>
      </w:r>
    </w:p>
    <w:p>
      <w:pPr>
        <w:pStyle w:val="29"/>
        <w:jc w:val="center"/>
        <w:rPr>
          <w:rFonts w:hint="eastAsia" w:ascii="仿宋" w:hAnsi="仿宋" w:eastAsia="仿宋" w:cs="仿宋"/>
          <w:color w:val="auto"/>
          <w:sz w:val="28"/>
          <w:szCs w:val="28"/>
          <w:lang w:eastAsia="zh-CN"/>
        </w:rPr>
      </w:pPr>
    </w:p>
    <w:p>
      <w:pPr>
        <w:pStyle w:val="29"/>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残疾人福利性</w:t>
      </w:r>
      <w:r>
        <w:rPr>
          <w:rFonts w:hint="eastAsia" w:ascii="仿宋" w:hAnsi="仿宋" w:eastAsia="仿宋" w:cs="仿宋"/>
          <w:color w:val="auto"/>
          <w:sz w:val="28"/>
          <w:szCs w:val="28"/>
        </w:rPr>
        <w:t>声明函</w:t>
      </w:r>
    </w:p>
    <w:p>
      <w:pPr>
        <w:pStyle w:val="29"/>
        <w:rPr>
          <w:rFonts w:hint="eastAsia" w:ascii="仿宋" w:hAnsi="仿宋" w:eastAsia="仿宋" w:cs="仿宋"/>
          <w:color w:val="auto"/>
          <w:sz w:val="28"/>
          <w:szCs w:val="28"/>
        </w:rPr>
      </w:pPr>
    </w:p>
    <w:p>
      <w:pPr>
        <w:spacing w:line="44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本</w:t>
      </w:r>
      <w:r>
        <w:rPr>
          <w:rFonts w:hint="eastAsia" w:ascii="仿宋" w:hAnsi="仿宋" w:eastAsia="仿宋" w:cs="仿宋"/>
          <w:color w:val="auto"/>
          <w:sz w:val="24"/>
          <w:szCs w:val="24"/>
          <w:lang w:eastAsia="zh-CN"/>
        </w:rPr>
        <w:t>单位</w:t>
      </w:r>
      <w:r>
        <w:rPr>
          <w:rFonts w:hint="eastAsia" w:ascii="仿宋" w:hAnsi="仿宋" w:eastAsia="仿宋" w:cs="仿宋"/>
          <w:color w:val="auto"/>
          <w:sz w:val="24"/>
          <w:szCs w:val="24"/>
        </w:rPr>
        <w:t>郑重声明，根据《</w:t>
      </w:r>
      <w:r>
        <w:rPr>
          <w:rFonts w:hint="eastAsia" w:ascii="仿宋" w:hAnsi="仿宋" w:eastAsia="仿宋" w:cs="仿宋"/>
          <w:color w:val="auto"/>
          <w:sz w:val="24"/>
          <w:szCs w:val="24"/>
          <w:lang w:eastAsia="zh-CN"/>
        </w:rPr>
        <w:t>财政部、民政部、中国残疾人联合会关于促进残疾人就业政府采购政策的通知</w:t>
      </w:r>
      <w:r>
        <w:rPr>
          <w:rFonts w:hint="eastAsia" w:ascii="仿宋" w:hAnsi="仿宋" w:eastAsia="仿宋" w:cs="仿宋"/>
          <w:color w:val="auto"/>
          <w:sz w:val="24"/>
          <w:szCs w:val="24"/>
        </w:rPr>
        <w:t>》（财库﹝20</w:t>
      </w: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141</w:t>
      </w:r>
      <w:r>
        <w:rPr>
          <w:rFonts w:hint="eastAsia" w:ascii="仿宋" w:hAnsi="仿宋" w:eastAsia="仿宋" w:cs="仿宋"/>
          <w:color w:val="auto"/>
          <w:sz w:val="24"/>
          <w:szCs w:val="24"/>
        </w:rPr>
        <w:t xml:space="preserve"> 号）的规定，本</w:t>
      </w:r>
      <w:r>
        <w:rPr>
          <w:rFonts w:hint="eastAsia" w:ascii="仿宋" w:hAnsi="仿宋" w:eastAsia="仿宋" w:cs="仿宋"/>
          <w:color w:val="auto"/>
          <w:sz w:val="24"/>
          <w:szCs w:val="24"/>
          <w:lang w:eastAsia="zh-CN"/>
        </w:rPr>
        <w:t>单位为符合条件的残疾人福利性单位</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且本单位参加</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单位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项目采购活动提供本单位制造的货物（由本单位承担的工程/提供服务），或者提供其他残疾人福利性单位制造的货物（不包括使用非残疾人福利性单位注册商标的货物）</w:t>
      </w:r>
      <w:r>
        <w:rPr>
          <w:rFonts w:hint="eastAsia" w:ascii="仿宋" w:hAnsi="仿宋" w:eastAsia="仿宋" w:cs="仿宋"/>
          <w:color w:val="auto"/>
          <w:sz w:val="24"/>
          <w:szCs w:val="24"/>
          <w:lang w:eastAsia="zh-CN"/>
        </w:rPr>
        <w:t>。</w:t>
      </w:r>
    </w:p>
    <w:p>
      <w:pPr>
        <w:pStyle w:val="29"/>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w:t>
      </w:r>
      <w:r>
        <w:rPr>
          <w:rFonts w:hint="eastAsia" w:ascii="仿宋" w:hAnsi="仿宋" w:eastAsia="仿宋" w:cs="仿宋"/>
          <w:color w:val="auto"/>
          <w:sz w:val="24"/>
          <w:szCs w:val="24"/>
          <w:lang w:eastAsia="zh-CN"/>
        </w:rPr>
        <w:t>单位</w:t>
      </w:r>
      <w:r>
        <w:rPr>
          <w:rFonts w:hint="eastAsia" w:ascii="仿宋" w:hAnsi="仿宋" w:eastAsia="仿宋" w:cs="仿宋"/>
          <w:color w:val="auto"/>
          <w:sz w:val="24"/>
          <w:szCs w:val="24"/>
        </w:rPr>
        <w:t>对上述声明内容的真实性负责。如有虚假，将依法承担相应责任。</w:t>
      </w:r>
    </w:p>
    <w:p>
      <w:pPr>
        <w:pStyle w:val="29"/>
        <w:rPr>
          <w:rFonts w:hint="eastAsia" w:ascii="仿宋" w:hAnsi="仿宋" w:eastAsia="仿宋" w:cs="仿宋"/>
          <w:color w:val="auto"/>
          <w:sz w:val="24"/>
          <w:szCs w:val="24"/>
        </w:rPr>
      </w:pPr>
    </w:p>
    <w:p>
      <w:pPr>
        <w:pStyle w:val="29"/>
        <w:rPr>
          <w:rFonts w:hint="eastAsia" w:ascii="仿宋" w:hAnsi="仿宋" w:eastAsia="仿宋" w:cs="仿宋"/>
          <w:color w:val="auto"/>
          <w:sz w:val="24"/>
          <w:szCs w:val="24"/>
        </w:rPr>
      </w:pPr>
    </w:p>
    <w:p>
      <w:pPr>
        <w:pStyle w:val="29"/>
        <w:rPr>
          <w:rFonts w:hint="eastAsia" w:ascii="仿宋" w:hAnsi="仿宋" w:eastAsia="仿宋" w:cs="仿宋"/>
          <w:color w:val="auto"/>
          <w:sz w:val="24"/>
          <w:szCs w:val="24"/>
        </w:rPr>
      </w:pPr>
    </w:p>
    <w:p>
      <w:pPr>
        <w:pStyle w:val="29"/>
        <w:ind w:firstLine="3840" w:firstLineChars="1600"/>
        <w:rPr>
          <w:rFonts w:hint="eastAsia" w:ascii="仿宋" w:hAnsi="仿宋" w:eastAsia="仿宋" w:cs="仿宋"/>
          <w:color w:val="auto"/>
          <w:sz w:val="24"/>
          <w:szCs w:val="24"/>
          <w:lang w:eastAsia="zh-CN"/>
        </w:rPr>
      </w:pPr>
    </w:p>
    <w:p>
      <w:pPr>
        <w:pStyle w:val="29"/>
        <w:ind w:firstLine="3840" w:firstLineChars="1600"/>
        <w:rPr>
          <w:rFonts w:hint="eastAsia" w:ascii="仿宋" w:hAnsi="仿宋" w:eastAsia="仿宋" w:cs="仿宋"/>
          <w:color w:val="auto"/>
          <w:sz w:val="24"/>
          <w:szCs w:val="24"/>
          <w:lang w:eastAsia="zh-CN"/>
        </w:rPr>
      </w:pPr>
    </w:p>
    <w:p>
      <w:pPr>
        <w:pStyle w:val="29"/>
        <w:ind w:firstLine="3840" w:firstLineChars="16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单位</w:t>
      </w:r>
      <w:r>
        <w:rPr>
          <w:rFonts w:hint="eastAsia" w:ascii="仿宋" w:hAnsi="仿宋" w:eastAsia="仿宋" w:cs="仿宋"/>
          <w:color w:val="auto"/>
          <w:sz w:val="24"/>
          <w:szCs w:val="24"/>
        </w:rPr>
        <w:t>名称（盖章）：</w:t>
      </w:r>
    </w:p>
    <w:p>
      <w:pPr>
        <w:pStyle w:val="29"/>
        <w:rPr>
          <w:rFonts w:hint="eastAsia" w:ascii="仿宋" w:hAnsi="仿宋" w:eastAsia="仿宋" w:cs="仿宋"/>
          <w:color w:val="auto"/>
          <w:sz w:val="24"/>
          <w:szCs w:val="24"/>
        </w:rPr>
      </w:pPr>
    </w:p>
    <w:p>
      <w:pPr>
        <w:pStyle w:val="29"/>
        <w:ind w:firstLine="4200" w:firstLineChars="1750"/>
        <w:rPr>
          <w:rFonts w:hint="eastAsia" w:ascii="仿宋" w:hAnsi="仿宋" w:eastAsia="仿宋" w:cs="仿宋"/>
          <w:color w:val="auto"/>
          <w:sz w:val="28"/>
          <w:szCs w:val="28"/>
        </w:rPr>
      </w:pPr>
      <w:r>
        <w:rPr>
          <w:rFonts w:hint="eastAsia" w:ascii="仿宋" w:hAnsi="仿宋" w:eastAsia="仿宋" w:cs="仿宋"/>
          <w:color w:val="auto"/>
          <w:sz w:val="24"/>
          <w:szCs w:val="24"/>
        </w:rPr>
        <w:t>日 期：</w:t>
      </w:r>
    </w:p>
    <w:p>
      <w:pPr>
        <w:pStyle w:val="5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sectPr>
          <w:pgSz w:w="11906" w:h="16838"/>
          <w:pgMar w:top="1440" w:right="1418" w:bottom="1259" w:left="1418" w:header="851" w:footer="992" w:gutter="0"/>
          <w:pgNumType w:fmt="decimal"/>
          <w:cols w:space="720" w:num="1"/>
          <w:titlePg/>
          <w:docGrid w:linePitch="312" w:charSpace="0"/>
        </w:sectPr>
      </w:pPr>
    </w:p>
    <w:p>
      <w:pPr>
        <w:pStyle w:val="3"/>
        <w:pageBreakBefore w:val="0"/>
        <w:widowControl w:val="0"/>
        <w:numPr>
          <w:ilvl w:val="0"/>
          <w:numId w:val="0"/>
        </w:numPr>
        <w:kinsoku/>
        <w:wordWrap/>
        <w:overflowPunct/>
        <w:topLinePunct w:val="0"/>
        <w:bidi w:val="0"/>
        <w:snapToGrid/>
        <w:spacing w:before="120" w:after="120" w:line="192" w:lineRule="auto"/>
        <w:ind w:leftChars="0"/>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b/>
          <w:color w:val="auto"/>
          <w:kern w:val="0"/>
          <w:sz w:val="28"/>
          <w:szCs w:val="28"/>
          <w:lang w:val="en-US" w:eastAsia="zh-CN"/>
        </w:rPr>
        <w:t>14、联合体协议书（本项目不接受联合体）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4"/>
          <w:lang w:val="en-US" w:eastAsia="zh-CN"/>
        </w:rPr>
      </w:pPr>
    </w:p>
    <w:p>
      <w:pPr>
        <w:pStyle w:val="55"/>
        <w:keepNext w:val="0"/>
        <w:keepLines w:val="0"/>
        <w:pageBreakBefore w:val="0"/>
        <w:widowControl w:val="0"/>
        <w:kinsoku/>
        <w:wordWrap/>
        <w:overflowPunct/>
        <w:topLinePunct w:val="0"/>
        <w:autoSpaceDE/>
        <w:autoSpaceDN/>
        <w:bidi w:val="0"/>
        <w:adjustRightInd/>
        <w:snapToGrid/>
        <w:spacing w:line="240" w:lineRule="auto"/>
        <w:ind w:left="0" w:leftChars="0" w:firstLine="5823" w:firstLineChars="2900"/>
        <w:textAlignment w:val="auto"/>
        <w:sectPr>
          <w:pgSz w:w="11906" w:h="16838"/>
          <w:pgMar w:top="1440" w:right="1418" w:bottom="1259" w:left="1418" w:header="851" w:footer="992" w:gutter="0"/>
          <w:pgNumType w:fmt="decimal"/>
          <w:cols w:space="720" w:num="1"/>
          <w:titlePg/>
          <w:docGrid w:linePitch="312" w:charSpace="0"/>
        </w:sectPr>
      </w:pPr>
    </w:p>
    <w:p>
      <w:pPr>
        <w:snapToGrid w:val="0"/>
        <w:jc w:val="center"/>
        <w:outlineLvl w:val="0"/>
        <w:rPr>
          <w:rFonts w:hint="eastAsia" w:ascii="仿宋" w:hAnsi="仿宋" w:eastAsia="仿宋" w:cs="仿宋"/>
          <w:b/>
          <w:sz w:val="32"/>
        </w:rPr>
      </w:pPr>
      <w:r>
        <w:rPr>
          <w:rFonts w:hint="eastAsia" w:ascii="仿宋" w:hAnsi="仿宋" w:eastAsia="仿宋" w:cs="仿宋"/>
          <w:b/>
          <w:sz w:val="32"/>
          <w:lang w:val="en-US" w:eastAsia="zh-CN"/>
        </w:rPr>
        <w:t>15、</w:t>
      </w:r>
      <w:r>
        <w:rPr>
          <w:rFonts w:hint="eastAsia" w:ascii="仿宋" w:hAnsi="仿宋" w:eastAsia="仿宋" w:cs="仿宋"/>
          <w:b/>
          <w:sz w:val="32"/>
        </w:rPr>
        <w:t>实施方案</w:t>
      </w:r>
    </w:p>
    <w:p>
      <w:pPr>
        <w:rPr>
          <w:rFonts w:hint="eastAsia" w:ascii="仿宋" w:hAnsi="仿宋" w:eastAsia="仿宋" w:cs="仿宋"/>
          <w:b/>
          <w:sz w:val="32"/>
        </w:rPr>
      </w:pPr>
      <w:r>
        <w:rPr>
          <w:rFonts w:hint="eastAsia" w:ascii="仿宋" w:hAnsi="仿宋" w:eastAsia="仿宋" w:cs="仿宋"/>
          <w:b/>
          <w:sz w:val="32"/>
        </w:rPr>
        <w:br w:type="page"/>
      </w:r>
    </w:p>
    <w:p>
      <w:pPr>
        <w:snapToGrid w:val="0"/>
        <w:spacing w:line="360" w:lineRule="auto"/>
        <w:jc w:val="center"/>
        <w:outlineLvl w:val="0"/>
        <w:rPr>
          <w:rFonts w:ascii="仿宋" w:hAnsi="仿宋" w:eastAsia="仿宋" w:cs="仿宋"/>
          <w:b/>
          <w:sz w:val="32"/>
        </w:rPr>
        <w:sectPr>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b/>
          <w:sz w:val="32"/>
          <w:lang w:val="en-US" w:eastAsia="zh-CN"/>
        </w:rPr>
        <w:t>16、</w:t>
      </w:r>
      <w:r>
        <w:rPr>
          <w:rFonts w:hint="eastAsia" w:ascii="仿宋" w:hAnsi="仿宋" w:eastAsia="仿宋" w:cs="仿宋"/>
          <w:b/>
          <w:sz w:val="32"/>
        </w:rPr>
        <w:t>其他供应商认为需提供的材料</w:t>
      </w:r>
    </w:p>
    <w:p>
      <w:pPr>
        <w:pStyle w:val="3"/>
        <w:pageBreakBefore/>
        <w:tabs>
          <w:tab w:val="left" w:pos="5580"/>
        </w:tabs>
        <w:spacing w:before="0" w:after="0" w:line="22" w:lineRule="atLeast"/>
        <w:rPr>
          <w:rFonts w:ascii="仿宋" w:hAnsi="仿宋" w:eastAsia="仿宋" w:cs="仿宋"/>
          <w:sz w:val="28"/>
          <w:szCs w:val="28"/>
        </w:rPr>
      </w:pPr>
      <w:bookmarkStart w:id="300" w:name="_Toc495679423"/>
      <w:bookmarkStart w:id="301" w:name="_Toc27676"/>
      <w:r>
        <w:rPr>
          <w:rFonts w:hint="eastAsia" w:ascii="仿宋" w:hAnsi="仿宋" w:eastAsia="仿宋" w:cs="仿宋"/>
          <w:sz w:val="28"/>
          <w:szCs w:val="28"/>
        </w:rPr>
        <w:t>附件</w:t>
      </w:r>
      <w:r>
        <w:rPr>
          <w:rFonts w:hint="eastAsia" w:ascii="仿宋" w:hAnsi="仿宋" w:eastAsia="仿宋" w:cs="仿宋"/>
          <w:sz w:val="28"/>
          <w:szCs w:val="28"/>
          <w:lang w:val="en-US" w:eastAsia="zh-CN"/>
        </w:rPr>
        <w:t xml:space="preserve">13 </w:t>
      </w:r>
      <w:r>
        <w:rPr>
          <w:rFonts w:hint="eastAsia" w:ascii="仿宋" w:hAnsi="仿宋" w:eastAsia="仿宋" w:cs="仿宋"/>
          <w:sz w:val="28"/>
          <w:szCs w:val="28"/>
        </w:rPr>
        <w:t>最后磋商报价表（二次报价）</w:t>
      </w:r>
      <w:bookmarkEnd w:id="300"/>
      <w:bookmarkEnd w:id="301"/>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jc w:val="center"/>
        <w:outlineLvl w:val="0"/>
        <w:rPr>
          <w:rFonts w:ascii="仿宋" w:hAnsi="仿宋" w:eastAsia="仿宋" w:cs="仿宋"/>
          <w:b/>
          <w:sz w:val="40"/>
          <w:szCs w:val="24"/>
        </w:rPr>
      </w:pPr>
      <w:bookmarkStart w:id="302" w:name="_Toc19705"/>
      <w:r>
        <w:rPr>
          <w:rFonts w:hint="eastAsia" w:ascii="仿宋" w:hAnsi="仿宋" w:eastAsia="仿宋" w:cs="仿宋"/>
          <w:b/>
          <w:sz w:val="44"/>
          <w:szCs w:val="28"/>
        </w:rPr>
        <w:t>最后磋商报价表（二次报价）</w:t>
      </w:r>
      <w:bookmarkEnd w:id="302"/>
    </w:p>
    <w:p>
      <w:pPr>
        <w:spacing w:line="360" w:lineRule="exact"/>
        <w:ind w:left="1080" w:hanging="1080" w:hangingChars="450"/>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计算机财务共享中心</w:t>
      </w:r>
    </w:p>
    <w:p>
      <w:pPr>
        <w:spacing w:line="360" w:lineRule="exact"/>
        <w:rPr>
          <w:rFonts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eastAsia="zh-CN"/>
        </w:rPr>
        <w:t>HNHS-2024-019</w:t>
      </w:r>
      <w:r>
        <w:rPr>
          <w:rFonts w:hint="eastAsia" w:ascii="仿宋" w:hAnsi="仿宋" w:eastAsia="仿宋" w:cs="仿宋"/>
          <w:sz w:val="24"/>
          <w:szCs w:val="24"/>
        </w:rPr>
        <w:t xml:space="preserve">            </w:t>
      </w:r>
    </w:p>
    <w:tbl>
      <w:tblPr>
        <w:tblStyle w:val="56"/>
        <w:tblW w:w="9244" w:type="dxa"/>
        <w:jc w:val="center"/>
        <w:tblLayout w:type="fixed"/>
        <w:tblCellMar>
          <w:top w:w="0" w:type="dxa"/>
          <w:left w:w="30" w:type="dxa"/>
          <w:bottom w:w="0" w:type="dxa"/>
          <w:right w:w="30" w:type="dxa"/>
        </w:tblCellMar>
      </w:tblPr>
      <w:tblGrid>
        <w:gridCol w:w="804"/>
        <w:gridCol w:w="3110"/>
        <w:gridCol w:w="5330"/>
      </w:tblGrid>
      <w:tr>
        <w:tblPrEx>
          <w:tblCellMar>
            <w:top w:w="0" w:type="dxa"/>
            <w:left w:w="30" w:type="dxa"/>
            <w:bottom w:w="0" w:type="dxa"/>
            <w:right w:w="30" w:type="dxa"/>
          </w:tblCellMar>
        </w:tblPrEx>
        <w:trPr>
          <w:trHeight w:val="977"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sz w:val="24"/>
                <w:szCs w:val="24"/>
              </w:rPr>
            </w:pPr>
            <w:r>
              <w:rPr>
                <w:rFonts w:hint="eastAsia" w:ascii="仿宋" w:hAnsi="仿宋" w:eastAsia="仿宋" w:cs="仿宋"/>
                <w:b/>
                <w:sz w:val="24"/>
                <w:szCs w:val="24"/>
              </w:rPr>
              <w:t>序号</w:t>
            </w:r>
          </w:p>
        </w:tc>
        <w:tc>
          <w:tcPr>
            <w:tcW w:w="3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sz w:val="24"/>
                <w:szCs w:val="24"/>
              </w:rPr>
            </w:pPr>
            <w:r>
              <w:rPr>
                <w:rFonts w:hint="eastAsia" w:ascii="仿宋" w:hAnsi="仿宋" w:eastAsia="仿宋" w:cs="仿宋"/>
                <w:b/>
                <w:sz w:val="24"/>
                <w:szCs w:val="24"/>
              </w:rPr>
              <w:t>报价单位名称</w:t>
            </w:r>
          </w:p>
        </w:tc>
        <w:tc>
          <w:tcPr>
            <w:tcW w:w="53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sz w:val="24"/>
                <w:szCs w:val="24"/>
              </w:rPr>
            </w:pPr>
          </w:p>
        </w:tc>
      </w:tr>
      <w:tr>
        <w:tblPrEx>
          <w:tblCellMar>
            <w:top w:w="0" w:type="dxa"/>
            <w:left w:w="30" w:type="dxa"/>
            <w:bottom w:w="0" w:type="dxa"/>
            <w:right w:w="30" w:type="dxa"/>
          </w:tblCellMar>
        </w:tblPrEx>
        <w:trPr>
          <w:trHeight w:val="885" w:hRule="atLeas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w:t>
            </w:r>
          </w:p>
        </w:tc>
        <w:tc>
          <w:tcPr>
            <w:tcW w:w="31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投标单位代表签名／盖章</w:t>
            </w:r>
          </w:p>
          <w:p>
            <w:pPr>
              <w:jc w:val="center"/>
              <w:rPr>
                <w:rFonts w:ascii="仿宋" w:hAnsi="仿宋" w:eastAsia="仿宋" w:cs="仿宋"/>
                <w:b/>
                <w:sz w:val="24"/>
                <w:szCs w:val="24"/>
              </w:rPr>
            </w:pPr>
            <w:r>
              <w:rPr>
                <w:rFonts w:hint="eastAsia" w:ascii="仿宋" w:hAnsi="仿宋" w:eastAsia="仿宋" w:cs="仿宋"/>
                <w:b/>
                <w:sz w:val="24"/>
                <w:szCs w:val="24"/>
              </w:rPr>
              <w:t>（法人或委托人）</w:t>
            </w:r>
          </w:p>
        </w:tc>
        <w:tc>
          <w:tcPr>
            <w:tcW w:w="53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仿宋"/>
                <w:b/>
                <w:sz w:val="24"/>
                <w:szCs w:val="24"/>
              </w:rPr>
            </w:pPr>
          </w:p>
        </w:tc>
      </w:tr>
      <w:tr>
        <w:tblPrEx>
          <w:tblCellMar>
            <w:top w:w="0" w:type="dxa"/>
            <w:left w:w="30" w:type="dxa"/>
            <w:bottom w:w="0" w:type="dxa"/>
            <w:right w:w="30" w:type="dxa"/>
          </w:tblCellMar>
        </w:tblPrEx>
        <w:trPr>
          <w:trHeight w:val="953" w:hRule="atLeas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2</w:t>
            </w:r>
          </w:p>
        </w:tc>
        <w:tc>
          <w:tcPr>
            <w:tcW w:w="31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合同履行期限</w:t>
            </w:r>
          </w:p>
        </w:tc>
        <w:tc>
          <w:tcPr>
            <w:tcW w:w="53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仿宋"/>
                <w:b/>
                <w:sz w:val="24"/>
                <w:szCs w:val="24"/>
              </w:rPr>
            </w:pPr>
          </w:p>
        </w:tc>
      </w:tr>
      <w:tr>
        <w:tblPrEx>
          <w:tblCellMar>
            <w:top w:w="0" w:type="dxa"/>
            <w:left w:w="30" w:type="dxa"/>
            <w:bottom w:w="0" w:type="dxa"/>
            <w:right w:w="30" w:type="dxa"/>
          </w:tblCellMar>
        </w:tblPrEx>
        <w:trPr>
          <w:cantSplit/>
          <w:trHeight w:val="974" w:hRule="atLeast"/>
          <w:jc w:val="center"/>
        </w:trPr>
        <w:tc>
          <w:tcPr>
            <w:tcW w:w="3914"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hAnsi="仿宋" w:eastAsia="仿宋" w:cs="仿宋"/>
                <w:b/>
                <w:sz w:val="24"/>
                <w:szCs w:val="24"/>
              </w:rPr>
            </w:pPr>
            <w:r>
              <w:rPr>
                <w:rFonts w:hint="eastAsia" w:ascii="仿宋" w:hAnsi="仿宋" w:eastAsia="仿宋" w:cs="仿宋"/>
                <w:b/>
                <w:sz w:val="24"/>
                <w:szCs w:val="24"/>
              </w:rPr>
              <w:t>磋商报价总价</w:t>
            </w:r>
          </w:p>
        </w:tc>
        <w:tc>
          <w:tcPr>
            <w:tcW w:w="5330" w:type="dxa"/>
            <w:tcBorders>
              <w:top w:val="single" w:color="auto" w:sz="6" w:space="0"/>
              <w:left w:val="single" w:color="auto" w:sz="6" w:space="0"/>
              <w:bottom w:val="single" w:color="auto" w:sz="6" w:space="0"/>
              <w:right w:val="single" w:color="auto" w:sz="6" w:space="0"/>
            </w:tcBorders>
          </w:tcPr>
          <w:p>
            <w:pPr>
              <w:rPr>
                <w:rFonts w:ascii="仿宋" w:hAnsi="仿宋" w:eastAsia="仿宋" w:cs="仿宋"/>
                <w:b/>
                <w:sz w:val="24"/>
                <w:szCs w:val="24"/>
              </w:rPr>
            </w:pPr>
            <w:r>
              <w:rPr>
                <w:rFonts w:hint="eastAsia" w:ascii="仿宋" w:hAnsi="仿宋" w:eastAsia="仿宋" w:cs="仿宋"/>
                <w:b/>
                <w:sz w:val="24"/>
                <w:szCs w:val="24"/>
              </w:rPr>
              <w:t xml:space="preserve">（小写）： </w:t>
            </w:r>
          </w:p>
        </w:tc>
      </w:tr>
      <w:tr>
        <w:tblPrEx>
          <w:tblCellMar>
            <w:top w:w="0" w:type="dxa"/>
            <w:left w:w="30" w:type="dxa"/>
            <w:bottom w:w="0" w:type="dxa"/>
            <w:right w:w="30" w:type="dxa"/>
          </w:tblCellMar>
        </w:tblPrEx>
        <w:trPr>
          <w:cantSplit/>
          <w:trHeight w:val="985" w:hRule="atLeast"/>
          <w:jc w:val="center"/>
        </w:trPr>
        <w:tc>
          <w:tcPr>
            <w:tcW w:w="3914" w:type="dxa"/>
            <w:gridSpan w:val="2"/>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sz w:val="24"/>
                <w:szCs w:val="24"/>
              </w:rPr>
            </w:pPr>
          </w:p>
        </w:tc>
        <w:tc>
          <w:tcPr>
            <w:tcW w:w="5330" w:type="dxa"/>
            <w:tcBorders>
              <w:top w:val="single" w:color="auto" w:sz="6" w:space="0"/>
              <w:left w:val="single" w:color="auto" w:sz="6" w:space="0"/>
              <w:bottom w:val="single" w:color="auto" w:sz="6" w:space="0"/>
              <w:right w:val="single" w:color="auto" w:sz="6" w:space="0"/>
            </w:tcBorders>
          </w:tcPr>
          <w:p>
            <w:pPr>
              <w:rPr>
                <w:rFonts w:ascii="仿宋" w:hAnsi="仿宋" w:eastAsia="仿宋" w:cs="仿宋"/>
                <w:b/>
                <w:sz w:val="24"/>
                <w:szCs w:val="24"/>
              </w:rPr>
            </w:pPr>
            <w:r>
              <w:rPr>
                <w:rFonts w:hint="eastAsia" w:ascii="仿宋" w:hAnsi="仿宋" w:eastAsia="仿宋" w:cs="仿宋"/>
                <w:b/>
                <w:sz w:val="24"/>
                <w:szCs w:val="24"/>
              </w:rPr>
              <w:t xml:space="preserve">（大写）：                     </w:t>
            </w:r>
          </w:p>
        </w:tc>
      </w:tr>
    </w:tbl>
    <w:p>
      <w:pPr>
        <w:rPr>
          <w:rFonts w:ascii="仿宋" w:hAnsi="仿宋" w:eastAsia="仿宋" w:cs="仿宋"/>
          <w:b/>
          <w:sz w:val="24"/>
          <w:szCs w:val="24"/>
        </w:rPr>
      </w:pPr>
    </w:p>
    <w:p>
      <w:pPr>
        <w:widowControl/>
        <w:autoSpaceDE w:val="0"/>
        <w:autoSpaceDN w:val="0"/>
        <w:spacing w:line="360" w:lineRule="auto"/>
        <w:jc w:val="left"/>
        <w:textAlignment w:val="bottom"/>
        <w:rPr>
          <w:rFonts w:ascii="仿宋" w:hAnsi="仿宋" w:eastAsia="仿宋" w:cs="仿宋"/>
          <w:sz w:val="24"/>
          <w:szCs w:val="24"/>
        </w:rPr>
      </w:pPr>
      <w:r>
        <w:rPr>
          <w:rFonts w:hint="eastAsia" w:ascii="仿宋" w:hAnsi="仿宋" w:eastAsia="仿宋" w:cs="仿宋"/>
          <w:sz w:val="24"/>
          <w:szCs w:val="24"/>
        </w:rPr>
        <w:t>注:1、磋商报价应包括磋商文件所规定的采购范围的全部内容；</w:t>
      </w:r>
    </w:p>
    <w:p>
      <w:pPr>
        <w:widowControl/>
        <w:autoSpaceDE w:val="0"/>
        <w:autoSpaceDN w:val="0"/>
        <w:spacing w:line="360" w:lineRule="auto"/>
        <w:ind w:firstLine="360" w:firstLineChars="150"/>
        <w:jc w:val="left"/>
        <w:textAlignment w:val="bottom"/>
        <w:rPr>
          <w:rFonts w:ascii="仿宋" w:hAnsi="仿宋" w:eastAsia="仿宋" w:cs="仿宋"/>
          <w:sz w:val="24"/>
          <w:szCs w:val="24"/>
        </w:rPr>
      </w:pPr>
      <w:r>
        <w:rPr>
          <w:rFonts w:hint="eastAsia" w:ascii="仿宋" w:hAnsi="仿宋" w:eastAsia="仿宋" w:cs="仿宋"/>
          <w:sz w:val="24"/>
          <w:szCs w:val="24"/>
        </w:rPr>
        <w:t>2、磋商小组发现供应商的报价明显低于其他磋商报价，或者其磋商报价可能低于其成本的，应当要求该供应商作出书面说明并提供相应的证明材料。供应商不能合理说明或者不能提供相应证明材料的，由磋商小组认定该供应商以低于成本报价竞标，其投标作废标处理。</w:t>
      </w:r>
    </w:p>
    <w:p>
      <w:pPr>
        <w:spacing w:line="360" w:lineRule="auto"/>
        <w:rPr>
          <w:rFonts w:ascii="仿宋" w:hAnsi="仿宋" w:eastAsia="仿宋" w:cs="仿宋"/>
          <w:b/>
          <w:sz w:val="24"/>
          <w:szCs w:val="24"/>
        </w:rPr>
      </w:pPr>
      <w:r>
        <w:rPr>
          <w:rFonts w:hint="eastAsia" w:ascii="仿宋" w:hAnsi="仿宋" w:eastAsia="仿宋" w:cs="仿宋"/>
          <w:b/>
          <w:sz w:val="24"/>
          <w:szCs w:val="24"/>
        </w:rPr>
        <w:t xml:space="preserve">   3、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pPr>
        <w:pStyle w:val="29"/>
        <w:tabs>
          <w:tab w:val="left" w:pos="5580"/>
        </w:tabs>
        <w:spacing w:line="360" w:lineRule="auto"/>
        <w:rPr>
          <w:rFonts w:ascii="仿宋" w:hAnsi="仿宋" w:eastAsia="仿宋" w:cs="仿宋"/>
          <w:sz w:val="24"/>
          <w:szCs w:val="24"/>
          <w:u w:val="single"/>
        </w:rPr>
      </w:pPr>
      <w:r>
        <w:rPr>
          <w:rFonts w:hint="eastAsia" w:ascii="仿宋" w:hAnsi="仿宋" w:eastAsia="仿宋" w:cs="仿宋"/>
          <w:sz w:val="24"/>
          <w:szCs w:val="24"/>
        </w:rPr>
        <w:t>供应商名称（盖章）：</w:t>
      </w:r>
      <w:r>
        <w:rPr>
          <w:rFonts w:hint="eastAsia" w:ascii="仿宋" w:hAnsi="仿宋" w:eastAsia="仿宋" w:cs="仿宋"/>
          <w:sz w:val="24"/>
          <w:szCs w:val="24"/>
          <w:u w:val="single"/>
        </w:rPr>
        <w:t xml:space="preserve">                        </w:t>
      </w:r>
    </w:p>
    <w:p>
      <w:pPr>
        <w:pStyle w:val="29"/>
        <w:tabs>
          <w:tab w:val="left" w:pos="5580"/>
        </w:tabs>
        <w:spacing w:line="360" w:lineRule="auto"/>
        <w:rPr>
          <w:rFonts w:ascii="仿宋" w:hAnsi="仿宋" w:eastAsia="仿宋" w:cs="仿宋"/>
          <w:sz w:val="24"/>
          <w:szCs w:val="24"/>
          <w:u w:val="single"/>
        </w:rPr>
      </w:pPr>
      <w:r>
        <w:rPr>
          <w:rFonts w:hint="eastAsia" w:ascii="仿宋" w:hAnsi="仿宋" w:eastAsia="仿宋" w:cs="仿宋"/>
          <w:sz w:val="24"/>
          <w:szCs w:val="24"/>
        </w:rPr>
        <w:t>供应商授权代表(签字):</w:t>
      </w:r>
      <w:r>
        <w:rPr>
          <w:rFonts w:hint="eastAsia" w:ascii="仿宋" w:hAnsi="仿宋" w:eastAsia="仿宋" w:cs="仿宋"/>
          <w:sz w:val="24"/>
          <w:szCs w:val="24"/>
          <w:u w:val="single"/>
        </w:rPr>
        <w:tab/>
      </w:r>
    </w:p>
    <w:p>
      <w:pPr>
        <w:pStyle w:val="29"/>
        <w:tabs>
          <w:tab w:val="left" w:pos="5580"/>
        </w:tabs>
        <w:spacing w:line="360" w:lineRule="auto"/>
        <w:rPr>
          <w:rFonts w:hint="eastAsia"/>
        </w:rPr>
      </w:pPr>
      <w:r>
        <w:rPr>
          <w:rFonts w:hint="eastAsia" w:ascii="仿宋" w:hAnsi="仿宋" w:eastAsia="仿宋" w:cs="仿宋"/>
          <w:sz w:val="24"/>
          <w:szCs w:val="24"/>
        </w:rPr>
        <w:t xml:space="preserve">日期：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   日</w:t>
      </w:r>
    </w:p>
    <w:sectPr>
      <w:footerReference r:id="rId12" w:type="first"/>
      <w:headerReference r:id="rId10" w:type="default"/>
      <w:footerReference r:id="rId11" w:type="default"/>
      <w:pgSz w:w="11906" w:h="16838"/>
      <w:pgMar w:top="1440" w:right="1418" w:bottom="1259"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彩云">
    <w:altName w:val="微软雅黑"/>
    <w:panose1 w:val="02010800040101010101"/>
    <w:charset w:val="86"/>
    <w:family w:val="auto"/>
    <w:pitch w:val="default"/>
    <w:sig w:usb0="00000000" w:usb1="0000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Futura Bk">
    <w:altName w:val="Corbe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00000" w:csb1="00000000"/>
  </w:font>
  <w:font w:name="Arial,BoldItalic">
    <w:altName w:val="Arial"/>
    <w:panose1 w:val="00000000000000000000"/>
    <w:charset w:val="00"/>
    <w:family w:val="auto"/>
    <w:pitch w:val="default"/>
    <w:sig w:usb0="00000000" w:usb1="00000000" w:usb2="00000000" w:usb3="00000000" w:csb0="00000001" w:csb1="00000000"/>
  </w:font>
  <w:font w:name="New Century Schlbk">
    <w:altName w:val="Courier New"/>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隶书_GB2312">
    <w:altName w:val="Times New Roman"/>
    <w:panose1 w:val="00000000000000000000"/>
    <w:charset w:val="00"/>
    <w:family w:val="auto"/>
    <w:pitch w:val="default"/>
    <w:sig w:usb0="00000000" w:usb1="00000000" w:usb2="00000000" w:usb3="00000000" w:csb0="00040001" w:csb1="00000000"/>
  </w:font>
  <w:font w:name="汉仪细等线简">
    <w:altName w:val="宋体"/>
    <w:panose1 w:val="02010609000101010101"/>
    <w:charset w:val="86"/>
    <w:family w:val="auto"/>
    <w:pitch w:val="default"/>
    <w:sig w:usb0="00000000" w:usb1="00000000" w:usb2="00000002"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CG Times">
    <w:altName w:val="Times New Roman"/>
    <w:panose1 w:val="00000000000000000000"/>
    <w:charset w:val="00"/>
    <w:family w:val="roman"/>
    <w:pitch w:val="default"/>
    <w:sig w:usb0="00000000" w:usb1="00000000" w:usb2="00000000" w:usb3="00000000" w:csb0="00000093" w:csb1="00000000"/>
  </w:font>
  <w:font w:name="Times New Roman;Symbol;Arial;婼">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Arial Black">
    <w:panose1 w:val="020B0A04020102020204"/>
    <w:charset w:val="00"/>
    <w:family w:val="swiss"/>
    <w:pitch w:val="default"/>
    <w:sig w:usb0="A00002AF" w:usb1="400078FB" w:usb2="00000000" w:usb3="00000000" w:csb0="6000009F" w:csb1="DFD70000"/>
  </w:font>
  <w:font w:name="Geneva">
    <w:altName w:val="Arial"/>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A44B" w:usb2="00000000" w:usb3="00000000" w:csb0="200001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default"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default"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sz w:val="21"/>
                              <w:szCs w:val="22"/>
                              <w:lang w:eastAsia="zh-CN"/>
                            </w:rPr>
                          </w:pPr>
                          <w:r>
                            <w:rPr>
                              <w:rFonts w:hint="eastAsia"/>
                              <w:sz w:val="21"/>
                              <w:szCs w:val="22"/>
                              <w:lang w:eastAsia="zh-CN"/>
                            </w:rPr>
                            <w:fldChar w:fldCharType="begin"/>
                          </w:r>
                          <w:r>
                            <w:rPr>
                              <w:rFonts w:hint="eastAsia"/>
                              <w:sz w:val="21"/>
                              <w:szCs w:val="22"/>
                              <w:lang w:eastAsia="zh-CN"/>
                            </w:rPr>
                            <w:instrText xml:space="preserve"> PAGE  \* MERGEFORMAT </w:instrText>
                          </w:r>
                          <w:r>
                            <w:rPr>
                              <w:rFonts w:hint="eastAsia"/>
                              <w:sz w:val="21"/>
                              <w:szCs w:val="22"/>
                              <w:lang w:eastAsia="zh-CN"/>
                            </w:rPr>
                            <w:fldChar w:fldCharType="separate"/>
                          </w:r>
                          <w:r>
                            <w:rPr>
                              <w:rFonts w:hint="eastAsia"/>
                              <w:sz w:val="21"/>
                              <w:szCs w:val="22"/>
                              <w:lang w:eastAsia="zh-CN"/>
                            </w:rPr>
                            <w:t>- 3 -</w:t>
                          </w:r>
                          <w:r>
                            <w:rPr>
                              <w:rFonts w:hint="eastAsia"/>
                              <w:sz w:val="21"/>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4"/>
                      <w:rPr>
                        <w:rFonts w:hint="eastAsia" w:eastAsia="宋体"/>
                        <w:sz w:val="21"/>
                        <w:szCs w:val="22"/>
                        <w:lang w:eastAsia="zh-CN"/>
                      </w:rPr>
                    </w:pPr>
                    <w:r>
                      <w:rPr>
                        <w:rFonts w:hint="eastAsia"/>
                        <w:sz w:val="21"/>
                        <w:szCs w:val="22"/>
                        <w:lang w:eastAsia="zh-CN"/>
                      </w:rPr>
                      <w:fldChar w:fldCharType="begin"/>
                    </w:r>
                    <w:r>
                      <w:rPr>
                        <w:rFonts w:hint="eastAsia"/>
                        <w:sz w:val="21"/>
                        <w:szCs w:val="22"/>
                        <w:lang w:eastAsia="zh-CN"/>
                      </w:rPr>
                      <w:instrText xml:space="preserve"> PAGE  \* MERGEFORMAT </w:instrText>
                    </w:r>
                    <w:r>
                      <w:rPr>
                        <w:rFonts w:hint="eastAsia"/>
                        <w:sz w:val="21"/>
                        <w:szCs w:val="22"/>
                        <w:lang w:eastAsia="zh-CN"/>
                      </w:rPr>
                      <w:fldChar w:fldCharType="separate"/>
                    </w:r>
                    <w:r>
                      <w:rPr>
                        <w:rFonts w:hint="eastAsia"/>
                        <w:sz w:val="21"/>
                        <w:szCs w:val="22"/>
                        <w:lang w:eastAsia="zh-CN"/>
                      </w:rPr>
                      <w:t>- 3 -</w:t>
                    </w:r>
                    <w:r>
                      <w:rPr>
                        <w:rFonts w:hint="eastAsia"/>
                        <w:sz w:val="21"/>
                        <w:szCs w:val="22"/>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sz w:val="21"/>
                              <w:szCs w:val="22"/>
                              <w:lang w:eastAsia="zh-CN"/>
                            </w:rPr>
                          </w:pPr>
                          <w:r>
                            <w:rPr>
                              <w:rFonts w:hint="eastAsia"/>
                              <w:sz w:val="21"/>
                              <w:szCs w:val="22"/>
                              <w:lang w:eastAsia="zh-CN"/>
                            </w:rPr>
                            <w:fldChar w:fldCharType="begin"/>
                          </w:r>
                          <w:r>
                            <w:rPr>
                              <w:rFonts w:hint="eastAsia"/>
                              <w:sz w:val="21"/>
                              <w:szCs w:val="22"/>
                              <w:lang w:eastAsia="zh-CN"/>
                            </w:rPr>
                            <w:instrText xml:space="preserve"> PAGE  \* MERGEFORMAT </w:instrText>
                          </w:r>
                          <w:r>
                            <w:rPr>
                              <w:rFonts w:hint="eastAsia"/>
                              <w:sz w:val="21"/>
                              <w:szCs w:val="22"/>
                              <w:lang w:eastAsia="zh-CN"/>
                            </w:rPr>
                            <w:fldChar w:fldCharType="separate"/>
                          </w:r>
                          <w:r>
                            <w:rPr>
                              <w:rFonts w:hint="eastAsia"/>
                              <w:sz w:val="21"/>
                              <w:szCs w:val="22"/>
                              <w:lang w:eastAsia="zh-CN"/>
                            </w:rPr>
                            <w:t>- 1 -</w:t>
                          </w:r>
                          <w:r>
                            <w:rPr>
                              <w:rFonts w:hint="eastAsia"/>
                              <w:sz w:val="21"/>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4"/>
                      <w:rPr>
                        <w:rFonts w:hint="eastAsia" w:eastAsia="宋体"/>
                        <w:sz w:val="21"/>
                        <w:szCs w:val="22"/>
                        <w:lang w:eastAsia="zh-CN"/>
                      </w:rPr>
                    </w:pPr>
                    <w:r>
                      <w:rPr>
                        <w:rFonts w:hint="eastAsia"/>
                        <w:sz w:val="21"/>
                        <w:szCs w:val="22"/>
                        <w:lang w:eastAsia="zh-CN"/>
                      </w:rPr>
                      <w:fldChar w:fldCharType="begin"/>
                    </w:r>
                    <w:r>
                      <w:rPr>
                        <w:rFonts w:hint="eastAsia"/>
                        <w:sz w:val="21"/>
                        <w:szCs w:val="22"/>
                        <w:lang w:eastAsia="zh-CN"/>
                      </w:rPr>
                      <w:instrText xml:space="preserve"> PAGE  \* MERGEFORMAT </w:instrText>
                    </w:r>
                    <w:r>
                      <w:rPr>
                        <w:rFonts w:hint="eastAsia"/>
                        <w:sz w:val="21"/>
                        <w:szCs w:val="22"/>
                        <w:lang w:eastAsia="zh-CN"/>
                      </w:rPr>
                      <w:fldChar w:fldCharType="separate"/>
                    </w:r>
                    <w:r>
                      <w:rPr>
                        <w:rFonts w:hint="eastAsia"/>
                        <w:sz w:val="21"/>
                        <w:szCs w:val="22"/>
                        <w:lang w:eastAsia="zh-CN"/>
                      </w:rPr>
                      <w:t>- 1 -</w:t>
                    </w:r>
                    <w:r>
                      <w:rPr>
                        <w:rFonts w:hint="eastAsia"/>
                        <w:sz w:val="21"/>
                        <w:szCs w:val="22"/>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sz w:val="21"/>
                              <w:szCs w:val="22"/>
                              <w:lang w:eastAsia="zh-CN"/>
                            </w:rPr>
                          </w:pPr>
                          <w:r>
                            <w:rPr>
                              <w:rFonts w:hint="eastAsia"/>
                              <w:sz w:val="21"/>
                              <w:szCs w:val="22"/>
                              <w:lang w:eastAsia="zh-CN"/>
                            </w:rPr>
                            <w:fldChar w:fldCharType="begin"/>
                          </w:r>
                          <w:r>
                            <w:rPr>
                              <w:rFonts w:hint="eastAsia"/>
                              <w:sz w:val="21"/>
                              <w:szCs w:val="22"/>
                              <w:lang w:eastAsia="zh-CN"/>
                            </w:rPr>
                            <w:instrText xml:space="preserve"> PAGE  \* MERGEFORMAT </w:instrText>
                          </w:r>
                          <w:r>
                            <w:rPr>
                              <w:rFonts w:hint="eastAsia"/>
                              <w:sz w:val="21"/>
                              <w:szCs w:val="22"/>
                              <w:lang w:eastAsia="zh-CN"/>
                            </w:rPr>
                            <w:fldChar w:fldCharType="separate"/>
                          </w:r>
                          <w:r>
                            <w:rPr>
                              <w:rFonts w:hint="eastAsia"/>
                              <w:sz w:val="21"/>
                              <w:szCs w:val="22"/>
                              <w:lang w:eastAsia="zh-CN"/>
                            </w:rPr>
                            <w:t>- 2 -</w:t>
                          </w:r>
                          <w:r>
                            <w:rPr>
                              <w:rFonts w:hint="eastAsia"/>
                              <w:sz w:val="21"/>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4"/>
                      <w:rPr>
                        <w:rFonts w:hint="eastAsia" w:eastAsia="宋体"/>
                        <w:sz w:val="21"/>
                        <w:szCs w:val="22"/>
                        <w:lang w:eastAsia="zh-CN"/>
                      </w:rPr>
                    </w:pPr>
                    <w:r>
                      <w:rPr>
                        <w:rFonts w:hint="eastAsia"/>
                        <w:sz w:val="21"/>
                        <w:szCs w:val="22"/>
                        <w:lang w:eastAsia="zh-CN"/>
                      </w:rPr>
                      <w:fldChar w:fldCharType="begin"/>
                    </w:r>
                    <w:r>
                      <w:rPr>
                        <w:rFonts w:hint="eastAsia"/>
                        <w:sz w:val="21"/>
                        <w:szCs w:val="22"/>
                        <w:lang w:eastAsia="zh-CN"/>
                      </w:rPr>
                      <w:instrText xml:space="preserve"> PAGE  \* MERGEFORMAT </w:instrText>
                    </w:r>
                    <w:r>
                      <w:rPr>
                        <w:rFonts w:hint="eastAsia"/>
                        <w:sz w:val="21"/>
                        <w:szCs w:val="22"/>
                        <w:lang w:eastAsia="zh-CN"/>
                      </w:rPr>
                      <w:fldChar w:fldCharType="separate"/>
                    </w:r>
                    <w:r>
                      <w:rPr>
                        <w:rFonts w:hint="eastAsia"/>
                        <w:sz w:val="21"/>
                        <w:szCs w:val="22"/>
                        <w:lang w:eastAsia="zh-CN"/>
                      </w:rPr>
                      <w:t>- 2 -</w:t>
                    </w:r>
                    <w:r>
                      <w:rPr>
                        <w:rFonts w:hint="eastAsia"/>
                        <w:sz w:val="21"/>
                        <w:szCs w:val="22"/>
                        <w:lang w:eastAsia="zh-CN"/>
                      </w:rPr>
                      <w:fldChar w:fldCharType="end"/>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- 84 -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- 85 -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sz w:val="21"/>
        <w:szCs w:val="21"/>
      </w:rPr>
    </w:pPr>
    <w:r>
      <w:rPr>
        <w:rFonts w:hint="eastAsia" w:ascii="宋体" w:hAnsi="宋体"/>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sz w:val="21"/>
        <w:szCs w:val="21"/>
      </w:rPr>
    </w:pPr>
    <w:r>
      <w:rPr>
        <w:rFonts w:hint="eastAsia" w:ascii="宋体" w:hAnsi="宋体"/>
        <w:b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E"/>
    <w:multiLevelType w:val="multilevel"/>
    <w:tmpl w:val="0000000E"/>
    <w:lvl w:ilvl="0" w:tentative="0">
      <w:start w:val="1"/>
      <w:numFmt w:val="decimal"/>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pStyle w:val="10"/>
      <w:lvlText w:val="%1.%2.%3.%4.%5.%6.%7.%8.%9."/>
      <w:lvlJc w:val="left"/>
      <w:pPr>
        <w:tabs>
          <w:tab w:val="left" w:pos="1559"/>
        </w:tabs>
        <w:ind w:left="1559" w:hanging="1559"/>
      </w:pPr>
      <w:rPr>
        <w:rFonts w:hint="eastAsia"/>
      </w:rPr>
    </w:lvl>
  </w:abstractNum>
  <w:abstractNum w:abstractNumId="2">
    <w:nsid w:val="00000011"/>
    <w:multiLevelType w:val="multilevel"/>
    <w:tmpl w:val="00000011"/>
    <w:lvl w:ilvl="0" w:tentative="0">
      <w:start w:val="1"/>
      <w:numFmt w:val="decimal"/>
      <w:pStyle w:val="9"/>
      <w:lvlText w:val="%1."/>
      <w:lvlJc w:val="left"/>
      <w:pPr>
        <w:tabs>
          <w:tab w:val="left" w:pos="420"/>
        </w:tabs>
        <w:ind w:left="420" w:hanging="420"/>
      </w:pPr>
      <w:rPr>
        <w:rFonts w:hint="eastAsia"/>
        <w:b w:val="0"/>
        <w:i w:val="0"/>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19BEDFD6"/>
    <w:multiLevelType w:val="singleLevel"/>
    <w:tmpl w:val="19BEDFD6"/>
    <w:lvl w:ilvl="0" w:tentative="0">
      <w:start w:val="1"/>
      <w:numFmt w:val="decimal"/>
      <w:lvlText w:val="%1."/>
      <w:lvlJc w:val="left"/>
      <w:pPr>
        <w:tabs>
          <w:tab w:val="left" w:pos="312"/>
        </w:tabs>
      </w:pPr>
    </w:lvl>
  </w:abstractNum>
  <w:abstractNum w:abstractNumId="4">
    <w:nsid w:val="1C7BE07C"/>
    <w:multiLevelType w:val="singleLevel"/>
    <w:tmpl w:val="1C7BE07C"/>
    <w:lvl w:ilvl="0" w:tentative="0">
      <w:start w:val="1"/>
      <w:numFmt w:val="chineseCounting"/>
      <w:suff w:val="nothing"/>
      <w:lvlText w:val="%1、"/>
      <w:lvlJc w:val="left"/>
      <w:rPr>
        <w:rFonts w:hint="eastAsia"/>
      </w:rPr>
    </w:lvl>
  </w:abstractNum>
  <w:abstractNum w:abstractNumId="5">
    <w:nsid w:val="4B5F92A7"/>
    <w:multiLevelType w:val="singleLevel"/>
    <w:tmpl w:val="4B5F92A7"/>
    <w:lvl w:ilvl="0" w:tentative="0">
      <w:start w:val="1"/>
      <w:numFmt w:val="chineseCounting"/>
      <w:suff w:val="space"/>
      <w:lvlText w:val="第%1章"/>
      <w:lvlJc w:val="left"/>
      <w:rPr>
        <w:rFonts w:hint="eastAsia"/>
      </w:rPr>
    </w:lvl>
  </w:abstractNum>
  <w:abstractNum w:abstractNumId="6">
    <w:nsid w:val="57905C2A"/>
    <w:multiLevelType w:val="singleLevel"/>
    <w:tmpl w:val="57905C2A"/>
    <w:lvl w:ilvl="0" w:tentative="0">
      <w:start w:val="1"/>
      <w:numFmt w:val="decimal"/>
      <w:lvlText w:val="%1)"/>
      <w:lvlJc w:val="left"/>
      <w:pPr>
        <w:tabs>
          <w:tab w:val="left" w:pos="425"/>
        </w:tabs>
        <w:ind w:left="425" w:hanging="425"/>
      </w:pPr>
      <w:rPr>
        <w:rFonts w:hint="default"/>
      </w:rPr>
    </w:lvl>
  </w:abstractNum>
  <w:abstractNum w:abstractNumId="7">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8">
    <w:nsid w:val="58DB2102"/>
    <w:multiLevelType w:val="singleLevel"/>
    <w:tmpl w:val="58DB2102"/>
    <w:lvl w:ilvl="0" w:tentative="0">
      <w:start w:val="1"/>
      <w:numFmt w:val="chineseCounting"/>
      <w:suff w:val="space"/>
      <w:lvlText w:val="第%1章"/>
      <w:lvlJc w:val="left"/>
    </w:lvl>
  </w:abstractNum>
  <w:abstractNum w:abstractNumId="9">
    <w:nsid w:val="58DB93AB"/>
    <w:multiLevelType w:val="singleLevel"/>
    <w:tmpl w:val="58DB93AB"/>
    <w:lvl w:ilvl="0" w:tentative="0">
      <w:start w:val="2"/>
      <w:numFmt w:val="decimal"/>
      <w:suff w:val="nothing"/>
      <w:lvlText w:val="%1、"/>
      <w:lvlJc w:val="left"/>
    </w:lvl>
  </w:abstractNum>
  <w:num w:numId="1">
    <w:abstractNumId w:val="2"/>
  </w:num>
  <w:num w:numId="2">
    <w:abstractNumId w:val="1"/>
  </w:num>
  <w:num w:numId="3">
    <w:abstractNumId w:val="5"/>
  </w:num>
  <w:num w:numId="4">
    <w:abstractNumId w:val="0"/>
  </w:num>
  <w:num w:numId="5">
    <w:abstractNumId w:val="8"/>
  </w:num>
  <w:num w:numId="6">
    <w:abstractNumId w:val="4"/>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YmRhNWY3Mjg3NzlhNGE0ZTJmZjY0ZDg3ZjRlOTkifQ=="/>
  </w:docVars>
  <w:rsids>
    <w:rsidRoot w:val="00E557EB"/>
    <w:rsid w:val="000104AB"/>
    <w:rsid w:val="00017335"/>
    <w:rsid w:val="00025A1E"/>
    <w:rsid w:val="00030535"/>
    <w:rsid w:val="000323C8"/>
    <w:rsid w:val="00032766"/>
    <w:rsid w:val="00035640"/>
    <w:rsid w:val="0004312B"/>
    <w:rsid w:val="00043B4E"/>
    <w:rsid w:val="00047E9E"/>
    <w:rsid w:val="000516AA"/>
    <w:rsid w:val="00052394"/>
    <w:rsid w:val="00053426"/>
    <w:rsid w:val="0005723F"/>
    <w:rsid w:val="00061C15"/>
    <w:rsid w:val="00067E70"/>
    <w:rsid w:val="000710C0"/>
    <w:rsid w:val="00071DAF"/>
    <w:rsid w:val="00073680"/>
    <w:rsid w:val="00077F6A"/>
    <w:rsid w:val="00083294"/>
    <w:rsid w:val="00085138"/>
    <w:rsid w:val="00087BD2"/>
    <w:rsid w:val="00087D77"/>
    <w:rsid w:val="000900E3"/>
    <w:rsid w:val="00093DA4"/>
    <w:rsid w:val="00095A93"/>
    <w:rsid w:val="00095AA1"/>
    <w:rsid w:val="0009734E"/>
    <w:rsid w:val="000974A7"/>
    <w:rsid w:val="000A01B4"/>
    <w:rsid w:val="000A1837"/>
    <w:rsid w:val="000A4719"/>
    <w:rsid w:val="000A5A4F"/>
    <w:rsid w:val="000A5A53"/>
    <w:rsid w:val="000A66A4"/>
    <w:rsid w:val="000A7487"/>
    <w:rsid w:val="000A7C60"/>
    <w:rsid w:val="000B0992"/>
    <w:rsid w:val="000B1A9A"/>
    <w:rsid w:val="000B4A1E"/>
    <w:rsid w:val="000B5A52"/>
    <w:rsid w:val="000B5E22"/>
    <w:rsid w:val="000C2682"/>
    <w:rsid w:val="000C34DB"/>
    <w:rsid w:val="000C422D"/>
    <w:rsid w:val="000C69C0"/>
    <w:rsid w:val="000C707D"/>
    <w:rsid w:val="000D1446"/>
    <w:rsid w:val="000D2C37"/>
    <w:rsid w:val="000D690F"/>
    <w:rsid w:val="000E2907"/>
    <w:rsid w:val="000E6DA3"/>
    <w:rsid w:val="000F7BB9"/>
    <w:rsid w:val="00104A46"/>
    <w:rsid w:val="0011025F"/>
    <w:rsid w:val="00110C7F"/>
    <w:rsid w:val="00111E84"/>
    <w:rsid w:val="00113493"/>
    <w:rsid w:val="00115D0C"/>
    <w:rsid w:val="0012309F"/>
    <w:rsid w:val="00123F49"/>
    <w:rsid w:val="00124309"/>
    <w:rsid w:val="001252A4"/>
    <w:rsid w:val="00125891"/>
    <w:rsid w:val="00134184"/>
    <w:rsid w:val="00135A8B"/>
    <w:rsid w:val="00135BB4"/>
    <w:rsid w:val="00136154"/>
    <w:rsid w:val="00136DD4"/>
    <w:rsid w:val="00141383"/>
    <w:rsid w:val="00141A67"/>
    <w:rsid w:val="0014257D"/>
    <w:rsid w:val="00142BD0"/>
    <w:rsid w:val="001443BD"/>
    <w:rsid w:val="00144A0A"/>
    <w:rsid w:val="001456EF"/>
    <w:rsid w:val="0014701D"/>
    <w:rsid w:val="00147D93"/>
    <w:rsid w:val="0015169D"/>
    <w:rsid w:val="00154207"/>
    <w:rsid w:val="0015495D"/>
    <w:rsid w:val="0015540F"/>
    <w:rsid w:val="0015687E"/>
    <w:rsid w:val="00160A66"/>
    <w:rsid w:val="001634E0"/>
    <w:rsid w:val="00165FFC"/>
    <w:rsid w:val="00172189"/>
    <w:rsid w:val="00172478"/>
    <w:rsid w:val="00174135"/>
    <w:rsid w:val="00176B7D"/>
    <w:rsid w:val="001771DB"/>
    <w:rsid w:val="00182580"/>
    <w:rsid w:val="0018274C"/>
    <w:rsid w:val="00183ACC"/>
    <w:rsid w:val="00186E23"/>
    <w:rsid w:val="0018754B"/>
    <w:rsid w:val="001918FB"/>
    <w:rsid w:val="00196FAA"/>
    <w:rsid w:val="001A4665"/>
    <w:rsid w:val="001A4DD9"/>
    <w:rsid w:val="001A63B2"/>
    <w:rsid w:val="001B2928"/>
    <w:rsid w:val="001B5603"/>
    <w:rsid w:val="001B6776"/>
    <w:rsid w:val="001C26E5"/>
    <w:rsid w:val="001C30DD"/>
    <w:rsid w:val="001C5714"/>
    <w:rsid w:val="001C60BB"/>
    <w:rsid w:val="001C70E5"/>
    <w:rsid w:val="001D0DE1"/>
    <w:rsid w:val="001D238E"/>
    <w:rsid w:val="001D54CB"/>
    <w:rsid w:val="001E4218"/>
    <w:rsid w:val="001E4A05"/>
    <w:rsid w:val="001E624A"/>
    <w:rsid w:val="002007DA"/>
    <w:rsid w:val="00201028"/>
    <w:rsid w:val="00206EC3"/>
    <w:rsid w:val="002072C8"/>
    <w:rsid w:val="002144EF"/>
    <w:rsid w:val="00215B44"/>
    <w:rsid w:val="002219E8"/>
    <w:rsid w:val="00224BD3"/>
    <w:rsid w:val="00225A6A"/>
    <w:rsid w:val="0022760C"/>
    <w:rsid w:val="00227DB0"/>
    <w:rsid w:val="00235A88"/>
    <w:rsid w:val="002378ED"/>
    <w:rsid w:val="002431C8"/>
    <w:rsid w:val="00243D67"/>
    <w:rsid w:val="0024687E"/>
    <w:rsid w:val="002472E6"/>
    <w:rsid w:val="00251D67"/>
    <w:rsid w:val="00255334"/>
    <w:rsid w:val="002622F6"/>
    <w:rsid w:val="00266164"/>
    <w:rsid w:val="00272FD9"/>
    <w:rsid w:val="00273A79"/>
    <w:rsid w:val="002833D8"/>
    <w:rsid w:val="002851BC"/>
    <w:rsid w:val="0028740F"/>
    <w:rsid w:val="002906F2"/>
    <w:rsid w:val="00291ED4"/>
    <w:rsid w:val="00293F99"/>
    <w:rsid w:val="0029439D"/>
    <w:rsid w:val="002A200B"/>
    <w:rsid w:val="002A2DCA"/>
    <w:rsid w:val="002A43EB"/>
    <w:rsid w:val="002A5988"/>
    <w:rsid w:val="002A635B"/>
    <w:rsid w:val="002A6961"/>
    <w:rsid w:val="002A697E"/>
    <w:rsid w:val="002B0E79"/>
    <w:rsid w:val="002B3897"/>
    <w:rsid w:val="002B4137"/>
    <w:rsid w:val="002B4AFE"/>
    <w:rsid w:val="002B6923"/>
    <w:rsid w:val="002B7F66"/>
    <w:rsid w:val="002C65EB"/>
    <w:rsid w:val="002C716C"/>
    <w:rsid w:val="002D4821"/>
    <w:rsid w:val="002D5A60"/>
    <w:rsid w:val="002D6E80"/>
    <w:rsid w:val="002E050D"/>
    <w:rsid w:val="002E1DD4"/>
    <w:rsid w:val="002E254E"/>
    <w:rsid w:val="002E613F"/>
    <w:rsid w:val="002E791F"/>
    <w:rsid w:val="002F0BD3"/>
    <w:rsid w:val="002F260D"/>
    <w:rsid w:val="002F3614"/>
    <w:rsid w:val="00302809"/>
    <w:rsid w:val="003109D9"/>
    <w:rsid w:val="0031138B"/>
    <w:rsid w:val="00313197"/>
    <w:rsid w:val="00322E51"/>
    <w:rsid w:val="00327FA2"/>
    <w:rsid w:val="0033009A"/>
    <w:rsid w:val="00330910"/>
    <w:rsid w:val="00335480"/>
    <w:rsid w:val="003406FA"/>
    <w:rsid w:val="00350C53"/>
    <w:rsid w:val="003521C9"/>
    <w:rsid w:val="003525DA"/>
    <w:rsid w:val="003740DA"/>
    <w:rsid w:val="0037696F"/>
    <w:rsid w:val="00382268"/>
    <w:rsid w:val="00384CFD"/>
    <w:rsid w:val="00385E02"/>
    <w:rsid w:val="003866D7"/>
    <w:rsid w:val="00390119"/>
    <w:rsid w:val="00390B0A"/>
    <w:rsid w:val="003944B2"/>
    <w:rsid w:val="00396CC8"/>
    <w:rsid w:val="00397CEE"/>
    <w:rsid w:val="003A0B36"/>
    <w:rsid w:val="003A7112"/>
    <w:rsid w:val="003B0492"/>
    <w:rsid w:val="003B554C"/>
    <w:rsid w:val="003B5588"/>
    <w:rsid w:val="003C0CDA"/>
    <w:rsid w:val="003C544A"/>
    <w:rsid w:val="003D3A1C"/>
    <w:rsid w:val="003D7E36"/>
    <w:rsid w:val="003E1EA2"/>
    <w:rsid w:val="003F0199"/>
    <w:rsid w:val="003F1222"/>
    <w:rsid w:val="003F19F8"/>
    <w:rsid w:val="003F1B41"/>
    <w:rsid w:val="003F2A00"/>
    <w:rsid w:val="003F366A"/>
    <w:rsid w:val="00400559"/>
    <w:rsid w:val="00400DCA"/>
    <w:rsid w:val="00401939"/>
    <w:rsid w:val="00401E52"/>
    <w:rsid w:val="004066B4"/>
    <w:rsid w:val="00406DB9"/>
    <w:rsid w:val="00410A31"/>
    <w:rsid w:val="00411BE7"/>
    <w:rsid w:val="0041520A"/>
    <w:rsid w:val="00416D5E"/>
    <w:rsid w:val="00421C79"/>
    <w:rsid w:val="0042305E"/>
    <w:rsid w:val="00424391"/>
    <w:rsid w:val="00425D4C"/>
    <w:rsid w:val="00450171"/>
    <w:rsid w:val="00452DF1"/>
    <w:rsid w:val="00456207"/>
    <w:rsid w:val="004562BD"/>
    <w:rsid w:val="004645BE"/>
    <w:rsid w:val="00465C3A"/>
    <w:rsid w:val="0047424A"/>
    <w:rsid w:val="00475FF1"/>
    <w:rsid w:val="00476CAF"/>
    <w:rsid w:val="004806C5"/>
    <w:rsid w:val="00481BEE"/>
    <w:rsid w:val="00483C1D"/>
    <w:rsid w:val="00490AF4"/>
    <w:rsid w:val="00492F89"/>
    <w:rsid w:val="004945E5"/>
    <w:rsid w:val="00494C87"/>
    <w:rsid w:val="00496D93"/>
    <w:rsid w:val="004A3250"/>
    <w:rsid w:val="004A63F4"/>
    <w:rsid w:val="004A7604"/>
    <w:rsid w:val="004B3624"/>
    <w:rsid w:val="004B4FFD"/>
    <w:rsid w:val="004B5C85"/>
    <w:rsid w:val="004B72F6"/>
    <w:rsid w:val="004C1808"/>
    <w:rsid w:val="004C219D"/>
    <w:rsid w:val="004C280C"/>
    <w:rsid w:val="004D0086"/>
    <w:rsid w:val="004D3C55"/>
    <w:rsid w:val="004E04BD"/>
    <w:rsid w:val="004E11B9"/>
    <w:rsid w:val="004E12FD"/>
    <w:rsid w:val="004E7623"/>
    <w:rsid w:val="004E7D11"/>
    <w:rsid w:val="004F0AA4"/>
    <w:rsid w:val="004F1270"/>
    <w:rsid w:val="004F1718"/>
    <w:rsid w:val="004F5AEC"/>
    <w:rsid w:val="004F73AE"/>
    <w:rsid w:val="00500546"/>
    <w:rsid w:val="0050475B"/>
    <w:rsid w:val="00511B18"/>
    <w:rsid w:val="00512C89"/>
    <w:rsid w:val="00516AE5"/>
    <w:rsid w:val="00522607"/>
    <w:rsid w:val="005274D5"/>
    <w:rsid w:val="005304ED"/>
    <w:rsid w:val="005369D9"/>
    <w:rsid w:val="005436F2"/>
    <w:rsid w:val="005444AA"/>
    <w:rsid w:val="00545B0A"/>
    <w:rsid w:val="00550CB4"/>
    <w:rsid w:val="005523BC"/>
    <w:rsid w:val="00555D82"/>
    <w:rsid w:val="00561626"/>
    <w:rsid w:val="0056195F"/>
    <w:rsid w:val="00564283"/>
    <w:rsid w:val="005671ED"/>
    <w:rsid w:val="005714C6"/>
    <w:rsid w:val="00584378"/>
    <w:rsid w:val="00586A9B"/>
    <w:rsid w:val="00587055"/>
    <w:rsid w:val="00592378"/>
    <w:rsid w:val="00593315"/>
    <w:rsid w:val="00597F4F"/>
    <w:rsid w:val="005A1408"/>
    <w:rsid w:val="005A4CCE"/>
    <w:rsid w:val="005A507A"/>
    <w:rsid w:val="005A67BB"/>
    <w:rsid w:val="005A7845"/>
    <w:rsid w:val="005C43EF"/>
    <w:rsid w:val="005D23B7"/>
    <w:rsid w:val="005D6537"/>
    <w:rsid w:val="005E235E"/>
    <w:rsid w:val="005E2AE6"/>
    <w:rsid w:val="005E4894"/>
    <w:rsid w:val="005F2441"/>
    <w:rsid w:val="005F5A6D"/>
    <w:rsid w:val="005F6DDB"/>
    <w:rsid w:val="006045CC"/>
    <w:rsid w:val="00612D1B"/>
    <w:rsid w:val="0061755F"/>
    <w:rsid w:val="00633C7D"/>
    <w:rsid w:val="006341B2"/>
    <w:rsid w:val="00637AD6"/>
    <w:rsid w:val="00640D3D"/>
    <w:rsid w:val="0064636C"/>
    <w:rsid w:val="00651771"/>
    <w:rsid w:val="00654F40"/>
    <w:rsid w:val="00655132"/>
    <w:rsid w:val="00657996"/>
    <w:rsid w:val="006606FD"/>
    <w:rsid w:val="00661130"/>
    <w:rsid w:val="006620EC"/>
    <w:rsid w:val="00662B29"/>
    <w:rsid w:val="00664D8D"/>
    <w:rsid w:val="0068260D"/>
    <w:rsid w:val="0068382C"/>
    <w:rsid w:val="00691A6A"/>
    <w:rsid w:val="00697860"/>
    <w:rsid w:val="006A72F2"/>
    <w:rsid w:val="006B0CF2"/>
    <w:rsid w:val="006B1079"/>
    <w:rsid w:val="006B510F"/>
    <w:rsid w:val="006B728D"/>
    <w:rsid w:val="006C30C3"/>
    <w:rsid w:val="006D0814"/>
    <w:rsid w:val="006D2C0E"/>
    <w:rsid w:val="006D3109"/>
    <w:rsid w:val="006E224E"/>
    <w:rsid w:val="006E2B04"/>
    <w:rsid w:val="006E3B61"/>
    <w:rsid w:val="006F1104"/>
    <w:rsid w:val="006F1E0A"/>
    <w:rsid w:val="006F3E3A"/>
    <w:rsid w:val="006F48B6"/>
    <w:rsid w:val="006F4E5E"/>
    <w:rsid w:val="006F531D"/>
    <w:rsid w:val="00700DEA"/>
    <w:rsid w:val="00705E70"/>
    <w:rsid w:val="00706B0D"/>
    <w:rsid w:val="007130C8"/>
    <w:rsid w:val="00716DA1"/>
    <w:rsid w:val="007205BC"/>
    <w:rsid w:val="0072598C"/>
    <w:rsid w:val="00725E5F"/>
    <w:rsid w:val="00735613"/>
    <w:rsid w:val="0074073C"/>
    <w:rsid w:val="0074239A"/>
    <w:rsid w:val="007449E7"/>
    <w:rsid w:val="007524D8"/>
    <w:rsid w:val="00752A11"/>
    <w:rsid w:val="00753556"/>
    <w:rsid w:val="00753FF8"/>
    <w:rsid w:val="00754E3A"/>
    <w:rsid w:val="007551DB"/>
    <w:rsid w:val="00755CBB"/>
    <w:rsid w:val="007566AE"/>
    <w:rsid w:val="007602CF"/>
    <w:rsid w:val="00761A53"/>
    <w:rsid w:val="007642DF"/>
    <w:rsid w:val="00765EDD"/>
    <w:rsid w:val="00771A8B"/>
    <w:rsid w:val="007757A3"/>
    <w:rsid w:val="00783EEF"/>
    <w:rsid w:val="00786843"/>
    <w:rsid w:val="0078797C"/>
    <w:rsid w:val="00792A9E"/>
    <w:rsid w:val="00795405"/>
    <w:rsid w:val="00795B5B"/>
    <w:rsid w:val="007A23C1"/>
    <w:rsid w:val="007A2EC6"/>
    <w:rsid w:val="007B0978"/>
    <w:rsid w:val="007B55C3"/>
    <w:rsid w:val="007B58D6"/>
    <w:rsid w:val="007E7B13"/>
    <w:rsid w:val="007E7E27"/>
    <w:rsid w:val="007F03B9"/>
    <w:rsid w:val="007F642D"/>
    <w:rsid w:val="00801BDF"/>
    <w:rsid w:val="00801EFC"/>
    <w:rsid w:val="00802C9F"/>
    <w:rsid w:val="00804EC0"/>
    <w:rsid w:val="00805C5F"/>
    <w:rsid w:val="00813BD9"/>
    <w:rsid w:val="0081542D"/>
    <w:rsid w:val="00821C8A"/>
    <w:rsid w:val="00824543"/>
    <w:rsid w:val="008248A7"/>
    <w:rsid w:val="00827B82"/>
    <w:rsid w:val="00832144"/>
    <w:rsid w:val="0083560F"/>
    <w:rsid w:val="00835C7C"/>
    <w:rsid w:val="00836136"/>
    <w:rsid w:val="008369C0"/>
    <w:rsid w:val="00836F0B"/>
    <w:rsid w:val="008409ED"/>
    <w:rsid w:val="00845B80"/>
    <w:rsid w:val="00850F5F"/>
    <w:rsid w:val="00851350"/>
    <w:rsid w:val="008642B5"/>
    <w:rsid w:val="00865D8D"/>
    <w:rsid w:val="00875B15"/>
    <w:rsid w:val="00884C51"/>
    <w:rsid w:val="00884F67"/>
    <w:rsid w:val="008868DB"/>
    <w:rsid w:val="00887D32"/>
    <w:rsid w:val="00895D6D"/>
    <w:rsid w:val="008964F7"/>
    <w:rsid w:val="008A1198"/>
    <w:rsid w:val="008A3C18"/>
    <w:rsid w:val="008A4570"/>
    <w:rsid w:val="008A4B70"/>
    <w:rsid w:val="008A713C"/>
    <w:rsid w:val="008A7FB8"/>
    <w:rsid w:val="008B2E5D"/>
    <w:rsid w:val="008B4AE9"/>
    <w:rsid w:val="008B6955"/>
    <w:rsid w:val="008C1926"/>
    <w:rsid w:val="008C3472"/>
    <w:rsid w:val="008C37D6"/>
    <w:rsid w:val="008C7B1A"/>
    <w:rsid w:val="008D198F"/>
    <w:rsid w:val="008D7FBB"/>
    <w:rsid w:val="008E4772"/>
    <w:rsid w:val="008E4C6E"/>
    <w:rsid w:val="008E6946"/>
    <w:rsid w:val="008E7D83"/>
    <w:rsid w:val="008F7CE4"/>
    <w:rsid w:val="009001DC"/>
    <w:rsid w:val="009017C4"/>
    <w:rsid w:val="00906DFA"/>
    <w:rsid w:val="009127C5"/>
    <w:rsid w:val="00914127"/>
    <w:rsid w:val="0092688F"/>
    <w:rsid w:val="0092714F"/>
    <w:rsid w:val="009276C4"/>
    <w:rsid w:val="0093197F"/>
    <w:rsid w:val="00932A30"/>
    <w:rsid w:val="009340B9"/>
    <w:rsid w:val="00936D0B"/>
    <w:rsid w:val="0094123F"/>
    <w:rsid w:val="0094343A"/>
    <w:rsid w:val="00950BE6"/>
    <w:rsid w:val="00951B67"/>
    <w:rsid w:val="00951DCC"/>
    <w:rsid w:val="009603E4"/>
    <w:rsid w:val="009610F1"/>
    <w:rsid w:val="009713DF"/>
    <w:rsid w:val="0097299E"/>
    <w:rsid w:val="009751E9"/>
    <w:rsid w:val="00975F62"/>
    <w:rsid w:val="00980DB9"/>
    <w:rsid w:val="009836CE"/>
    <w:rsid w:val="00983DB7"/>
    <w:rsid w:val="00992385"/>
    <w:rsid w:val="0099510C"/>
    <w:rsid w:val="00996FB9"/>
    <w:rsid w:val="009A15E7"/>
    <w:rsid w:val="009A3AEB"/>
    <w:rsid w:val="009B78C7"/>
    <w:rsid w:val="009B79F5"/>
    <w:rsid w:val="009B7D93"/>
    <w:rsid w:val="009C15CF"/>
    <w:rsid w:val="009D106A"/>
    <w:rsid w:val="009D1B53"/>
    <w:rsid w:val="009D3D9D"/>
    <w:rsid w:val="009D411A"/>
    <w:rsid w:val="009D66E2"/>
    <w:rsid w:val="009D7193"/>
    <w:rsid w:val="009E09CE"/>
    <w:rsid w:val="009E64FE"/>
    <w:rsid w:val="009E7C69"/>
    <w:rsid w:val="00A017DE"/>
    <w:rsid w:val="00A03735"/>
    <w:rsid w:val="00A0585D"/>
    <w:rsid w:val="00A1162A"/>
    <w:rsid w:val="00A13093"/>
    <w:rsid w:val="00A14FA4"/>
    <w:rsid w:val="00A15011"/>
    <w:rsid w:val="00A1662B"/>
    <w:rsid w:val="00A24FA5"/>
    <w:rsid w:val="00A262F1"/>
    <w:rsid w:val="00A300A7"/>
    <w:rsid w:val="00A30817"/>
    <w:rsid w:val="00A31470"/>
    <w:rsid w:val="00A32386"/>
    <w:rsid w:val="00A36B6A"/>
    <w:rsid w:val="00A36D05"/>
    <w:rsid w:val="00A4112B"/>
    <w:rsid w:val="00A44623"/>
    <w:rsid w:val="00A44FF0"/>
    <w:rsid w:val="00A455B7"/>
    <w:rsid w:val="00A456A1"/>
    <w:rsid w:val="00A51EDA"/>
    <w:rsid w:val="00A62EE8"/>
    <w:rsid w:val="00A6551E"/>
    <w:rsid w:val="00A72D37"/>
    <w:rsid w:val="00A76ED7"/>
    <w:rsid w:val="00A82625"/>
    <w:rsid w:val="00A831C4"/>
    <w:rsid w:val="00A834E0"/>
    <w:rsid w:val="00A83571"/>
    <w:rsid w:val="00A85821"/>
    <w:rsid w:val="00A85A5D"/>
    <w:rsid w:val="00A86855"/>
    <w:rsid w:val="00A90219"/>
    <w:rsid w:val="00A90423"/>
    <w:rsid w:val="00A92D15"/>
    <w:rsid w:val="00A9793D"/>
    <w:rsid w:val="00AA1F12"/>
    <w:rsid w:val="00AA5844"/>
    <w:rsid w:val="00AA69A0"/>
    <w:rsid w:val="00AB18C6"/>
    <w:rsid w:val="00AB59DB"/>
    <w:rsid w:val="00AB611B"/>
    <w:rsid w:val="00AB6914"/>
    <w:rsid w:val="00AB6EE5"/>
    <w:rsid w:val="00AB701E"/>
    <w:rsid w:val="00AC0A42"/>
    <w:rsid w:val="00AC1DCF"/>
    <w:rsid w:val="00AC4A1B"/>
    <w:rsid w:val="00AC4ABD"/>
    <w:rsid w:val="00AC5417"/>
    <w:rsid w:val="00AC544B"/>
    <w:rsid w:val="00AC6954"/>
    <w:rsid w:val="00AD5549"/>
    <w:rsid w:val="00AF43A1"/>
    <w:rsid w:val="00AF4ACF"/>
    <w:rsid w:val="00AF7108"/>
    <w:rsid w:val="00B04A8F"/>
    <w:rsid w:val="00B079CD"/>
    <w:rsid w:val="00B22A31"/>
    <w:rsid w:val="00B32FEA"/>
    <w:rsid w:val="00B3452A"/>
    <w:rsid w:val="00B35582"/>
    <w:rsid w:val="00B36AD9"/>
    <w:rsid w:val="00B40657"/>
    <w:rsid w:val="00B40D29"/>
    <w:rsid w:val="00B45CAC"/>
    <w:rsid w:val="00B50D16"/>
    <w:rsid w:val="00B51110"/>
    <w:rsid w:val="00B533E3"/>
    <w:rsid w:val="00B660C6"/>
    <w:rsid w:val="00B66DE0"/>
    <w:rsid w:val="00B6728F"/>
    <w:rsid w:val="00B67991"/>
    <w:rsid w:val="00B73300"/>
    <w:rsid w:val="00B75D86"/>
    <w:rsid w:val="00B85FD8"/>
    <w:rsid w:val="00B864DB"/>
    <w:rsid w:val="00B9281F"/>
    <w:rsid w:val="00B9725C"/>
    <w:rsid w:val="00B97C84"/>
    <w:rsid w:val="00BB4015"/>
    <w:rsid w:val="00BB5872"/>
    <w:rsid w:val="00BB5D87"/>
    <w:rsid w:val="00BB5F6C"/>
    <w:rsid w:val="00BB638D"/>
    <w:rsid w:val="00BB71ED"/>
    <w:rsid w:val="00BC167B"/>
    <w:rsid w:val="00BC17E8"/>
    <w:rsid w:val="00BC19C6"/>
    <w:rsid w:val="00BC4131"/>
    <w:rsid w:val="00BD3A4A"/>
    <w:rsid w:val="00BD4EA5"/>
    <w:rsid w:val="00BE085C"/>
    <w:rsid w:val="00BE2B55"/>
    <w:rsid w:val="00BE4F43"/>
    <w:rsid w:val="00BE754F"/>
    <w:rsid w:val="00BE7857"/>
    <w:rsid w:val="00BE7CE4"/>
    <w:rsid w:val="00BF4A18"/>
    <w:rsid w:val="00BF4A28"/>
    <w:rsid w:val="00BF7D36"/>
    <w:rsid w:val="00C029C6"/>
    <w:rsid w:val="00C03013"/>
    <w:rsid w:val="00C03152"/>
    <w:rsid w:val="00C043AC"/>
    <w:rsid w:val="00C046E9"/>
    <w:rsid w:val="00C047D5"/>
    <w:rsid w:val="00C05CD2"/>
    <w:rsid w:val="00C1190B"/>
    <w:rsid w:val="00C132A2"/>
    <w:rsid w:val="00C133B5"/>
    <w:rsid w:val="00C17008"/>
    <w:rsid w:val="00C17FE7"/>
    <w:rsid w:val="00C26660"/>
    <w:rsid w:val="00C27860"/>
    <w:rsid w:val="00C403FC"/>
    <w:rsid w:val="00C453C3"/>
    <w:rsid w:val="00C5537B"/>
    <w:rsid w:val="00C5741F"/>
    <w:rsid w:val="00C70438"/>
    <w:rsid w:val="00C716C5"/>
    <w:rsid w:val="00C7504D"/>
    <w:rsid w:val="00C84BE7"/>
    <w:rsid w:val="00C854E8"/>
    <w:rsid w:val="00C85D48"/>
    <w:rsid w:val="00C8622E"/>
    <w:rsid w:val="00C94A76"/>
    <w:rsid w:val="00C94B5C"/>
    <w:rsid w:val="00C973E8"/>
    <w:rsid w:val="00CA28B9"/>
    <w:rsid w:val="00CA4024"/>
    <w:rsid w:val="00CB27FA"/>
    <w:rsid w:val="00CB446D"/>
    <w:rsid w:val="00CB5384"/>
    <w:rsid w:val="00CC37A5"/>
    <w:rsid w:val="00CC3DB5"/>
    <w:rsid w:val="00CC6E6F"/>
    <w:rsid w:val="00CD3F21"/>
    <w:rsid w:val="00CD4642"/>
    <w:rsid w:val="00CD528B"/>
    <w:rsid w:val="00CD7690"/>
    <w:rsid w:val="00CD796D"/>
    <w:rsid w:val="00CE1948"/>
    <w:rsid w:val="00CE7F5C"/>
    <w:rsid w:val="00CF17C4"/>
    <w:rsid w:val="00CF68C3"/>
    <w:rsid w:val="00CF728C"/>
    <w:rsid w:val="00D05833"/>
    <w:rsid w:val="00D06957"/>
    <w:rsid w:val="00D15080"/>
    <w:rsid w:val="00D16223"/>
    <w:rsid w:val="00D21FC7"/>
    <w:rsid w:val="00D23EE4"/>
    <w:rsid w:val="00D27205"/>
    <w:rsid w:val="00D27800"/>
    <w:rsid w:val="00D35C38"/>
    <w:rsid w:val="00D42E5B"/>
    <w:rsid w:val="00D445AB"/>
    <w:rsid w:val="00D47E43"/>
    <w:rsid w:val="00D5279B"/>
    <w:rsid w:val="00D53C50"/>
    <w:rsid w:val="00D65FA2"/>
    <w:rsid w:val="00D67FE2"/>
    <w:rsid w:val="00D73C8B"/>
    <w:rsid w:val="00D8100F"/>
    <w:rsid w:val="00D81F77"/>
    <w:rsid w:val="00D830BC"/>
    <w:rsid w:val="00D85A6C"/>
    <w:rsid w:val="00D90161"/>
    <w:rsid w:val="00D9594B"/>
    <w:rsid w:val="00D95C1B"/>
    <w:rsid w:val="00DA1D74"/>
    <w:rsid w:val="00DB134D"/>
    <w:rsid w:val="00DB4E5E"/>
    <w:rsid w:val="00DB7A56"/>
    <w:rsid w:val="00DC295F"/>
    <w:rsid w:val="00DC46DB"/>
    <w:rsid w:val="00DC5907"/>
    <w:rsid w:val="00DD05F6"/>
    <w:rsid w:val="00DD1EB4"/>
    <w:rsid w:val="00DD7BF2"/>
    <w:rsid w:val="00DE3BFA"/>
    <w:rsid w:val="00DE3DFB"/>
    <w:rsid w:val="00DE5D04"/>
    <w:rsid w:val="00DE5EE7"/>
    <w:rsid w:val="00DE5FC7"/>
    <w:rsid w:val="00DE71DA"/>
    <w:rsid w:val="00DF1D52"/>
    <w:rsid w:val="00DF515F"/>
    <w:rsid w:val="00DF6A1F"/>
    <w:rsid w:val="00E002ED"/>
    <w:rsid w:val="00E0041C"/>
    <w:rsid w:val="00E039AA"/>
    <w:rsid w:val="00E06A92"/>
    <w:rsid w:val="00E12B27"/>
    <w:rsid w:val="00E1406F"/>
    <w:rsid w:val="00E14637"/>
    <w:rsid w:val="00E14978"/>
    <w:rsid w:val="00E15557"/>
    <w:rsid w:val="00E178BF"/>
    <w:rsid w:val="00E27492"/>
    <w:rsid w:val="00E3036D"/>
    <w:rsid w:val="00E3470C"/>
    <w:rsid w:val="00E34B97"/>
    <w:rsid w:val="00E366C6"/>
    <w:rsid w:val="00E43ED0"/>
    <w:rsid w:val="00E467E6"/>
    <w:rsid w:val="00E51344"/>
    <w:rsid w:val="00E51E24"/>
    <w:rsid w:val="00E53DBA"/>
    <w:rsid w:val="00E557EB"/>
    <w:rsid w:val="00E55FA2"/>
    <w:rsid w:val="00E67E91"/>
    <w:rsid w:val="00E80370"/>
    <w:rsid w:val="00E86C4F"/>
    <w:rsid w:val="00E877F9"/>
    <w:rsid w:val="00E87F0C"/>
    <w:rsid w:val="00E93582"/>
    <w:rsid w:val="00E9745F"/>
    <w:rsid w:val="00E97CDD"/>
    <w:rsid w:val="00EA6AEB"/>
    <w:rsid w:val="00EB48DD"/>
    <w:rsid w:val="00EC5083"/>
    <w:rsid w:val="00EC5456"/>
    <w:rsid w:val="00EC5564"/>
    <w:rsid w:val="00ED741C"/>
    <w:rsid w:val="00EE0647"/>
    <w:rsid w:val="00EE1BC0"/>
    <w:rsid w:val="00EE7530"/>
    <w:rsid w:val="00EF4F93"/>
    <w:rsid w:val="00F0201B"/>
    <w:rsid w:val="00F02A27"/>
    <w:rsid w:val="00F261DF"/>
    <w:rsid w:val="00F27632"/>
    <w:rsid w:val="00F27636"/>
    <w:rsid w:val="00F27BC3"/>
    <w:rsid w:val="00F33155"/>
    <w:rsid w:val="00F34C07"/>
    <w:rsid w:val="00F40538"/>
    <w:rsid w:val="00F53365"/>
    <w:rsid w:val="00F550B1"/>
    <w:rsid w:val="00F5675F"/>
    <w:rsid w:val="00F62E44"/>
    <w:rsid w:val="00F658ED"/>
    <w:rsid w:val="00F66B15"/>
    <w:rsid w:val="00F67010"/>
    <w:rsid w:val="00F74C23"/>
    <w:rsid w:val="00F76EBA"/>
    <w:rsid w:val="00F80333"/>
    <w:rsid w:val="00F81BD3"/>
    <w:rsid w:val="00F821B3"/>
    <w:rsid w:val="00F862DE"/>
    <w:rsid w:val="00F90E14"/>
    <w:rsid w:val="00F93F1E"/>
    <w:rsid w:val="00FA1F24"/>
    <w:rsid w:val="00FA4D07"/>
    <w:rsid w:val="00FA5498"/>
    <w:rsid w:val="00FA6118"/>
    <w:rsid w:val="00FA6CCB"/>
    <w:rsid w:val="00FB11B4"/>
    <w:rsid w:val="00FB2B64"/>
    <w:rsid w:val="00FD27D5"/>
    <w:rsid w:val="00FD2861"/>
    <w:rsid w:val="00FD35F2"/>
    <w:rsid w:val="00FE20FD"/>
    <w:rsid w:val="00FE269A"/>
    <w:rsid w:val="00FE6039"/>
    <w:rsid w:val="00FF5DF3"/>
    <w:rsid w:val="013637D1"/>
    <w:rsid w:val="0157093F"/>
    <w:rsid w:val="015B6D94"/>
    <w:rsid w:val="01BF54BF"/>
    <w:rsid w:val="01CB0F78"/>
    <w:rsid w:val="02002D4C"/>
    <w:rsid w:val="02102781"/>
    <w:rsid w:val="026E0D49"/>
    <w:rsid w:val="0273635F"/>
    <w:rsid w:val="02D7069C"/>
    <w:rsid w:val="032B409F"/>
    <w:rsid w:val="032C73AC"/>
    <w:rsid w:val="03373831"/>
    <w:rsid w:val="036E7521"/>
    <w:rsid w:val="03B43C6E"/>
    <w:rsid w:val="03FB1497"/>
    <w:rsid w:val="04243417"/>
    <w:rsid w:val="045E5477"/>
    <w:rsid w:val="04846602"/>
    <w:rsid w:val="049B394B"/>
    <w:rsid w:val="04BB7F4A"/>
    <w:rsid w:val="04BF588C"/>
    <w:rsid w:val="04D1736D"/>
    <w:rsid w:val="04E470A0"/>
    <w:rsid w:val="050326F7"/>
    <w:rsid w:val="051C3A80"/>
    <w:rsid w:val="05502988"/>
    <w:rsid w:val="05665839"/>
    <w:rsid w:val="05A14F91"/>
    <w:rsid w:val="0601528C"/>
    <w:rsid w:val="060519C4"/>
    <w:rsid w:val="061340E1"/>
    <w:rsid w:val="063D0656"/>
    <w:rsid w:val="067B3776"/>
    <w:rsid w:val="069E18E6"/>
    <w:rsid w:val="06E02CE6"/>
    <w:rsid w:val="06F2019A"/>
    <w:rsid w:val="071C5217"/>
    <w:rsid w:val="072E7140"/>
    <w:rsid w:val="0732424B"/>
    <w:rsid w:val="07351E35"/>
    <w:rsid w:val="075B4DCB"/>
    <w:rsid w:val="07B91282"/>
    <w:rsid w:val="07BB67DE"/>
    <w:rsid w:val="07C5140B"/>
    <w:rsid w:val="07D63618"/>
    <w:rsid w:val="07D94EB6"/>
    <w:rsid w:val="084F5179"/>
    <w:rsid w:val="08591B53"/>
    <w:rsid w:val="0889520C"/>
    <w:rsid w:val="08DD09D6"/>
    <w:rsid w:val="08FF094D"/>
    <w:rsid w:val="09574568"/>
    <w:rsid w:val="098B21E0"/>
    <w:rsid w:val="0992531D"/>
    <w:rsid w:val="099F7A3A"/>
    <w:rsid w:val="09B554AF"/>
    <w:rsid w:val="09BA71B9"/>
    <w:rsid w:val="0A053D41"/>
    <w:rsid w:val="0A1A0C0E"/>
    <w:rsid w:val="0A222B45"/>
    <w:rsid w:val="0A7E4D3D"/>
    <w:rsid w:val="0AA950C9"/>
    <w:rsid w:val="0AAE262A"/>
    <w:rsid w:val="0ADF59AE"/>
    <w:rsid w:val="0AF616E7"/>
    <w:rsid w:val="0B1C1818"/>
    <w:rsid w:val="0B213CDB"/>
    <w:rsid w:val="0B386398"/>
    <w:rsid w:val="0B5A4560"/>
    <w:rsid w:val="0B5D7BAD"/>
    <w:rsid w:val="0B7A69B0"/>
    <w:rsid w:val="0B9335CE"/>
    <w:rsid w:val="0B950884"/>
    <w:rsid w:val="0BA070B6"/>
    <w:rsid w:val="0BAB0918"/>
    <w:rsid w:val="0BBD6CDF"/>
    <w:rsid w:val="0D2B526D"/>
    <w:rsid w:val="0D453B89"/>
    <w:rsid w:val="0D4E75B4"/>
    <w:rsid w:val="0D556D8D"/>
    <w:rsid w:val="0D562B05"/>
    <w:rsid w:val="0D6414AB"/>
    <w:rsid w:val="0D6B2F98"/>
    <w:rsid w:val="0D8366EA"/>
    <w:rsid w:val="0DCB34F3"/>
    <w:rsid w:val="0DED16BC"/>
    <w:rsid w:val="0E0B1B42"/>
    <w:rsid w:val="0E294466"/>
    <w:rsid w:val="0E3F3599"/>
    <w:rsid w:val="0E4E6F42"/>
    <w:rsid w:val="0E5922EE"/>
    <w:rsid w:val="0E63372C"/>
    <w:rsid w:val="0E9B1118"/>
    <w:rsid w:val="0ECE4DF7"/>
    <w:rsid w:val="0EFD17BB"/>
    <w:rsid w:val="0F130D79"/>
    <w:rsid w:val="0F13342A"/>
    <w:rsid w:val="0F615EBD"/>
    <w:rsid w:val="0F8751FD"/>
    <w:rsid w:val="0FB00ACE"/>
    <w:rsid w:val="0FFB6BA3"/>
    <w:rsid w:val="105B0B5E"/>
    <w:rsid w:val="10613C9B"/>
    <w:rsid w:val="107E2F32"/>
    <w:rsid w:val="10883615"/>
    <w:rsid w:val="11235F88"/>
    <w:rsid w:val="11817D39"/>
    <w:rsid w:val="11AB1672"/>
    <w:rsid w:val="11CC409B"/>
    <w:rsid w:val="11D5049D"/>
    <w:rsid w:val="11EC3A38"/>
    <w:rsid w:val="11F86147"/>
    <w:rsid w:val="120F0085"/>
    <w:rsid w:val="121C431D"/>
    <w:rsid w:val="12217B86"/>
    <w:rsid w:val="1239107F"/>
    <w:rsid w:val="124E024F"/>
    <w:rsid w:val="12661A3D"/>
    <w:rsid w:val="126E269F"/>
    <w:rsid w:val="128C3AEF"/>
    <w:rsid w:val="1292638E"/>
    <w:rsid w:val="12C57516"/>
    <w:rsid w:val="12FC5526"/>
    <w:rsid w:val="13274D28"/>
    <w:rsid w:val="133D454B"/>
    <w:rsid w:val="1361772B"/>
    <w:rsid w:val="138A2E34"/>
    <w:rsid w:val="13BD35E6"/>
    <w:rsid w:val="13C765E5"/>
    <w:rsid w:val="13CA1B57"/>
    <w:rsid w:val="13E11796"/>
    <w:rsid w:val="13E44965"/>
    <w:rsid w:val="140361D4"/>
    <w:rsid w:val="141D612B"/>
    <w:rsid w:val="146D70B2"/>
    <w:rsid w:val="14705A97"/>
    <w:rsid w:val="14B163DC"/>
    <w:rsid w:val="14B46A8F"/>
    <w:rsid w:val="14FE5F5C"/>
    <w:rsid w:val="151632A6"/>
    <w:rsid w:val="1548189E"/>
    <w:rsid w:val="154A2AFE"/>
    <w:rsid w:val="15526728"/>
    <w:rsid w:val="15581B10"/>
    <w:rsid w:val="1571672E"/>
    <w:rsid w:val="157955E3"/>
    <w:rsid w:val="15D0679A"/>
    <w:rsid w:val="15D85F15"/>
    <w:rsid w:val="15E564F0"/>
    <w:rsid w:val="16201F02"/>
    <w:rsid w:val="165A5414"/>
    <w:rsid w:val="16AB5178"/>
    <w:rsid w:val="170A6E3A"/>
    <w:rsid w:val="174F484D"/>
    <w:rsid w:val="17567711"/>
    <w:rsid w:val="17756BED"/>
    <w:rsid w:val="17887D5F"/>
    <w:rsid w:val="179A675C"/>
    <w:rsid w:val="17B53E1D"/>
    <w:rsid w:val="180706D5"/>
    <w:rsid w:val="185540E5"/>
    <w:rsid w:val="185F31B6"/>
    <w:rsid w:val="186A66A8"/>
    <w:rsid w:val="18885C56"/>
    <w:rsid w:val="18C71E92"/>
    <w:rsid w:val="18CE20EA"/>
    <w:rsid w:val="18F210CF"/>
    <w:rsid w:val="19410B0E"/>
    <w:rsid w:val="1954439D"/>
    <w:rsid w:val="19EB5EE1"/>
    <w:rsid w:val="19FB3CBE"/>
    <w:rsid w:val="1A044015"/>
    <w:rsid w:val="1A052B34"/>
    <w:rsid w:val="1A1A45BB"/>
    <w:rsid w:val="1A304E0A"/>
    <w:rsid w:val="1A332204"/>
    <w:rsid w:val="1A544563"/>
    <w:rsid w:val="1A583E34"/>
    <w:rsid w:val="1A752FB2"/>
    <w:rsid w:val="1AC26ABF"/>
    <w:rsid w:val="1B542D7A"/>
    <w:rsid w:val="1BAC70FA"/>
    <w:rsid w:val="1C516318"/>
    <w:rsid w:val="1C896DC4"/>
    <w:rsid w:val="1C9D4B3C"/>
    <w:rsid w:val="1CAE64BA"/>
    <w:rsid w:val="1D644DCB"/>
    <w:rsid w:val="1DB21FDA"/>
    <w:rsid w:val="1DC75A85"/>
    <w:rsid w:val="1DC85359"/>
    <w:rsid w:val="1DFC73D8"/>
    <w:rsid w:val="1DFD22DA"/>
    <w:rsid w:val="1E0565AE"/>
    <w:rsid w:val="1E22432A"/>
    <w:rsid w:val="1E2A22F5"/>
    <w:rsid w:val="1E322705"/>
    <w:rsid w:val="1E333EBB"/>
    <w:rsid w:val="1EA250EB"/>
    <w:rsid w:val="1EA26DE3"/>
    <w:rsid w:val="1EEC5078"/>
    <w:rsid w:val="1EFB56B9"/>
    <w:rsid w:val="1F06641D"/>
    <w:rsid w:val="1F354C71"/>
    <w:rsid w:val="1F422EEA"/>
    <w:rsid w:val="1F985134"/>
    <w:rsid w:val="1FEC17D3"/>
    <w:rsid w:val="1FF461A5"/>
    <w:rsid w:val="1FF53625"/>
    <w:rsid w:val="20060CEE"/>
    <w:rsid w:val="20170D9B"/>
    <w:rsid w:val="20462ED2"/>
    <w:rsid w:val="20790B8D"/>
    <w:rsid w:val="20847C5E"/>
    <w:rsid w:val="20B41BC5"/>
    <w:rsid w:val="20B43BF6"/>
    <w:rsid w:val="20E56222"/>
    <w:rsid w:val="21026DD4"/>
    <w:rsid w:val="21114778"/>
    <w:rsid w:val="215A09BE"/>
    <w:rsid w:val="217444F7"/>
    <w:rsid w:val="21B5587E"/>
    <w:rsid w:val="21DC7625"/>
    <w:rsid w:val="21F229A5"/>
    <w:rsid w:val="22401962"/>
    <w:rsid w:val="22716FF0"/>
    <w:rsid w:val="22FE4E63"/>
    <w:rsid w:val="23510C44"/>
    <w:rsid w:val="237478A2"/>
    <w:rsid w:val="238D573A"/>
    <w:rsid w:val="24013808"/>
    <w:rsid w:val="241629E9"/>
    <w:rsid w:val="241A3AC7"/>
    <w:rsid w:val="243C25FD"/>
    <w:rsid w:val="246B6A3F"/>
    <w:rsid w:val="24853FA4"/>
    <w:rsid w:val="2492054C"/>
    <w:rsid w:val="25302162"/>
    <w:rsid w:val="259721E1"/>
    <w:rsid w:val="25E74272"/>
    <w:rsid w:val="25F11C81"/>
    <w:rsid w:val="25FE18CD"/>
    <w:rsid w:val="260F3E17"/>
    <w:rsid w:val="262F00E7"/>
    <w:rsid w:val="264B55E9"/>
    <w:rsid w:val="26511D3B"/>
    <w:rsid w:val="26887D7C"/>
    <w:rsid w:val="26CE737B"/>
    <w:rsid w:val="26EE4083"/>
    <w:rsid w:val="27147452"/>
    <w:rsid w:val="27173324"/>
    <w:rsid w:val="27206206"/>
    <w:rsid w:val="27321A96"/>
    <w:rsid w:val="273341C9"/>
    <w:rsid w:val="27602AA7"/>
    <w:rsid w:val="2767173F"/>
    <w:rsid w:val="278C2016"/>
    <w:rsid w:val="27910CCB"/>
    <w:rsid w:val="27955F35"/>
    <w:rsid w:val="27BF157B"/>
    <w:rsid w:val="28720696"/>
    <w:rsid w:val="28931D2E"/>
    <w:rsid w:val="28AE4351"/>
    <w:rsid w:val="28CA467C"/>
    <w:rsid w:val="28F33FB6"/>
    <w:rsid w:val="29485A46"/>
    <w:rsid w:val="296C74E1"/>
    <w:rsid w:val="298820B3"/>
    <w:rsid w:val="29A40330"/>
    <w:rsid w:val="29C03FF3"/>
    <w:rsid w:val="29E51041"/>
    <w:rsid w:val="2A057F48"/>
    <w:rsid w:val="2A4915D0"/>
    <w:rsid w:val="2A611C47"/>
    <w:rsid w:val="2A81520E"/>
    <w:rsid w:val="2AC63F60"/>
    <w:rsid w:val="2ACD3FAF"/>
    <w:rsid w:val="2AED28A3"/>
    <w:rsid w:val="2AFE3504"/>
    <w:rsid w:val="2BB523BA"/>
    <w:rsid w:val="2BE65AA8"/>
    <w:rsid w:val="2C2E3173"/>
    <w:rsid w:val="2C4B5AD3"/>
    <w:rsid w:val="2C506C46"/>
    <w:rsid w:val="2C811BFB"/>
    <w:rsid w:val="2C8B2374"/>
    <w:rsid w:val="2CA95970"/>
    <w:rsid w:val="2CCF075C"/>
    <w:rsid w:val="2D10485D"/>
    <w:rsid w:val="2D340315"/>
    <w:rsid w:val="2D673938"/>
    <w:rsid w:val="2D8A111D"/>
    <w:rsid w:val="2D8B0602"/>
    <w:rsid w:val="2DBB0A37"/>
    <w:rsid w:val="2DCA6ECC"/>
    <w:rsid w:val="2DF11AEB"/>
    <w:rsid w:val="2E5844D8"/>
    <w:rsid w:val="2E5A0250"/>
    <w:rsid w:val="2E662925"/>
    <w:rsid w:val="2E91197C"/>
    <w:rsid w:val="2EB44BE8"/>
    <w:rsid w:val="2EC4391B"/>
    <w:rsid w:val="2F0401BB"/>
    <w:rsid w:val="2F687C76"/>
    <w:rsid w:val="2F6A6270"/>
    <w:rsid w:val="2FAF5A8A"/>
    <w:rsid w:val="2FC517A5"/>
    <w:rsid w:val="2FC71915"/>
    <w:rsid w:val="2FF636C3"/>
    <w:rsid w:val="302E3742"/>
    <w:rsid w:val="30315637"/>
    <w:rsid w:val="303D0391"/>
    <w:rsid w:val="309072AA"/>
    <w:rsid w:val="30BA1DC9"/>
    <w:rsid w:val="30BF25EC"/>
    <w:rsid w:val="31933523"/>
    <w:rsid w:val="319C46DB"/>
    <w:rsid w:val="32015B6C"/>
    <w:rsid w:val="324705BA"/>
    <w:rsid w:val="326E52EF"/>
    <w:rsid w:val="32B41EFE"/>
    <w:rsid w:val="32C1089D"/>
    <w:rsid w:val="32CE6B16"/>
    <w:rsid w:val="33192F95"/>
    <w:rsid w:val="333B6C47"/>
    <w:rsid w:val="33C15A66"/>
    <w:rsid w:val="343B01DB"/>
    <w:rsid w:val="344E2246"/>
    <w:rsid w:val="346911EC"/>
    <w:rsid w:val="348D1AD2"/>
    <w:rsid w:val="34CF7924"/>
    <w:rsid w:val="34E84371"/>
    <w:rsid w:val="34F767F8"/>
    <w:rsid w:val="34F8431E"/>
    <w:rsid w:val="35812566"/>
    <w:rsid w:val="35852A3D"/>
    <w:rsid w:val="358C31E4"/>
    <w:rsid w:val="36203B2D"/>
    <w:rsid w:val="369435B9"/>
    <w:rsid w:val="36A06A1C"/>
    <w:rsid w:val="36AE738B"/>
    <w:rsid w:val="36B40B5C"/>
    <w:rsid w:val="37066BD5"/>
    <w:rsid w:val="372F4E32"/>
    <w:rsid w:val="3757357E"/>
    <w:rsid w:val="37704640"/>
    <w:rsid w:val="37863E63"/>
    <w:rsid w:val="378D6B0A"/>
    <w:rsid w:val="37CA21FC"/>
    <w:rsid w:val="37D01439"/>
    <w:rsid w:val="38163E88"/>
    <w:rsid w:val="38176AE6"/>
    <w:rsid w:val="38417D8A"/>
    <w:rsid w:val="384A0FC9"/>
    <w:rsid w:val="38AA48AE"/>
    <w:rsid w:val="38CC7FAD"/>
    <w:rsid w:val="38DF5222"/>
    <w:rsid w:val="391D359F"/>
    <w:rsid w:val="391D5627"/>
    <w:rsid w:val="397D4DF2"/>
    <w:rsid w:val="399860D0"/>
    <w:rsid w:val="39B10BD6"/>
    <w:rsid w:val="3A2B0CB6"/>
    <w:rsid w:val="3A3B7187"/>
    <w:rsid w:val="3A5B3385"/>
    <w:rsid w:val="3A82346F"/>
    <w:rsid w:val="3A8D1EDA"/>
    <w:rsid w:val="3A9A1008"/>
    <w:rsid w:val="3ACC4283"/>
    <w:rsid w:val="3ADC3D9A"/>
    <w:rsid w:val="3B3230A5"/>
    <w:rsid w:val="3B3E47CB"/>
    <w:rsid w:val="3B4A74D4"/>
    <w:rsid w:val="3B71241F"/>
    <w:rsid w:val="3B903503"/>
    <w:rsid w:val="3B9A1C0E"/>
    <w:rsid w:val="3BB768FD"/>
    <w:rsid w:val="3BBD2756"/>
    <w:rsid w:val="3BE455FD"/>
    <w:rsid w:val="3BF40737"/>
    <w:rsid w:val="3C387A4B"/>
    <w:rsid w:val="3C3E4D0D"/>
    <w:rsid w:val="3C577B7C"/>
    <w:rsid w:val="3CC33464"/>
    <w:rsid w:val="3CFC24D2"/>
    <w:rsid w:val="3D007D17"/>
    <w:rsid w:val="3D74475E"/>
    <w:rsid w:val="3D7601D4"/>
    <w:rsid w:val="3D8A5D30"/>
    <w:rsid w:val="3D9C6E8A"/>
    <w:rsid w:val="3DE2791A"/>
    <w:rsid w:val="3E2B12C1"/>
    <w:rsid w:val="3E300685"/>
    <w:rsid w:val="3E412892"/>
    <w:rsid w:val="3EE53B65"/>
    <w:rsid w:val="3F012022"/>
    <w:rsid w:val="3F281CA4"/>
    <w:rsid w:val="3F3F76DF"/>
    <w:rsid w:val="3F67457A"/>
    <w:rsid w:val="3F7B0026"/>
    <w:rsid w:val="3F83115D"/>
    <w:rsid w:val="3FA4757D"/>
    <w:rsid w:val="3FBA6DA0"/>
    <w:rsid w:val="3FDF2363"/>
    <w:rsid w:val="3FF658FE"/>
    <w:rsid w:val="40114563"/>
    <w:rsid w:val="40316936"/>
    <w:rsid w:val="40A8309D"/>
    <w:rsid w:val="40C762FC"/>
    <w:rsid w:val="40EF42D0"/>
    <w:rsid w:val="40F045D7"/>
    <w:rsid w:val="40F700A0"/>
    <w:rsid w:val="4143186F"/>
    <w:rsid w:val="41BB2CC4"/>
    <w:rsid w:val="41BF1229"/>
    <w:rsid w:val="41ED615D"/>
    <w:rsid w:val="41FD530C"/>
    <w:rsid w:val="421F2EEA"/>
    <w:rsid w:val="42731488"/>
    <w:rsid w:val="42CE4911"/>
    <w:rsid w:val="42D400C2"/>
    <w:rsid w:val="43120CA1"/>
    <w:rsid w:val="43761230"/>
    <w:rsid w:val="4413477E"/>
    <w:rsid w:val="441A7E0D"/>
    <w:rsid w:val="443C5AF9"/>
    <w:rsid w:val="445F1CC4"/>
    <w:rsid w:val="447F76AC"/>
    <w:rsid w:val="44861074"/>
    <w:rsid w:val="44875F3E"/>
    <w:rsid w:val="448C2ABC"/>
    <w:rsid w:val="44B02A8E"/>
    <w:rsid w:val="44BA6EFA"/>
    <w:rsid w:val="44C83D0E"/>
    <w:rsid w:val="44CC07DE"/>
    <w:rsid w:val="44F057A4"/>
    <w:rsid w:val="450F45BF"/>
    <w:rsid w:val="45227C6E"/>
    <w:rsid w:val="454C31E3"/>
    <w:rsid w:val="457A32E7"/>
    <w:rsid w:val="458F0387"/>
    <w:rsid w:val="45B358A5"/>
    <w:rsid w:val="45BB70E5"/>
    <w:rsid w:val="45D44408"/>
    <w:rsid w:val="462F1B6A"/>
    <w:rsid w:val="463E737E"/>
    <w:rsid w:val="46724FF0"/>
    <w:rsid w:val="46737CA9"/>
    <w:rsid w:val="467557CF"/>
    <w:rsid w:val="46BD444A"/>
    <w:rsid w:val="474451A1"/>
    <w:rsid w:val="4792415F"/>
    <w:rsid w:val="47C06F1E"/>
    <w:rsid w:val="47C96E82"/>
    <w:rsid w:val="48940C70"/>
    <w:rsid w:val="489451D8"/>
    <w:rsid w:val="489932CB"/>
    <w:rsid w:val="48B87BF5"/>
    <w:rsid w:val="48C12F4D"/>
    <w:rsid w:val="48E44E8E"/>
    <w:rsid w:val="4904108C"/>
    <w:rsid w:val="49382AE4"/>
    <w:rsid w:val="497E0E3E"/>
    <w:rsid w:val="4A050C18"/>
    <w:rsid w:val="4A317C5F"/>
    <w:rsid w:val="4A7162AD"/>
    <w:rsid w:val="4B157580"/>
    <w:rsid w:val="4B1D6435"/>
    <w:rsid w:val="4B377B13"/>
    <w:rsid w:val="4B7B7C81"/>
    <w:rsid w:val="4B8943C6"/>
    <w:rsid w:val="4BAB3A41"/>
    <w:rsid w:val="4BCD257D"/>
    <w:rsid w:val="4BDA4955"/>
    <w:rsid w:val="4C231829"/>
    <w:rsid w:val="4C404189"/>
    <w:rsid w:val="4C4243A5"/>
    <w:rsid w:val="4C431ECB"/>
    <w:rsid w:val="4C4C2D8F"/>
    <w:rsid w:val="4C975D73"/>
    <w:rsid w:val="4D2941B8"/>
    <w:rsid w:val="4D814A59"/>
    <w:rsid w:val="4DCD6ADC"/>
    <w:rsid w:val="4DDD6607"/>
    <w:rsid w:val="4E19304E"/>
    <w:rsid w:val="4E1A4EAE"/>
    <w:rsid w:val="4E45017D"/>
    <w:rsid w:val="4EAA7FE0"/>
    <w:rsid w:val="4EC56BC8"/>
    <w:rsid w:val="4EDB63EB"/>
    <w:rsid w:val="4EF56E5A"/>
    <w:rsid w:val="4EF92D15"/>
    <w:rsid w:val="4F231B40"/>
    <w:rsid w:val="4F2C6C47"/>
    <w:rsid w:val="4F443F90"/>
    <w:rsid w:val="4F5E40AA"/>
    <w:rsid w:val="4F74239C"/>
    <w:rsid w:val="4F9D18F3"/>
    <w:rsid w:val="502838B2"/>
    <w:rsid w:val="503736B8"/>
    <w:rsid w:val="503B6628"/>
    <w:rsid w:val="50760AC1"/>
    <w:rsid w:val="508725B3"/>
    <w:rsid w:val="509B2B28"/>
    <w:rsid w:val="50E57F09"/>
    <w:rsid w:val="510F05CE"/>
    <w:rsid w:val="511856D5"/>
    <w:rsid w:val="51376AEB"/>
    <w:rsid w:val="51894824"/>
    <w:rsid w:val="51956D25"/>
    <w:rsid w:val="51AE428B"/>
    <w:rsid w:val="51D21E7F"/>
    <w:rsid w:val="52264690"/>
    <w:rsid w:val="52C87172"/>
    <w:rsid w:val="52CA50F4"/>
    <w:rsid w:val="53395DD6"/>
    <w:rsid w:val="5357762A"/>
    <w:rsid w:val="53B13BBE"/>
    <w:rsid w:val="53B35B89"/>
    <w:rsid w:val="53B51901"/>
    <w:rsid w:val="53C5766A"/>
    <w:rsid w:val="53D405A9"/>
    <w:rsid w:val="541008E5"/>
    <w:rsid w:val="545E5892"/>
    <w:rsid w:val="548C4A34"/>
    <w:rsid w:val="54B162A7"/>
    <w:rsid w:val="54CF7554"/>
    <w:rsid w:val="54E9535F"/>
    <w:rsid w:val="54F14BBA"/>
    <w:rsid w:val="54F72B08"/>
    <w:rsid w:val="55004DFD"/>
    <w:rsid w:val="555667CB"/>
    <w:rsid w:val="55AC57E6"/>
    <w:rsid w:val="56146641"/>
    <w:rsid w:val="562763BA"/>
    <w:rsid w:val="56277783"/>
    <w:rsid w:val="562F24C6"/>
    <w:rsid w:val="56356D29"/>
    <w:rsid w:val="565A1B42"/>
    <w:rsid w:val="56707D61"/>
    <w:rsid w:val="56840A60"/>
    <w:rsid w:val="56A70150"/>
    <w:rsid w:val="56B0203C"/>
    <w:rsid w:val="56F92846"/>
    <w:rsid w:val="56FA762A"/>
    <w:rsid w:val="56FE35BF"/>
    <w:rsid w:val="570E0690"/>
    <w:rsid w:val="57133F74"/>
    <w:rsid w:val="575B631B"/>
    <w:rsid w:val="57680A38"/>
    <w:rsid w:val="57715B3F"/>
    <w:rsid w:val="57AB214B"/>
    <w:rsid w:val="57C06AC6"/>
    <w:rsid w:val="57C67626"/>
    <w:rsid w:val="57E963BD"/>
    <w:rsid w:val="57EE53E1"/>
    <w:rsid w:val="57F77909"/>
    <w:rsid w:val="58044C05"/>
    <w:rsid w:val="580544D9"/>
    <w:rsid w:val="583D0869"/>
    <w:rsid w:val="58505EE2"/>
    <w:rsid w:val="587672EA"/>
    <w:rsid w:val="5898534D"/>
    <w:rsid w:val="59017396"/>
    <w:rsid w:val="59143DC5"/>
    <w:rsid w:val="5979126B"/>
    <w:rsid w:val="59CC3500"/>
    <w:rsid w:val="59E22D24"/>
    <w:rsid w:val="59E52814"/>
    <w:rsid w:val="59F842F5"/>
    <w:rsid w:val="5A0E1B82"/>
    <w:rsid w:val="5A1A070F"/>
    <w:rsid w:val="5A593EEE"/>
    <w:rsid w:val="5A5D5BF4"/>
    <w:rsid w:val="5A751F99"/>
    <w:rsid w:val="5AA1673B"/>
    <w:rsid w:val="5AA91A93"/>
    <w:rsid w:val="5ABD553F"/>
    <w:rsid w:val="5AF60270"/>
    <w:rsid w:val="5B4B5EB8"/>
    <w:rsid w:val="5B5E287E"/>
    <w:rsid w:val="5B740586"/>
    <w:rsid w:val="5B9938B6"/>
    <w:rsid w:val="5C166CB5"/>
    <w:rsid w:val="5C1D523E"/>
    <w:rsid w:val="5C310E23"/>
    <w:rsid w:val="5C314E16"/>
    <w:rsid w:val="5CAC586B"/>
    <w:rsid w:val="5CEB1EEF"/>
    <w:rsid w:val="5D186A5C"/>
    <w:rsid w:val="5D2E002E"/>
    <w:rsid w:val="5D3970FE"/>
    <w:rsid w:val="5D5E0913"/>
    <w:rsid w:val="5D9308D3"/>
    <w:rsid w:val="5DF50B4C"/>
    <w:rsid w:val="5E084D23"/>
    <w:rsid w:val="5E157171"/>
    <w:rsid w:val="5E224037"/>
    <w:rsid w:val="5E3A7034"/>
    <w:rsid w:val="5E503537"/>
    <w:rsid w:val="5E631F59"/>
    <w:rsid w:val="5E6A153A"/>
    <w:rsid w:val="5E6F7928"/>
    <w:rsid w:val="5E85082B"/>
    <w:rsid w:val="5E936618"/>
    <w:rsid w:val="5EBB10C4"/>
    <w:rsid w:val="5EC363C2"/>
    <w:rsid w:val="5ED05841"/>
    <w:rsid w:val="5EDD305D"/>
    <w:rsid w:val="5F474936"/>
    <w:rsid w:val="5F544890"/>
    <w:rsid w:val="5F5E7C34"/>
    <w:rsid w:val="5F7E2C27"/>
    <w:rsid w:val="5FA62A45"/>
    <w:rsid w:val="5FC30F01"/>
    <w:rsid w:val="603B13E0"/>
    <w:rsid w:val="603B36C6"/>
    <w:rsid w:val="605076FB"/>
    <w:rsid w:val="6065248C"/>
    <w:rsid w:val="60913E6F"/>
    <w:rsid w:val="611F6362"/>
    <w:rsid w:val="61840B64"/>
    <w:rsid w:val="618A22F1"/>
    <w:rsid w:val="61A84853"/>
    <w:rsid w:val="61DC0992"/>
    <w:rsid w:val="61DF5D9B"/>
    <w:rsid w:val="61F335F4"/>
    <w:rsid w:val="62302D16"/>
    <w:rsid w:val="62562501"/>
    <w:rsid w:val="627209BD"/>
    <w:rsid w:val="631A3502"/>
    <w:rsid w:val="634D5AA7"/>
    <w:rsid w:val="63E61662"/>
    <w:rsid w:val="64021A77"/>
    <w:rsid w:val="64373C6C"/>
    <w:rsid w:val="64EF51C3"/>
    <w:rsid w:val="651E63B6"/>
    <w:rsid w:val="652714A5"/>
    <w:rsid w:val="65297A59"/>
    <w:rsid w:val="65336B29"/>
    <w:rsid w:val="653D4140"/>
    <w:rsid w:val="656C2F8E"/>
    <w:rsid w:val="6599745D"/>
    <w:rsid w:val="65A215B9"/>
    <w:rsid w:val="65BA0FAB"/>
    <w:rsid w:val="65D02321"/>
    <w:rsid w:val="65FF4E50"/>
    <w:rsid w:val="663368E9"/>
    <w:rsid w:val="665172E1"/>
    <w:rsid w:val="66C20165"/>
    <w:rsid w:val="66D450BD"/>
    <w:rsid w:val="671A2FAC"/>
    <w:rsid w:val="675A65EF"/>
    <w:rsid w:val="679768AD"/>
    <w:rsid w:val="67E97973"/>
    <w:rsid w:val="6844104D"/>
    <w:rsid w:val="68BD3F3E"/>
    <w:rsid w:val="68DB72BC"/>
    <w:rsid w:val="68EF720B"/>
    <w:rsid w:val="68F760C0"/>
    <w:rsid w:val="69BD4C13"/>
    <w:rsid w:val="69F745C9"/>
    <w:rsid w:val="6A172412"/>
    <w:rsid w:val="6A1D1B56"/>
    <w:rsid w:val="6A2B6021"/>
    <w:rsid w:val="6A4470E3"/>
    <w:rsid w:val="6A575068"/>
    <w:rsid w:val="6A5B6D91"/>
    <w:rsid w:val="6A6E71B4"/>
    <w:rsid w:val="6A701C86"/>
    <w:rsid w:val="6A8168AD"/>
    <w:rsid w:val="6A8A3F7C"/>
    <w:rsid w:val="6AA337F2"/>
    <w:rsid w:val="6AA33E09"/>
    <w:rsid w:val="6B702BE3"/>
    <w:rsid w:val="6BCA3618"/>
    <w:rsid w:val="6C4C6750"/>
    <w:rsid w:val="6C910BA3"/>
    <w:rsid w:val="6D396CA7"/>
    <w:rsid w:val="6D617FAC"/>
    <w:rsid w:val="6DAF484B"/>
    <w:rsid w:val="6DB23927"/>
    <w:rsid w:val="6DB91B96"/>
    <w:rsid w:val="6DF27FD2"/>
    <w:rsid w:val="6E443B55"/>
    <w:rsid w:val="6E511DCE"/>
    <w:rsid w:val="6E8B4C73"/>
    <w:rsid w:val="6E8C7BBA"/>
    <w:rsid w:val="6E8F5F08"/>
    <w:rsid w:val="6E9C469A"/>
    <w:rsid w:val="6EBA154E"/>
    <w:rsid w:val="6F0775FA"/>
    <w:rsid w:val="6F271E09"/>
    <w:rsid w:val="6F3F159A"/>
    <w:rsid w:val="6F885CC3"/>
    <w:rsid w:val="6F9D427D"/>
    <w:rsid w:val="6FD44F58"/>
    <w:rsid w:val="70016160"/>
    <w:rsid w:val="701C6E5A"/>
    <w:rsid w:val="702E0AA4"/>
    <w:rsid w:val="702E5B63"/>
    <w:rsid w:val="70AA3198"/>
    <w:rsid w:val="70E138DD"/>
    <w:rsid w:val="70FB3A2A"/>
    <w:rsid w:val="714C7912"/>
    <w:rsid w:val="71901115"/>
    <w:rsid w:val="71950224"/>
    <w:rsid w:val="719E4BA7"/>
    <w:rsid w:val="7224041A"/>
    <w:rsid w:val="723F54AE"/>
    <w:rsid w:val="724539F8"/>
    <w:rsid w:val="725974A3"/>
    <w:rsid w:val="726310A6"/>
    <w:rsid w:val="72A93F87"/>
    <w:rsid w:val="72BB29D9"/>
    <w:rsid w:val="72EE38A3"/>
    <w:rsid w:val="733950D2"/>
    <w:rsid w:val="735F55E5"/>
    <w:rsid w:val="737C169B"/>
    <w:rsid w:val="73A6496A"/>
    <w:rsid w:val="7436113E"/>
    <w:rsid w:val="743A3832"/>
    <w:rsid w:val="746F1200"/>
    <w:rsid w:val="74911176"/>
    <w:rsid w:val="74D3353D"/>
    <w:rsid w:val="74DB6895"/>
    <w:rsid w:val="74E53270"/>
    <w:rsid w:val="753B10E2"/>
    <w:rsid w:val="758D4034"/>
    <w:rsid w:val="75995B66"/>
    <w:rsid w:val="75A05125"/>
    <w:rsid w:val="75D7705D"/>
    <w:rsid w:val="75E93EAD"/>
    <w:rsid w:val="760F2C9B"/>
    <w:rsid w:val="7625426C"/>
    <w:rsid w:val="765406AD"/>
    <w:rsid w:val="76830F93"/>
    <w:rsid w:val="76BA6A4A"/>
    <w:rsid w:val="76D53D51"/>
    <w:rsid w:val="77194977"/>
    <w:rsid w:val="772F58B8"/>
    <w:rsid w:val="774150D6"/>
    <w:rsid w:val="77444BC6"/>
    <w:rsid w:val="77705B6D"/>
    <w:rsid w:val="77AE264D"/>
    <w:rsid w:val="77BF5FFA"/>
    <w:rsid w:val="77C43F06"/>
    <w:rsid w:val="77EA751B"/>
    <w:rsid w:val="77F4039A"/>
    <w:rsid w:val="781038BA"/>
    <w:rsid w:val="78B95140"/>
    <w:rsid w:val="78C642A1"/>
    <w:rsid w:val="78EB4A1F"/>
    <w:rsid w:val="78F909BD"/>
    <w:rsid w:val="791C4FBA"/>
    <w:rsid w:val="7922032D"/>
    <w:rsid w:val="79254583"/>
    <w:rsid w:val="794013BD"/>
    <w:rsid w:val="797F3C93"/>
    <w:rsid w:val="798968C0"/>
    <w:rsid w:val="79F108EF"/>
    <w:rsid w:val="7A493E2A"/>
    <w:rsid w:val="7A49604F"/>
    <w:rsid w:val="7A5073DE"/>
    <w:rsid w:val="7A707A80"/>
    <w:rsid w:val="7AAC05DE"/>
    <w:rsid w:val="7AE5221C"/>
    <w:rsid w:val="7AED781A"/>
    <w:rsid w:val="7AFB559C"/>
    <w:rsid w:val="7B1E50C9"/>
    <w:rsid w:val="7B693519"/>
    <w:rsid w:val="7B7942EF"/>
    <w:rsid w:val="7B7B048A"/>
    <w:rsid w:val="7B9E4546"/>
    <w:rsid w:val="7BEE586F"/>
    <w:rsid w:val="7BF02C26"/>
    <w:rsid w:val="7BF1074D"/>
    <w:rsid w:val="7C2E5E9C"/>
    <w:rsid w:val="7C39281F"/>
    <w:rsid w:val="7C4B624B"/>
    <w:rsid w:val="7C72443D"/>
    <w:rsid w:val="7C835849"/>
    <w:rsid w:val="7C840A89"/>
    <w:rsid w:val="7C9467C0"/>
    <w:rsid w:val="7CD516A1"/>
    <w:rsid w:val="7CF44998"/>
    <w:rsid w:val="7CF608FF"/>
    <w:rsid w:val="7D17775D"/>
    <w:rsid w:val="7D2D253F"/>
    <w:rsid w:val="7D5E593D"/>
    <w:rsid w:val="7D62537A"/>
    <w:rsid w:val="7D6C49B3"/>
    <w:rsid w:val="7DC966ED"/>
    <w:rsid w:val="7DDD71DA"/>
    <w:rsid w:val="7E3C2153"/>
    <w:rsid w:val="7E9401E1"/>
    <w:rsid w:val="7EB77A2B"/>
    <w:rsid w:val="7EC25AA8"/>
    <w:rsid w:val="7EC54098"/>
    <w:rsid w:val="7EEF18BB"/>
    <w:rsid w:val="7EF42A2E"/>
    <w:rsid w:val="7F01339C"/>
    <w:rsid w:val="7F2826D7"/>
    <w:rsid w:val="7F570C73"/>
    <w:rsid w:val="7F6A0232"/>
    <w:rsid w:val="7F9E6C89"/>
    <w:rsid w:val="7FC9210C"/>
    <w:rsid w:val="7FDA1F24"/>
    <w:rsid w:val="7FDD0802"/>
    <w:rsid w:val="7FF925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qFormat="1"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link w:val="493"/>
    <w:qFormat/>
    <w:uiPriority w:val="9"/>
    <w:pPr>
      <w:keepNext/>
      <w:keepLines/>
      <w:autoSpaceDE w:val="0"/>
      <w:autoSpaceDN w:val="0"/>
      <w:adjustRightInd w:val="0"/>
      <w:spacing w:before="240" w:after="120" w:line="300" w:lineRule="auto"/>
      <w:jc w:val="center"/>
      <w:outlineLvl w:val="0"/>
    </w:pPr>
    <w:rPr>
      <w:b/>
      <w:kern w:val="44"/>
      <w:sz w:val="32"/>
    </w:rPr>
  </w:style>
  <w:style w:type="paragraph" w:styleId="3">
    <w:name w:val="heading 2"/>
    <w:basedOn w:val="1"/>
    <w:next w:val="1"/>
    <w:link w:val="494"/>
    <w:qFormat/>
    <w:uiPriority w:val="0"/>
    <w:pPr>
      <w:keepNext/>
      <w:keepLines/>
      <w:spacing w:before="260" w:after="260" w:line="413" w:lineRule="auto"/>
      <w:outlineLvl w:val="1"/>
    </w:pPr>
    <w:rPr>
      <w:rFonts w:ascii="Arial" w:hAnsi="Arial" w:eastAsia="黑体"/>
      <w:bCs/>
      <w:kern w:val="2"/>
      <w:sz w:val="32"/>
      <w:szCs w:val="32"/>
    </w:rPr>
  </w:style>
  <w:style w:type="paragraph" w:styleId="4">
    <w:name w:val="heading 3"/>
    <w:basedOn w:val="1"/>
    <w:next w:val="1"/>
    <w:link w:val="495"/>
    <w:qFormat/>
    <w:uiPriority w:val="0"/>
    <w:pPr>
      <w:keepNext/>
      <w:keepLines/>
      <w:widowControl/>
      <w:spacing w:before="260" w:after="260" w:line="413" w:lineRule="auto"/>
      <w:jc w:val="left"/>
      <w:outlineLvl w:val="2"/>
    </w:pPr>
    <w:rPr>
      <w:rFonts w:ascii="Times New Roman"/>
      <w:b/>
      <w:bCs/>
      <w:sz w:val="32"/>
      <w:szCs w:val="32"/>
    </w:rPr>
  </w:style>
  <w:style w:type="paragraph" w:styleId="5">
    <w:name w:val="heading 4"/>
    <w:basedOn w:val="1"/>
    <w:next w:val="1"/>
    <w:link w:val="496"/>
    <w:qFormat/>
    <w:uiPriority w:val="9"/>
    <w:pPr>
      <w:keepNext/>
      <w:keepLines/>
      <w:spacing w:before="280" w:after="290" w:line="372" w:lineRule="auto"/>
      <w:outlineLvl w:val="3"/>
    </w:pPr>
    <w:rPr>
      <w:rFonts w:ascii="Arial" w:hAnsi="Arial" w:eastAsia="黑体"/>
      <w:b/>
      <w:bCs/>
      <w:kern w:val="2"/>
      <w:sz w:val="28"/>
      <w:szCs w:val="28"/>
    </w:rPr>
  </w:style>
  <w:style w:type="paragraph" w:styleId="6">
    <w:name w:val="heading 5"/>
    <w:basedOn w:val="1"/>
    <w:next w:val="1"/>
    <w:link w:val="497"/>
    <w:qFormat/>
    <w:uiPriority w:val="9"/>
    <w:pPr>
      <w:keepNext/>
      <w:keepLines/>
      <w:spacing w:before="280" w:after="290" w:line="376" w:lineRule="auto"/>
      <w:outlineLvl w:val="4"/>
    </w:pPr>
    <w:rPr>
      <w:rFonts w:ascii="仿宋_GB2312" w:hAnsi="Courier New" w:eastAsia="仿宋_GB2312"/>
      <w:b/>
      <w:bCs/>
      <w:kern w:val="2"/>
      <w:sz w:val="28"/>
      <w:szCs w:val="28"/>
    </w:rPr>
  </w:style>
  <w:style w:type="paragraph" w:styleId="7">
    <w:name w:val="heading 6"/>
    <w:basedOn w:val="1"/>
    <w:next w:val="1"/>
    <w:link w:val="498"/>
    <w:qFormat/>
    <w:uiPriority w:val="9"/>
    <w:pPr>
      <w:keepNext/>
      <w:keepLines/>
      <w:spacing w:before="240" w:after="64" w:line="320" w:lineRule="auto"/>
      <w:outlineLvl w:val="5"/>
    </w:pPr>
    <w:rPr>
      <w:rFonts w:ascii="Cambria" w:hAnsi="Cambria"/>
      <w:b/>
      <w:bCs/>
      <w:kern w:val="2"/>
      <w:sz w:val="24"/>
      <w:szCs w:val="24"/>
    </w:rPr>
  </w:style>
  <w:style w:type="paragraph" w:styleId="8">
    <w:name w:val="heading 7"/>
    <w:basedOn w:val="1"/>
    <w:next w:val="1"/>
    <w:link w:val="499"/>
    <w:qFormat/>
    <w:uiPriority w:val="9"/>
    <w:pPr>
      <w:keepNext/>
      <w:keepLines/>
      <w:spacing w:before="240" w:after="64" w:line="320" w:lineRule="auto"/>
      <w:outlineLvl w:val="6"/>
    </w:pPr>
    <w:rPr>
      <w:b/>
      <w:bCs/>
      <w:kern w:val="2"/>
      <w:sz w:val="24"/>
      <w:szCs w:val="24"/>
    </w:rPr>
  </w:style>
  <w:style w:type="paragraph" w:styleId="9">
    <w:name w:val="heading 8"/>
    <w:basedOn w:val="1"/>
    <w:next w:val="1"/>
    <w:link w:val="500"/>
    <w:qFormat/>
    <w:uiPriority w:val="0"/>
    <w:pPr>
      <w:keepNext/>
      <w:keepLines/>
      <w:numPr>
        <w:ilvl w:val="0"/>
        <w:numId w:val="1"/>
      </w:numPr>
      <w:spacing w:before="240" w:after="64" w:line="317" w:lineRule="auto"/>
      <w:outlineLvl w:val="7"/>
    </w:pPr>
    <w:rPr>
      <w:rFonts w:ascii="Times New Roman"/>
      <w:kern w:val="2"/>
      <w:sz w:val="24"/>
    </w:rPr>
  </w:style>
  <w:style w:type="paragraph" w:styleId="10">
    <w:name w:val="heading 9"/>
    <w:basedOn w:val="1"/>
    <w:next w:val="1"/>
    <w:link w:val="501"/>
    <w:qFormat/>
    <w:uiPriority w:val="0"/>
    <w:pPr>
      <w:keepNext/>
      <w:keepLines/>
      <w:numPr>
        <w:ilvl w:val="8"/>
        <w:numId w:val="2"/>
      </w:numPr>
      <w:tabs>
        <w:tab w:val="left" w:pos="709"/>
        <w:tab w:val="left" w:pos="4200"/>
        <w:tab w:val="clear" w:pos="1559"/>
      </w:tabs>
      <w:spacing w:before="120" w:line="360" w:lineRule="auto"/>
      <w:outlineLvl w:val="8"/>
    </w:pPr>
    <w:rPr>
      <w:rFonts w:ascii="Arial" w:hAnsi="Arial"/>
      <w:kern w:val="2"/>
      <w:sz w:val="21"/>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widowControl/>
      <w:spacing w:before="100" w:beforeAutospacing="1" w:after="100" w:afterAutospacing="1"/>
      <w:jc w:val="left"/>
    </w:pPr>
    <w:rPr>
      <w:rFonts w:ascii="Arial Unicode MS" w:hAnsi="Arial Unicode MS" w:eastAsia="Arial Unicode MS"/>
      <w:sz w:val="24"/>
      <w:szCs w:val="24"/>
    </w:rPr>
  </w:style>
  <w:style w:type="paragraph" w:styleId="12">
    <w:name w:val="toc 7"/>
    <w:basedOn w:val="1"/>
    <w:next w:val="1"/>
    <w:qFormat/>
    <w:uiPriority w:val="0"/>
    <w:pPr>
      <w:ind w:left="2040"/>
      <w:jc w:val="left"/>
    </w:pPr>
    <w:rPr>
      <w:rFonts w:asciiTheme="minorHAnsi" w:hAnsiTheme="minorHAnsi"/>
      <w:sz w:val="18"/>
      <w:szCs w:val="18"/>
    </w:rPr>
  </w:style>
  <w:style w:type="paragraph" w:styleId="13">
    <w:name w:val="Note Heading"/>
    <w:basedOn w:val="1"/>
    <w:next w:val="1"/>
    <w:link w:val="629"/>
    <w:qFormat/>
    <w:uiPriority w:val="0"/>
    <w:pPr>
      <w:spacing w:line="480" w:lineRule="auto"/>
      <w:jc w:val="center"/>
    </w:pPr>
    <w:rPr>
      <w:rFonts w:ascii="Times New Roman"/>
      <w:sz w:val="20"/>
      <w:szCs w:val="24"/>
    </w:rPr>
  </w:style>
  <w:style w:type="paragraph" w:styleId="14">
    <w:name w:val="Normal Indent"/>
    <w:basedOn w:val="1"/>
    <w:link w:val="561"/>
    <w:qFormat/>
    <w:uiPriority w:val="0"/>
    <w:pPr>
      <w:autoSpaceDE w:val="0"/>
      <w:autoSpaceDN w:val="0"/>
      <w:adjustRightInd w:val="0"/>
      <w:ind w:firstLine="420"/>
      <w:jc w:val="left"/>
    </w:pPr>
    <w:rPr>
      <w:sz w:val="24"/>
    </w:rPr>
  </w:style>
  <w:style w:type="paragraph" w:styleId="15">
    <w:name w:val="caption"/>
    <w:basedOn w:val="1"/>
    <w:next w:val="1"/>
    <w:qFormat/>
    <w:uiPriority w:val="0"/>
    <w:pPr>
      <w:jc w:val="center"/>
    </w:pPr>
    <w:rPr>
      <w:rFonts w:ascii="华文彩云" w:hAnsi="Century Gothic" w:cs="Arial"/>
      <w:b/>
      <w:bCs/>
      <w:sz w:val="52"/>
      <w:szCs w:val="72"/>
    </w:rPr>
  </w:style>
  <w:style w:type="paragraph" w:styleId="16">
    <w:name w:val="Document Map"/>
    <w:basedOn w:val="1"/>
    <w:link w:val="540"/>
    <w:unhideWhenUsed/>
    <w:qFormat/>
    <w:uiPriority w:val="99"/>
    <w:rPr>
      <w:bCs/>
      <w:sz w:val="18"/>
      <w:szCs w:val="18"/>
    </w:rPr>
  </w:style>
  <w:style w:type="paragraph" w:styleId="17">
    <w:name w:val="annotation text"/>
    <w:basedOn w:val="1"/>
    <w:link w:val="527"/>
    <w:unhideWhenUsed/>
    <w:qFormat/>
    <w:uiPriority w:val="0"/>
    <w:pPr>
      <w:jc w:val="left"/>
    </w:pPr>
    <w:rPr>
      <w:kern w:val="2"/>
      <w:sz w:val="21"/>
    </w:rPr>
  </w:style>
  <w:style w:type="paragraph" w:styleId="18">
    <w:name w:val="Salutation"/>
    <w:basedOn w:val="1"/>
    <w:next w:val="1"/>
    <w:link w:val="644"/>
    <w:qFormat/>
    <w:uiPriority w:val="0"/>
    <w:rPr>
      <w:color w:val="000000"/>
      <w:szCs w:val="23"/>
    </w:rPr>
  </w:style>
  <w:style w:type="paragraph" w:styleId="19">
    <w:name w:val="Body Text 3"/>
    <w:basedOn w:val="1"/>
    <w:link w:val="640"/>
    <w:qFormat/>
    <w:uiPriority w:val="0"/>
    <w:pPr>
      <w:spacing w:line="360" w:lineRule="auto"/>
      <w:jc w:val="left"/>
    </w:pPr>
    <w:rPr>
      <w:iCs/>
      <w:sz w:val="24"/>
      <w:szCs w:val="24"/>
    </w:rPr>
  </w:style>
  <w:style w:type="paragraph" w:styleId="20">
    <w:name w:val="Closing"/>
    <w:basedOn w:val="1"/>
    <w:link w:val="656"/>
    <w:qFormat/>
    <w:uiPriority w:val="0"/>
    <w:pPr>
      <w:ind w:left="100" w:leftChars="2100"/>
    </w:pPr>
    <w:rPr>
      <w:color w:val="000000"/>
      <w:szCs w:val="23"/>
    </w:rPr>
  </w:style>
  <w:style w:type="paragraph" w:styleId="21">
    <w:name w:val="Body Text"/>
    <w:basedOn w:val="1"/>
    <w:next w:val="1"/>
    <w:link w:val="582"/>
    <w:qFormat/>
    <w:uiPriority w:val="99"/>
    <w:pPr>
      <w:widowControl/>
      <w:spacing w:after="120"/>
      <w:jc w:val="left"/>
    </w:pPr>
    <w:rPr>
      <w:rFonts w:ascii="Calibri" w:hAnsi="Calibri" w:cs="黑体"/>
      <w:kern w:val="2"/>
      <w:sz w:val="21"/>
      <w:szCs w:val="22"/>
    </w:rPr>
  </w:style>
  <w:style w:type="paragraph" w:styleId="22">
    <w:name w:val="Body Text Indent"/>
    <w:basedOn w:val="1"/>
    <w:link w:val="534"/>
    <w:qFormat/>
    <w:uiPriority w:val="0"/>
    <w:pPr>
      <w:spacing w:after="120"/>
      <w:ind w:left="420" w:leftChars="200"/>
    </w:pPr>
    <w:rPr>
      <w:rFonts w:ascii="Times New Roman"/>
      <w:sz w:val="20"/>
    </w:rPr>
  </w:style>
  <w:style w:type="paragraph" w:styleId="23">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4">
    <w:name w:val="List 2"/>
    <w:basedOn w:val="1"/>
    <w:qFormat/>
    <w:uiPriority w:val="0"/>
    <w:pPr>
      <w:ind w:left="100" w:leftChars="200" w:hanging="200" w:hangingChars="200"/>
    </w:pPr>
    <w:rPr>
      <w:szCs w:val="24"/>
    </w:rPr>
  </w:style>
  <w:style w:type="paragraph" w:styleId="25">
    <w:name w:val="Block Text"/>
    <w:basedOn w:val="1"/>
    <w:qFormat/>
    <w:uiPriority w:val="0"/>
    <w:pPr>
      <w:adjustRightInd w:val="0"/>
      <w:ind w:left="420" w:right="33"/>
      <w:jc w:val="left"/>
      <w:textAlignment w:val="baseline"/>
    </w:pPr>
    <w:rPr>
      <w:sz w:val="24"/>
    </w:rPr>
  </w:style>
  <w:style w:type="paragraph" w:styleId="26">
    <w:name w:val="List Bullet 2"/>
    <w:basedOn w:val="1"/>
    <w:qFormat/>
    <w:uiPriority w:val="0"/>
    <w:pPr>
      <w:spacing w:line="360" w:lineRule="auto"/>
    </w:pPr>
    <w:rPr>
      <w:rFonts w:hAnsi="宋体"/>
      <w:spacing w:val="20"/>
      <w:sz w:val="24"/>
      <w:szCs w:val="24"/>
    </w:rPr>
  </w:style>
  <w:style w:type="paragraph" w:styleId="27">
    <w:name w:val="toc 5"/>
    <w:basedOn w:val="1"/>
    <w:next w:val="1"/>
    <w:qFormat/>
    <w:uiPriority w:val="0"/>
    <w:pPr>
      <w:ind w:left="1360"/>
      <w:jc w:val="left"/>
    </w:pPr>
    <w:rPr>
      <w:rFonts w:asciiTheme="minorHAnsi" w:hAnsiTheme="minorHAnsi"/>
      <w:sz w:val="18"/>
      <w:szCs w:val="18"/>
    </w:rPr>
  </w:style>
  <w:style w:type="paragraph" w:styleId="28">
    <w:name w:val="toc 3"/>
    <w:basedOn w:val="1"/>
    <w:next w:val="1"/>
    <w:unhideWhenUsed/>
    <w:qFormat/>
    <w:uiPriority w:val="39"/>
    <w:pPr>
      <w:ind w:left="680"/>
      <w:jc w:val="left"/>
    </w:pPr>
    <w:rPr>
      <w:rFonts w:asciiTheme="minorHAnsi" w:hAnsiTheme="minorHAnsi"/>
      <w:i/>
      <w:iCs/>
      <w:sz w:val="20"/>
    </w:rPr>
  </w:style>
  <w:style w:type="paragraph" w:styleId="29">
    <w:name w:val="Plain Text"/>
    <w:basedOn w:val="1"/>
    <w:link w:val="584"/>
    <w:qFormat/>
    <w:uiPriority w:val="0"/>
    <w:rPr>
      <w:rFonts w:hAnsi="Courier New"/>
      <w:sz w:val="20"/>
    </w:rPr>
  </w:style>
  <w:style w:type="paragraph" w:styleId="30">
    <w:name w:val="toc 8"/>
    <w:basedOn w:val="1"/>
    <w:next w:val="1"/>
    <w:qFormat/>
    <w:uiPriority w:val="0"/>
    <w:pPr>
      <w:ind w:left="2380"/>
      <w:jc w:val="left"/>
    </w:pPr>
    <w:rPr>
      <w:rFonts w:asciiTheme="minorHAnsi" w:hAnsiTheme="minorHAnsi"/>
      <w:sz w:val="18"/>
      <w:szCs w:val="18"/>
    </w:rPr>
  </w:style>
  <w:style w:type="paragraph" w:styleId="31">
    <w:name w:val="Date"/>
    <w:basedOn w:val="1"/>
    <w:next w:val="1"/>
    <w:link w:val="607"/>
    <w:qFormat/>
    <w:uiPriority w:val="0"/>
    <w:rPr>
      <w:rFonts w:ascii="Times New Roman" w:eastAsia="楷体"/>
      <w:sz w:val="32"/>
    </w:rPr>
  </w:style>
  <w:style w:type="paragraph" w:styleId="32">
    <w:name w:val="Body Text Indent 2"/>
    <w:basedOn w:val="1"/>
    <w:link w:val="518"/>
    <w:qFormat/>
    <w:uiPriority w:val="0"/>
    <w:pPr>
      <w:spacing w:after="120" w:line="480" w:lineRule="auto"/>
      <w:ind w:left="420" w:leftChars="200"/>
    </w:pPr>
    <w:rPr>
      <w:rFonts w:ascii="Times New Roman"/>
      <w:sz w:val="20"/>
    </w:rPr>
  </w:style>
  <w:style w:type="paragraph" w:styleId="33">
    <w:name w:val="Balloon Text"/>
    <w:basedOn w:val="1"/>
    <w:link w:val="621"/>
    <w:qFormat/>
    <w:uiPriority w:val="0"/>
    <w:rPr>
      <w:rFonts w:ascii="Times New Roman"/>
      <w:sz w:val="18"/>
      <w:szCs w:val="18"/>
    </w:rPr>
  </w:style>
  <w:style w:type="paragraph" w:styleId="34">
    <w:name w:val="footer"/>
    <w:basedOn w:val="1"/>
    <w:link w:val="568"/>
    <w:qFormat/>
    <w:uiPriority w:val="99"/>
    <w:pPr>
      <w:tabs>
        <w:tab w:val="center" w:pos="4153"/>
        <w:tab w:val="right" w:pos="8306"/>
      </w:tabs>
      <w:autoSpaceDE w:val="0"/>
      <w:autoSpaceDN w:val="0"/>
      <w:adjustRightInd w:val="0"/>
      <w:snapToGrid w:val="0"/>
      <w:jc w:val="left"/>
    </w:pPr>
    <w:rPr>
      <w:sz w:val="18"/>
    </w:rPr>
  </w:style>
  <w:style w:type="paragraph" w:styleId="35">
    <w:name w:val="header"/>
    <w:basedOn w:val="1"/>
    <w:link w:val="520"/>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36">
    <w:name w:val="toc 1"/>
    <w:basedOn w:val="1"/>
    <w:next w:val="1"/>
    <w:qFormat/>
    <w:uiPriority w:val="39"/>
    <w:pPr>
      <w:spacing w:before="120" w:after="120"/>
      <w:jc w:val="left"/>
    </w:pPr>
    <w:rPr>
      <w:rFonts w:asciiTheme="minorHAnsi" w:hAnsiTheme="minorHAnsi"/>
      <w:b/>
      <w:bCs/>
      <w:caps/>
      <w:sz w:val="20"/>
    </w:rPr>
  </w:style>
  <w:style w:type="paragraph" w:styleId="37">
    <w:name w:val="toc 4"/>
    <w:basedOn w:val="1"/>
    <w:next w:val="1"/>
    <w:qFormat/>
    <w:uiPriority w:val="0"/>
    <w:pPr>
      <w:ind w:left="1020"/>
      <w:jc w:val="left"/>
    </w:pPr>
    <w:rPr>
      <w:rFonts w:asciiTheme="minorHAnsi" w:hAnsiTheme="minorHAnsi"/>
      <w:sz w:val="18"/>
      <w:szCs w:val="18"/>
    </w:rPr>
  </w:style>
  <w:style w:type="paragraph" w:styleId="38">
    <w:name w:val="Subtitle"/>
    <w:basedOn w:val="1"/>
    <w:next w:val="14"/>
    <w:link w:val="657"/>
    <w:qFormat/>
    <w:uiPriority w:val="0"/>
    <w:pPr>
      <w:widowControl/>
      <w:spacing w:before="240" w:after="60" w:line="312" w:lineRule="auto"/>
      <w:jc w:val="center"/>
      <w:outlineLvl w:val="1"/>
    </w:pPr>
    <w:rPr>
      <w:rFonts w:ascii="Arial" w:hAnsi="Arial"/>
      <w:b/>
      <w:kern w:val="28"/>
      <w:sz w:val="32"/>
    </w:rPr>
  </w:style>
  <w:style w:type="paragraph" w:styleId="39">
    <w:name w:val="List"/>
    <w:basedOn w:val="1"/>
    <w:qFormat/>
    <w:uiPriority w:val="0"/>
    <w:pPr>
      <w:ind w:left="200" w:hanging="200" w:hangingChars="200"/>
    </w:pPr>
    <w:rPr>
      <w:szCs w:val="24"/>
    </w:rPr>
  </w:style>
  <w:style w:type="paragraph" w:styleId="40">
    <w:name w:val="toc 6"/>
    <w:basedOn w:val="1"/>
    <w:next w:val="1"/>
    <w:qFormat/>
    <w:uiPriority w:val="0"/>
    <w:pPr>
      <w:ind w:left="1700"/>
      <w:jc w:val="left"/>
    </w:pPr>
    <w:rPr>
      <w:rFonts w:asciiTheme="minorHAnsi" w:hAnsiTheme="minorHAnsi"/>
      <w:sz w:val="18"/>
      <w:szCs w:val="18"/>
    </w:rPr>
  </w:style>
  <w:style w:type="paragraph" w:styleId="41">
    <w:name w:val="Body Text Indent 3"/>
    <w:basedOn w:val="1"/>
    <w:link w:val="624"/>
    <w:qFormat/>
    <w:uiPriority w:val="0"/>
    <w:pPr>
      <w:spacing w:after="120"/>
      <w:ind w:left="420" w:leftChars="200"/>
    </w:pPr>
    <w:rPr>
      <w:sz w:val="16"/>
      <w:szCs w:val="16"/>
    </w:rPr>
  </w:style>
  <w:style w:type="paragraph" w:styleId="42">
    <w:name w:val="table of figures"/>
    <w:basedOn w:val="1"/>
    <w:next w:val="1"/>
    <w:qFormat/>
    <w:uiPriority w:val="0"/>
    <w:pPr>
      <w:ind w:left="200" w:leftChars="200" w:hanging="200" w:hangingChars="200"/>
    </w:pPr>
    <w:rPr>
      <w:szCs w:val="24"/>
    </w:rPr>
  </w:style>
  <w:style w:type="paragraph" w:styleId="43">
    <w:name w:val="toc 2"/>
    <w:basedOn w:val="1"/>
    <w:next w:val="1"/>
    <w:qFormat/>
    <w:uiPriority w:val="39"/>
    <w:pPr>
      <w:ind w:left="340"/>
      <w:jc w:val="left"/>
    </w:pPr>
    <w:rPr>
      <w:rFonts w:asciiTheme="minorHAnsi" w:hAnsiTheme="minorHAnsi"/>
      <w:smallCaps/>
      <w:sz w:val="20"/>
    </w:rPr>
  </w:style>
  <w:style w:type="paragraph" w:styleId="44">
    <w:name w:val="toc 9"/>
    <w:basedOn w:val="1"/>
    <w:next w:val="1"/>
    <w:qFormat/>
    <w:uiPriority w:val="0"/>
    <w:pPr>
      <w:ind w:left="2720"/>
      <w:jc w:val="left"/>
    </w:pPr>
    <w:rPr>
      <w:rFonts w:asciiTheme="minorHAnsi" w:hAnsiTheme="minorHAnsi"/>
      <w:sz w:val="18"/>
      <w:szCs w:val="18"/>
    </w:rPr>
  </w:style>
  <w:style w:type="paragraph" w:styleId="45">
    <w:name w:val="Body Text 2"/>
    <w:basedOn w:val="1"/>
    <w:link w:val="655"/>
    <w:qFormat/>
    <w:uiPriority w:val="0"/>
    <w:pPr>
      <w:widowControl/>
      <w:spacing w:after="120" w:line="480" w:lineRule="auto"/>
      <w:jc w:val="left"/>
    </w:pPr>
  </w:style>
  <w:style w:type="paragraph" w:styleId="46">
    <w:name w:val="List 4"/>
    <w:basedOn w:val="1"/>
    <w:qFormat/>
    <w:uiPriority w:val="0"/>
    <w:pPr>
      <w:adjustRightInd w:val="0"/>
      <w:spacing w:line="360" w:lineRule="atLeast"/>
      <w:ind w:left="100" w:leftChars="600" w:hanging="200" w:hangingChars="200"/>
      <w:jc w:val="left"/>
      <w:textAlignment w:val="baseline"/>
    </w:pPr>
    <w:rPr>
      <w:sz w:val="24"/>
    </w:rPr>
  </w:style>
  <w:style w:type="paragraph" w:styleId="47">
    <w:name w:val="List Continue 2"/>
    <w:basedOn w:val="1"/>
    <w:qFormat/>
    <w:uiPriority w:val="0"/>
    <w:pPr>
      <w:adjustRightInd w:val="0"/>
      <w:spacing w:after="120" w:line="360" w:lineRule="atLeast"/>
      <w:ind w:left="840" w:leftChars="400"/>
      <w:jc w:val="left"/>
      <w:textAlignment w:val="baseline"/>
    </w:pPr>
    <w:rPr>
      <w:sz w:val="24"/>
    </w:rPr>
  </w:style>
  <w:style w:type="paragraph" w:styleId="48">
    <w:name w:val="Message Header"/>
    <w:basedOn w:val="21"/>
    <w:link w:val="637"/>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49">
    <w:name w:val="HTML Preformatted"/>
    <w:basedOn w:val="1"/>
    <w:link w:val="5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50">
    <w:name w:val="Normal (Web)"/>
    <w:basedOn w:val="1"/>
    <w:link w:val="649"/>
    <w:qFormat/>
    <w:uiPriority w:val="99"/>
    <w:pPr>
      <w:widowControl/>
      <w:spacing w:before="100" w:beforeAutospacing="1" w:after="100" w:afterAutospacing="1"/>
      <w:jc w:val="left"/>
    </w:pPr>
    <w:rPr>
      <w:rFonts w:hAnsi="宋体"/>
      <w:sz w:val="24"/>
      <w:szCs w:val="24"/>
    </w:rPr>
  </w:style>
  <w:style w:type="paragraph" w:styleId="51">
    <w:name w:val="index 1"/>
    <w:basedOn w:val="1"/>
    <w:next w:val="1"/>
    <w:qFormat/>
    <w:uiPriority w:val="0"/>
    <w:rPr>
      <w:szCs w:val="24"/>
    </w:rPr>
  </w:style>
  <w:style w:type="paragraph" w:styleId="52">
    <w:name w:val="Title"/>
    <w:basedOn w:val="1"/>
    <w:link w:val="648"/>
    <w:qFormat/>
    <w:uiPriority w:val="0"/>
    <w:pPr>
      <w:spacing w:before="240" w:after="60"/>
      <w:jc w:val="center"/>
      <w:outlineLvl w:val="0"/>
    </w:pPr>
    <w:rPr>
      <w:rFonts w:ascii="Arial" w:hAnsi="Arial" w:cs="Arial"/>
      <w:b/>
      <w:bCs/>
      <w:sz w:val="32"/>
      <w:szCs w:val="32"/>
    </w:rPr>
  </w:style>
  <w:style w:type="paragraph" w:styleId="53">
    <w:name w:val="annotation subject"/>
    <w:basedOn w:val="17"/>
    <w:next w:val="17"/>
    <w:link w:val="526"/>
    <w:qFormat/>
    <w:uiPriority w:val="0"/>
    <w:rPr>
      <w:rFonts w:ascii="Times New Roman"/>
      <w:b/>
      <w:bCs/>
      <w:kern w:val="0"/>
      <w:sz w:val="20"/>
    </w:rPr>
  </w:style>
  <w:style w:type="paragraph" w:styleId="54">
    <w:name w:val="Body Text First Indent"/>
    <w:basedOn w:val="21"/>
    <w:link w:val="654"/>
    <w:qFormat/>
    <w:uiPriority w:val="0"/>
    <w:pPr>
      <w:adjustRightInd w:val="0"/>
      <w:snapToGrid w:val="0"/>
      <w:spacing w:line="400" w:lineRule="exact"/>
      <w:ind w:firstLine="510"/>
    </w:pPr>
    <w:rPr>
      <w:sz w:val="24"/>
    </w:rPr>
  </w:style>
  <w:style w:type="paragraph" w:styleId="55">
    <w:name w:val="Body Text First Indent 2"/>
    <w:basedOn w:val="22"/>
    <w:link w:val="533"/>
    <w:qFormat/>
    <w:uiPriority w:val="0"/>
    <w:pPr>
      <w:ind w:firstLine="420" w:firstLineChars="200"/>
    </w:pPr>
    <w:rPr>
      <w:rFonts w:ascii="Arial" w:hAnsi="Arial"/>
      <w:b/>
      <w:bCs/>
      <w:szCs w:val="28"/>
    </w:rPr>
  </w:style>
  <w:style w:type="table" w:styleId="57">
    <w:name w:val="Table Grid"/>
    <w:basedOn w:val="56"/>
    <w:unhideWhenUsed/>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59">
    <w:name w:val="Strong"/>
    <w:qFormat/>
    <w:uiPriority w:val="0"/>
    <w:rPr>
      <w:b/>
      <w:bCs/>
    </w:rPr>
  </w:style>
  <w:style w:type="character" w:styleId="60">
    <w:name w:val="page number"/>
    <w:basedOn w:val="58"/>
    <w:qFormat/>
    <w:uiPriority w:val="0"/>
  </w:style>
  <w:style w:type="character" w:styleId="61">
    <w:name w:val="FollowedHyperlink"/>
    <w:basedOn w:val="58"/>
    <w:semiHidden/>
    <w:unhideWhenUsed/>
    <w:qFormat/>
    <w:uiPriority w:val="0"/>
    <w:rPr>
      <w:color w:val="338DE6"/>
      <w:u w:val="none"/>
    </w:rPr>
  </w:style>
  <w:style w:type="character" w:styleId="62">
    <w:name w:val="Emphasis"/>
    <w:qFormat/>
    <w:uiPriority w:val="0"/>
    <w:rPr>
      <w:rFonts w:cs="Times New Roman"/>
      <w:i/>
      <w:iCs/>
    </w:rPr>
  </w:style>
  <w:style w:type="character" w:styleId="63">
    <w:name w:val="HTML Definition"/>
    <w:basedOn w:val="58"/>
    <w:semiHidden/>
    <w:unhideWhenUsed/>
    <w:qFormat/>
    <w:uiPriority w:val="0"/>
  </w:style>
  <w:style w:type="character" w:styleId="64">
    <w:name w:val="HTML Variable"/>
    <w:basedOn w:val="58"/>
    <w:semiHidden/>
    <w:unhideWhenUsed/>
    <w:qFormat/>
    <w:uiPriority w:val="0"/>
  </w:style>
  <w:style w:type="character" w:styleId="65">
    <w:name w:val="Hyperlink"/>
    <w:basedOn w:val="58"/>
    <w:qFormat/>
    <w:uiPriority w:val="99"/>
    <w:rPr>
      <w:color w:val="1771B7"/>
    </w:rPr>
  </w:style>
  <w:style w:type="character" w:styleId="66">
    <w:name w:val="HTML Code"/>
    <w:basedOn w:val="58"/>
    <w:semiHidden/>
    <w:unhideWhenUsed/>
    <w:qFormat/>
    <w:uiPriority w:val="0"/>
    <w:rPr>
      <w:rFonts w:ascii="serif" w:hAnsi="serif" w:eastAsia="serif" w:cs="serif"/>
      <w:sz w:val="21"/>
      <w:szCs w:val="21"/>
    </w:rPr>
  </w:style>
  <w:style w:type="character" w:styleId="67">
    <w:name w:val="annotation reference"/>
    <w:qFormat/>
    <w:uiPriority w:val="0"/>
    <w:rPr>
      <w:sz w:val="21"/>
      <w:szCs w:val="21"/>
    </w:rPr>
  </w:style>
  <w:style w:type="character" w:styleId="68">
    <w:name w:val="HTML Cite"/>
    <w:basedOn w:val="58"/>
    <w:semiHidden/>
    <w:unhideWhenUsed/>
    <w:qFormat/>
    <w:uiPriority w:val="0"/>
  </w:style>
  <w:style w:type="character" w:styleId="69">
    <w:name w:val="HTML Keyboard"/>
    <w:basedOn w:val="58"/>
    <w:semiHidden/>
    <w:unhideWhenUsed/>
    <w:qFormat/>
    <w:uiPriority w:val="0"/>
    <w:rPr>
      <w:rFonts w:hint="default" w:ascii="serif" w:hAnsi="serif" w:eastAsia="serif" w:cs="serif"/>
      <w:sz w:val="21"/>
      <w:szCs w:val="21"/>
    </w:rPr>
  </w:style>
  <w:style w:type="character" w:styleId="70">
    <w:name w:val="HTML Sample"/>
    <w:basedOn w:val="58"/>
    <w:semiHidden/>
    <w:unhideWhenUsed/>
    <w:qFormat/>
    <w:uiPriority w:val="0"/>
    <w:rPr>
      <w:rFonts w:hint="default" w:ascii="serif" w:hAnsi="serif" w:eastAsia="serif" w:cs="serif"/>
      <w:sz w:val="21"/>
      <w:szCs w:val="21"/>
    </w:rPr>
  </w:style>
  <w:style w:type="character" w:customStyle="1" w:styleId="71">
    <w:name w:val="标题 3 Char"/>
    <w:basedOn w:val="58"/>
    <w:qFormat/>
    <w:uiPriority w:val="0"/>
    <w:rPr>
      <w:rFonts w:ascii="宋体" w:hAnsi="Times New Roman" w:eastAsia="宋体" w:cs="Times New Roman"/>
      <w:b/>
      <w:bCs/>
      <w:kern w:val="0"/>
      <w:sz w:val="32"/>
      <w:szCs w:val="32"/>
    </w:rPr>
  </w:style>
  <w:style w:type="character" w:customStyle="1" w:styleId="72">
    <w:name w:val="批注文字 Char"/>
    <w:qFormat/>
    <w:uiPriority w:val="0"/>
    <w:rPr>
      <w:rFonts w:eastAsia="宋体"/>
      <w:kern w:val="2"/>
      <w:sz w:val="21"/>
      <w:lang w:val="en-US" w:eastAsia="zh-CN" w:bidi="ar-SA"/>
    </w:rPr>
  </w:style>
  <w:style w:type="character" w:customStyle="1" w:styleId="73">
    <w:name w:val="页脚 Char"/>
    <w:qFormat/>
    <w:uiPriority w:val="0"/>
    <w:rPr>
      <w:rFonts w:ascii="宋体" w:eastAsia="宋体"/>
      <w:sz w:val="18"/>
      <w:lang w:val="en-US" w:eastAsia="zh-CN" w:bidi="ar-SA"/>
    </w:rPr>
  </w:style>
  <w:style w:type="character" w:customStyle="1" w:styleId="74">
    <w:name w:val="页眉 Char"/>
    <w:qFormat/>
    <w:uiPriority w:val="0"/>
    <w:rPr>
      <w:rFonts w:ascii="宋体" w:eastAsia="宋体"/>
      <w:sz w:val="18"/>
      <w:lang w:val="en-US" w:eastAsia="zh-CN" w:bidi="ar-SA"/>
    </w:rPr>
  </w:style>
  <w:style w:type="paragraph" w:customStyle="1" w:styleId="75">
    <w:name w:val="标准文件_标准正文"/>
    <w:basedOn w:val="1"/>
    <w:link w:val="509"/>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76">
    <w:name w:val="正文（绿盟科技）"/>
    <w:link w:val="530"/>
    <w:qFormat/>
    <w:uiPriority w:val="0"/>
    <w:pPr>
      <w:spacing w:line="300" w:lineRule="auto"/>
    </w:pPr>
    <w:rPr>
      <w:rFonts w:ascii="Times New Roman" w:hAnsi="Times New Roman" w:eastAsia="宋体" w:cs="Times New Roman"/>
      <w:szCs w:val="21"/>
      <w:lang w:val="en-US" w:eastAsia="zh-CN" w:bidi="ar-SA"/>
    </w:rPr>
  </w:style>
  <w:style w:type="paragraph" w:customStyle="1" w:styleId="77">
    <w:name w:val="金宏发行正文 Char"/>
    <w:basedOn w:val="1"/>
    <w:link w:val="556"/>
    <w:qFormat/>
    <w:uiPriority w:val="0"/>
    <w:pPr>
      <w:spacing w:line="500" w:lineRule="exact"/>
      <w:ind w:firstLine="560" w:firstLineChars="200"/>
    </w:pPr>
    <w:rPr>
      <w:rFonts w:ascii="Times New Roman" w:eastAsia="仿宋_GB2312"/>
      <w:sz w:val="28"/>
    </w:rPr>
  </w:style>
  <w:style w:type="paragraph" w:customStyle="1" w:styleId="78">
    <w:name w:val="aaaaa"/>
    <w:basedOn w:val="1"/>
    <w:link w:val="559"/>
    <w:qFormat/>
    <w:uiPriority w:val="0"/>
    <w:pPr>
      <w:spacing w:line="360" w:lineRule="auto"/>
      <w:ind w:firstLine="480" w:firstLineChars="200"/>
    </w:pPr>
    <w:rPr>
      <w:rFonts w:ascii="Times New Roman"/>
      <w:sz w:val="24"/>
      <w:szCs w:val="24"/>
    </w:rPr>
  </w:style>
  <w:style w:type="paragraph" w:customStyle="1" w:styleId="79">
    <w:name w:val="标准文件_一级项目符号 Char Char"/>
    <w:next w:val="75"/>
    <w:link w:val="560"/>
    <w:qFormat/>
    <w:uiPriority w:val="0"/>
    <w:pPr>
      <w:tabs>
        <w:tab w:val="left" w:pos="907"/>
      </w:tabs>
      <w:adjustRightInd w:val="0"/>
      <w:snapToGrid w:val="0"/>
      <w:spacing w:line="300" w:lineRule="auto"/>
      <w:ind w:left="1134" w:hanging="567"/>
    </w:pPr>
    <w:rPr>
      <w:rFonts w:ascii="Verdana" w:hAnsi="Verdana" w:eastAsia="Times New Roman" w:cs="Times New Roman"/>
      <w:b/>
      <w:bCs/>
      <w:color w:val="000000"/>
      <w:spacing w:val="2"/>
      <w:sz w:val="24"/>
      <w:szCs w:val="24"/>
      <w:lang w:val="en-US" w:eastAsia="zh-CN" w:bidi="ar-SA"/>
    </w:rPr>
  </w:style>
  <w:style w:type="paragraph" w:customStyle="1" w:styleId="80">
    <w:name w:val="Numbered list 2.3"/>
    <w:basedOn w:val="4"/>
    <w:next w:val="1"/>
    <w:link w:val="563"/>
    <w:qFormat/>
    <w:uiPriority w:val="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81">
    <w:name w:val="无间隔1"/>
    <w:link w:val="564"/>
    <w:qFormat/>
    <w:uiPriority w:val="1"/>
    <w:rPr>
      <w:rFonts w:ascii="Calibri" w:hAnsi="Calibri" w:eastAsia="宋体" w:cs="Times New Roman"/>
      <w:sz w:val="22"/>
      <w:lang w:val="en-US" w:eastAsia="zh-CN" w:bidi="ar-SA"/>
    </w:rPr>
  </w:style>
  <w:style w:type="paragraph" w:customStyle="1" w:styleId="82">
    <w:name w:val="标书正文:  0.74 厘米"/>
    <w:basedOn w:val="1"/>
    <w:link w:val="569"/>
    <w:qFormat/>
    <w:uiPriority w:val="0"/>
    <w:pPr>
      <w:snapToGrid w:val="0"/>
      <w:spacing w:line="360" w:lineRule="auto"/>
      <w:ind w:firstLine="420"/>
    </w:pPr>
    <w:rPr>
      <w:rFonts w:ascii="Times New Roman"/>
      <w:sz w:val="24"/>
    </w:rPr>
  </w:style>
  <w:style w:type="paragraph" w:customStyle="1" w:styleId="83">
    <w:name w:val="正文111"/>
    <w:basedOn w:val="1"/>
    <w:link w:val="571"/>
    <w:qFormat/>
    <w:uiPriority w:val="0"/>
    <w:pPr>
      <w:spacing w:beforeLines="50" w:line="360" w:lineRule="auto"/>
      <w:ind w:firstLine="200" w:firstLineChars="200"/>
    </w:pPr>
    <w:rPr>
      <w:rFonts w:ascii="Times New Roman"/>
      <w:sz w:val="24"/>
    </w:rPr>
  </w:style>
  <w:style w:type="paragraph" w:customStyle="1" w:styleId="84">
    <w:name w:val="样式 样式 标书正文 + 首行缩进:  0.01 字符 + 首行缩进:  0.01 字符"/>
    <w:basedOn w:val="1"/>
    <w:link w:val="575"/>
    <w:qFormat/>
    <w:uiPriority w:val="0"/>
    <w:pPr>
      <w:adjustRightInd w:val="0"/>
      <w:snapToGrid w:val="0"/>
      <w:spacing w:afterLines="50" w:line="360" w:lineRule="auto"/>
      <w:ind w:left="-2" w:leftChars="-2" w:firstLine="200" w:firstLineChars="200"/>
    </w:pPr>
    <w:rPr>
      <w:rFonts w:hAnsi="宋体"/>
      <w:sz w:val="28"/>
    </w:rPr>
  </w:style>
  <w:style w:type="paragraph" w:customStyle="1" w:styleId="85">
    <w:name w:val="正文段落"/>
    <w:basedOn w:val="1"/>
    <w:link w:val="578"/>
    <w:qFormat/>
    <w:uiPriority w:val="0"/>
    <w:pPr>
      <w:spacing w:line="360" w:lineRule="auto"/>
      <w:ind w:right="320" w:firstLine="480" w:firstLineChars="200"/>
    </w:pPr>
    <w:rPr>
      <w:rFonts w:hAnsi="宋体"/>
      <w:sz w:val="24"/>
      <w:szCs w:val="24"/>
    </w:rPr>
  </w:style>
  <w:style w:type="paragraph" w:customStyle="1" w:styleId="86">
    <w:name w:val="正文（首行缩进）"/>
    <w:basedOn w:val="1"/>
    <w:link w:val="585"/>
    <w:qFormat/>
    <w:uiPriority w:val="0"/>
    <w:pPr>
      <w:spacing w:line="360" w:lineRule="auto"/>
      <w:ind w:firstLine="420"/>
    </w:pPr>
    <w:rPr>
      <w:rFonts w:ascii="Times New Roman"/>
      <w:sz w:val="24"/>
    </w:rPr>
  </w:style>
  <w:style w:type="paragraph" w:customStyle="1" w:styleId="87">
    <w:name w:val="文档正文"/>
    <w:basedOn w:val="1"/>
    <w:link w:val="524"/>
    <w:qFormat/>
    <w:uiPriority w:val="0"/>
    <w:rPr>
      <w:rFonts w:ascii="Arial" w:hAnsi="Arial"/>
      <w:b/>
      <w:color w:val="FF0000"/>
      <w:sz w:val="20"/>
    </w:rPr>
  </w:style>
  <w:style w:type="paragraph" w:customStyle="1" w:styleId="88">
    <w:name w:val="正文(首行缩进)"/>
    <w:link w:val="594"/>
    <w:qFormat/>
    <w:uiPriority w:val="0"/>
    <w:pPr>
      <w:ind w:firstLine="500" w:firstLineChars="200"/>
      <w:jc w:val="both"/>
    </w:pPr>
    <w:rPr>
      <w:rFonts w:ascii="宋体" w:hAnsi="宋体" w:eastAsia="Times New Roman" w:cs="Times New Roman"/>
      <w:spacing w:val="20"/>
      <w:kern w:val="24"/>
      <w:szCs w:val="21"/>
      <w:lang w:val="en-US" w:eastAsia="zh-CN" w:bidi="ar-SA"/>
    </w:rPr>
  </w:style>
  <w:style w:type="paragraph" w:customStyle="1" w:styleId="89">
    <w:name w:val="正文 首行缩进:  2 字符"/>
    <w:basedOn w:val="1"/>
    <w:link w:val="598"/>
    <w:qFormat/>
    <w:uiPriority w:val="0"/>
    <w:pPr>
      <w:widowControl/>
      <w:spacing w:line="360" w:lineRule="auto"/>
      <w:ind w:firstLine="200" w:firstLineChars="200"/>
      <w:jc w:val="left"/>
    </w:pPr>
    <w:rPr>
      <w:rFonts w:ascii="Verdana" w:hAnsi="Verdana"/>
      <w:sz w:val="24"/>
    </w:rPr>
  </w:style>
  <w:style w:type="paragraph" w:customStyle="1" w:styleId="90">
    <w:name w:val="正文 + 首行缩进:  2 字符"/>
    <w:basedOn w:val="1"/>
    <w:link w:val="601"/>
    <w:qFormat/>
    <w:uiPriority w:val="0"/>
    <w:pPr>
      <w:widowControl/>
      <w:spacing w:line="360" w:lineRule="auto"/>
      <w:ind w:firstLine="480" w:firstLineChars="200"/>
      <w:jc w:val="left"/>
    </w:pPr>
    <w:rPr>
      <w:rFonts w:ascii="Verdana" w:hAnsi="Verdana"/>
      <w:sz w:val="24"/>
    </w:rPr>
  </w:style>
  <w:style w:type="paragraph" w:customStyle="1" w:styleId="91">
    <w:name w:val="tytytyty"/>
    <w:basedOn w:val="1"/>
    <w:link w:val="611"/>
    <w:qFormat/>
    <w:uiPriority w:val="0"/>
    <w:pPr>
      <w:spacing w:line="360" w:lineRule="auto"/>
      <w:ind w:left="359" w:leftChars="171" w:firstLine="480" w:firstLineChars="200"/>
    </w:pPr>
    <w:rPr>
      <w:rFonts w:ascii="Times New Roman"/>
      <w:sz w:val="24"/>
    </w:rPr>
  </w:style>
  <w:style w:type="paragraph" w:customStyle="1" w:styleId="92">
    <w:name w:val="题注xhxia2"/>
    <w:basedOn w:val="15"/>
    <w:link w:val="612"/>
    <w:qFormat/>
    <w:uiPriority w:val="0"/>
    <w:pPr>
      <w:keepNext/>
      <w:spacing w:line="360" w:lineRule="auto"/>
    </w:pPr>
    <w:rPr>
      <w:rFonts w:ascii="黑体" w:hAnsi="黑体" w:eastAsia="黑体" w:cs="Times New Roman"/>
      <w:b w:val="0"/>
      <w:bCs w:val="0"/>
      <w:sz w:val="20"/>
      <w:szCs w:val="21"/>
    </w:rPr>
  </w:style>
  <w:style w:type="paragraph" w:customStyle="1" w:styleId="93">
    <w:name w:val="模板正文"/>
    <w:basedOn w:val="41"/>
    <w:link w:val="623"/>
    <w:qFormat/>
    <w:uiPriority w:val="0"/>
    <w:pPr>
      <w:widowControl/>
      <w:spacing w:before="200" w:after="0" w:line="360" w:lineRule="auto"/>
      <w:ind w:left="0" w:leftChars="0" w:firstLine="480" w:firstLineChars="200"/>
      <w:jc w:val="left"/>
    </w:pPr>
    <w:rPr>
      <w:rFonts w:ascii="Calibri" w:hAnsi="Calibri"/>
      <w:sz w:val="24"/>
      <w:szCs w:val="24"/>
      <w:lang w:bidi="en-US"/>
    </w:rPr>
  </w:style>
  <w:style w:type="paragraph" w:customStyle="1" w:styleId="94">
    <w:name w:val="列出段落1"/>
    <w:basedOn w:val="1"/>
    <w:link w:val="627"/>
    <w:qFormat/>
    <w:uiPriority w:val="99"/>
    <w:pPr>
      <w:ind w:firstLine="420" w:firstLineChars="200"/>
    </w:pPr>
    <w:rPr>
      <w:rFonts w:ascii="Calibri" w:hAnsi="Calibri"/>
      <w:sz w:val="20"/>
    </w:rPr>
  </w:style>
  <w:style w:type="paragraph" w:customStyle="1" w:styleId="95">
    <w:name w:val="标准文件_标准正文 Char Char"/>
    <w:basedOn w:val="1"/>
    <w:link w:val="633"/>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96">
    <w:name w:val="Numbered list 2.4"/>
    <w:basedOn w:val="5"/>
    <w:next w:val="1"/>
    <w:link w:val="634"/>
    <w:qFormat/>
    <w:uiPriority w:val="0"/>
    <w:pPr>
      <w:widowControl/>
      <w:tabs>
        <w:tab w:val="left" w:pos="1080"/>
        <w:tab w:val="left" w:pos="1440"/>
        <w:tab w:val="left" w:pos="1800"/>
      </w:tabs>
      <w:spacing w:before="240" w:after="60" w:line="240" w:lineRule="auto"/>
      <w:ind w:left="1680" w:hanging="420"/>
      <w:jc w:val="left"/>
    </w:pPr>
    <w:rPr>
      <w:rFonts w:ascii="Futura Bk" w:hAnsi="Futura Bk" w:eastAsia="宋体"/>
      <w:bCs w:val="0"/>
      <w:kern w:val="0"/>
      <w:szCs w:val="20"/>
      <w:lang w:eastAsia="en-US"/>
    </w:rPr>
  </w:style>
  <w:style w:type="paragraph" w:customStyle="1" w:styleId="97">
    <w:name w:val="Char Char Char Char Char Char Char Char Char Char"/>
    <w:basedOn w:val="1"/>
    <w:qFormat/>
    <w:uiPriority w:val="0"/>
    <w:rPr>
      <w:rFonts w:ascii="Tahoma" w:hAnsi="Tahoma"/>
      <w:sz w:val="24"/>
    </w:rPr>
  </w:style>
  <w:style w:type="paragraph" w:customStyle="1" w:styleId="98">
    <w:name w:val="zi"/>
    <w:basedOn w:val="1"/>
    <w:qFormat/>
    <w:uiPriority w:val="0"/>
    <w:pPr>
      <w:widowControl/>
      <w:spacing w:before="100" w:beforeAutospacing="1" w:after="100" w:afterAutospacing="1" w:line="336" w:lineRule="atLeast"/>
      <w:jc w:val="left"/>
    </w:pPr>
    <w:rPr>
      <w:rFonts w:ascii="ˎ̥" w:hAnsi="ˎ̥"/>
      <w:color w:val="000000"/>
      <w:sz w:val="22"/>
    </w:rPr>
  </w:style>
  <w:style w:type="paragraph" w:customStyle="1" w:styleId="99">
    <w:name w:val="正文2"/>
    <w:basedOn w:val="100"/>
    <w:qFormat/>
    <w:uiPriority w:val="0"/>
    <w:pPr>
      <w:tabs>
        <w:tab w:val="left" w:pos="420"/>
      </w:tabs>
      <w:ind w:left="420" w:hanging="420" w:firstLineChars="0"/>
    </w:pPr>
  </w:style>
  <w:style w:type="paragraph" w:customStyle="1" w:styleId="100">
    <w:name w:val="正文1"/>
    <w:basedOn w:val="1"/>
    <w:qFormat/>
    <w:uiPriority w:val="0"/>
    <w:pPr>
      <w:spacing w:line="360" w:lineRule="auto"/>
      <w:ind w:firstLine="480" w:firstLineChars="200"/>
    </w:pPr>
    <w:rPr>
      <w:sz w:val="24"/>
      <w:szCs w:val="24"/>
    </w:rPr>
  </w:style>
  <w:style w:type="paragraph" w:customStyle="1" w:styleId="101">
    <w:name w:val="xl57"/>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02">
    <w:name w:val="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3">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104">
    <w:name w:val="列出段落11"/>
    <w:basedOn w:val="1"/>
    <w:qFormat/>
    <w:uiPriority w:val="0"/>
    <w:pPr>
      <w:ind w:firstLine="420" w:firstLineChars="200"/>
    </w:pPr>
    <w:rPr>
      <w:rFonts w:ascii="Calibri" w:hAnsi="Calibri"/>
      <w:szCs w:val="22"/>
    </w:rPr>
  </w:style>
  <w:style w:type="paragraph" w:customStyle="1" w:styleId="105">
    <w:name w:val="标题 3（网御星云）"/>
    <w:basedOn w:val="4"/>
    <w:next w:val="1"/>
    <w:qFormat/>
    <w:uiPriority w:val="0"/>
    <w:pPr>
      <w:widowControl w:val="0"/>
      <w:tabs>
        <w:tab w:val="left" w:pos="960"/>
      </w:tabs>
      <w:ind w:left="907" w:hanging="907"/>
    </w:pPr>
    <w:rPr>
      <w:rFonts w:ascii="Arial" w:hAnsi="Arial" w:eastAsia="黑体"/>
      <w:bCs w:val="0"/>
      <w:sz w:val="30"/>
      <w:szCs w:val="30"/>
    </w:rPr>
  </w:style>
  <w:style w:type="paragraph" w:customStyle="1" w:styleId="106">
    <w:name w:val="样式 标题 55l4第四层条H5标题5Block Labelh5Second SubheadingLevel ..."/>
    <w:basedOn w:val="6"/>
    <w:qFormat/>
    <w:uiPriority w:val="0"/>
    <w:pPr>
      <w:tabs>
        <w:tab w:val="left" w:pos="1080"/>
        <w:tab w:val="left" w:pos="3600"/>
      </w:tabs>
      <w:spacing w:before="120" w:after="120" w:line="480" w:lineRule="exact"/>
      <w:ind w:left="3600" w:hanging="360"/>
    </w:pPr>
    <w:rPr>
      <w:rFonts w:ascii="Times New Roman" w:hAnsi="Times New Roman" w:eastAsia="宋体"/>
      <w:szCs w:val="20"/>
    </w:rPr>
  </w:style>
  <w:style w:type="paragraph" w:customStyle="1" w:styleId="107">
    <w:name w:val="Table Text"/>
    <w:basedOn w:val="1"/>
    <w:qFormat/>
    <w:uiPriority w:val="0"/>
    <w:pPr>
      <w:widowControl/>
      <w:tabs>
        <w:tab w:val="left" w:pos="1680"/>
      </w:tabs>
      <w:spacing w:before="60" w:after="60"/>
    </w:pPr>
    <w:rPr>
      <w:rFonts w:ascii="Arial" w:hAnsi="Arial"/>
      <w:sz w:val="20"/>
    </w:rPr>
  </w:style>
  <w:style w:type="paragraph" w:customStyle="1" w:styleId="108">
    <w:name w:val="样式 标题 1H1h1Level 1 Topic HeadingHeading 0Heading OnePIM 1..."/>
    <w:basedOn w:val="2"/>
    <w:qFormat/>
    <w:uiPriority w:val="0"/>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109">
    <w:name w:val="页脚 New New New New"/>
    <w:basedOn w:val="110"/>
    <w:qFormat/>
    <w:uiPriority w:val="0"/>
    <w:pPr>
      <w:tabs>
        <w:tab w:val="center" w:pos="4153"/>
        <w:tab w:val="right" w:pos="8306"/>
      </w:tabs>
      <w:snapToGrid w:val="0"/>
      <w:jc w:val="left"/>
    </w:pPr>
    <w:rPr>
      <w:sz w:val="18"/>
      <w:szCs w:val="18"/>
    </w:rPr>
  </w:style>
  <w:style w:type="paragraph" w:customStyle="1" w:styleId="110">
    <w:name w:val="正文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11">
    <w:name w:val="pa-20"/>
    <w:basedOn w:val="1"/>
    <w:qFormat/>
    <w:uiPriority w:val="0"/>
    <w:pPr>
      <w:widowControl/>
      <w:spacing w:line="280" w:lineRule="atLeast"/>
      <w:ind w:firstLine="480"/>
    </w:pPr>
    <w:rPr>
      <w:rFonts w:hAnsi="宋体" w:cs="宋体"/>
      <w:sz w:val="24"/>
      <w:szCs w:val="24"/>
    </w:rPr>
  </w:style>
  <w:style w:type="paragraph" w:customStyle="1" w:styleId="112">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sz w:val="24"/>
      <w:szCs w:val="24"/>
    </w:rPr>
  </w:style>
  <w:style w:type="paragraph" w:customStyle="1" w:styleId="113">
    <w:name w:val="标题 21"/>
    <w:basedOn w:val="114"/>
    <w:next w:val="114"/>
    <w:qFormat/>
    <w:uiPriority w:val="0"/>
    <w:rPr>
      <w:rFonts w:ascii="Arial,BoldItalic" w:hAnsi="Arial,BoldItalic" w:cs="Times New Roman"/>
      <w:color w:val="auto"/>
    </w:rPr>
  </w:style>
  <w:style w:type="paragraph" w:customStyle="1" w:styleId="11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15">
    <w:name w:val="Dokumententext"/>
    <w:qFormat/>
    <w:uiPriority w:val="0"/>
    <w:pPr>
      <w:tabs>
        <w:tab w:val="left" w:pos="1680"/>
      </w:tabs>
      <w:ind w:left="992"/>
    </w:pPr>
    <w:rPr>
      <w:rFonts w:ascii="Arial" w:hAnsi="Arial" w:eastAsia="宋体" w:cs="Times New Roman"/>
      <w:lang w:val="en-US" w:eastAsia="zh-CN" w:bidi="ar-SA"/>
    </w:rPr>
  </w:style>
  <w:style w:type="paragraph" w:customStyle="1" w:styleId="116">
    <w:name w:val="xl65"/>
    <w:basedOn w:val="1"/>
    <w:qFormat/>
    <w:uiPriority w:val="0"/>
    <w:pPr>
      <w:widowControl/>
      <w:pBdr>
        <w:top w:val="single" w:color="000000" w:sz="8"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17">
    <w:name w:val="pa-2"/>
    <w:basedOn w:val="1"/>
    <w:qFormat/>
    <w:uiPriority w:val="0"/>
    <w:pPr>
      <w:widowControl/>
      <w:spacing w:line="280" w:lineRule="atLeast"/>
    </w:pPr>
    <w:rPr>
      <w:rFonts w:hAnsi="宋体" w:cs="宋体"/>
      <w:sz w:val="24"/>
      <w:szCs w:val="24"/>
    </w:rPr>
  </w:style>
  <w:style w:type="paragraph" w:customStyle="1" w:styleId="118">
    <w:name w:val="目录"/>
    <w:basedOn w:val="1"/>
    <w:qFormat/>
    <w:uiPriority w:val="0"/>
    <w:pPr>
      <w:widowControl/>
      <w:jc w:val="center"/>
    </w:pPr>
    <w:rPr>
      <w:b/>
      <w:sz w:val="36"/>
    </w:rPr>
  </w:style>
  <w:style w:type="paragraph" w:customStyle="1" w:styleId="119">
    <w:name w:val="二级无标题条"/>
    <w:basedOn w:val="1"/>
    <w:qFormat/>
    <w:uiPriority w:val="0"/>
    <w:pPr>
      <w:tabs>
        <w:tab w:val="left" w:pos="2880"/>
      </w:tabs>
      <w:ind w:left="2880" w:hanging="360"/>
    </w:pPr>
  </w:style>
  <w:style w:type="paragraph" w:customStyle="1" w:styleId="120">
    <w:name w:val="样式16"/>
    <w:basedOn w:val="2"/>
    <w:qFormat/>
    <w:uiPriority w:val="0"/>
  </w:style>
  <w:style w:type="paragraph" w:customStyle="1" w:styleId="121">
    <w:name w:val="页脚 New New New New New New New New"/>
    <w:basedOn w:val="122"/>
    <w:qFormat/>
    <w:uiPriority w:val="0"/>
    <w:pPr>
      <w:tabs>
        <w:tab w:val="center" w:pos="4153"/>
        <w:tab w:val="right" w:pos="8306"/>
      </w:tabs>
      <w:snapToGrid w:val="0"/>
      <w:jc w:val="left"/>
    </w:pPr>
    <w:rPr>
      <w:sz w:val="18"/>
      <w:szCs w:val="18"/>
    </w:rPr>
  </w:style>
  <w:style w:type="paragraph" w:customStyle="1" w:styleId="122">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标题 31"/>
    <w:basedOn w:val="114"/>
    <w:next w:val="114"/>
    <w:qFormat/>
    <w:uiPriority w:val="0"/>
    <w:rPr>
      <w:rFonts w:ascii="Arial,BoldItalic" w:hAnsi="Arial,BoldItalic" w:cs="Times New Roman"/>
      <w:color w:val="auto"/>
    </w:rPr>
  </w:style>
  <w:style w:type="paragraph" w:customStyle="1" w:styleId="124">
    <w:name w:val="p15"/>
    <w:basedOn w:val="1"/>
    <w:qFormat/>
    <w:uiPriority w:val="0"/>
    <w:pPr>
      <w:widowControl/>
      <w:ind w:left="5250"/>
    </w:pPr>
    <w:rPr>
      <w:szCs w:val="21"/>
    </w:rPr>
  </w:style>
  <w:style w:type="paragraph" w:customStyle="1" w:styleId="125">
    <w:name w:val="正文-宋体五号"/>
    <w:basedOn w:val="1"/>
    <w:qFormat/>
    <w:uiPriority w:val="0"/>
    <w:pPr>
      <w:widowControl/>
      <w:spacing w:after="160" w:line="240" w:lineRule="exact"/>
      <w:jc w:val="left"/>
    </w:pPr>
    <w:rPr>
      <w:rFonts w:ascii="Verdana" w:hAnsi="Verdana"/>
      <w:sz w:val="20"/>
      <w:lang w:eastAsia="en-US"/>
    </w:rPr>
  </w:style>
  <w:style w:type="paragraph" w:customStyle="1" w:styleId="126">
    <w:name w:val="表格文字"/>
    <w:basedOn w:val="1"/>
    <w:qFormat/>
    <w:uiPriority w:val="0"/>
    <w:rPr>
      <w:rFonts w:hAnsi="宋体"/>
      <w:sz w:val="18"/>
      <w:szCs w:val="18"/>
    </w:rPr>
  </w:style>
  <w:style w:type="paragraph" w:customStyle="1" w:styleId="127">
    <w:name w:val="p16"/>
    <w:basedOn w:val="1"/>
    <w:qFormat/>
    <w:uiPriority w:val="0"/>
    <w:pPr>
      <w:widowControl/>
    </w:pPr>
    <w:rPr>
      <w:szCs w:val="21"/>
    </w:rPr>
  </w:style>
  <w:style w:type="paragraph" w:customStyle="1" w:styleId="128">
    <w:name w:val="样式 左 首行缩进:  1 字符1"/>
    <w:basedOn w:val="1"/>
    <w:qFormat/>
    <w:uiPriority w:val="0"/>
    <w:pPr>
      <w:ind w:firstLine="240" w:firstLineChars="100"/>
      <w:jc w:val="left"/>
    </w:pPr>
    <w:rPr>
      <w:rFonts w:cs="宋体"/>
      <w:sz w:val="24"/>
    </w:rPr>
  </w:style>
  <w:style w:type="paragraph" w:customStyle="1" w:styleId="129">
    <w:name w:val="符号标题3"/>
    <w:basedOn w:val="1"/>
    <w:qFormat/>
    <w:uiPriority w:val="0"/>
    <w:pPr>
      <w:spacing w:line="360" w:lineRule="auto"/>
      <w:ind w:firstLine="482" w:firstLineChars="200"/>
    </w:pPr>
    <w:rPr>
      <w:rFonts w:hAnsi="宋体"/>
      <w:szCs w:val="24"/>
    </w:rPr>
  </w:style>
  <w:style w:type="paragraph" w:customStyle="1" w:styleId="130">
    <w:name w:val="xl4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31">
    <w:name w:val="样式 首行缩进:  0.74 厘米"/>
    <w:basedOn w:val="1"/>
    <w:qFormat/>
    <w:uiPriority w:val="0"/>
    <w:pPr>
      <w:spacing w:line="360" w:lineRule="auto"/>
      <w:ind w:left="75" w:leftChars="75" w:firstLine="200" w:firstLineChars="200"/>
    </w:pPr>
    <w:rPr>
      <w:sz w:val="24"/>
    </w:rPr>
  </w:style>
  <w:style w:type="paragraph" w:customStyle="1" w:styleId="132">
    <w:name w:val="xl77"/>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33">
    <w:name w:val="Body"/>
    <w:basedOn w:val="1"/>
    <w:qFormat/>
    <w:uiPriority w:val="0"/>
    <w:pPr>
      <w:widowControl/>
      <w:spacing w:before="120" w:after="60" w:line="280" w:lineRule="exact"/>
      <w:jc w:val="left"/>
    </w:pPr>
    <w:rPr>
      <w:kern w:val="20"/>
      <w:sz w:val="20"/>
    </w:rPr>
  </w:style>
  <w:style w:type="paragraph" w:customStyle="1" w:styleId="134">
    <w:name w:val="pa-0"/>
    <w:basedOn w:val="1"/>
    <w:qFormat/>
    <w:uiPriority w:val="0"/>
    <w:pPr>
      <w:widowControl/>
      <w:spacing w:line="240" w:lineRule="atLeast"/>
    </w:pPr>
    <w:rPr>
      <w:rFonts w:hAnsi="宋体" w:cs="宋体"/>
      <w:sz w:val="24"/>
      <w:szCs w:val="24"/>
    </w:rPr>
  </w:style>
  <w:style w:type="paragraph" w:customStyle="1" w:styleId="135">
    <w:name w:val="jin3"/>
    <w:basedOn w:val="4"/>
    <w:qFormat/>
    <w:uiPriority w:val="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136">
    <w:name w:val="SideBar"/>
    <w:basedOn w:val="1"/>
    <w:qFormat/>
    <w:uiPriority w:val="0"/>
    <w:pPr>
      <w:widowControl/>
      <w:spacing w:before="120"/>
      <w:jc w:val="left"/>
    </w:pPr>
    <w:rPr>
      <w:rFonts w:ascii="New Century Schlbk" w:hAnsi="New Century Schlbk"/>
      <w:sz w:val="22"/>
    </w:rPr>
  </w:style>
  <w:style w:type="paragraph" w:customStyle="1" w:styleId="137">
    <w:name w:val="标签"/>
    <w:basedOn w:val="1"/>
    <w:qFormat/>
    <w:uiPriority w:val="0"/>
    <w:pPr>
      <w:suppressLineNumbers/>
      <w:suppressAutoHyphens/>
      <w:spacing w:before="120" w:after="120" w:line="360" w:lineRule="auto"/>
    </w:pPr>
    <w:rPr>
      <w:rFonts w:cs="Tahoma"/>
      <w:i/>
      <w:iCs/>
      <w:kern w:val="1"/>
      <w:sz w:val="20"/>
      <w:lang w:eastAsia="ar-SA"/>
    </w:rPr>
  </w:style>
  <w:style w:type="paragraph" w:customStyle="1" w:styleId="138">
    <w:name w:val="普通 (Web)"/>
    <w:basedOn w:val="1"/>
    <w:qFormat/>
    <w:uiPriority w:val="0"/>
    <w:pPr>
      <w:widowControl/>
      <w:spacing w:before="100" w:beforeAutospacing="1" w:after="100" w:afterAutospacing="1"/>
      <w:jc w:val="left"/>
    </w:pPr>
    <w:rPr>
      <w:rFonts w:hAnsi="宋体"/>
      <w:color w:val="000000"/>
      <w:sz w:val="24"/>
      <w:szCs w:val="24"/>
    </w:rPr>
  </w:style>
  <w:style w:type="paragraph" w:customStyle="1" w:styleId="13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xl42"/>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41">
    <w:name w:val="标准文件_四级条标题"/>
    <w:basedOn w:val="142"/>
    <w:next w:val="1"/>
    <w:qFormat/>
    <w:uiPriority w:val="0"/>
    <w:pPr>
      <w:spacing w:before="0" w:after="0"/>
      <w:ind w:left="0"/>
      <w:jc w:val="left"/>
      <w:outlineLvl w:val="5"/>
    </w:pPr>
    <w:rPr>
      <w:sz w:val="24"/>
    </w:rPr>
  </w:style>
  <w:style w:type="paragraph" w:customStyle="1" w:styleId="142">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143">
    <w:name w:val="xl76"/>
    <w:basedOn w:val="1"/>
    <w:qFormat/>
    <w:uiPriority w:val="0"/>
    <w:pPr>
      <w:widowControl/>
      <w:pBdr>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44">
    <w:name w:val="xl90"/>
    <w:basedOn w:val="1"/>
    <w:qFormat/>
    <w:uiPriority w:val="0"/>
    <w:pPr>
      <w:widowControl/>
      <w:pBdr>
        <w:top w:val="single" w:color="000000" w:sz="8" w:space="0"/>
        <w:bottom w:val="single" w:color="000000" w:sz="2" w:space="0"/>
      </w:pBdr>
      <w:suppressAutoHyphens/>
      <w:spacing w:before="280" w:after="280"/>
      <w:jc w:val="center"/>
      <w:textAlignment w:val="center"/>
    </w:pPr>
    <w:rPr>
      <w:kern w:val="1"/>
      <w:sz w:val="20"/>
      <w:lang w:eastAsia="ar-SA"/>
    </w:rPr>
  </w:style>
  <w:style w:type="paragraph" w:customStyle="1" w:styleId="145">
    <w:name w:val="1226"/>
    <w:basedOn w:val="2"/>
    <w:qFormat/>
    <w:uiPriority w:val="0"/>
    <w:pPr>
      <w:adjustRightInd/>
      <w:spacing w:before="340" w:after="330" w:line="576" w:lineRule="auto"/>
      <w:jc w:val="both"/>
    </w:pPr>
    <w:rPr>
      <w:rFonts w:ascii="Times New Roman"/>
      <w:bCs/>
      <w:sz w:val="44"/>
      <w:szCs w:val="44"/>
    </w:rPr>
  </w:style>
  <w:style w:type="paragraph" w:customStyle="1" w:styleId="146">
    <w:name w:val="样式1"/>
    <w:basedOn w:val="1"/>
    <w:qFormat/>
    <w:uiPriority w:val="0"/>
    <w:pPr>
      <w:tabs>
        <w:tab w:val="left" w:pos="709"/>
      </w:tabs>
      <w:adjustRightInd w:val="0"/>
      <w:ind w:left="709" w:hanging="709"/>
      <w:textAlignment w:val="baseline"/>
    </w:pPr>
    <w:rPr>
      <w:rFonts w:hAnsi="宋体"/>
      <w:szCs w:val="21"/>
    </w:rPr>
  </w:style>
  <w:style w:type="paragraph" w:customStyle="1" w:styleId="14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 w:type="paragraph" w:customStyle="1" w:styleId="148">
    <w:name w:val="font7"/>
    <w:basedOn w:val="1"/>
    <w:qFormat/>
    <w:uiPriority w:val="0"/>
    <w:pPr>
      <w:widowControl/>
      <w:spacing w:before="100" w:beforeAutospacing="1" w:after="100" w:afterAutospacing="1"/>
      <w:jc w:val="left"/>
    </w:pPr>
    <w:rPr>
      <w:rFonts w:eastAsia="Arial Unicode MS"/>
      <w:sz w:val="22"/>
      <w:szCs w:val="22"/>
    </w:rPr>
  </w:style>
  <w:style w:type="paragraph" w:customStyle="1" w:styleId="149">
    <w:name w:val="contentnoteheader"/>
    <w:basedOn w:val="1"/>
    <w:qFormat/>
    <w:uiPriority w:val="0"/>
    <w:pPr>
      <w:widowControl/>
      <w:spacing w:before="40" w:after="100" w:afterAutospacing="1"/>
      <w:ind w:left="120"/>
      <w:jc w:val="left"/>
    </w:pPr>
    <w:rPr>
      <w:rFonts w:ascii="Arial" w:hAnsi="Arial" w:cs="Arial"/>
      <w:b/>
      <w:bCs/>
      <w:color w:val="990000"/>
      <w:sz w:val="24"/>
      <w:szCs w:val="24"/>
    </w:rPr>
  </w:style>
  <w:style w:type="paragraph" w:customStyle="1" w:styleId="15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51">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2">
    <w:name w:val="标题 4(1.1.1)"/>
    <w:basedOn w:val="1"/>
    <w:qFormat/>
    <w:uiPriority w:val="0"/>
    <w:pPr>
      <w:spacing w:line="360" w:lineRule="auto"/>
      <w:ind w:firstLine="200" w:firstLineChars="200"/>
      <w:outlineLvl w:val="3"/>
    </w:pPr>
    <w:rPr>
      <w:rFonts w:ascii="黑体" w:hAnsi="宋体" w:eastAsia="黑体"/>
      <w:color w:val="000000"/>
      <w:sz w:val="28"/>
    </w:rPr>
  </w:style>
  <w:style w:type="paragraph" w:customStyle="1" w:styleId="153">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154">
    <w:name w:val="符号"/>
    <w:basedOn w:val="1"/>
    <w:qFormat/>
    <w:uiPriority w:val="0"/>
    <w:pPr>
      <w:tabs>
        <w:tab w:val="left" w:pos="840"/>
      </w:tabs>
      <w:adjustRightInd w:val="0"/>
      <w:snapToGrid w:val="0"/>
      <w:spacing w:line="420" w:lineRule="atLeast"/>
      <w:ind w:left="840" w:hanging="420"/>
      <w:jc w:val="left"/>
      <w:textAlignment w:val="baseline"/>
    </w:pPr>
    <w:rPr>
      <w:sz w:val="24"/>
    </w:rPr>
  </w:style>
  <w:style w:type="paragraph" w:customStyle="1" w:styleId="155">
    <w:name w:val="页脚 New New New New New New New New New New"/>
    <w:basedOn w:val="1"/>
    <w:qFormat/>
    <w:uiPriority w:val="0"/>
    <w:pPr>
      <w:tabs>
        <w:tab w:val="center" w:pos="4153"/>
        <w:tab w:val="right" w:pos="8306"/>
      </w:tabs>
      <w:snapToGrid w:val="0"/>
      <w:jc w:val="left"/>
    </w:pPr>
    <w:rPr>
      <w:sz w:val="18"/>
    </w:rPr>
  </w:style>
  <w:style w:type="paragraph" w:customStyle="1" w:styleId="156">
    <w:name w:val="正文3"/>
    <w:basedOn w:val="1"/>
    <w:qFormat/>
    <w:uiPriority w:val="0"/>
    <w:pPr>
      <w:spacing w:before="60" w:after="60" w:line="360" w:lineRule="auto"/>
      <w:outlineLvl w:val="8"/>
    </w:pPr>
    <w:rPr>
      <w:sz w:val="24"/>
      <w:szCs w:val="21"/>
    </w:rPr>
  </w:style>
  <w:style w:type="paragraph" w:customStyle="1" w:styleId="157">
    <w:name w:val="font0"/>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15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159">
    <w:name w:val="Char Char1 Char Char Char Char Char Char Char"/>
    <w:basedOn w:val="1"/>
    <w:qFormat/>
    <w:uiPriority w:val="0"/>
    <w:pPr>
      <w:adjustRightInd w:val="0"/>
      <w:spacing w:line="360" w:lineRule="auto"/>
    </w:pPr>
    <w:rPr>
      <w:sz w:val="24"/>
    </w:rPr>
  </w:style>
  <w:style w:type="paragraph" w:customStyle="1" w:styleId="160">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sz w:val="20"/>
      <w:lang w:eastAsia="en-US"/>
    </w:rPr>
  </w:style>
  <w:style w:type="paragraph" w:customStyle="1" w:styleId="161">
    <w:name w:val="Char2 Char Char Char Char Char Char"/>
    <w:basedOn w:val="1"/>
    <w:qFormat/>
    <w:uiPriority w:val="0"/>
    <w:pPr>
      <w:widowControl/>
      <w:spacing w:after="160" w:line="240" w:lineRule="exact"/>
      <w:jc w:val="left"/>
    </w:pPr>
    <w:rPr>
      <w:rFonts w:ascii="Verdana" w:hAnsi="Verdana"/>
      <w:sz w:val="20"/>
      <w:szCs w:val="24"/>
      <w:lang w:eastAsia="en-US"/>
    </w:rPr>
  </w:style>
  <w:style w:type="paragraph" w:customStyle="1" w:styleId="162">
    <w:name w:val="样式 宋体 小四 首行缩进:  0.74 厘米 行距: 1.5 倍行距"/>
    <w:basedOn w:val="1"/>
    <w:qFormat/>
    <w:uiPriority w:val="0"/>
    <w:pPr>
      <w:widowControl/>
      <w:spacing w:line="360" w:lineRule="auto"/>
      <w:ind w:firstLine="420"/>
      <w:jc w:val="left"/>
    </w:pPr>
    <w:rPr>
      <w:rFonts w:hAnsi="宋体" w:cs="宋体"/>
      <w:sz w:val="24"/>
    </w:rPr>
  </w:style>
  <w:style w:type="paragraph" w:customStyle="1" w:styleId="163">
    <w:name w:val="Char"/>
    <w:basedOn w:val="1"/>
    <w:qFormat/>
    <w:uiPriority w:val="0"/>
    <w:pPr>
      <w:widowControl/>
      <w:spacing w:line="400" w:lineRule="exact"/>
      <w:jc w:val="center"/>
    </w:pPr>
    <w:rPr>
      <w:rFonts w:ascii="Verdana" w:hAnsi="Verdana"/>
      <w:lang w:eastAsia="en-US"/>
    </w:rPr>
  </w:style>
  <w:style w:type="paragraph" w:customStyle="1" w:styleId="164">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165">
    <w:name w:val="章标题"/>
    <w:next w:val="166"/>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16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7">
    <w:name w:val="标题3（编号）"/>
    <w:basedOn w:val="1"/>
    <w:qFormat/>
    <w:uiPriority w:val="0"/>
    <w:pPr>
      <w:ind w:left="420"/>
    </w:pPr>
    <w:rPr>
      <w:b/>
      <w:sz w:val="28"/>
      <w:szCs w:val="24"/>
    </w:rPr>
  </w:style>
  <w:style w:type="paragraph" w:customStyle="1" w:styleId="168">
    <w:name w:val="正文_Han_5_4.44"/>
    <w:basedOn w:val="1"/>
    <w:qFormat/>
    <w:uiPriority w:val="0"/>
    <w:pPr>
      <w:adjustRightInd w:val="0"/>
      <w:spacing w:before="60" w:after="60" w:line="288" w:lineRule="auto"/>
      <w:ind w:left="2517"/>
      <w:textAlignment w:val="baseline"/>
    </w:pPr>
    <w:rPr>
      <w:rFonts w:ascii="Arial" w:hAnsi="Arial"/>
    </w:rPr>
  </w:style>
  <w:style w:type="paragraph" w:customStyle="1" w:styleId="169">
    <w:name w:val="xl64"/>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70">
    <w:name w:val="页脚 New New New New New New"/>
    <w:basedOn w:val="151"/>
    <w:qFormat/>
    <w:uiPriority w:val="0"/>
    <w:pPr>
      <w:tabs>
        <w:tab w:val="center" w:pos="4153"/>
        <w:tab w:val="right" w:pos="8306"/>
      </w:tabs>
      <w:snapToGrid w:val="0"/>
      <w:jc w:val="left"/>
    </w:pPr>
    <w:rPr>
      <w:sz w:val="18"/>
      <w:szCs w:val="18"/>
    </w:rPr>
  </w:style>
  <w:style w:type="paragraph" w:customStyle="1" w:styleId="171">
    <w:name w:val="修订1"/>
    <w:qFormat/>
    <w:uiPriority w:val="0"/>
    <w:rPr>
      <w:rFonts w:ascii="Times New Roman" w:hAnsi="Times New Roman" w:eastAsia="宋体" w:cs="Times New Roman"/>
      <w:kern w:val="2"/>
      <w:sz w:val="21"/>
      <w:lang w:val="en-US" w:eastAsia="zh-CN" w:bidi="ar-SA"/>
    </w:rPr>
  </w:style>
  <w:style w:type="paragraph" w:customStyle="1" w:styleId="172">
    <w:name w:val="标题3下标题"/>
    <w:basedOn w:val="1"/>
    <w:next w:val="1"/>
    <w:qFormat/>
    <w:uiPriority w:val="0"/>
    <w:pPr>
      <w:suppressAutoHyphens/>
    </w:pPr>
    <w:rPr>
      <w:rFonts w:eastAsia="楷体_GB2312"/>
      <w:b/>
      <w:bCs/>
      <w:kern w:val="1"/>
      <w:sz w:val="24"/>
      <w:szCs w:val="24"/>
      <w:lang w:eastAsia="ar-SA"/>
    </w:rPr>
  </w:style>
  <w:style w:type="paragraph" w:customStyle="1" w:styleId="173">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17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sz w:val="24"/>
      <w:szCs w:val="24"/>
    </w:rPr>
  </w:style>
  <w:style w:type="paragraph" w:customStyle="1" w:styleId="175">
    <w:name w:val="Char1 Char Char Char Char Char1 Char Char Char Char"/>
    <w:basedOn w:val="1"/>
    <w:qFormat/>
    <w:uiPriority w:val="0"/>
    <w:pPr>
      <w:tabs>
        <w:tab w:val="left" w:pos="780"/>
      </w:tabs>
      <w:ind w:left="709" w:hanging="709"/>
    </w:pPr>
    <w:rPr>
      <w:sz w:val="24"/>
      <w:szCs w:val="24"/>
    </w:rPr>
  </w:style>
  <w:style w:type="paragraph" w:customStyle="1" w:styleId="176">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77">
    <w:name w:val="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78">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179">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80">
    <w:name w:val="WW-正文（首行缩进两字）"/>
    <w:basedOn w:val="1"/>
    <w:qFormat/>
    <w:uiPriority w:val="0"/>
    <w:pPr>
      <w:suppressAutoHyphens/>
      <w:spacing w:line="420" w:lineRule="auto"/>
      <w:ind w:left="630"/>
    </w:pPr>
    <w:rPr>
      <w:rFonts w:hAnsi="宋体"/>
      <w:kern w:val="1"/>
      <w:sz w:val="24"/>
      <w:szCs w:val="24"/>
      <w:lang w:eastAsia="ar-SA"/>
    </w:rPr>
  </w:style>
  <w:style w:type="paragraph" w:customStyle="1" w:styleId="181">
    <w:name w:val="页脚 New New New"/>
    <w:basedOn w:val="182"/>
    <w:qFormat/>
    <w:uiPriority w:val="0"/>
    <w:pPr>
      <w:tabs>
        <w:tab w:val="center" w:pos="4153"/>
        <w:tab w:val="right" w:pos="8306"/>
      </w:tabs>
      <w:snapToGrid w:val="0"/>
      <w:jc w:val="left"/>
    </w:pPr>
    <w:rPr>
      <w:sz w:val="18"/>
      <w:szCs w:val="18"/>
    </w:rPr>
  </w:style>
  <w:style w:type="paragraph" w:customStyle="1" w:styleId="182">
    <w:name w:val="正文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3">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184">
    <w:name w:val="xl46"/>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85">
    <w:name w:val="设计正文 Char Char Char"/>
    <w:basedOn w:val="1"/>
    <w:qFormat/>
    <w:uiPriority w:val="0"/>
    <w:pPr>
      <w:spacing w:line="300" w:lineRule="auto"/>
      <w:ind w:firstLine="480" w:firstLineChars="200"/>
    </w:pPr>
    <w:rPr>
      <w:rFonts w:ascii="仿宋_GB2312" w:eastAsia="仿宋_GB2312" w:cs="宋体"/>
      <w:sz w:val="28"/>
    </w:rPr>
  </w:style>
  <w:style w:type="paragraph" w:customStyle="1" w:styleId="186">
    <w:name w:val="Bullet 4"/>
    <w:basedOn w:val="1"/>
    <w:qFormat/>
    <w:uiPriority w:val="0"/>
    <w:pPr>
      <w:widowControl/>
      <w:tabs>
        <w:tab w:val="left" w:pos="1680"/>
      </w:tabs>
      <w:spacing w:line="290" w:lineRule="atLeast"/>
      <w:jc w:val="left"/>
    </w:pPr>
    <w:rPr>
      <w:rFonts w:eastAsia="Times New Roman"/>
      <w:sz w:val="24"/>
      <w:lang w:eastAsia="en-US"/>
    </w:rPr>
  </w:style>
  <w:style w:type="paragraph" w:customStyle="1" w:styleId="187">
    <w:name w:val="首页标题2"/>
    <w:basedOn w:val="1"/>
    <w:qFormat/>
    <w:uiPriority w:val="0"/>
    <w:pPr>
      <w:suppressAutoHyphens/>
      <w:textAlignment w:val="baseline"/>
    </w:pPr>
    <w:rPr>
      <w:rFonts w:ascii="隶书_GB2312" w:hAnsi="隶书_GB2312" w:eastAsia="隶书_GB2312"/>
      <w:kern w:val="1"/>
      <w:sz w:val="24"/>
      <w:szCs w:val="24"/>
      <w:lang w:eastAsia="ar-SA"/>
    </w:rPr>
  </w:style>
  <w:style w:type="paragraph" w:customStyle="1" w:styleId="188">
    <w:name w:val="xl8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center"/>
    </w:pPr>
    <w:rPr>
      <w:rFonts w:ascii="Arial Unicode MS" w:hAnsi="Arial Unicode MS"/>
      <w:kern w:val="1"/>
      <w:sz w:val="20"/>
      <w:lang w:eastAsia="ar-SA"/>
    </w:rPr>
  </w:style>
  <w:style w:type="paragraph" w:customStyle="1" w:styleId="189">
    <w:name w:val="WW-正文（首行缩进两字）1"/>
    <w:basedOn w:val="1"/>
    <w:qFormat/>
    <w:uiPriority w:val="0"/>
    <w:pPr>
      <w:suppressAutoHyphens/>
      <w:ind w:firstLine="560"/>
    </w:pPr>
    <w:rPr>
      <w:rFonts w:ascii="仿宋_GB2312" w:hAnsi="仿宋_GB2312" w:eastAsia="仿宋_GB2312"/>
      <w:kern w:val="1"/>
      <w:sz w:val="28"/>
      <w:szCs w:val="24"/>
      <w:lang w:eastAsia="ar-SA"/>
    </w:rPr>
  </w:style>
  <w:style w:type="paragraph" w:customStyle="1" w:styleId="190">
    <w:name w:val="xl8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rFonts w:ascii="Arial Unicode MS" w:hAnsi="Arial Unicode MS"/>
      <w:kern w:val="1"/>
      <w:sz w:val="20"/>
      <w:lang w:eastAsia="ar-SA"/>
    </w:rPr>
  </w:style>
  <w:style w:type="paragraph" w:customStyle="1" w:styleId="191">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2">
    <w:name w:val="xl52"/>
    <w:basedOn w:val="1"/>
    <w:qFormat/>
    <w:uiPriority w:val="0"/>
    <w:pPr>
      <w:widowControl/>
      <w:suppressAutoHyphens/>
      <w:spacing w:before="280" w:after="280"/>
      <w:jc w:val="right"/>
      <w:textAlignment w:val="center"/>
    </w:pPr>
    <w:rPr>
      <w:kern w:val="1"/>
      <w:sz w:val="20"/>
      <w:lang w:eastAsia="ar-SA"/>
    </w:rPr>
  </w:style>
  <w:style w:type="paragraph" w:customStyle="1" w:styleId="193">
    <w:name w:val="xl50"/>
    <w:basedOn w:val="1"/>
    <w:qFormat/>
    <w:uiPriority w:val="0"/>
    <w:pPr>
      <w:widowControl/>
      <w:pBdr>
        <w:top w:val="single" w:color="000000" w:sz="2" w:space="0"/>
        <w:left w:val="single" w:color="000000" w:sz="2" w:space="0"/>
        <w:bottom w:val="single" w:color="000000" w:sz="2" w:space="0"/>
      </w:pBdr>
      <w:suppressAutoHyphens/>
      <w:spacing w:before="280" w:after="280"/>
      <w:jc w:val="right"/>
      <w:textAlignment w:val="center"/>
    </w:pPr>
    <w:rPr>
      <w:kern w:val="1"/>
      <w:sz w:val="20"/>
      <w:lang w:eastAsia="ar-SA"/>
    </w:rPr>
  </w:style>
  <w:style w:type="paragraph" w:customStyle="1" w:styleId="194">
    <w:name w:val="tableheading"/>
    <w:basedOn w:val="1"/>
    <w:qFormat/>
    <w:uiPriority w:val="0"/>
    <w:pPr>
      <w:widowControl/>
      <w:spacing w:before="100" w:beforeAutospacing="1" w:after="100" w:afterAutospacing="1"/>
      <w:jc w:val="left"/>
    </w:pPr>
    <w:rPr>
      <w:rFonts w:hAnsi="宋体" w:cs="宋体"/>
      <w:sz w:val="24"/>
      <w:szCs w:val="24"/>
    </w:rPr>
  </w:style>
  <w:style w:type="paragraph" w:customStyle="1" w:styleId="195">
    <w:name w:val="xl8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196">
    <w:name w:val="样式 正文（首行缩进两字）四号表正文正文非缩进正文不缩进特点Normal Indent段1缩进ALT+Z + ..."/>
    <w:basedOn w:val="180"/>
    <w:qFormat/>
    <w:uiPriority w:val="0"/>
    <w:pPr>
      <w:spacing w:line="360" w:lineRule="auto"/>
      <w:ind w:left="0"/>
    </w:pPr>
    <w:rPr>
      <w:b/>
      <w:bCs/>
    </w:rPr>
  </w:style>
  <w:style w:type="paragraph" w:customStyle="1" w:styleId="197">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198">
    <w:name w:val="正文 样式"/>
    <w:basedOn w:val="1"/>
    <w:qFormat/>
    <w:uiPriority w:val="0"/>
    <w:pPr>
      <w:spacing w:line="360" w:lineRule="auto"/>
      <w:ind w:firstLine="480" w:firstLineChars="200"/>
    </w:pPr>
    <w:rPr>
      <w:sz w:val="24"/>
      <w:szCs w:val="24"/>
    </w:rPr>
  </w:style>
  <w:style w:type="paragraph" w:customStyle="1" w:styleId="199">
    <w:name w:val="标题 4（网御星云）"/>
    <w:basedOn w:val="5"/>
    <w:next w:val="1"/>
    <w:qFormat/>
    <w:uiPriority w:val="0"/>
    <w:pPr>
      <w:widowControl/>
      <w:tabs>
        <w:tab w:val="left" w:pos="840"/>
      </w:tabs>
      <w:spacing w:after="156" w:line="374" w:lineRule="auto"/>
      <w:ind w:left="1021" w:hanging="1021"/>
      <w:jc w:val="left"/>
    </w:pPr>
    <w:rPr>
      <w:bCs w:val="0"/>
      <w:kern w:val="0"/>
    </w:rPr>
  </w:style>
  <w:style w:type="paragraph" w:customStyle="1" w:styleId="200">
    <w:name w:val="样式 (西文) 宋体 小四 首行缩进:  0.95 厘米 段前: 5 磅 段后: 5 磅 行距: 1.5 倍行距"/>
    <w:basedOn w:val="1"/>
    <w:qFormat/>
    <w:uiPriority w:val="0"/>
    <w:pPr>
      <w:widowControl/>
      <w:spacing w:before="100" w:after="100" w:line="360" w:lineRule="auto"/>
      <w:ind w:firstLine="540"/>
      <w:jc w:val="left"/>
    </w:pPr>
    <w:rPr>
      <w:rFonts w:hAnsi="宋体" w:cs="宋体"/>
      <w:sz w:val="24"/>
    </w:rPr>
  </w:style>
  <w:style w:type="paragraph" w:customStyle="1" w:styleId="201">
    <w:name w:val="样式 样式 首行缩进:  1 字符 + 首行缩进:  1 字符"/>
    <w:basedOn w:val="1"/>
    <w:qFormat/>
    <w:uiPriority w:val="0"/>
    <w:pPr>
      <w:ind w:firstLine="240" w:firstLineChars="100"/>
    </w:pPr>
    <w:rPr>
      <w:rFonts w:cs="宋体"/>
      <w:sz w:val="24"/>
    </w:rPr>
  </w:style>
  <w:style w:type="paragraph" w:customStyle="1" w:styleId="202">
    <w:name w:val="维标4"/>
    <w:basedOn w:val="1"/>
    <w:qFormat/>
    <w:uiPriority w:val="0"/>
    <w:pPr>
      <w:widowControl/>
      <w:tabs>
        <w:tab w:val="left" w:pos="425"/>
        <w:tab w:val="left" w:pos="1296"/>
      </w:tabs>
      <w:spacing w:line="360" w:lineRule="auto"/>
      <w:ind w:left="425" w:hanging="653"/>
    </w:pPr>
    <w:rPr>
      <w:rFonts w:hAnsi="宋体"/>
      <w:b/>
      <w:szCs w:val="21"/>
    </w:rPr>
  </w:style>
  <w:style w:type="paragraph" w:customStyle="1" w:styleId="203">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4">
    <w:name w:val="tabletex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05">
    <w:name w:val="xl6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06">
    <w:name w:val="正文（表格）"/>
    <w:basedOn w:val="1"/>
    <w:qFormat/>
    <w:uiPriority w:val="0"/>
    <w:pPr>
      <w:widowControl/>
      <w:spacing w:line="300" w:lineRule="auto"/>
    </w:pPr>
    <w:rPr>
      <w:szCs w:val="24"/>
    </w:rPr>
  </w:style>
  <w:style w:type="paragraph" w:customStyle="1" w:styleId="207">
    <w:name w:val="xl75"/>
    <w:basedOn w:val="1"/>
    <w:qFormat/>
    <w:uiPriority w:val="0"/>
    <w:pPr>
      <w:widowControl/>
      <w:pBdr>
        <w:left w:val="single" w:color="000000" w:sz="2" w:space="0"/>
        <w:bottom w:val="single" w:color="000000" w:sz="2" w:space="0"/>
      </w:pBdr>
      <w:suppressAutoHyphens/>
      <w:spacing w:before="280" w:after="280"/>
      <w:jc w:val="right"/>
      <w:textAlignment w:val="center"/>
    </w:pPr>
    <w:rPr>
      <w:b/>
      <w:bCs/>
      <w:kern w:val="1"/>
      <w:sz w:val="20"/>
      <w:lang w:eastAsia="ar-SA"/>
    </w:rPr>
  </w:style>
  <w:style w:type="paragraph" w:customStyle="1" w:styleId="208">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body"/>
    <w:basedOn w:val="1"/>
    <w:qFormat/>
    <w:uiPriority w:val="0"/>
    <w:pPr>
      <w:keepLines/>
      <w:widowControl/>
      <w:spacing w:before="80"/>
      <w:jc w:val="left"/>
    </w:pPr>
    <w:rPr>
      <w:rFonts w:ascii="Helvetica" w:hAnsi="Helvetica"/>
      <w:sz w:val="18"/>
      <w:szCs w:val="24"/>
      <w:lang w:eastAsia="en-US"/>
    </w:rPr>
  </w:style>
  <w:style w:type="paragraph" w:customStyle="1" w:styleId="210">
    <w:name w:val="图形文字"/>
    <w:basedOn w:val="1"/>
    <w:qFormat/>
    <w:uiPriority w:val="0"/>
    <w:pPr>
      <w:widowControl/>
      <w:tabs>
        <w:tab w:val="left" w:pos="1134"/>
      </w:tabs>
      <w:spacing w:line="0" w:lineRule="atLeast"/>
      <w:jc w:val="center"/>
    </w:pPr>
  </w:style>
  <w:style w:type="paragraph" w:customStyle="1" w:styleId="211">
    <w:name w:val="WW-列表 5"/>
    <w:basedOn w:val="1"/>
    <w:qFormat/>
    <w:uiPriority w:val="0"/>
    <w:pPr>
      <w:suppressAutoHyphens/>
      <w:spacing w:before="156" w:after="156"/>
    </w:pPr>
    <w:rPr>
      <w:rFonts w:eastAsia="仿宋_GB2312"/>
      <w:kern w:val="1"/>
      <w:sz w:val="28"/>
      <w:szCs w:val="24"/>
      <w:lang w:eastAsia="ar-SA"/>
    </w:rPr>
  </w:style>
  <w:style w:type="paragraph" w:customStyle="1" w:styleId="212">
    <w:name w:val="项目"/>
    <w:basedOn w:val="1"/>
    <w:qFormat/>
    <w:uiPriority w:val="0"/>
    <w:pPr>
      <w:suppressAutoHyphens/>
      <w:spacing w:line="360" w:lineRule="auto"/>
      <w:jc w:val="left"/>
      <w:textAlignment w:val="baseline"/>
    </w:pPr>
    <w:rPr>
      <w:rFonts w:hAnsi="宋体"/>
      <w:kern w:val="1"/>
      <w:sz w:val="24"/>
      <w:lang w:eastAsia="ar-SA"/>
    </w:rPr>
  </w:style>
  <w:style w:type="paragraph" w:customStyle="1" w:styleId="21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14">
    <w:name w:val="Char Char3 Char Char Char Char Char Char"/>
    <w:basedOn w:val="3"/>
    <w:qFormat/>
    <w:uiPriority w:val="0"/>
    <w:pPr>
      <w:widowControl/>
      <w:spacing w:before="0" w:after="0" w:line="416" w:lineRule="auto"/>
      <w:ind w:left="756" w:hanging="576"/>
      <w:jc w:val="left"/>
    </w:pPr>
    <w:rPr>
      <w:rFonts w:ascii="Times New Roman" w:hAnsi="Times New Roman" w:eastAsia="宋体"/>
      <w:bCs w:val="0"/>
      <w:sz w:val="24"/>
      <w:szCs w:val="24"/>
    </w:rPr>
  </w:style>
  <w:style w:type="paragraph" w:customStyle="1" w:styleId="215">
    <w:name w:val="样式 标题 2 + 楷体 四号 非加粗"/>
    <w:basedOn w:val="3"/>
    <w:qFormat/>
    <w:uiPriority w:val="0"/>
    <w:pPr>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216">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17">
    <w:name w:val="wellhope正文"/>
    <w:basedOn w:val="1"/>
    <w:qFormat/>
    <w:uiPriority w:val="0"/>
    <w:pPr>
      <w:spacing w:before="60" w:after="60" w:line="360" w:lineRule="auto"/>
      <w:ind w:firstLine="200" w:firstLineChars="200"/>
    </w:pPr>
    <w:rPr>
      <w:rFonts w:eastAsia="楷体_GB2312"/>
      <w:sz w:val="24"/>
    </w:rPr>
  </w:style>
  <w:style w:type="paragraph" w:customStyle="1" w:styleId="218">
    <w:name w:val="样式 样式 标题 2h2l2sect 1.22l1Heading 2 HiddenHeading 2 CCBSH2P...1 +..."/>
    <w:basedOn w:val="1"/>
    <w:qFormat/>
    <w:uiPriority w:val="0"/>
    <w:pPr>
      <w:keepNext/>
      <w:keepLines/>
      <w:tabs>
        <w:tab w:val="left" w:pos="883"/>
      </w:tabs>
      <w:spacing w:beforeLines="50" w:afterLines="50"/>
      <w:outlineLvl w:val="1"/>
    </w:pPr>
    <w:rPr>
      <w:rFonts w:eastAsia="黑体"/>
      <w:b/>
      <w:bCs/>
      <w:sz w:val="30"/>
      <w:szCs w:val="30"/>
    </w:rPr>
  </w:style>
  <w:style w:type="paragraph" w:customStyle="1" w:styleId="219">
    <w:name w:val="三级无标题条"/>
    <w:basedOn w:val="1"/>
    <w:qFormat/>
    <w:uiPriority w:val="0"/>
    <w:pPr>
      <w:tabs>
        <w:tab w:val="left" w:pos="3600"/>
      </w:tabs>
      <w:ind w:left="3600" w:hanging="360"/>
    </w:pPr>
  </w:style>
  <w:style w:type="paragraph" w:customStyle="1" w:styleId="220">
    <w:name w:val="正文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221">
    <w:name w:val="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22">
    <w:name w:val="标题5"/>
    <w:basedOn w:val="1"/>
    <w:qFormat/>
    <w:uiPriority w:val="0"/>
    <w:pPr>
      <w:tabs>
        <w:tab w:val="left" w:pos="0"/>
      </w:tabs>
      <w:spacing w:before="120" w:after="120" w:line="360" w:lineRule="auto"/>
      <w:ind w:left="1134" w:hanging="567"/>
    </w:pPr>
    <w:rPr>
      <w:rFonts w:eastAsia="楷体_GB2312"/>
      <w:sz w:val="28"/>
      <w:szCs w:val="24"/>
    </w:rPr>
  </w:style>
  <w:style w:type="paragraph" w:customStyle="1" w:styleId="223">
    <w:name w:val="时间"/>
    <w:basedOn w:val="1"/>
    <w:next w:val="1"/>
    <w:qFormat/>
    <w:uiPriority w:val="0"/>
    <w:pPr>
      <w:widowControl/>
      <w:spacing w:beforeLines="50" w:line="360" w:lineRule="auto"/>
      <w:ind w:firstLine="482" w:firstLineChars="200"/>
      <w:jc w:val="center"/>
    </w:pPr>
    <w:rPr>
      <w:rFonts w:hAnsi="宋体"/>
      <w:b/>
      <w:sz w:val="24"/>
      <w:szCs w:val="22"/>
      <w:lang w:bidi="en-US"/>
    </w:rPr>
  </w:style>
  <w:style w:type="paragraph" w:customStyle="1" w:styleId="224">
    <w:name w:val="普通(网站)1"/>
    <w:basedOn w:val="1"/>
    <w:qFormat/>
    <w:uiPriority w:val="0"/>
    <w:pPr>
      <w:widowControl/>
      <w:spacing w:before="100" w:beforeAutospacing="1" w:after="100" w:afterAutospacing="1"/>
      <w:jc w:val="left"/>
    </w:pPr>
    <w:rPr>
      <w:rFonts w:ascii="Arial Unicode MS" w:hAnsi="Arial Unicode MS" w:eastAsia="Arial Unicode MS"/>
      <w:sz w:val="24"/>
      <w:szCs w:val="24"/>
      <w:lang w:eastAsia="en-US"/>
    </w:rPr>
  </w:style>
  <w:style w:type="paragraph" w:customStyle="1" w:styleId="225">
    <w:name w:val="xl6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26">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227">
    <w:name w:val="_Style 1"/>
    <w:basedOn w:val="1"/>
    <w:qFormat/>
    <w:uiPriority w:val="0"/>
    <w:pPr>
      <w:ind w:firstLine="200" w:firstLineChars="200"/>
    </w:pPr>
  </w:style>
  <w:style w:type="paragraph" w:customStyle="1" w:styleId="228">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29">
    <w:name w:val="正文序号 1"/>
    <w:basedOn w:val="1"/>
    <w:qFormat/>
    <w:uiPriority w:val="0"/>
    <w:pPr>
      <w:tabs>
        <w:tab w:val="left" w:pos="839"/>
      </w:tabs>
      <w:spacing w:before="60"/>
      <w:ind w:left="709" w:hanging="709"/>
    </w:pPr>
    <w:rPr>
      <w:szCs w:val="24"/>
    </w:rPr>
  </w:style>
  <w:style w:type="paragraph" w:customStyle="1" w:styleId="230">
    <w:name w:val="pa-39"/>
    <w:basedOn w:val="1"/>
    <w:qFormat/>
    <w:uiPriority w:val="0"/>
    <w:pPr>
      <w:widowControl/>
      <w:spacing w:line="280" w:lineRule="atLeast"/>
      <w:ind w:firstLine="360"/>
    </w:pPr>
    <w:rPr>
      <w:rFonts w:hAnsi="宋体" w:cs="宋体"/>
      <w:sz w:val="24"/>
      <w:szCs w:val="24"/>
    </w:rPr>
  </w:style>
  <w:style w:type="paragraph" w:customStyle="1" w:styleId="231">
    <w:name w:val="表格文字2"/>
    <w:basedOn w:val="1"/>
    <w:qFormat/>
    <w:uiPriority w:val="0"/>
    <w:pPr>
      <w:spacing w:line="360" w:lineRule="auto"/>
      <w:jc w:val="center"/>
    </w:pPr>
    <w:rPr>
      <w:spacing w:val="22"/>
      <w:szCs w:val="24"/>
    </w:rPr>
  </w:style>
  <w:style w:type="paragraph" w:customStyle="1" w:styleId="232">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233">
    <w:name w:val="WW-列表 2"/>
    <w:basedOn w:val="1"/>
    <w:qFormat/>
    <w:uiPriority w:val="0"/>
    <w:pPr>
      <w:suppressAutoHyphens/>
      <w:spacing w:before="156" w:after="156"/>
    </w:pPr>
    <w:rPr>
      <w:rFonts w:eastAsia="仿宋_GB2312"/>
      <w:kern w:val="1"/>
      <w:sz w:val="28"/>
      <w:szCs w:val="24"/>
      <w:lang w:eastAsia="ar-SA"/>
    </w:rPr>
  </w:style>
  <w:style w:type="paragraph" w:customStyle="1" w:styleId="234">
    <w:name w:val="WW-正文文字缩进 2"/>
    <w:basedOn w:val="1"/>
    <w:qFormat/>
    <w:uiPriority w:val="0"/>
    <w:pPr>
      <w:tabs>
        <w:tab w:val="left" w:pos="1440"/>
      </w:tabs>
      <w:suppressAutoHyphens/>
      <w:spacing w:line="360" w:lineRule="auto"/>
      <w:ind w:firstLine="420"/>
    </w:pPr>
    <w:rPr>
      <w:kern w:val="1"/>
      <w:sz w:val="24"/>
      <w:szCs w:val="24"/>
      <w:lang w:eastAsia="ar-SA"/>
    </w:rPr>
  </w:style>
  <w:style w:type="paragraph" w:customStyle="1" w:styleId="235">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236">
    <w:name w:val="xl70"/>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37">
    <w:name w:val="Char Char1"/>
    <w:basedOn w:val="1"/>
    <w:qFormat/>
    <w:uiPriority w:val="0"/>
    <w:pPr>
      <w:widowControl/>
      <w:spacing w:after="160" w:line="240" w:lineRule="exact"/>
      <w:jc w:val="left"/>
    </w:pPr>
    <w:rPr>
      <w:szCs w:val="24"/>
    </w:rPr>
  </w:style>
  <w:style w:type="paragraph" w:customStyle="1" w:styleId="238">
    <w:name w:val="pt14"/>
    <w:basedOn w:val="1"/>
    <w:qFormat/>
    <w:uiPriority w:val="0"/>
    <w:pPr>
      <w:widowControl/>
      <w:spacing w:before="100" w:beforeAutospacing="1" w:after="100" w:afterAutospacing="1"/>
      <w:jc w:val="left"/>
    </w:pPr>
    <w:rPr>
      <w:rFonts w:hAnsi="宋体" w:cs="宋体"/>
      <w:sz w:val="24"/>
      <w:szCs w:val="24"/>
    </w:rPr>
  </w:style>
  <w:style w:type="paragraph" w:customStyle="1" w:styleId="239">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240">
    <w:name w:val="默认段落字体 Para Char"/>
    <w:basedOn w:val="1"/>
    <w:qFormat/>
    <w:uiPriority w:val="0"/>
    <w:pPr>
      <w:adjustRightInd w:val="0"/>
      <w:spacing w:line="360" w:lineRule="auto"/>
    </w:pPr>
    <w:rPr>
      <w:sz w:val="24"/>
    </w:rPr>
  </w:style>
  <w:style w:type="paragraph" w:customStyle="1" w:styleId="241">
    <w:name w:val="五级无标题条"/>
    <w:basedOn w:val="1"/>
    <w:qFormat/>
    <w:uiPriority w:val="0"/>
    <w:pPr>
      <w:tabs>
        <w:tab w:val="left" w:pos="5040"/>
      </w:tabs>
      <w:ind w:left="5040" w:hanging="360"/>
    </w:pPr>
  </w:style>
  <w:style w:type="paragraph" w:customStyle="1" w:styleId="242">
    <w:name w:val="TABLE"/>
    <w:basedOn w:val="1"/>
    <w:qFormat/>
    <w:uiPriority w:val="0"/>
    <w:pPr>
      <w:autoSpaceDE w:val="0"/>
      <w:autoSpaceDN w:val="0"/>
      <w:adjustRightInd w:val="0"/>
      <w:spacing w:before="50" w:after="50" w:line="240" w:lineRule="exact"/>
    </w:pPr>
    <w:rPr>
      <w:b/>
      <w:i/>
      <w:sz w:val="18"/>
    </w:rPr>
  </w:style>
  <w:style w:type="paragraph" w:customStyle="1" w:styleId="243">
    <w:name w:val="xl51"/>
    <w:basedOn w:val="1"/>
    <w:qFormat/>
    <w:uiPriority w:val="0"/>
    <w:pPr>
      <w:widowControl/>
      <w:pBdr>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44">
    <w:name w:val="样式 正文首行缩进 + 宋体 小四 段前: 3 磅 段后: 3 磅 行距: 多倍行距 1.25 字行"/>
    <w:basedOn w:val="54"/>
    <w:qFormat/>
    <w:uiPriority w:val="0"/>
    <w:pPr>
      <w:adjustRightInd/>
      <w:snapToGrid/>
      <w:spacing w:before="60" w:after="60" w:line="360" w:lineRule="auto"/>
      <w:ind w:firstLine="480" w:firstLineChars="200"/>
    </w:pPr>
    <w:rPr>
      <w:rFonts w:hAnsi="宋体" w:cs="宋体"/>
      <w:szCs w:val="24"/>
    </w:rPr>
  </w:style>
  <w:style w:type="paragraph" w:customStyle="1" w:styleId="245">
    <w:name w:val="正文首行缩进2字符"/>
    <w:basedOn w:val="1"/>
    <w:qFormat/>
    <w:uiPriority w:val="0"/>
    <w:pPr>
      <w:spacing w:line="300" w:lineRule="auto"/>
      <w:ind w:firstLine="200" w:firstLineChars="200"/>
    </w:pPr>
    <w:rPr>
      <w:szCs w:val="21"/>
    </w:rPr>
  </w:style>
  <w:style w:type="paragraph" w:customStyle="1" w:styleId="246">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47">
    <w:name w:val="样式17"/>
    <w:basedOn w:val="2"/>
    <w:qFormat/>
    <w:uiPriority w:val="0"/>
    <w:rPr>
      <w:rFonts w:eastAsia="黑体"/>
      <w:sz w:val="36"/>
    </w:rPr>
  </w:style>
  <w:style w:type="paragraph" w:customStyle="1" w:styleId="248">
    <w:name w:val="表9"/>
    <w:basedOn w:val="1"/>
    <w:qFormat/>
    <w:uiPriority w:val="0"/>
    <w:pPr>
      <w:tabs>
        <w:tab w:val="left" w:pos="0"/>
      </w:tabs>
      <w:spacing w:after="120" w:line="360" w:lineRule="auto"/>
      <w:jc w:val="center"/>
    </w:pPr>
    <w:rPr>
      <w:rFonts w:eastAsia="华文细黑"/>
      <w:sz w:val="24"/>
      <w:szCs w:val="24"/>
    </w:rPr>
  </w:style>
  <w:style w:type="paragraph" w:customStyle="1" w:styleId="249">
    <w:name w:val="xl6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50">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251">
    <w:name w:val="xl45"/>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52">
    <w:name w:val="四级条标题"/>
    <w:basedOn w:val="253"/>
    <w:next w:val="166"/>
    <w:qFormat/>
    <w:uiPriority w:val="0"/>
    <w:pPr>
      <w:tabs>
        <w:tab w:val="left" w:pos="1800"/>
        <w:tab w:val="left" w:pos="2100"/>
        <w:tab w:val="left" w:pos="2220"/>
        <w:tab w:val="left" w:pos="2520"/>
      </w:tabs>
      <w:ind w:left="2520"/>
      <w:outlineLvl w:val="5"/>
    </w:pPr>
  </w:style>
  <w:style w:type="paragraph" w:customStyle="1" w:styleId="253">
    <w:name w:val="三级条标题"/>
    <w:basedOn w:val="254"/>
    <w:next w:val="166"/>
    <w:qFormat/>
    <w:uiPriority w:val="0"/>
    <w:pPr>
      <w:tabs>
        <w:tab w:val="left" w:pos="1800"/>
        <w:tab w:val="left" w:pos="2100"/>
        <w:tab w:val="left" w:pos="2220"/>
      </w:tabs>
      <w:ind w:left="2100" w:hanging="420"/>
      <w:outlineLvl w:val="4"/>
    </w:pPr>
  </w:style>
  <w:style w:type="paragraph" w:customStyle="1" w:styleId="254">
    <w:name w:val="二级条标题"/>
    <w:basedOn w:val="255"/>
    <w:next w:val="166"/>
    <w:qFormat/>
    <w:uiPriority w:val="0"/>
    <w:pPr>
      <w:tabs>
        <w:tab w:val="left" w:pos="1800"/>
        <w:tab w:val="left" w:pos="2220"/>
      </w:tabs>
      <w:ind w:left="2220"/>
      <w:outlineLvl w:val="3"/>
    </w:pPr>
  </w:style>
  <w:style w:type="paragraph" w:customStyle="1" w:styleId="255">
    <w:name w:val="一级条标题"/>
    <w:basedOn w:val="1"/>
    <w:next w:val="166"/>
    <w:qFormat/>
    <w:uiPriority w:val="0"/>
    <w:pPr>
      <w:widowControl/>
      <w:tabs>
        <w:tab w:val="left" w:pos="1800"/>
      </w:tabs>
      <w:ind w:left="1800" w:hanging="425"/>
      <w:outlineLvl w:val="2"/>
    </w:pPr>
    <w:rPr>
      <w:rFonts w:ascii="黑体" w:eastAsia="黑体"/>
    </w:rPr>
  </w:style>
  <w:style w:type="paragraph" w:customStyle="1" w:styleId="256">
    <w:name w:val="xl55"/>
    <w:basedOn w:val="1"/>
    <w:qFormat/>
    <w:uiPriority w:val="0"/>
    <w:pPr>
      <w:widowControl/>
      <w:pBdr>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57">
    <w:name w:val="TOC 标题1"/>
    <w:basedOn w:val="2"/>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258">
    <w:name w:val="xl80"/>
    <w:basedOn w:val="1"/>
    <w:qFormat/>
    <w:uiPriority w:val="0"/>
    <w:pPr>
      <w:widowControl/>
      <w:pBdr>
        <w:top w:val="single" w:color="000000" w:sz="8" w:space="0"/>
        <w:bottom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59">
    <w:name w:val="样式 首行缩进:  2 字符 行距: 2 倍行距"/>
    <w:basedOn w:val="1"/>
    <w:qFormat/>
    <w:uiPriority w:val="0"/>
    <w:pPr>
      <w:spacing w:line="360" w:lineRule="auto"/>
      <w:ind w:firstLine="200" w:firstLineChars="200"/>
    </w:pPr>
    <w:rPr>
      <w:sz w:val="24"/>
    </w:rPr>
  </w:style>
  <w:style w:type="paragraph" w:customStyle="1" w:styleId="260">
    <w:name w:val="图号"/>
    <w:basedOn w:val="1"/>
    <w:qFormat/>
    <w:uiPriority w:val="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261">
    <w:name w:val="00"/>
    <w:basedOn w:val="1"/>
    <w:qFormat/>
    <w:uiPriority w:val="0"/>
    <w:pPr>
      <w:autoSpaceDE w:val="0"/>
      <w:autoSpaceDN w:val="0"/>
      <w:adjustRightInd w:val="0"/>
      <w:jc w:val="left"/>
    </w:pPr>
    <w:rPr>
      <w:rFonts w:ascii="黑体" w:eastAsia="黑体"/>
      <w:b/>
      <w:bCs/>
      <w:sz w:val="20"/>
    </w:rPr>
  </w:style>
  <w:style w:type="paragraph" w:customStyle="1" w:styleId="262">
    <w:name w:val="标准正文"/>
    <w:basedOn w:val="1"/>
    <w:qFormat/>
    <w:uiPriority w:val="0"/>
    <w:pPr>
      <w:spacing w:beforeLines="50" w:afterLines="50"/>
      <w:ind w:firstLine="200" w:firstLineChars="200"/>
    </w:pPr>
    <w:rPr>
      <w:sz w:val="28"/>
      <w:szCs w:val="24"/>
    </w:rPr>
  </w:style>
  <w:style w:type="paragraph" w:customStyle="1" w:styleId="263">
    <w:name w:val="tabletextchar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64">
    <w:name w:val="6"/>
    <w:basedOn w:val="265"/>
    <w:qFormat/>
    <w:uiPriority w:val="0"/>
    <w:pPr>
      <w:spacing w:line="270" w:lineRule="atLeast"/>
      <w:jc w:val="both"/>
    </w:pPr>
    <w:rPr>
      <w:b w:val="0"/>
      <w:bCs w:val="0"/>
    </w:rPr>
  </w:style>
  <w:style w:type="paragraph" w:customStyle="1" w:styleId="265">
    <w:name w:val="5"/>
    <w:basedOn w:val="1"/>
    <w:qFormat/>
    <w:uiPriority w:val="0"/>
    <w:pPr>
      <w:autoSpaceDE w:val="0"/>
      <w:autoSpaceDN w:val="0"/>
      <w:adjustRightInd w:val="0"/>
      <w:jc w:val="left"/>
    </w:pPr>
    <w:rPr>
      <w:b/>
      <w:bCs/>
      <w:sz w:val="18"/>
      <w:szCs w:val="18"/>
    </w:rPr>
  </w:style>
  <w:style w:type="paragraph" w:customStyle="1" w:styleId="266">
    <w:name w:val="Char1"/>
    <w:basedOn w:val="1"/>
    <w:qFormat/>
    <w:uiPriority w:val="0"/>
    <w:pPr>
      <w:spacing w:line="360" w:lineRule="auto"/>
      <w:ind w:firstLine="560" w:firstLineChars="200"/>
    </w:pPr>
    <w:rPr>
      <w:rFonts w:hAnsi="宋体"/>
      <w:sz w:val="28"/>
      <w:szCs w:val="28"/>
    </w:rPr>
  </w:style>
  <w:style w:type="paragraph" w:customStyle="1" w:styleId="267">
    <w:name w:val="p9"/>
    <w:basedOn w:val="1"/>
    <w:qFormat/>
    <w:uiPriority w:val="0"/>
    <w:pPr>
      <w:widowControl/>
      <w:spacing w:before="100" w:beforeAutospacing="1" w:after="100" w:afterAutospacing="1"/>
      <w:jc w:val="left"/>
    </w:pPr>
    <w:rPr>
      <w:rFonts w:hAnsi="宋体" w:cs="宋体"/>
      <w:sz w:val="18"/>
      <w:szCs w:val="18"/>
    </w:rPr>
  </w:style>
  <w:style w:type="paragraph" w:customStyle="1" w:styleId="268">
    <w:name w:val="Char6"/>
    <w:basedOn w:val="1"/>
    <w:qFormat/>
    <w:uiPriority w:val="0"/>
    <w:pPr>
      <w:widowControl/>
      <w:spacing w:line="360" w:lineRule="auto"/>
      <w:jc w:val="left"/>
    </w:pPr>
    <w:rPr>
      <w:rFonts w:hAnsi="宋体"/>
      <w:sz w:val="24"/>
      <w:szCs w:val="24"/>
    </w:rPr>
  </w:style>
  <w:style w:type="paragraph" w:customStyle="1" w:styleId="269">
    <w:name w:val="WW-正文文字缩进 3"/>
    <w:basedOn w:val="1"/>
    <w:qFormat/>
    <w:uiPriority w:val="0"/>
    <w:pPr>
      <w:suppressAutoHyphens/>
      <w:spacing w:line="360" w:lineRule="auto"/>
      <w:ind w:firstLine="482"/>
    </w:pPr>
    <w:rPr>
      <w:rFonts w:hAnsi="宋体"/>
      <w:kern w:val="1"/>
      <w:sz w:val="24"/>
      <w:szCs w:val="24"/>
      <w:lang w:eastAsia="ar-SA"/>
    </w:rPr>
  </w:style>
  <w:style w:type="paragraph" w:customStyle="1" w:styleId="270">
    <w:name w:val="样式3"/>
    <w:basedOn w:val="4"/>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71">
    <w:name w:val="xl62"/>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72">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73">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274">
    <w:name w:val="z-窗体底端1"/>
    <w:basedOn w:val="1"/>
    <w:next w:val="1"/>
    <w:link w:val="658"/>
    <w:qFormat/>
    <w:uiPriority w:val="0"/>
    <w:pPr>
      <w:widowControl/>
      <w:pBdr>
        <w:top w:val="single" w:color="auto" w:sz="6" w:space="1"/>
      </w:pBdr>
      <w:jc w:val="center"/>
    </w:pPr>
    <w:rPr>
      <w:rFonts w:ascii="Arial" w:hAnsi="Arial" w:cs="Arial"/>
      <w:vanish/>
      <w:sz w:val="16"/>
      <w:szCs w:val="16"/>
    </w:rPr>
  </w:style>
  <w:style w:type="paragraph" w:customStyle="1" w:styleId="275">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76">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77">
    <w:name w:val="pa-9"/>
    <w:basedOn w:val="1"/>
    <w:qFormat/>
    <w:uiPriority w:val="0"/>
    <w:pPr>
      <w:widowControl/>
      <w:spacing w:line="280" w:lineRule="atLeast"/>
      <w:ind w:firstLine="480"/>
      <w:jc w:val="left"/>
    </w:pPr>
    <w:rPr>
      <w:rFonts w:hAnsi="宋体" w:cs="宋体"/>
      <w:sz w:val="24"/>
      <w:szCs w:val="24"/>
    </w:rPr>
  </w:style>
  <w:style w:type="paragraph" w:customStyle="1" w:styleId="278">
    <w:name w:val="xl63"/>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79">
    <w:name w:val="页脚 New New New New New New New New New New New"/>
    <w:basedOn w:val="1"/>
    <w:qFormat/>
    <w:uiPriority w:val="0"/>
    <w:pPr>
      <w:tabs>
        <w:tab w:val="center" w:pos="4153"/>
        <w:tab w:val="right" w:pos="8306"/>
      </w:tabs>
      <w:snapToGrid w:val="0"/>
      <w:jc w:val="left"/>
    </w:pPr>
    <w:rPr>
      <w:sz w:val="18"/>
    </w:rPr>
  </w:style>
  <w:style w:type="paragraph" w:customStyle="1" w:styleId="280">
    <w:name w:val="页脚 New New New New New New New New New"/>
    <w:basedOn w:val="281"/>
    <w:qFormat/>
    <w:uiPriority w:val="0"/>
    <w:pPr>
      <w:widowControl/>
      <w:snapToGrid w:val="0"/>
      <w:jc w:val="left"/>
    </w:pPr>
    <w:rPr>
      <w:sz w:val="18"/>
      <w:szCs w:val="18"/>
    </w:rPr>
  </w:style>
  <w:style w:type="paragraph" w:customStyle="1" w:styleId="281">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
    <w:name w:val="xl79"/>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83">
    <w:name w:val="pa-4"/>
    <w:basedOn w:val="1"/>
    <w:qFormat/>
    <w:uiPriority w:val="0"/>
    <w:pPr>
      <w:widowControl/>
      <w:spacing w:line="240" w:lineRule="atLeast"/>
      <w:ind w:hanging="420"/>
    </w:pPr>
    <w:rPr>
      <w:rFonts w:hAnsi="宋体" w:cs="宋体"/>
      <w:sz w:val="24"/>
      <w:szCs w:val="24"/>
    </w:rPr>
  </w:style>
  <w:style w:type="paragraph" w:customStyle="1" w:styleId="284">
    <w:name w:val="报告正文一"/>
    <w:basedOn w:val="1"/>
    <w:qFormat/>
    <w:uiPriority w:val="0"/>
    <w:pPr>
      <w:spacing w:line="360" w:lineRule="auto"/>
      <w:ind w:firstLine="200" w:firstLineChars="200"/>
    </w:pPr>
    <w:rPr>
      <w:rFonts w:hAnsi="宋体"/>
      <w:sz w:val="28"/>
      <w:szCs w:val="28"/>
    </w:rPr>
  </w:style>
  <w:style w:type="paragraph" w:customStyle="1" w:styleId="285">
    <w:name w:val="文字"/>
    <w:basedOn w:val="1"/>
    <w:qFormat/>
    <w:uiPriority w:val="0"/>
    <w:pPr>
      <w:spacing w:before="120" w:line="300" w:lineRule="auto"/>
    </w:pPr>
    <w:rPr>
      <w:snapToGrid w:val="0"/>
      <w:sz w:val="24"/>
      <w:szCs w:val="24"/>
    </w:rPr>
  </w:style>
  <w:style w:type="paragraph" w:customStyle="1" w:styleId="286">
    <w:name w:val="xl60"/>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87">
    <w:name w:val="表格标题"/>
    <w:basedOn w:val="288"/>
    <w:qFormat/>
    <w:uiPriority w:val="0"/>
    <w:pPr>
      <w:jc w:val="center"/>
    </w:pPr>
    <w:rPr>
      <w:b/>
      <w:bCs/>
      <w:i/>
      <w:iCs/>
    </w:rPr>
  </w:style>
  <w:style w:type="paragraph" w:customStyle="1" w:styleId="288">
    <w:name w:val="表格内容"/>
    <w:basedOn w:val="21"/>
    <w:qFormat/>
    <w:uiPriority w:val="0"/>
    <w:pPr>
      <w:widowControl w:val="0"/>
      <w:suppressLineNumbers/>
      <w:suppressAutoHyphens/>
      <w:spacing w:before="156"/>
      <w:ind w:firstLine="560"/>
      <w:jc w:val="both"/>
    </w:pPr>
    <w:rPr>
      <w:rFonts w:eastAsia="仿宋_GB2312"/>
      <w:kern w:val="1"/>
      <w:sz w:val="28"/>
      <w:szCs w:val="24"/>
      <w:lang w:eastAsia="ar-SA"/>
    </w:rPr>
  </w:style>
  <w:style w:type="paragraph" w:customStyle="1" w:styleId="289">
    <w:name w:val="Body Text 22"/>
    <w:basedOn w:val="1"/>
    <w:qFormat/>
    <w:uiPriority w:val="0"/>
    <w:pPr>
      <w:adjustRightInd w:val="0"/>
      <w:spacing w:before="120" w:line="360" w:lineRule="auto"/>
      <w:ind w:firstLine="480"/>
      <w:textAlignment w:val="baseline"/>
    </w:pPr>
    <w:rPr>
      <w:sz w:val="24"/>
    </w:rPr>
  </w:style>
  <w:style w:type="paragraph" w:customStyle="1" w:styleId="290">
    <w:name w:val="mmm1"/>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91">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292">
    <w:name w:val="首行缩进:  2 字符"/>
    <w:basedOn w:val="1"/>
    <w:qFormat/>
    <w:uiPriority w:val="0"/>
    <w:pPr>
      <w:ind w:firstLine="562"/>
    </w:pPr>
    <w:rPr>
      <w:rFonts w:ascii="仿宋_GB2312" w:hAnsi="Arial" w:eastAsia="仿宋_GB2312" w:cs="宋体"/>
      <w:sz w:val="28"/>
      <w:szCs w:val="28"/>
    </w:rPr>
  </w:style>
  <w:style w:type="paragraph" w:customStyle="1" w:styleId="293">
    <w:name w:val="列出段落2"/>
    <w:basedOn w:val="1"/>
    <w:qFormat/>
    <w:uiPriority w:val="0"/>
    <w:pPr>
      <w:ind w:firstLine="420" w:firstLineChars="200"/>
    </w:pPr>
  </w:style>
  <w:style w:type="paragraph" w:customStyle="1" w:styleId="294">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295">
    <w:name w:val="正文（利国）"/>
    <w:basedOn w:val="1"/>
    <w:qFormat/>
    <w:uiPriority w:val="0"/>
    <w:pPr>
      <w:ind w:firstLine="200" w:firstLineChars="200"/>
    </w:pPr>
    <w:rPr>
      <w:szCs w:val="24"/>
    </w:rPr>
  </w:style>
  <w:style w:type="paragraph" w:customStyle="1" w:styleId="296">
    <w:name w:val="xl48"/>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297">
    <w:name w:val="文章正文"/>
    <w:basedOn w:val="1"/>
    <w:qFormat/>
    <w:uiPriority w:val="0"/>
    <w:pPr>
      <w:spacing w:line="360" w:lineRule="auto"/>
      <w:ind w:firstLine="560" w:firstLineChars="200"/>
    </w:pPr>
    <w:rPr>
      <w:rFonts w:eastAsia="仿宋_GB2312"/>
      <w:sz w:val="28"/>
    </w:rPr>
  </w:style>
  <w:style w:type="paragraph" w:customStyle="1" w:styleId="298">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299">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300">
    <w:name w:val="样式 段后: 6 磅"/>
    <w:basedOn w:val="1"/>
    <w:qFormat/>
    <w:uiPriority w:val="0"/>
    <w:pPr>
      <w:spacing w:after="120"/>
      <w:ind w:firstLine="420" w:firstLineChars="200"/>
      <w:jc w:val="left"/>
    </w:pPr>
    <w:rPr>
      <w:rFonts w:cs="宋体"/>
    </w:rPr>
  </w:style>
  <w:style w:type="paragraph" w:customStyle="1" w:styleId="301">
    <w:name w:val="Tabelle"/>
    <w:basedOn w:val="1"/>
    <w:qFormat/>
    <w:uiPriority w:val="0"/>
    <w:pPr>
      <w:widowControl/>
      <w:spacing w:before="40" w:after="40"/>
      <w:jc w:val="left"/>
    </w:pPr>
    <w:rPr>
      <w:rFonts w:ascii="Arial" w:hAnsi="Arial"/>
      <w:sz w:val="20"/>
    </w:rPr>
  </w:style>
  <w:style w:type="paragraph" w:customStyle="1" w:styleId="302">
    <w:name w:val="标准文件_一级项目符号内容"/>
    <w:basedOn w:val="1"/>
    <w:qFormat/>
    <w:uiPriority w:val="0"/>
    <w:pPr>
      <w:spacing w:line="300" w:lineRule="auto"/>
      <w:ind w:left="420" w:leftChars="200" w:firstLine="480" w:firstLineChars="200"/>
    </w:pPr>
    <w:rPr>
      <w:sz w:val="24"/>
      <w:szCs w:val="24"/>
    </w:rPr>
  </w:style>
  <w:style w:type="paragraph" w:customStyle="1" w:styleId="303">
    <w:name w:val="样式 首行缩进:  2 字符4"/>
    <w:basedOn w:val="1"/>
    <w:qFormat/>
    <w:uiPriority w:val="0"/>
    <w:pPr>
      <w:ind w:firstLine="480"/>
    </w:pPr>
  </w:style>
  <w:style w:type="paragraph" w:customStyle="1" w:styleId="304">
    <w:name w:val="我的正文1"/>
    <w:basedOn w:val="14"/>
    <w:qFormat/>
    <w:uiPriority w:val="0"/>
    <w:pPr>
      <w:adjustRightInd/>
      <w:spacing w:line="360" w:lineRule="auto"/>
      <w:ind w:firstLine="200" w:firstLineChars="200"/>
      <w:jc w:val="both"/>
    </w:pPr>
    <w:rPr>
      <w:rFonts w:ascii="Times New Roman" w:eastAsia="仿宋_GB2312"/>
      <w:sz w:val="28"/>
      <w:szCs w:val="24"/>
    </w:rPr>
  </w:style>
  <w:style w:type="paragraph" w:customStyle="1" w:styleId="305">
    <w:name w:val="样式1 Char Char"/>
    <w:basedOn w:val="1"/>
    <w:next w:val="29"/>
    <w:qFormat/>
    <w:uiPriority w:val="0"/>
    <w:pPr>
      <w:spacing w:line="360" w:lineRule="auto"/>
      <w:ind w:firstLine="516" w:firstLineChars="215"/>
    </w:pPr>
    <w:rPr>
      <w:sz w:val="24"/>
      <w:szCs w:val="24"/>
    </w:rPr>
  </w:style>
  <w:style w:type="paragraph" w:customStyle="1" w:styleId="306">
    <w:name w:val="样式 标题 3sect1.2.3h33H3Heading 3 - oldCTLevel 3 Topic Headi...1"/>
    <w:basedOn w:val="4"/>
    <w:qFormat/>
    <w:uiPriority w:val="0"/>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307">
    <w:name w:val="样式18"/>
    <w:basedOn w:val="52"/>
    <w:qFormat/>
    <w:uiPriority w:val="0"/>
    <w:pPr>
      <w:spacing w:line="720" w:lineRule="auto"/>
    </w:pPr>
    <w:rPr>
      <w:rFonts w:eastAsia="黑体"/>
      <w:bCs w:val="0"/>
      <w:sz w:val="30"/>
    </w:rPr>
  </w:style>
  <w:style w:type="paragraph" w:customStyle="1" w:styleId="308">
    <w:name w:val="首行缩进"/>
    <w:basedOn w:val="1"/>
    <w:qFormat/>
    <w:uiPriority w:val="0"/>
    <w:pPr>
      <w:spacing w:line="360" w:lineRule="auto"/>
      <w:ind w:firstLine="480" w:firstLineChars="200"/>
    </w:pPr>
    <w:rPr>
      <w:sz w:val="24"/>
    </w:rPr>
  </w:style>
  <w:style w:type="paragraph" w:customStyle="1" w:styleId="309">
    <w:name w:val="indent"/>
    <w:basedOn w:val="1"/>
    <w:qFormat/>
    <w:uiPriority w:val="0"/>
    <w:pPr>
      <w:widowControl/>
      <w:spacing w:before="100" w:beforeAutospacing="1" w:after="100" w:afterAutospacing="1" w:line="278" w:lineRule="atLeast"/>
      <w:ind w:firstLine="416"/>
      <w:jc w:val="left"/>
    </w:pPr>
    <w:rPr>
      <w:rFonts w:hAnsi="宋体" w:cs="宋体"/>
      <w:szCs w:val="21"/>
    </w:rPr>
  </w:style>
  <w:style w:type="paragraph" w:customStyle="1" w:styleId="310">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311">
    <w:name w:val="样式 标题 2第一章 标题 2Heading 2 HiddenHeading 2 CCBSheading 2H2h2..."/>
    <w:basedOn w:val="3"/>
    <w:qFormat/>
    <w:uiPriority w:val="0"/>
    <w:pPr>
      <w:tabs>
        <w:tab w:val="left" w:pos="420"/>
      </w:tabs>
      <w:adjustRightInd w:val="0"/>
      <w:spacing w:before="120" w:after="120" w:line="240" w:lineRule="auto"/>
      <w:ind w:left="1134" w:hanging="567"/>
      <w:jc w:val="center"/>
      <w:textAlignment w:val="baseline"/>
    </w:pPr>
    <w:rPr>
      <w:rFonts w:ascii="黑体" w:hAnsi="Times New Roman"/>
      <w:bCs w:val="0"/>
      <w:kern w:val="0"/>
      <w:szCs w:val="20"/>
    </w:rPr>
  </w:style>
  <w:style w:type="paragraph" w:customStyle="1" w:styleId="312">
    <w:name w:val="样式 首行缩进:  2 字符5"/>
    <w:basedOn w:val="1"/>
    <w:qFormat/>
    <w:uiPriority w:val="0"/>
    <w:pPr>
      <w:spacing w:before="120" w:line="360" w:lineRule="auto"/>
      <w:ind w:firstLine="480" w:firstLineChars="200"/>
    </w:pPr>
    <w:rPr>
      <w:sz w:val="24"/>
    </w:rPr>
  </w:style>
  <w:style w:type="paragraph" w:customStyle="1" w:styleId="313">
    <w:name w:val="表格文字1"/>
    <w:basedOn w:val="1"/>
    <w:qFormat/>
    <w:uiPriority w:val="0"/>
    <w:pPr>
      <w:tabs>
        <w:tab w:val="left" w:pos="1260"/>
      </w:tabs>
      <w:spacing w:line="360" w:lineRule="auto"/>
    </w:pPr>
    <w:rPr>
      <w:b/>
      <w:bCs/>
      <w:sz w:val="24"/>
      <w:szCs w:val="24"/>
    </w:rPr>
  </w:style>
  <w:style w:type="paragraph" w:customStyle="1" w:styleId="314">
    <w:name w:val="±íÏî"/>
    <w:basedOn w:val="1"/>
    <w:qFormat/>
    <w:uiPriority w:val="0"/>
    <w:pPr>
      <w:widowControl/>
      <w:overflowPunct w:val="0"/>
      <w:autoSpaceDE w:val="0"/>
      <w:autoSpaceDN w:val="0"/>
      <w:adjustRightInd w:val="0"/>
      <w:spacing w:line="300" w:lineRule="auto"/>
      <w:jc w:val="center"/>
      <w:textAlignment w:val="baseline"/>
    </w:pPr>
    <w:rPr>
      <w:sz w:val="18"/>
    </w:rPr>
  </w:style>
  <w:style w:type="paragraph" w:customStyle="1" w:styleId="315">
    <w:name w:val="四级无标题条"/>
    <w:basedOn w:val="1"/>
    <w:qFormat/>
    <w:uiPriority w:val="0"/>
    <w:pPr>
      <w:tabs>
        <w:tab w:val="left" w:pos="4320"/>
      </w:tabs>
      <w:ind w:left="4320" w:hanging="360"/>
    </w:pPr>
  </w:style>
  <w:style w:type="paragraph" w:customStyle="1" w:styleId="316">
    <w:name w:val="font10"/>
    <w:basedOn w:val="1"/>
    <w:qFormat/>
    <w:uiPriority w:val="0"/>
    <w:pPr>
      <w:widowControl/>
      <w:suppressAutoHyphens/>
      <w:spacing w:before="280" w:after="280"/>
      <w:jc w:val="left"/>
    </w:pPr>
    <w:rPr>
      <w:rFonts w:eastAsia="Arial Unicode MS"/>
      <w:b/>
      <w:bCs/>
      <w:kern w:val="1"/>
      <w:sz w:val="20"/>
      <w:lang w:eastAsia="ar-SA"/>
    </w:rPr>
  </w:style>
  <w:style w:type="paragraph" w:customStyle="1" w:styleId="317">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18">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rPr>
  </w:style>
  <w:style w:type="paragraph" w:customStyle="1" w:styleId="319">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0">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1">
    <w:name w:val="标题1"/>
    <w:basedOn w:val="1"/>
    <w:next w:val="21"/>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322">
    <w:name w:val="Char1 Char Char Char Char Char Char"/>
    <w:basedOn w:val="1"/>
    <w:qFormat/>
    <w:uiPriority w:val="0"/>
    <w:rPr>
      <w:rFonts w:ascii="Tahoma" w:hAnsi="Tahoma"/>
      <w:sz w:val="24"/>
    </w:rPr>
  </w:style>
  <w:style w:type="paragraph" w:customStyle="1" w:styleId="323">
    <w:name w:val="正文列表"/>
    <w:basedOn w:val="1"/>
    <w:qFormat/>
    <w:uiPriority w:val="0"/>
    <w:pPr>
      <w:tabs>
        <w:tab w:val="left" w:pos="360"/>
      </w:tabs>
      <w:spacing w:after="120"/>
    </w:pPr>
    <w:rPr>
      <w:sz w:val="24"/>
      <w:lang w:eastAsia="zh-TW"/>
    </w:rPr>
  </w:style>
  <w:style w:type="paragraph" w:customStyle="1" w:styleId="324">
    <w:name w:val="并列项 ·"/>
    <w:basedOn w:val="1"/>
    <w:qFormat/>
    <w:uiPriority w:val="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325">
    <w:name w:val="xl5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326">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327">
    <w:name w:val="样式2"/>
    <w:basedOn w:val="1"/>
    <w:link w:val="664"/>
    <w:qFormat/>
    <w:uiPriority w:val="99"/>
    <w:pPr>
      <w:adjustRightInd w:val="0"/>
      <w:spacing w:after="60" w:line="400" w:lineRule="atLeast"/>
      <w:jc w:val="left"/>
      <w:textAlignment w:val="baseline"/>
    </w:pPr>
    <w:rPr>
      <w:sz w:val="28"/>
    </w:rPr>
  </w:style>
  <w:style w:type="paragraph" w:customStyle="1" w:styleId="328">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29">
    <w:name w:val="汉仪细等线简9BOLD"/>
    <w:basedOn w:val="1"/>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30">
    <w:name w:val="标题 5(1.1.1或加重说明)"/>
    <w:basedOn w:val="1"/>
    <w:qFormat/>
    <w:uiPriority w:val="0"/>
    <w:pPr>
      <w:spacing w:line="360" w:lineRule="auto"/>
    </w:pPr>
    <w:rPr>
      <w:rFonts w:ascii="黑体" w:hAnsi="宋体" w:eastAsia="黑体"/>
      <w:b/>
      <w:color w:val="000000"/>
      <w:sz w:val="28"/>
    </w:rPr>
  </w:style>
  <w:style w:type="paragraph" w:customStyle="1" w:styleId="331">
    <w:name w:val="_Style 2"/>
    <w:basedOn w:val="1"/>
    <w:qFormat/>
    <w:uiPriority w:val="0"/>
    <w:pPr>
      <w:ind w:firstLine="420" w:firstLineChars="200"/>
    </w:pPr>
  </w:style>
  <w:style w:type="paragraph" w:customStyle="1" w:styleId="332">
    <w:name w:val="xl39"/>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333">
    <w:name w:val="页眉1"/>
    <w:basedOn w:val="114"/>
    <w:next w:val="114"/>
    <w:qFormat/>
    <w:uiPriority w:val="0"/>
    <w:rPr>
      <w:rFonts w:ascii="Arial,BoldItalic" w:hAnsi="Arial,BoldItalic" w:cs="Times New Roman"/>
      <w:color w:val="auto"/>
    </w:rPr>
  </w:style>
  <w:style w:type="paragraph" w:customStyle="1" w:styleId="334">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335">
    <w:name w:val="Bullet 1"/>
    <w:basedOn w:val="1"/>
    <w:qFormat/>
    <w:uiPriority w:val="0"/>
    <w:pPr>
      <w:widowControl/>
      <w:tabs>
        <w:tab w:val="left" w:pos="420"/>
      </w:tabs>
      <w:spacing w:line="290" w:lineRule="atLeast"/>
      <w:ind w:left="420" w:hanging="420"/>
      <w:jc w:val="left"/>
    </w:pPr>
    <w:rPr>
      <w:rFonts w:eastAsia="Times New Roman"/>
      <w:sz w:val="24"/>
      <w:lang w:eastAsia="en-US"/>
    </w:rPr>
  </w:style>
  <w:style w:type="paragraph" w:customStyle="1" w:styleId="336">
    <w:name w:val="样式15"/>
    <w:basedOn w:val="5"/>
    <w:qFormat/>
    <w:uiPriority w:val="0"/>
  </w:style>
  <w:style w:type="paragraph" w:customStyle="1" w:styleId="337">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338">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339">
    <w:name w:val="font9"/>
    <w:basedOn w:val="1"/>
    <w:qFormat/>
    <w:uiPriority w:val="0"/>
    <w:pPr>
      <w:widowControl/>
      <w:suppressAutoHyphens/>
      <w:spacing w:before="280" w:after="280"/>
      <w:jc w:val="left"/>
    </w:pPr>
    <w:rPr>
      <w:rFonts w:eastAsia="Arial Unicode MS"/>
      <w:kern w:val="1"/>
      <w:sz w:val="20"/>
      <w:lang w:eastAsia="ar-SA"/>
    </w:rPr>
  </w:style>
  <w:style w:type="paragraph" w:customStyle="1" w:styleId="340">
    <w:name w:val="Bullet 3"/>
    <w:basedOn w:val="1"/>
    <w:qFormat/>
    <w:uiPriority w:val="0"/>
    <w:pPr>
      <w:widowControl/>
      <w:tabs>
        <w:tab w:val="left" w:pos="1260"/>
      </w:tabs>
      <w:spacing w:line="290" w:lineRule="atLeast"/>
      <w:jc w:val="left"/>
    </w:pPr>
    <w:rPr>
      <w:rFonts w:eastAsia="Times New Roman"/>
      <w:sz w:val="24"/>
      <w:lang w:eastAsia="en-US"/>
    </w:rPr>
  </w:style>
  <w:style w:type="paragraph" w:customStyle="1" w:styleId="341">
    <w:name w:val="表格"/>
    <w:basedOn w:val="1"/>
    <w:qFormat/>
    <w:uiPriority w:val="0"/>
    <w:pPr>
      <w:jc w:val="center"/>
    </w:pPr>
    <w:rPr>
      <w:rFonts w:hAnsi="宋体"/>
      <w:szCs w:val="21"/>
    </w:rPr>
  </w:style>
  <w:style w:type="paragraph" w:customStyle="1" w:styleId="342">
    <w:name w:val="pa-41"/>
    <w:basedOn w:val="1"/>
    <w:qFormat/>
    <w:uiPriority w:val="0"/>
    <w:pPr>
      <w:widowControl/>
      <w:spacing w:line="280" w:lineRule="atLeast"/>
      <w:ind w:firstLine="360"/>
      <w:jc w:val="left"/>
    </w:pPr>
    <w:rPr>
      <w:rFonts w:hAnsi="宋体" w:cs="宋体"/>
      <w:sz w:val="24"/>
      <w:szCs w:val="24"/>
    </w:rPr>
  </w:style>
  <w:style w:type="paragraph" w:customStyle="1" w:styleId="343">
    <w:name w:val="neiwen"/>
    <w:basedOn w:val="1"/>
    <w:qFormat/>
    <w:uiPriority w:val="0"/>
    <w:pPr>
      <w:widowControl/>
      <w:spacing w:before="100" w:beforeAutospacing="1" w:after="100" w:afterAutospacing="1"/>
      <w:jc w:val="left"/>
    </w:pPr>
    <w:rPr>
      <w:rFonts w:hAnsi="宋体"/>
      <w:sz w:val="24"/>
      <w:szCs w:val="24"/>
    </w:rPr>
  </w:style>
  <w:style w:type="paragraph" w:customStyle="1" w:styleId="344">
    <w:name w:val="样式22"/>
    <w:basedOn w:val="2"/>
    <w:qFormat/>
    <w:uiPriority w:val="0"/>
    <w:rPr>
      <w:rFonts w:eastAsia="黑体"/>
      <w:sz w:val="36"/>
    </w:rPr>
  </w:style>
  <w:style w:type="paragraph" w:customStyle="1" w:styleId="345">
    <w:name w:val="样式 首行缩进:  2.25 字符"/>
    <w:basedOn w:val="1"/>
    <w:qFormat/>
    <w:uiPriority w:val="0"/>
    <w:pPr>
      <w:spacing w:line="360" w:lineRule="auto"/>
      <w:ind w:firstLine="225" w:firstLineChars="225"/>
    </w:pPr>
    <w:rPr>
      <w:rFonts w:cs="宋体"/>
      <w:sz w:val="24"/>
    </w:rPr>
  </w:style>
  <w:style w:type="paragraph" w:customStyle="1" w:styleId="346">
    <w:name w:val="报告正文"/>
    <w:basedOn w:val="1"/>
    <w:qFormat/>
    <w:uiPriority w:val="0"/>
    <w:pPr>
      <w:widowControl/>
      <w:overflowPunct w:val="0"/>
      <w:autoSpaceDE w:val="0"/>
      <w:autoSpaceDN w:val="0"/>
      <w:adjustRightInd w:val="0"/>
      <w:spacing w:line="360" w:lineRule="auto"/>
      <w:ind w:firstLine="420"/>
      <w:textAlignment w:val="baseline"/>
    </w:pPr>
    <w:rPr>
      <w:sz w:val="24"/>
    </w:rPr>
  </w:style>
  <w:style w:type="paragraph" w:customStyle="1" w:styleId="347">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sz w:val="24"/>
    </w:rPr>
  </w:style>
  <w:style w:type="paragraph" w:customStyle="1" w:styleId="348">
    <w:name w:val="表格正文"/>
    <w:basedOn w:val="1"/>
    <w:qFormat/>
    <w:uiPriority w:val="0"/>
    <w:pPr>
      <w:snapToGrid w:val="0"/>
      <w:spacing w:line="300" w:lineRule="auto"/>
    </w:pPr>
    <w:rPr>
      <w:szCs w:val="24"/>
    </w:rPr>
  </w:style>
  <w:style w:type="paragraph" w:customStyle="1" w:styleId="349">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350">
    <w:name w:val="Char2"/>
    <w:basedOn w:val="1"/>
    <w:qFormat/>
    <w:uiPriority w:val="0"/>
    <w:rPr>
      <w:rFonts w:hAnsi="宋体" w:cs="Courier New"/>
      <w:sz w:val="32"/>
      <w:szCs w:val="32"/>
    </w:rPr>
  </w:style>
  <w:style w:type="paragraph" w:customStyle="1" w:styleId="351">
    <w:name w:val="样式 小四 首行缩进:  1 字符"/>
    <w:basedOn w:val="1"/>
    <w:qFormat/>
    <w:uiPriority w:val="0"/>
    <w:pPr>
      <w:ind w:firstLine="240" w:firstLineChars="100"/>
    </w:pPr>
    <w:rPr>
      <w:rFonts w:cs="宋体"/>
      <w:sz w:val="24"/>
    </w:rPr>
  </w:style>
  <w:style w:type="paragraph" w:customStyle="1" w:styleId="352">
    <w:name w:val="缺省文本"/>
    <w:basedOn w:val="1"/>
    <w:qFormat/>
    <w:uiPriority w:val="0"/>
    <w:rPr>
      <w:rFonts w:eastAsia="楷体_GB2312"/>
      <w:sz w:val="24"/>
    </w:rPr>
  </w:style>
  <w:style w:type="paragraph" w:customStyle="1" w:styleId="353">
    <w:name w:val="样式 标题 1H1标题 4-1 + 仿宋_GB2312 小二 居中"/>
    <w:basedOn w:val="1"/>
    <w:qFormat/>
    <w:uiPriority w:val="0"/>
  </w:style>
  <w:style w:type="paragraph" w:customStyle="1" w:styleId="354">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55">
    <w:name w:val="WW-普通 (Web)"/>
    <w:basedOn w:val="1"/>
    <w:qFormat/>
    <w:uiPriority w:val="0"/>
    <w:pPr>
      <w:widowControl/>
      <w:suppressAutoHyphens/>
      <w:spacing w:before="280" w:after="280"/>
      <w:jc w:val="left"/>
    </w:pPr>
    <w:rPr>
      <w:rFonts w:hAnsi="宋体"/>
      <w:kern w:val="1"/>
      <w:sz w:val="24"/>
      <w:szCs w:val="24"/>
      <w:lang w:eastAsia="ar-SA"/>
    </w:rPr>
  </w:style>
  <w:style w:type="paragraph" w:customStyle="1" w:styleId="356">
    <w:name w:val="Char Char Char Char Char"/>
    <w:basedOn w:val="1"/>
    <w:qFormat/>
    <w:uiPriority w:val="0"/>
    <w:rPr>
      <w:rFonts w:ascii="Tahoma" w:hAnsi="Tahoma" w:cs="Arial"/>
      <w:sz w:val="24"/>
      <w:szCs w:val="21"/>
    </w:rPr>
  </w:style>
  <w:style w:type="paragraph" w:customStyle="1" w:styleId="357">
    <w:name w:val="xl61"/>
    <w:basedOn w:val="1"/>
    <w:qFormat/>
    <w:uiPriority w:val="0"/>
    <w:pPr>
      <w:widowControl/>
      <w:pBdr>
        <w:top w:val="single" w:color="000000" w:sz="8"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58">
    <w:name w:val="标题 3正文"/>
    <w:basedOn w:val="1"/>
    <w:qFormat/>
    <w:uiPriority w:val="0"/>
    <w:pPr>
      <w:tabs>
        <w:tab w:val="left" w:pos="1260"/>
      </w:tabs>
      <w:spacing w:beforeLines="50" w:line="360" w:lineRule="auto"/>
      <w:ind w:firstLine="410" w:firstLineChars="171"/>
    </w:pPr>
    <w:rPr>
      <w:rFonts w:hAnsi="宋体"/>
      <w:sz w:val="24"/>
      <w:szCs w:val="24"/>
    </w:rPr>
  </w:style>
  <w:style w:type="paragraph" w:customStyle="1" w:styleId="359">
    <w:name w:val="8"/>
    <w:basedOn w:val="1"/>
    <w:next w:val="1"/>
    <w:qFormat/>
    <w:uiPriority w:val="0"/>
    <w:rPr>
      <w:szCs w:val="24"/>
    </w:rPr>
  </w:style>
  <w:style w:type="paragraph" w:customStyle="1" w:styleId="360">
    <w:name w:val="样式 标题 3标题 3 Char + 宋体 四号"/>
    <w:basedOn w:val="4"/>
    <w:qFormat/>
    <w:uiPriority w:val="0"/>
    <w:pPr>
      <w:widowControl w:val="0"/>
      <w:spacing w:before="0" w:after="0" w:line="240" w:lineRule="auto"/>
      <w:jc w:val="both"/>
      <w:outlineLvl w:val="9"/>
    </w:pPr>
    <w:rPr>
      <w:rFonts w:ascii="宋体" w:hAnsi="宋体"/>
      <w:color w:val="000000"/>
      <w:kern w:val="2"/>
      <w:sz w:val="28"/>
      <w:szCs w:val="20"/>
    </w:rPr>
  </w:style>
  <w:style w:type="paragraph" w:customStyle="1" w:styleId="361">
    <w:name w:val="样式21"/>
    <w:basedOn w:val="2"/>
    <w:qFormat/>
    <w:uiPriority w:val="0"/>
    <w:rPr>
      <w:rFonts w:eastAsia="黑体"/>
      <w:sz w:val="36"/>
    </w:rPr>
  </w:style>
  <w:style w:type="paragraph" w:customStyle="1" w:styleId="362">
    <w:name w:val="a"/>
    <w:basedOn w:val="1"/>
    <w:qFormat/>
    <w:uiPriority w:val="0"/>
    <w:pPr>
      <w:widowControl/>
      <w:spacing w:before="100" w:beforeAutospacing="1" w:after="100" w:afterAutospacing="1" w:line="312" w:lineRule="auto"/>
      <w:jc w:val="left"/>
    </w:pPr>
    <w:rPr>
      <w:rFonts w:hAnsi="宋体" w:cs="宋体"/>
      <w:sz w:val="18"/>
      <w:szCs w:val="18"/>
    </w:rPr>
  </w:style>
  <w:style w:type="paragraph" w:customStyle="1" w:styleId="363">
    <w:name w:val="xl56"/>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364">
    <w:name w:val="Char4 Char Char1 Char"/>
    <w:basedOn w:val="1"/>
    <w:qFormat/>
    <w:uiPriority w:val="0"/>
    <w:rPr>
      <w:rFonts w:ascii="Tahoma" w:hAnsi="Tahoma"/>
      <w:sz w:val="24"/>
    </w:rPr>
  </w:style>
  <w:style w:type="paragraph" w:customStyle="1" w:styleId="365">
    <w:name w:val="xl58"/>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366">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367">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68">
    <w:name w:val="项目下文字"/>
    <w:basedOn w:val="212"/>
    <w:qFormat/>
    <w:uiPriority w:val="0"/>
  </w:style>
  <w:style w:type="paragraph" w:customStyle="1" w:styleId="369">
    <w:name w:val="xl47"/>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70">
    <w:name w:val="xl73"/>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371">
    <w:name w:val="缩进正文"/>
    <w:basedOn w:val="1"/>
    <w:qFormat/>
    <w:uiPriority w:val="0"/>
    <w:pPr>
      <w:widowControl/>
      <w:spacing w:after="200" w:line="400" w:lineRule="exact"/>
      <w:ind w:left="1418"/>
      <w:jc w:val="left"/>
    </w:pPr>
  </w:style>
  <w:style w:type="paragraph" w:customStyle="1" w:styleId="372">
    <w:name w:val="xl81"/>
    <w:basedOn w:val="1"/>
    <w:qFormat/>
    <w:uiPriority w:val="0"/>
    <w:pPr>
      <w:widowControl/>
      <w:pBdr>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73">
    <w:name w:val="页脚 New"/>
    <w:basedOn w:val="374"/>
    <w:qFormat/>
    <w:uiPriority w:val="0"/>
    <w:pPr>
      <w:tabs>
        <w:tab w:val="center" w:pos="4153"/>
        <w:tab w:val="right" w:pos="8306"/>
      </w:tabs>
      <w:snapToGrid w:val="0"/>
      <w:jc w:val="left"/>
    </w:pPr>
    <w:rPr>
      <w:sz w:val="18"/>
      <w:szCs w:val="18"/>
    </w:rPr>
  </w:style>
  <w:style w:type="paragraph" w:customStyle="1" w:styleId="374">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75">
    <w:name w:val="样式 标题 5 + 仿宋_GB2312"/>
    <w:basedOn w:val="6"/>
    <w:qFormat/>
    <w:uiPriority w:val="0"/>
    <w:pPr>
      <w:tabs>
        <w:tab w:val="left" w:pos="1260"/>
      </w:tabs>
      <w:suppressAutoHyphens/>
      <w:spacing w:line="374" w:lineRule="auto"/>
      <w:ind w:left="1260" w:hanging="420"/>
    </w:pPr>
    <w:rPr>
      <w:rFonts w:hAnsi="仿宋_GB2312" w:eastAsia="宋体"/>
      <w:kern w:val="1"/>
      <w:sz w:val="24"/>
      <w:lang w:eastAsia="ar-SA"/>
    </w:rPr>
  </w:style>
  <w:style w:type="paragraph" w:customStyle="1" w:styleId="376">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77">
    <w:name w:val="标准文件_一级条标题"/>
    <w:basedOn w:val="142"/>
    <w:next w:val="1"/>
    <w:qFormat/>
    <w:uiPriority w:val="0"/>
    <w:pPr>
      <w:spacing w:before="0" w:after="0"/>
      <w:ind w:left="0"/>
      <w:jc w:val="left"/>
      <w:outlineLvl w:val="2"/>
    </w:pPr>
    <w:rPr>
      <w:rFonts w:hAnsi="宋体"/>
      <w:bCs/>
      <w:color w:val="000000"/>
      <w:sz w:val="24"/>
      <w:lang w:val="zh-CN"/>
    </w:rPr>
  </w:style>
  <w:style w:type="paragraph" w:customStyle="1" w:styleId="37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379">
    <w:name w:val="pa-1"/>
    <w:basedOn w:val="1"/>
    <w:qFormat/>
    <w:uiPriority w:val="0"/>
    <w:pPr>
      <w:widowControl/>
      <w:spacing w:line="340" w:lineRule="atLeast"/>
    </w:pPr>
    <w:rPr>
      <w:rFonts w:hAnsi="宋体" w:cs="宋体"/>
      <w:sz w:val="24"/>
      <w:szCs w:val="24"/>
    </w:rPr>
  </w:style>
  <w:style w:type="paragraph" w:customStyle="1" w:styleId="380">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81">
    <w:name w:val="标准文件_大表标题"/>
    <w:basedOn w:val="1"/>
    <w:qFormat/>
    <w:uiPriority w:val="0"/>
    <w:pPr>
      <w:widowControl/>
      <w:adjustRightInd w:val="0"/>
      <w:snapToGrid w:val="0"/>
      <w:spacing w:line="300" w:lineRule="auto"/>
      <w:jc w:val="center"/>
    </w:pPr>
    <w:rPr>
      <w:b/>
      <w:color w:val="000000"/>
      <w:spacing w:val="2"/>
      <w:szCs w:val="24"/>
    </w:rPr>
  </w:style>
  <w:style w:type="paragraph" w:customStyle="1" w:styleId="382">
    <w:name w:val="正文缩进2"/>
    <w:basedOn w:val="1"/>
    <w:qFormat/>
    <w:uiPriority w:val="0"/>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383">
    <w:name w:val="xl7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384">
    <w:name w:val="标题 2（网御星云）"/>
    <w:basedOn w:val="3"/>
    <w:next w:val="1"/>
    <w:qFormat/>
    <w:uiPriority w:val="0"/>
    <w:pPr>
      <w:ind w:left="794" w:hanging="794"/>
      <w:jc w:val="left"/>
    </w:pPr>
    <w:rPr>
      <w:bCs w:val="0"/>
    </w:rPr>
  </w:style>
  <w:style w:type="paragraph" w:customStyle="1" w:styleId="385">
    <w:name w:val="关键词"/>
    <w:basedOn w:val="1"/>
    <w:qFormat/>
    <w:uiPriority w:val="0"/>
    <w:pPr>
      <w:tabs>
        <w:tab w:val="left" w:pos="907"/>
      </w:tabs>
      <w:spacing w:line="360" w:lineRule="auto"/>
      <w:ind w:left="879" w:hanging="879"/>
    </w:pPr>
    <w:rPr>
      <w:rFonts w:eastAsia="楷体_GB2312"/>
    </w:rPr>
  </w:style>
  <w:style w:type="paragraph" w:customStyle="1" w:styleId="386">
    <w:name w:val="xl8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kern w:val="1"/>
      <w:sz w:val="20"/>
      <w:lang w:eastAsia="ar-SA"/>
    </w:rPr>
  </w:style>
  <w:style w:type="paragraph" w:customStyle="1" w:styleId="387">
    <w:name w:val="xl8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b/>
      <w:bCs/>
      <w:kern w:val="1"/>
      <w:sz w:val="20"/>
      <w:lang w:eastAsia="ar-SA"/>
    </w:rPr>
  </w:style>
  <w:style w:type="paragraph" w:customStyle="1" w:styleId="388">
    <w:name w:val="Char16"/>
    <w:basedOn w:val="1"/>
    <w:qFormat/>
    <w:uiPriority w:val="0"/>
    <w:pPr>
      <w:widowControl/>
      <w:spacing w:after="160" w:line="240" w:lineRule="exact"/>
      <w:jc w:val="left"/>
    </w:pPr>
    <w:rPr>
      <w:rFonts w:ascii="Verdana" w:hAnsi="Verdana"/>
      <w:sz w:val="20"/>
      <w:lang w:eastAsia="en-US"/>
    </w:rPr>
  </w:style>
  <w:style w:type="paragraph" w:customStyle="1" w:styleId="389">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90">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1">
    <w:name w:val="newtext"/>
    <w:basedOn w:val="1"/>
    <w:qFormat/>
    <w:uiPriority w:val="0"/>
    <w:pPr>
      <w:widowControl/>
      <w:spacing w:before="100" w:beforeAutospacing="1" w:after="100" w:afterAutospacing="1"/>
      <w:jc w:val="left"/>
    </w:pPr>
    <w:rPr>
      <w:rFonts w:hAnsi="宋体" w:cs="宋体"/>
      <w:sz w:val="24"/>
      <w:szCs w:val="24"/>
    </w:rPr>
  </w:style>
  <w:style w:type="paragraph" w:customStyle="1" w:styleId="392">
    <w:name w:val="符合标题4"/>
    <w:basedOn w:val="1"/>
    <w:qFormat/>
    <w:uiPriority w:val="0"/>
    <w:pPr>
      <w:widowControl/>
      <w:tabs>
        <w:tab w:val="left" w:pos="0"/>
      </w:tabs>
      <w:spacing w:before="100" w:beforeAutospacing="1" w:after="100" w:afterAutospacing="1" w:line="360" w:lineRule="auto"/>
      <w:jc w:val="left"/>
    </w:pPr>
    <w:rPr>
      <w:rFonts w:hAnsi="宋体"/>
      <w:sz w:val="24"/>
      <w:szCs w:val="24"/>
    </w:rPr>
  </w:style>
  <w:style w:type="paragraph" w:customStyle="1" w:styleId="393">
    <w:name w:val="Table Contents"/>
    <w:basedOn w:val="1"/>
    <w:qFormat/>
    <w:uiPriority w:val="0"/>
    <w:pPr>
      <w:suppressAutoHyphens/>
      <w:autoSpaceDE w:val="0"/>
      <w:spacing w:after="120"/>
      <w:jc w:val="left"/>
    </w:pPr>
    <w:rPr>
      <w:rFonts w:ascii="Helvetica" w:hAnsi="Helvetica"/>
      <w:kern w:val="1"/>
      <w:sz w:val="20"/>
    </w:rPr>
  </w:style>
  <w:style w:type="paragraph" w:customStyle="1" w:styleId="394">
    <w:name w:val="页脚 New New"/>
    <w:basedOn w:val="220"/>
    <w:qFormat/>
    <w:uiPriority w:val="0"/>
    <w:pPr>
      <w:tabs>
        <w:tab w:val="center" w:pos="4153"/>
        <w:tab w:val="right" w:pos="8306"/>
      </w:tabs>
      <w:snapToGrid w:val="0"/>
      <w:jc w:val="left"/>
    </w:pPr>
    <w:rPr>
      <w:sz w:val="18"/>
      <w:szCs w:val="18"/>
    </w:rPr>
  </w:style>
  <w:style w:type="paragraph" w:customStyle="1" w:styleId="395">
    <w:name w:val="普通(网站) New"/>
    <w:basedOn w:val="139"/>
    <w:qFormat/>
    <w:uiPriority w:val="0"/>
    <w:pPr>
      <w:widowControl/>
      <w:spacing w:before="100" w:beforeAutospacing="1" w:after="100" w:afterAutospacing="1"/>
      <w:jc w:val="left"/>
    </w:pPr>
    <w:rPr>
      <w:rFonts w:hint="eastAsia" w:ascii="宋体" w:hAnsi="宋体"/>
      <w:kern w:val="0"/>
      <w:sz w:val="24"/>
    </w:rPr>
  </w:style>
  <w:style w:type="paragraph" w:customStyle="1" w:styleId="396">
    <w:name w:val="Bulleted List 1"/>
    <w:basedOn w:val="1"/>
    <w:qFormat/>
    <w:uiPriority w:val="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397">
    <w:name w:val="样式 宋体 小四 首行缩进:  1 字符"/>
    <w:basedOn w:val="1"/>
    <w:qFormat/>
    <w:uiPriority w:val="0"/>
    <w:pPr>
      <w:ind w:firstLine="240" w:firstLineChars="100"/>
    </w:pPr>
    <w:rPr>
      <w:rFonts w:hAnsi="宋体" w:cs="宋体"/>
      <w:sz w:val="24"/>
    </w:rPr>
  </w:style>
  <w:style w:type="paragraph" w:customStyle="1" w:styleId="398">
    <w:name w:val="正文首行缩进两字符"/>
    <w:basedOn w:val="1"/>
    <w:qFormat/>
    <w:uiPriority w:val="0"/>
    <w:pPr>
      <w:spacing w:line="360" w:lineRule="auto"/>
      <w:ind w:firstLine="200" w:firstLineChars="200"/>
    </w:pPr>
    <w:rPr>
      <w:sz w:val="24"/>
    </w:rPr>
  </w:style>
  <w:style w:type="paragraph" w:customStyle="1" w:styleId="399">
    <w:name w:val="text12"/>
    <w:basedOn w:val="1"/>
    <w:qFormat/>
    <w:uiPriority w:val="0"/>
    <w:pPr>
      <w:widowControl/>
      <w:spacing w:before="100" w:beforeAutospacing="1" w:after="100" w:afterAutospacing="1"/>
      <w:ind w:firstLine="480"/>
      <w:jc w:val="left"/>
    </w:pPr>
    <w:rPr>
      <w:rFonts w:hAnsi="宋体" w:cs="宋体"/>
      <w:szCs w:val="21"/>
    </w:rPr>
  </w:style>
  <w:style w:type="paragraph" w:customStyle="1" w:styleId="400">
    <w:name w:val="Fließtext"/>
    <w:basedOn w:val="1"/>
    <w:qFormat/>
    <w:uiPriority w:val="0"/>
    <w:pPr>
      <w:widowControl/>
      <w:spacing w:before="40" w:after="40"/>
      <w:jc w:val="left"/>
    </w:pPr>
    <w:rPr>
      <w:rFonts w:ascii="Arial" w:hAnsi="Arial"/>
      <w:sz w:val="20"/>
    </w:rPr>
  </w:style>
  <w:style w:type="paragraph" w:customStyle="1" w:styleId="401">
    <w:name w:val="lgh样式正文缩2"/>
    <w:basedOn w:val="14"/>
    <w:qFormat/>
    <w:uiPriority w:val="0"/>
    <w:pPr>
      <w:snapToGrid w:val="0"/>
      <w:spacing w:line="360" w:lineRule="auto"/>
      <w:ind w:firstLine="480" w:firstLineChars="200"/>
      <w:jc w:val="both"/>
    </w:pPr>
    <w:rPr>
      <w:rFonts w:ascii="Times New Roman"/>
    </w:rPr>
  </w:style>
  <w:style w:type="paragraph" w:customStyle="1" w:styleId="402">
    <w:name w:val="xl6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03">
    <w:name w:val="xl89"/>
    <w:basedOn w:val="1"/>
    <w:qFormat/>
    <w:uiPriority w:val="0"/>
    <w:pPr>
      <w:widowControl/>
      <w:pBdr>
        <w:top w:val="single" w:color="000000" w:sz="8" w:space="0"/>
        <w:left w:val="single" w:color="000000" w:sz="2" w:space="0"/>
        <w:bottom w:val="single" w:color="000000" w:sz="2" w:space="0"/>
      </w:pBdr>
      <w:suppressAutoHyphens/>
      <w:spacing w:before="280" w:after="280"/>
      <w:jc w:val="center"/>
      <w:textAlignment w:val="center"/>
    </w:pPr>
    <w:rPr>
      <w:kern w:val="1"/>
      <w:sz w:val="20"/>
      <w:lang w:eastAsia="ar-SA"/>
    </w:rPr>
  </w:style>
  <w:style w:type="paragraph" w:customStyle="1" w:styleId="404">
    <w:name w:val="style1"/>
    <w:basedOn w:val="1"/>
    <w:qFormat/>
    <w:uiPriority w:val="0"/>
    <w:pPr>
      <w:widowControl/>
      <w:spacing w:before="100" w:beforeAutospacing="1" w:after="100" w:afterAutospacing="1"/>
      <w:jc w:val="left"/>
    </w:pPr>
    <w:rPr>
      <w:rFonts w:ascii="Arial" w:hAnsi="Arial" w:cs="Arial"/>
      <w:sz w:val="24"/>
      <w:szCs w:val="24"/>
    </w:rPr>
  </w:style>
  <w:style w:type="paragraph" w:customStyle="1" w:styleId="405">
    <w:name w:val="xl74"/>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06">
    <w:name w:val="项目符号：一级"/>
    <w:basedOn w:val="1"/>
    <w:next w:val="1"/>
    <w:qFormat/>
    <w:uiPriority w:val="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07">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08">
    <w:name w:val="样式 正文缩进四号特点表正文正文非缩进段1ALT+ZPI正文文字首行缩进正文1缩进正文双线水上软件样式..."/>
    <w:basedOn w:val="14"/>
    <w:qFormat/>
    <w:uiPriority w:val="0"/>
    <w:pPr>
      <w:adjustRightInd/>
      <w:spacing w:beforeLines="50" w:afterLines="50" w:line="360" w:lineRule="auto"/>
      <w:ind w:firstLine="480" w:firstLineChars="200"/>
      <w:jc w:val="both"/>
    </w:pPr>
    <w:rPr>
      <w:rFonts w:hAnsi="宋体" w:cs="宋体"/>
      <w:szCs w:val="24"/>
    </w:rPr>
  </w:style>
  <w:style w:type="paragraph" w:customStyle="1" w:styleId="409">
    <w:name w:val="目录文字"/>
    <w:basedOn w:val="1"/>
    <w:qFormat/>
    <w:uiPriority w:val="0"/>
    <w:pPr>
      <w:widowControl/>
      <w:spacing w:line="480" w:lineRule="auto"/>
      <w:jc w:val="left"/>
    </w:pPr>
    <w:rPr>
      <w:rFonts w:hAnsi="宋体"/>
      <w:sz w:val="24"/>
    </w:rPr>
  </w:style>
  <w:style w:type="paragraph" w:customStyle="1" w:styleId="410">
    <w:name w:val="itemlis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11">
    <w:name w:val="list1"/>
    <w:basedOn w:val="1"/>
    <w:qFormat/>
    <w:uiPriority w:val="0"/>
    <w:pPr>
      <w:tabs>
        <w:tab w:val="left" w:pos="360"/>
      </w:tabs>
      <w:adjustRightInd w:val="0"/>
      <w:spacing w:line="360" w:lineRule="auto"/>
      <w:textAlignment w:val="baseline"/>
    </w:pPr>
    <w:rPr>
      <w:color w:val="000000"/>
      <w:sz w:val="24"/>
    </w:rPr>
  </w:style>
  <w:style w:type="paragraph" w:customStyle="1" w:styleId="412">
    <w:name w:val="WW-图表目录"/>
    <w:basedOn w:val="1"/>
    <w:next w:val="1"/>
    <w:qFormat/>
    <w:uiPriority w:val="0"/>
    <w:pPr>
      <w:suppressAutoHyphens/>
      <w:spacing w:before="156" w:after="156"/>
      <w:jc w:val="center"/>
    </w:pPr>
    <w:rPr>
      <w:rFonts w:eastAsia="仿宋_GB2312"/>
      <w:kern w:val="1"/>
      <w:sz w:val="28"/>
      <w:szCs w:val="24"/>
      <w:lang w:eastAsia="ar-SA"/>
    </w:rPr>
  </w:style>
  <w:style w:type="paragraph" w:customStyle="1" w:styleId="413">
    <w:name w:val="摘要"/>
    <w:basedOn w:val="1"/>
    <w:qFormat/>
    <w:uiPriority w:val="0"/>
    <w:pPr>
      <w:tabs>
        <w:tab w:val="left" w:pos="907"/>
      </w:tabs>
      <w:spacing w:line="360" w:lineRule="auto"/>
      <w:ind w:left="879" w:hanging="879"/>
    </w:pPr>
    <w:rPr>
      <w:rFonts w:eastAsia="楷体_GB2312"/>
    </w:rPr>
  </w:style>
  <w:style w:type="paragraph" w:customStyle="1" w:styleId="414">
    <w:name w:val="style103"/>
    <w:basedOn w:val="1"/>
    <w:qFormat/>
    <w:uiPriority w:val="0"/>
    <w:pPr>
      <w:widowControl/>
      <w:spacing w:before="100" w:beforeAutospacing="1" w:after="100" w:afterAutospacing="1"/>
      <w:jc w:val="left"/>
    </w:pPr>
    <w:rPr>
      <w:rFonts w:ascii="Arial" w:hAnsi="Arial" w:cs="Arial"/>
      <w:sz w:val="24"/>
      <w:szCs w:val="24"/>
    </w:rPr>
  </w:style>
  <w:style w:type="paragraph" w:customStyle="1" w:styleId="415">
    <w:name w:val="标准文件_大表内容"/>
    <w:basedOn w:val="1"/>
    <w:qFormat/>
    <w:uiPriority w:val="0"/>
    <w:pPr>
      <w:widowControl/>
      <w:adjustRightInd w:val="0"/>
      <w:snapToGrid w:val="0"/>
      <w:spacing w:line="300" w:lineRule="auto"/>
      <w:jc w:val="left"/>
    </w:pPr>
    <w:rPr>
      <w:rFonts w:cs="仿宋_GB2312"/>
      <w:bCs/>
      <w:color w:val="000000"/>
      <w:spacing w:val="2"/>
      <w:szCs w:val="21"/>
      <w:lang w:val="zh-CN"/>
    </w:rPr>
  </w:style>
  <w:style w:type="paragraph" w:customStyle="1" w:styleId="416">
    <w:name w:val="xl72"/>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17">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18">
    <w:name w:val="xl4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419">
    <w:name w:val="样式 宋体 小四 左"/>
    <w:basedOn w:val="1"/>
    <w:qFormat/>
    <w:uiPriority w:val="0"/>
    <w:pPr>
      <w:jc w:val="left"/>
    </w:pPr>
    <w:rPr>
      <w:rFonts w:hAnsi="宋体" w:cs="宋体"/>
      <w:sz w:val="24"/>
    </w:rPr>
  </w:style>
  <w:style w:type="paragraph" w:customStyle="1" w:styleId="420">
    <w:name w:val="标准小三"/>
    <w:basedOn w:val="1"/>
    <w:qFormat/>
    <w:uiPriority w:val="0"/>
    <w:pPr>
      <w:spacing w:line="700" w:lineRule="exact"/>
      <w:ind w:firstLine="200" w:firstLineChars="200"/>
    </w:pPr>
    <w:rPr>
      <w:rFonts w:hAnsi="Arial" w:eastAsia="仿宋_GB2312"/>
      <w:sz w:val="30"/>
      <w:szCs w:val="32"/>
    </w:rPr>
  </w:style>
  <w:style w:type="paragraph" w:customStyle="1" w:styleId="421">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22">
    <w:name w:val="style6"/>
    <w:basedOn w:val="1"/>
    <w:qFormat/>
    <w:uiPriority w:val="0"/>
    <w:pPr>
      <w:widowControl/>
      <w:spacing w:before="100" w:beforeAutospacing="1" w:after="100" w:afterAutospacing="1"/>
      <w:jc w:val="left"/>
    </w:pPr>
    <w:rPr>
      <w:rFonts w:hAnsi="宋体" w:cs="宋体"/>
      <w:sz w:val="24"/>
      <w:szCs w:val="24"/>
    </w:rPr>
  </w:style>
  <w:style w:type="paragraph" w:customStyle="1" w:styleId="423">
    <w:name w:val="文字 Char Char Char Char Char Char1 Char Char"/>
    <w:basedOn w:val="1"/>
    <w:qFormat/>
    <w:uiPriority w:val="0"/>
    <w:pPr>
      <w:widowControl/>
      <w:snapToGrid w:val="0"/>
      <w:spacing w:before="120" w:after="160" w:line="360" w:lineRule="auto"/>
      <w:ind w:right="-360"/>
      <w:jc w:val="left"/>
    </w:pPr>
    <w:rPr>
      <w:rFonts w:ascii="Verdana" w:hAnsi="Verdana"/>
      <w:sz w:val="20"/>
      <w:lang w:eastAsia="en-US"/>
    </w:rPr>
  </w:style>
  <w:style w:type="paragraph" w:customStyle="1" w:styleId="424">
    <w:name w:val="CHX1"/>
    <w:basedOn w:val="1"/>
    <w:qFormat/>
    <w:uiPriority w:val="0"/>
    <w:pPr>
      <w:tabs>
        <w:tab w:val="left" w:pos="1260"/>
      </w:tabs>
      <w:spacing w:line="480" w:lineRule="auto"/>
    </w:pPr>
    <w:rPr>
      <w:rFonts w:ascii="黑体" w:eastAsia="黑体"/>
      <w:b/>
      <w:bCs/>
      <w:sz w:val="28"/>
      <w:szCs w:val="28"/>
    </w:rPr>
  </w:style>
  <w:style w:type="paragraph" w:customStyle="1" w:styleId="425">
    <w:name w:val="样式 首行缩进:  2 字符"/>
    <w:basedOn w:val="1"/>
    <w:qFormat/>
    <w:uiPriority w:val="0"/>
    <w:pPr>
      <w:suppressAutoHyphens/>
      <w:spacing w:before="280" w:after="280" w:line="360" w:lineRule="auto"/>
      <w:ind w:firstLine="540"/>
    </w:pPr>
    <w:rPr>
      <w:rFonts w:hAnsi="宋体"/>
      <w:kern w:val="1"/>
      <w:sz w:val="24"/>
      <w:lang w:eastAsia="ar-SA"/>
    </w:rPr>
  </w:style>
  <w:style w:type="paragraph" w:customStyle="1" w:styleId="426">
    <w:name w:val="xl54"/>
    <w:basedOn w:val="1"/>
    <w:qFormat/>
    <w:uiPriority w:val="0"/>
    <w:pPr>
      <w:widowControl/>
      <w:pBdr>
        <w:left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427">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428">
    <w:name w:val="样式 标题 3h3Level 3 Topic HeadingHeading 3 - oldH3l33rd level..."/>
    <w:basedOn w:val="4"/>
    <w:qFormat/>
    <w:uiPriority w:val="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429">
    <w:name w:val="Numbered list 2.1"/>
    <w:basedOn w:val="2"/>
    <w:next w:val="1"/>
    <w:qFormat/>
    <w:uiPriority w:val="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430">
    <w:name w:val="页脚 New New New New New New New"/>
    <w:basedOn w:val="421"/>
    <w:qFormat/>
    <w:uiPriority w:val="0"/>
    <w:pPr>
      <w:tabs>
        <w:tab w:val="center" w:pos="4153"/>
        <w:tab w:val="right" w:pos="8306"/>
      </w:tabs>
      <w:snapToGrid w:val="0"/>
      <w:jc w:val="left"/>
    </w:pPr>
    <w:rPr>
      <w:sz w:val="18"/>
      <w:szCs w:val="18"/>
    </w:rPr>
  </w:style>
  <w:style w:type="paragraph" w:customStyle="1" w:styleId="431">
    <w:name w:val="小标题"/>
    <w:basedOn w:val="1"/>
    <w:next w:val="14"/>
    <w:qFormat/>
    <w:uiPriority w:val="0"/>
    <w:pPr>
      <w:tabs>
        <w:tab w:val="left" w:pos="420"/>
      </w:tabs>
      <w:spacing w:beforeLines="25" w:afterLines="25"/>
      <w:ind w:left="200" w:hanging="200" w:hangingChars="200"/>
    </w:pPr>
    <w:rPr>
      <w:rFonts w:ascii="Arial" w:hAnsi="Arial" w:eastAsia="黑体"/>
      <w:b/>
      <w:sz w:val="28"/>
      <w:szCs w:val="24"/>
    </w:rPr>
  </w:style>
  <w:style w:type="paragraph" w:customStyle="1" w:styleId="432">
    <w:name w:val="xl4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433">
    <w:name w:val="TOC 标题11"/>
    <w:basedOn w:val="2"/>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434">
    <w:name w:val="默认段落字体 Para Char Char Char Char Char Char Char Char Char Char Char Char Char Char Char Char Char Char Char"/>
    <w:basedOn w:val="1"/>
    <w:qFormat/>
    <w:uiPriority w:val="0"/>
    <w:pPr>
      <w:adjustRightInd w:val="0"/>
      <w:spacing w:line="360" w:lineRule="auto"/>
    </w:pPr>
    <w:rPr>
      <w:sz w:val="24"/>
    </w:rPr>
  </w:style>
  <w:style w:type="paragraph" w:customStyle="1" w:styleId="435">
    <w:name w:val="WW-文档结构图"/>
    <w:basedOn w:val="1"/>
    <w:qFormat/>
    <w:uiPriority w:val="0"/>
    <w:pPr>
      <w:shd w:val="clear" w:color="auto" w:fill="000080"/>
      <w:suppressAutoHyphens/>
      <w:spacing w:line="360" w:lineRule="auto"/>
    </w:pPr>
    <w:rPr>
      <w:kern w:val="1"/>
      <w:szCs w:val="24"/>
      <w:lang w:eastAsia="ar-SA"/>
    </w:rPr>
  </w:style>
  <w:style w:type="paragraph" w:customStyle="1" w:styleId="436">
    <w:name w:val="Bullet 2"/>
    <w:basedOn w:val="1"/>
    <w:qFormat/>
    <w:uiPriority w:val="0"/>
    <w:pPr>
      <w:widowControl/>
      <w:tabs>
        <w:tab w:val="left" w:pos="780"/>
      </w:tabs>
      <w:spacing w:line="290" w:lineRule="atLeast"/>
      <w:jc w:val="left"/>
    </w:pPr>
    <w:rPr>
      <w:rFonts w:eastAsia="Times New Roman"/>
      <w:sz w:val="24"/>
      <w:lang w:eastAsia="en-US"/>
    </w:rPr>
  </w:style>
  <w:style w:type="paragraph" w:customStyle="1" w:styleId="437">
    <w:name w:val="xl85"/>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38">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439">
    <w:name w:val="font11"/>
    <w:basedOn w:val="1"/>
    <w:qFormat/>
    <w:uiPriority w:val="0"/>
    <w:pPr>
      <w:widowControl/>
      <w:spacing w:before="100" w:beforeAutospacing="1" w:after="100" w:afterAutospacing="1"/>
      <w:jc w:val="left"/>
    </w:pPr>
    <w:rPr>
      <w:rFonts w:ascii="Arial" w:hAnsi="Arial" w:cs="Arial"/>
      <w:sz w:val="20"/>
    </w:rPr>
  </w:style>
  <w:style w:type="paragraph" w:customStyle="1" w:styleId="440">
    <w:name w:val="默认段落字体 Char Char Char"/>
    <w:basedOn w:val="1"/>
    <w:qFormat/>
    <w:uiPriority w:val="0"/>
    <w:pPr>
      <w:widowControl/>
    </w:pPr>
    <w:rPr>
      <w:rFonts w:ascii="Arial" w:hAnsi="Arial" w:cs="Arial"/>
      <w:sz w:val="22"/>
      <w:szCs w:val="22"/>
      <w:lang w:eastAsia="en-US"/>
    </w:rPr>
  </w:style>
  <w:style w:type="paragraph" w:customStyle="1" w:styleId="441">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42">
    <w:name w:val="样式 正文缩进表正文正文非缩进ALT+Z四号特点段1正文不缩进特点 Char水上软件标题4正文（首行缩进两..."/>
    <w:basedOn w:val="14"/>
    <w:qFormat/>
    <w:uiPriority w:val="0"/>
    <w:pPr>
      <w:adjustRightInd/>
      <w:spacing w:line="360" w:lineRule="auto"/>
      <w:ind w:firstLine="480" w:firstLineChars="200"/>
      <w:jc w:val="both"/>
    </w:pPr>
    <w:rPr>
      <w:rFonts w:ascii="Times New Roman"/>
    </w:rPr>
  </w:style>
  <w:style w:type="paragraph" w:customStyle="1" w:styleId="443">
    <w:name w:val="4"/>
    <w:basedOn w:val="1"/>
    <w:next w:val="50"/>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444">
    <w:name w:val="Style First line:  0.74 cm Line spacing:  1.5 lines"/>
    <w:basedOn w:val="1"/>
    <w:qFormat/>
    <w:uiPriority w:val="0"/>
    <w:pPr>
      <w:suppressAutoHyphens/>
      <w:spacing w:line="360" w:lineRule="auto"/>
      <w:jc w:val="center"/>
    </w:pPr>
    <w:rPr>
      <w:rFonts w:hAnsi="宋体"/>
      <w:kern w:val="1"/>
      <w:sz w:val="24"/>
      <w:szCs w:val="24"/>
      <w:lang w:eastAsia="ar-SA"/>
    </w:rPr>
  </w:style>
  <w:style w:type="paragraph" w:customStyle="1" w:styleId="445">
    <w:name w:val="一级无标题条"/>
    <w:basedOn w:val="1"/>
    <w:qFormat/>
    <w:uiPriority w:val="0"/>
    <w:pPr>
      <w:tabs>
        <w:tab w:val="left" w:pos="1717"/>
      </w:tabs>
      <w:ind w:left="1717" w:hanging="360"/>
    </w:pPr>
  </w:style>
  <w:style w:type="paragraph" w:customStyle="1" w:styleId="446">
    <w:name w:val="p17"/>
    <w:basedOn w:val="1"/>
    <w:qFormat/>
    <w:uiPriority w:val="0"/>
    <w:pPr>
      <w:widowControl/>
    </w:pPr>
    <w:rPr>
      <w:rFonts w:hAnsi="宋体" w:cs="宋体"/>
      <w:szCs w:val="21"/>
    </w:rPr>
  </w:style>
  <w:style w:type="paragraph" w:customStyle="1" w:styleId="447">
    <w:name w:val="tabletext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48">
    <w:name w:val="Numbered list 2.2"/>
    <w:basedOn w:val="3"/>
    <w:next w:val="1"/>
    <w:qFormat/>
    <w:uiPriority w:val="0"/>
    <w:pPr>
      <w:widowControl/>
      <w:tabs>
        <w:tab w:val="left" w:pos="720"/>
      </w:tabs>
      <w:spacing w:before="240" w:after="60" w:line="240" w:lineRule="auto"/>
      <w:ind w:left="720" w:hanging="720"/>
      <w:jc w:val="left"/>
    </w:pPr>
    <w:rPr>
      <w:rFonts w:ascii="Futura Bk" w:hAnsi="Futura Bk" w:eastAsia="宋体"/>
      <w:bCs w:val="0"/>
      <w:kern w:val="0"/>
      <w:sz w:val="24"/>
      <w:szCs w:val="20"/>
      <w:lang w:eastAsia="en-US"/>
    </w:rPr>
  </w:style>
  <w:style w:type="paragraph" w:customStyle="1" w:styleId="449">
    <w:name w:val="Body Text 21"/>
    <w:basedOn w:val="1"/>
    <w:qFormat/>
    <w:uiPriority w:val="0"/>
    <w:pPr>
      <w:adjustRightInd w:val="0"/>
      <w:spacing w:before="120" w:line="360" w:lineRule="auto"/>
      <w:ind w:firstLine="480"/>
      <w:textAlignment w:val="baseline"/>
    </w:pPr>
    <w:rPr>
      <w:sz w:val="24"/>
    </w:rPr>
  </w:style>
  <w:style w:type="paragraph" w:customStyle="1" w:styleId="450">
    <w:name w:val="图片"/>
    <w:basedOn w:val="1"/>
    <w:next w:val="15"/>
    <w:qFormat/>
    <w:uiPriority w:val="0"/>
    <w:pPr>
      <w:keepNext/>
      <w:widowControl/>
      <w:jc w:val="left"/>
    </w:pPr>
    <w:rPr>
      <w:rFonts w:ascii="Garamond" w:hAnsi="Garamond"/>
    </w:rPr>
  </w:style>
  <w:style w:type="paragraph" w:customStyle="1" w:styleId="451">
    <w:name w:val="样式 标题 3 + 左侧:  0 厘米 首行缩进:  0 厘米"/>
    <w:basedOn w:val="4"/>
    <w:qFormat/>
    <w:uiPriority w:val="0"/>
    <w:pPr>
      <w:widowControl w:val="0"/>
      <w:tabs>
        <w:tab w:val="left" w:pos="414"/>
      </w:tabs>
      <w:ind w:left="414" w:hanging="414"/>
      <w:jc w:val="both"/>
    </w:pPr>
    <w:rPr>
      <w:rFonts w:cs="宋体"/>
      <w:kern w:val="2"/>
      <w:sz w:val="28"/>
      <w:szCs w:val="20"/>
    </w:rPr>
  </w:style>
  <w:style w:type="paragraph" w:customStyle="1" w:styleId="452">
    <w:name w:val="样式 首行缩进:  2 字符 Char Char"/>
    <w:basedOn w:val="1"/>
    <w:qFormat/>
    <w:uiPriority w:val="0"/>
    <w:pPr>
      <w:spacing w:line="360" w:lineRule="auto"/>
      <w:ind w:firstLine="480" w:firstLineChars="200"/>
    </w:pPr>
    <w:rPr>
      <w:sz w:val="24"/>
    </w:rPr>
  </w:style>
  <w:style w:type="paragraph" w:customStyle="1" w:styleId="453">
    <w:name w:val="xl40"/>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54">
    <w:name w:val="Message Header First"/>
    <w:basedOn w:val="48"/>
    <w:next w:val="48"/>
    <w:qFormat/>
    <w:uiPriority w:val="0"/>
  </w:style>
  <w:style w:type="paragraph" w:customStyle="1" w:styleId="455">
    <w:name w:val="页脚 New New New New New"/>
    <w:basedOn w:val="139"/>
    <w:qFormat/>
    <w:uiPriority w:val="0"/>
    <w:pPr>
      <w:tabs>
        <w:tab w:val="center" w:pos="4153"/>
        <w:tab w:val="right" w:pos="8306"/>
      </w:tabs>
      <w:snapToGrid w:val="0"/>
      <w:jc w:val="left"/>
    </w:pPr>
    <w:rPr>
      <w:sz w:val="18"/>
      <w:szCs w:val="18"/>
    </w:rPr>
  </w:style>
  <w:style w:type="paragraph" w:customStyle="1" w:styleId="456">
    <w:name w:val="font5"/>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457">
    <w:name w:val="xl71"/>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58">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459">
    <w:name w:val="样式 标题 2H2h2l22nd level2Header 2节Titre2Heading 2 Hidden..."/>
    <w:basedOn w:val="3"/>
    <w:qFormat/>
    <w:uiPriority w:val="0"/>
    <w:pPr>
      <w:tabs>
        <w:tab w:val="left" w:pos="1260"/>
      </w:tabs>
      <w:suppressAutoHyphens/>
      <w:spacing w:before="120" w:after="120" w:line="360" w:lineRule="auto"/>
      <w:ind w:left="1260" w:hanging="420"/>
    </w:pPr>
    <w:rPr>
      <w:rFonts w:ascii="仿宋_GB2312" w:hAnsi="仿宋_GB2312"/>
      <w:bCs w:val="0"/>
      <w:kern w:val="1"/>
      <w:szCs w:val="20"/>
      <w:lang w:eastAsia="ar-SA"/>
    </w:rPr>
  </w:style>
  <w:style w:type="paragraph" w:customStyle="1" w:styleId="460">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61">
    <w:name w:val="figures"/>
    <w:basedOn w:val="114"/>
    <w:next w:val="114"/>
    <w:qFormat/>
    <w:uiPriority w:val="0"/>
    <w:rPr>
      <w:rFonts w:ascii="Arial,BoldItalic" w:hAnsi="Arial,BoldItalic" w:cs="Times New Roman"/>
      <w:color w:val="auto"/>
    </w:rPr>
  </w:style>
  <w:style w:type="paragraph" w:customStyle="1" w:styleId="46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szCs w:val="24"/>
    </w:rPr>
  </w:style>
  <w:style w:type="paragraph" w:customStyle="1" w:styleId="463">
    <w:name w:val="LeftCell"/>
    <w:basedOn w:val="1"/>
    <w:qFormat/>
    <w:uiPriority w:val="0"/>
    <w:pPr>
      <w:widowControl/>
      <w:spacing w:before="120"/>
      <w:jc w:val="left"/>
    </w:pPr>
    <w:rPr>
      <w:rFonts w:ascii="Arial" w:hAnsi="Arial"/>
      <w:b/>
      <w:sz w:val="20"/>
      <w:lang w:eastAsia="en-US"/>
    </w:rPr>
  </w:style>
  <w:style w:type="paragraph" w:customStyle="1" w:styleId="464">
    <w:name w:val="pa-35"/>
    <w:basedOn w:val="1"/>
    <w:qFormat/>
    <w:uiPriority w:val="0"/>
    <w:pPr>
      <w:widowControl/>
      <w:spacing w:line="280" w:lineRule="atLeast"/>
      <w:ind w:firstLine="460"/>
      <w:jc w:val="left"/>
    </w:pPr>
    <w:rPr>
      <w:rFonts w:hAnsi="宋体" w:cs="宋体"/>
      <w:sz w:val="24"/>
      <w:szCs w:val="24"/>
    </w:rPr>
  </w:style>
  <w:style w:type="paragraph" w:customStyle="1" w:styleId="465">
    <w:name w:val="z-窗体顶端1"/>
    <w:basedOn w:val="1"/>
    <w:next w:val="1"/>
    <w:link w:val="659"/>
    <w:qFormat/>
    <w:uiPriority w:val="0"/>
    <w:pPr>
      <w:widowControl/>
      <w:pBdr>
        <w:bottom w:val="single" w:color="auto" w:sz="6" w:space="1"/>
      </w:pBdr>
      <w:jc w:val="center"/>
    </w:pPr>
    <w:rPr>
      <w:rFonts w:ascii="Arial" w:hAnsi="Arial" w:cs="Arial"/>
      <w:vanish/>
      <w:sz w:val="16"/>
      <w:szCs w:val="16"/>
    </w:rPr>
  </w:style>
  <w:style w:type="paragraph" w:customStyle="1" w:styleId="466">
    <w:name w:val="五级条标题"/>
    <w:basedOn w:val="252"/>
    <w:next w:val="166"/>
    <w:qFormat/>
    <w:uiPriority w:val="0"/>
    <w:pPr>
      <w:tabs>
        <w:tab w:val="left" w:pos="2940"/>
        <w:tab w:val="clear" w:pos="2520"/>
      </w:tabs>
      <w:ind w:left="2940"/>
      <w:outlineLvl w:val="6"/>
    </w:pPr>
  </w:style>
  <w:style w:type="paragraph" w:customStyle="1" w:styleId="467">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468">
    <w:name w:val="xl41"/>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69">
    <w:name w:val="My 正文"/>
    <w:basedOn w:val="1"/>
    <w:qFormat/>
    <w:uiPriority w:val="0"/>
    <w:pPr>
      <w:spacing w:line="520" w:lineRule="atLeast"/>
      <w:ind w:firstLine="480" w:firstLineChars="200"/>
    </w:pPr>
    <w:rPr>
      <w:rFonts w:cs="宋体"/>
      <w:sz w:val="24"/>
    </w:rPr>
  </w:style>
  <w:style w:type="paragraph" w:customStyle="1" w:styleId="470">
    <w:name w:val="font6"/>
    <w:basedOn w:val="1"/>
    <w:qFormat/>
    <w:uiPriority w:val="0"/>
    <w:pPr>
      <w:widowControl/>
      <w:spacing w:before="100" w:beforeAutospacing="1" w:after="100" w:afterAutospacing="1"/>
      <w:jc w:val="left"/>
    </w:pPr>
    <w:rPr>
      <w:rFonts w:hint="eastAsia" w:hAnsi="宋体" w:cs="Arial Unicode MS"/>
      <w:sz w:val="18"/>
      <w:szCs w:val="18"/>
    </w:rPr>
  </w:style>
  <w:style w:type="paragraph" w:customStyle="1" w:styleId="471">
    <w:name w:val="p0"/>
    <w:qFormat/>
    <w:uiPriority w:val="0"/>
    <w:rPr>
      <w:rFonts w:ascii="Times New Roman" w:hAnsi="Times New Roman" w:eastAsia="宋体" w:cs="Times New Roman"/>
      <w:szCs w:val="21"/>
      <w:lang w:val="en-US" w:eastAsia="zh-CN" w:bidi="ar-SA"/>
    </w:rPr>
  </w:style>
  <w:style w:type="paragraph" w:customStyle="1" w:styleId="472">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73">
    <w:name w:val="样式 标题 2 + 宋体 五号 行距: 单倍行距"/>
    <w:basedOn w:val="3"/>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74">
    <w:name w:val="样式19"/>
    <w:basedOn w:val="52"/>
    <w:qFormat/>
    <w:uiPriority w:val="0"/>
    <w:rPr>
      <w:rFonts w:eastAsia="黑体"/>
    </w:rPr>
  </w:style>
  <w:style w:type="paragraph" w:customStyle="1" w:styleId="475">
    <w:name w:val="text"/>
    <w:basedOn w:val="1"/>
    <w:qFormat/>
    <w:uiPriority w:val="0"/>
    <w:pPr>
      <w:widowControl/>
      <w:spacing w:before="100" w:beforeAutospacing="1" w:after="100" w:afterAutospacing="1"/>
      <w:jc w:val="left"/>
    </w:pPr>
    <w:rPr>
      <w:rFonts w:ascii="ˎ̥" w:hAnsi="ˎ̥" w:cs="宋体"/>
      <w:color w:val="000000"/>
      <w:sz w:val="18"/>
      <w:szCs w:val="18"/>
    </w:rPr>
  </w:style>
  <w:style w:type="paragraph" w:customStyle="1" w:styleId="476">
    <w:name w:val="contentlabel"/>
    <w:basedOn w:val="1"/>
    <w:qFormat/>
    <w:uiPriority w:val="0"/>
    <w:pPr>
      <w:widowControl/>
      <w:spacing w:before="100" w:beforeAutospacing="1" w:after="100" w:afterAutospacing="1"/>
      <w:jc w:val="left"/>
    </w:pPr>
    <w:rPr>
      <w:rFonts w:hAnsi="宋体" w:cs="宋体"/>
      <w:sz w:val="24"/>
      <w:szCs w:val="24"/>
    </w:rPr>
  </w:style>
  <w:style w:type="paragraph" w:customStyle="1" w:styleId="477">
    <w:name w:val="Char Char3 Char Char Char Char"/>
    <w:basedOn w:val="1"/>
    <w:qFormat/>
    <w:uiPriority w:val="0"/>
    <w:pPr>
      <w:ind w:left="432" w:hanging="432"/>
    </w:pPr>
    <w:rPr>
      <w:sz w:val="24"/>
      <w:szCs w:val="24"/>
    </w:rPr>
  </w:style>
  <w:style w:type="paragraph" w:customStyle="1" w:styleId="478">
    <w:name w:val="Tables"/>
    <w:basedOn w:val="114"/>
    <w:next w:val="114"/>
    <w:qFormat/>
    <w:uiPriority w:val="0"/>
    <w:pPr>
      <w:spacing w:after="120"/>
    </w:pPr>
    <w:rPr>
      <w:rFonts w:ascii="Arial,BoldItalic" w:hAnsi="Arial,BoldItalic" w:cs="Times New Roman"/>
      <w:color w:val="auto"/>
    </w:rPr>
  </w:style>
  <w:style w:type="paragraph" w:customStyle="1" w:styleId="479">
    <w:name w:val="工作报告正文样式"/>
    <w:basedOn w:val="1"/>
    <w:qFormat/>
    <w:uiPriority w:val="0"/>
    <w:pPr>
      <w:ind w:firstLine="560" w:firstLineChars="200"/>
    </w:pPr>
    <w:rPr>
      <w:rFonts w:hAnsi="宋体"/>
      <w:sz w:val="28"/>
      <w:szCs w:val="28"/>
    </w:rPr>
  </w:style>
  <w:style w:type="paragraph" w:customStyle="1" w:styleId="480">
    <w:name w:val="xl82"/>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81">
    <w:name w:val="Bullet with text 1"/>
    <w:basedOn w:val="1"/>
    <w:qFormat/>
    <w:uiPriority w:val="0"/>
    <w:pPr>
      <w:widowControl/>
      <w:tabs>
        <w:tab w:val="left" w:pos="360"/>
      </w:tabs>
      <w:ind w:left="360" w:hanging="360"/>
      <w:jc w:val="left"/>
    </w:pPr>
    <w:rPr>
      <w:rFonts w:ascii="Futura Bk" w:hAnsi="Futura Bk"/>
      <w:sz w:val="20"/>
      <w:lang w:eastAsia="en-US"/>
    </w:rPr>
  </w:style>
  <w:style w:type="paragraph" w:customStyle="1" w:styleId="48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483">
    <w:name w:val="_"/>
    <w:basedOn w:val="1"/>
    <w:qFormat/>
    <w:uiPriority w:val="0"/>
    <w:pPr>
      <w:adjustRightInd w:val="0"/>
      <w:spacing w:line="360" w:lineRule="auto"/>
      <w:ind w:left="480" w:firstLine="420"/>
      <w:textAlignment w:val="baseline"/>
    </w:pPr>
    <w:rPr>
      <w:sz w:val="24"/>
    </w:rPr>
  </w:style>
  <w:style w:type="paragraph" w:customStyle="1" w:styleId="484">
    <w:name w:val="样式 标题 2 + 段前: 0 磅 段后: 0 磅 行距: 单倍行距"/>
    <w:basedOn w:val="3"/>
    <w:qFormat/>
    <w:uiPriority w:val="0"/>
    <w:pPr>
      <w:spacing w:before="0" w:after="0" w:line="240" w:lineRule="auto"/>
    </w:pPr>
    <w:rPr>
      <w:rFonts w:ascii="仿宋_GB2312" w:eastAsia="仿宋_GB2312" w:cs="宋体"/>
    </w:rPr>
  </w:style>
  <w:style w:type="paragraph" w:customStyle="1" w:styleId="485">
    <w:name w:val="缺省文本:1"/>
    <w:basedOn w:val="1"/>
    <w:qFormat/>
    <w:uiPriority w:val="0"/>
    <w:pPr>
      <w:autoSpaceDE w:val="0"/>
      <w:autoSpaceDN w:val="0"/>
      <w:adjustRightInd w:val="0"/>
      <w:jc w:val="left"/>
    </w:pPr>
    <w:rPr>
      <w:sz w:val="24"/>
    </w:rPr>
  </w:style>
  <w:style w:type="paragraph" w:customStyle="1" w:styleId="486">
    <w:name w:val="±íÉí"/>
    <w:basedOn w:val="1"/>
    <w:qFormat/>
    <w:uiPriority w:val="0"/>
    <w:pPr>
      <w:widowControl/>
      <w:overflowPunct w:val="0"/>
      <w:autoSpaceDE w:val="0"/>
      <w:autoSpaceDN w:val="0"/>
      <w:adjustRightInd w:val="0"/>
      <w:spacing w:line="300" w:lineRule="auto"/>
      <w:jc w:val="left"/>
      <w:textAlignment w:val="baseline"/>
    </w:pPr>
    <w:rPr>
      <w:sz w:val="18"/>
    </w:rPr>
  </w:style>
  <w:style w:type="paragraph" w:customStyle="1" w:styleId="48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 w:val="24"/>
      <w:szCs w:val="24"/>
    </w:rPr>
  </w:style>
  <w:style w:type="paragraph" w:customStyle="1" w:styleId="488">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489">
    <w:name w:val="MyPoints"/>
    <w:basedOn w:val="1"/>
    <w:qFormat/>
    <w:uiPriority w:val="0"/>
    <w:pPr>
      <w:widowControl/>
      <w:ind w:left="936" w:hanging="360"/>
      <w:jc w:val="left"/>
    </w:pPr>
    <w:rPr>
      <w:rFonts w:ascii="Century Gothic" w:hAnsi="Century Gothic"/>
      <w:sz w:val="20"/>
      <w:lang w:eastAsia="en-US"/>
    </w:rPr>
  </w:style>
  <w:style w:type="paragraph" w:customStyle="1" w:styleId="490">
    <w:name w:val="项目2"/>
    <w:basedOn w:val="1"/>
    <w:qFormat/>
    <w:uiPriority w:val="0"/>
    <w:pPr>
      <w:widowControl/>
      <w:tabs>
        <w:tab w:val="left" w:pos="-365"/>
      </w:tabs>
      <w:suppressAutoHyphens/>
      <w:spacing w:after="156" w:line="360" w:lineRule="auto"/>
      <w:ind w:left="-905" w:right="240"/>
      <w:jc w:val="left"/>
    </w:pPr>
    <w:rPr>
      <w:bCs/>
      <w:kern w:val="1"/>
      <w:sz w:val="24"/>
      <w:lang w:eastAsia="ar-SA"/>
    </w:rPr>
  </w:style>
  <w:style w:type="paragraph" w:customStyle="1" w:styleId="491">
    <w:name w:val="my正文"/>
    <w:basedOn w:val="1"/>
    <w:link w:val="660"/>
    <w:qFormat/>
    <w:uiPriority w:val="0"/>
    <w:pPr>
      <w:spacing w:line="360" w:lineRule="auto"/>
      <w:ind w:firstLine="480" w:firstLineChars="200"/>
    </w:pPr>
    <w:rPr>
      <w:rFonts w:ascii="Times New Roman"/>
      <w:sz w:val="24"/>
      <w:szCs w:val="24"/>
    </w:rPr>
  </w:style>
  <w:style w:type="paragraph" w:customStyle="1" w:styleId="492">
    <w:name w:val="GP正文(无首行缩进)"/>
    <w:link w:val="661"/>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493">
    <w:name w:val="标题 1 Char"/>
    <w:basedOn w:val="58"/>
    <w:link w:val="2"/>
    <w:qFormat/>
    <w:uiPriority w:val="9"/>
    <w:rPr>
      <w:rFonts w:ascii="宋体" w:hAnsi="Times New Roman" w:eastAsia="宋体" w:cs="Times New Roman"/>
      <w:b/>
      <w:kern w:val="44"/>
      <w:sz w:val="32"/>
      <w:szCs w:val="20"/>
    </w:rPr>
  </w:style>
  <w:style w:type="character" w:customStyle="1" w:styleId="494">
    <w:name w:val="标题 2 Char"/>
    <w:basedOn w:val="58"/>
    <w:link w:val="3"/>
    <w:qFormat/>
    <w:uiPriority w:val="0"/>
    <w:rPr>
      <w:rFonts w:ascii="Arial" w:hAnsi="Arial" w:eastAsia="黑体" w:cs="Times New Roman"/>
      <w:b/>
      <w:bCs/>
      <w:sz w:val="32"/>
      <w:szCs w:val="32"/>
    </w:rPr>
  </w:style>
  <w:style w:type="character" w:customStyle="1" w:styleId="495">
    <w:name w:val="标题 3 Char1"/>
    <w:link w:val="4"/>
    <w:qFormat/>
    <w:uiPriority w:val="0"/>
    <w:rPr>
      <w:rFonts w:ascii="Times New Roman" w:hAnsi="Times New Roman" w:eastAsia="宋体" w:cs="Times New Roman"/>
      <w:b/>
      <w:bCs/>
      <w:kern w:val="0"/>
      <w:sz w:val="32"/>
      <w:szCs w:val="32"/>
    </w:rPr>
  </w:style>
  <w:style w:type="character" w:customStyle="1" w:styleId="496">
    <w:name w:val="标题 4 Char"/>
    <w:basedOn w:val="58"/>
    <w:link w:val="5"/>
    <w:qFormat/>
    <w:uiPriority w:val="9"/>
    <w:rPr>
      <w:rFonts w:ascii="Arial" w:hAnsi="Arial" w:eastAsia="黑体" w:cs="Times New Roman"/>
      <w:b/>
      <w:bCs/>
      <w:sz w:val="28"/>
      <w:szCs w:val="28"/>
    </w:rPr>
  </w:style>
  <w:style w:type="character" w:customStyle="1" w:styleId="497">
    <w:name w:val="标题 5 Char"/>
    <w:basedOn w:val="58"/>
    <w:link w:val="6"/>
    <w:qFormat/>
    <w:uiPriority w:val="9"/>
    <w:rPr>
      <w:rFonts w:ascii="仿宋_GB2312" w:hAnsi="Courier New" w:eastAsia="仿宋_GB2312" w:cs="Times New Roman"/>
      <w:b/>
      <w:bCs/>
      <w:sz w:val="28"/>
      <w:szCs w:val="28"/>
    </w:rPr>
  </w:style>
  <w:style w:type="character" w:customStyle="1" w:styleId="498">
    <w:name w:val="标题 6 Char"/>
    <w:basedOn w:val="58"/>
    <w:link w:val="7"/>
    <w:qFormat/>
    <w:uiPriority w:val="9"/>
    <w:rPr>
      <w:rFonts w:ascii="Cambria" w:hAnsi="Cambria" w:eastAsia="宋体" w:cs="Times New Roman"/>
      <w:b/>
      <w:bCs/>
      <w:sz w:val="24"/>
      <w:szCs w:val="24"/>
    </w:rPr>
  </w:style>
  <w:style w:type="character" w:customStyle="1" w:styleId="499">
    <w:name w:val="标题 7 Char"/>
    <w:basedOn w:val="58"/>
    <w:link w:val="8"/>
    <w:qFormat/>
    <w:uiPriority w:val="9"/>
    <w:rPr>
      <w:rFonts w:ascii="宋体" w:hAnsi="Times New Roman" w:eastAsia="宋体" w:cs="Times New Roman"/>
      <w:b/>
      <w:bCs/>
      <w:sz w:val="24"/>
      <w:szCs w:val="24"/>
    </w:rPr>
  </w:style>
  <w:style w:type="character" w:customStyle="1" w:styleId="500">
    <w:name w:val="标题 8 Char"/>
    <w:basedOn w:val="58"/>
    <w:link w:val="9"/>
    <w:qFormat/>
    <w:uiPriority w:val="0"/>
    <w:rPr>
      <w:rFonts w:ascii="Times New Roman" w:hAnsi="Times New Roman" w:eastAsia="宋体" w:cs="Times New Roman"/>
      <w:sz w:val="24"/>
      <w:szCs w:val="20"/>
    </w:rPr>
  </w:style>
  <w:style w:type="character" w:customStyle="1" w:styleId="501">
    <w:name w:val="标题 9 Char"/>
    <w:basedOn w:val="58"/>
    <w:link w:val="10"/>
    <w:qFormat/>
    <w:uiPriority w:val="0"/>
    <w:rPr>
      <w:rFonts w:ascii="Arial" w:hAnsi="Arial" w:eastAsia="宋体" w:cs="Times New Roman"/>
      <w:szCs w:val="20"/>
    </w:rPr>
  </w:style>
  <w:style w:type="character" w:customStyle="1" w:styleId="502">
    <w:name w:val="contentheaderrev"/>
    <w:basedOn w:val="58"/>
    <w:qFormat/>
    <w:uiPriority w:val="0"/>
  </w:style>
  <w:style w:type="character" w:customStyle="1" w:styleId="503">
    <w:name w:val="f4"/>
    <w:basedOn w:val="58"/>
    <w:qFormat/>
    <w:uiPriority w:val="0"/>
  </w:style>
  <w:style w:type="character" w:customStyle="1" w:styleId="504">
    <w:name w:val="grame"/>
    <w:basedOn w:val="58"/>
    <w:qFormat/>
    <w:uiPriority w:val="0"/>
  </w:style>
  <w:style w:type="character" w:customStyle="1" w:styleId="505">
    <w:name w:val="Char Char31"/>
    <w:qFormat/>
    <w:uiPriority w:val="0"/>
    <w:rPr>
      <w:rFonts w:eastAsia="宋体"/>
      <w:sz w:val="21"/>
      <w:lang w:val="en-US" w:eastAsia="zh-CN" w:bidi="ar-SA"/>
    </w:rPr>
  </w:style>
  <w:style w:type="character" w:customStyle="1" w:styleId="506">
    <w:name w:val="style102 style103"/>
    <w:basedOn w:val="58"/>
    <w:qFormat/>
    <w:uiPriority w:val="0"/>
  </w:style>
  <w:style w:type="character" w:customStyle="1" w:styleId="507">
    <w:name w:val="ca-101"/>
    <w:qFormat/>
    <w:uiPriority w:val="0"/>
    <w:rPr>
      <w:rFonts w:hint="eastAsia" w:ascii="宋体" w:hAnsi="宋体" w:eastAsia="宋体"/>
      <w:sz w:val="28"/>
      <w:szCs w:val="28"/>
    </w:rPr>
  </w:style>
  <w:style w:type="character" w:customStyle="1" w:styleId="508">
    <w:name w:val="Level 3 Head Char"/>
    <w:qFormat/>
    <w:uiPriority w:val="0"/>
    <w:rPr>
      <w:rFonts w:eastAsia="宋体"/>
      <w:b/>
      <w:kern w:val="2"/>
      <w:sz w:val="32"/>
      <w:lang w:val="en-US" w:eastAsia="zh-CN" w:bidi="ar-SA"/>
    </w:rPr>
  </w:style>
  <w:style w:type="character" w:customStyle="1" w:styleId="509">
    <w:name w:val="标准文件_标准正文 Char1"/>
    <w:link w:val="75"/>
    <w:qFormat/>
    <w:uiPriority w:val="0"/>
    <w:rPr>
      <w:rFonts w:eastAsia="宋体"/>
      <w:bCs/>
      <w:color w:val="000000"/>
      <w:spacing w:val="2"/>
      <w:sz w:val="24"/>
      <w:szCs w:val="24"/>
    </w:rPr>
  </w:style>
  <w:style w:type="character" w:customStyle="1" w:styleId="510">
    <w:name w:val="ca-51"/>
    <w:qFormat/>
    <w:uiPriority w:val="0"/>
    <w:rPr>
      <w:rFonts w:hint="eastAsia" w:ascii="宋体" w:hAnsi="宋体" w:eastAsia="宋体"/>
      <w:color w:val="FF0000"/>
      <w:sz w:val="22"/>
      <w:szCs w:val="22"/>
    </w:rPr>
  </w:style>
  <w:style w:type="character" w:customStyle="1" w:styleId="511">
    <w:name w:val="para1"/>
    <w:qFormat/>
    <w:uiPriority w:val="0"/>
    <w:rPr>
      <w:rFonts w:hint="default" w:ascii="Arial" w:hAnsi="Arial" w:cs="Arial"/>
      <w:sz w:val="21"/>
      <w:szCs w:val="21"/>
    </w:rPr>
  </w:style>
  <w:style w:type="character" w:customStyle="1" w:styleId="512">
    <w:name w:val="style11"/>
    <w:qFormat/>
    <w:uiPriority w:val="0"/>
    <w:rPr>
      <w:rFonts w:hint="default" w:ascii="Arial" w:hAnsi="Arial" w:cs="Arial"/>
    </w:rPr>
  </w:style>
  <w:style w:type="character" w:customStyle="1" w:styleId="513">
    <w:name w:val="xiao3"/>
    <w:basedOn w:val="58"/>
    <w:qFormat/>
    <w:uiPriority w:val="0"/>
  </w:style>
  <w:style w:type="character" w:customStyle="1" w:styleId="514">
    <w:name w:val="正文 + 首行缩进:  2 字符 Char Char"/>
    <w:qFormat/>
    <w:uiPriority w:val="0"/>
    <w:rPr>
      <w:rFonts w:ascii="Verdana" w:hAnsi="Verdana" w:eastAsia="宋体"/>
      <w:sz w:val="24"/>
      <w:lang w:val="en-US" w:eastAsia="zh-CN"/>
    </w:rPr>
  </w:style>
  <w:style w:type="character" w:customStyle="1" w:styleId="515">
    <w:name w:val="spelle"/>
    <w:basedOn w:val="58"/>
    <w:qFormat/>
    <w:uiPriority w:val="0"/>
  </w:style>
  <w:style w:type="character" w:customStyle="1" w:styleId="516">
    <w:name w:val="contentlabel1"/>
    <w:qFormat/>
    <w:uiPriority w:val="0"/>
    <w:rPr>
      <w:color w:val="336666"/>
      <w:sz w:val="18"/>
      <w:szCs w:val="18"/>
      <w:u w:val="none"/>
    </w:rPr>
  </w:style>
  <w:style w:type="character" w:customStyle="1" w:styleId="517">
    <w:name w:val="ca-11"/>
    <w:qFormat/>
    <w:uiPriority w:val="0"/>
    <w:rPr>
      <w:rFonts w:hint="eastAsia" w:ascii="宋体" w:hAnsi="宋体" w:eastAsia="宋体"/>
      <w:color w:val="000000"/>
      <w:sz w:val="18"/>
      <w:szCs w:val="18"/>
    </w:rPr>
  </w:style>
  <w:style w:type="character" w:customStyle="1" w:styleId="518">
    <w:name w:val="正文文本缩进 2 Char"/>
    <w:link w:val="32"/>
    <w:qFormat/>
    <w:uiPriority w:val="0"/>
    <w:rPr>
      <w:rFonts w:eastAsia="宋体"/>
    </w:rPr>
  </w:style>
  <w:style w:type="character" w:customStyle="1" w:styleId="519">
    <w:name w:val="msonormal"/>
    <w:basedOn w:val="58"/>
    <w:qFormat/>
    <w:uiPriority w:val="0"/>
  </w:style>
  <w:style w:type="character" w:customStyle="1" w:styleId="520">
    <w:name w:val="页眉 Char1"/>
    <w:link w:val="35"/>
    <w:qFormat/>
    <w:uiPriority w:val="99"/>
    <w:rPr>
      <w:sz w:val="18"/>
      <w:szCs w:val="18"/>
    </w:rPr>
  </w:style>
  <w:style w:type="character" w:customStyle="1" w:styleId="521">
    <w:name w:val="contentheaderrev1"/>
    <w:qFormat/>
    <w:uiPriority w:val="0"/>
    <w:rPr>
      <w:rFonts w:hint="default" w:ascii="Arial" w:hAnsi="Arial" w:cs="Arial"/>
      <w:b/>
      <w:bCs/>
      <w:color w:val="FFFFFF"/>
      <w:sz w:val="24"/>
      <w:szCs w:val="24"/>
      <w:u w:val="none"/>
    </w:rPr>
  </w:style>
  <w:style w:type="character" w:customStyle="1" w:styleId="522">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523">
    <w:name w:val="aaaa"/>
    <w:basedOn w:val="58"/>
    <w:qFormat/>
    <w:uiPriority w:val="0"/>
  </w:style>
  <w:style w:type="character" w:customStyle="1" w:styleId="524">
    <w:name w:val="文档正文 Char Char"/>
    <w:link w:val="87"/>
    <w:qFormat/>
    <w:uiPriority w:val="0"/>
    <w:rPr>
      <w:rFonts w:ascii="Arial" w:hAnsi="Arial" w:eastAsia="宋体"/>
      <w:b/>
      <w:color w:val="FF0000"/>
    </w:rPr>
  </w:style>
  <w:style w:type="character" w:customStyle="1" w:styleId="525">
    <w:name w:val="font21"/>
    <w:qFormat/>
    <w:uiPriority w:val="0"/>
    <w:rPr>
      <w:rFonts w:hint="default" w:ascii="Arial" w:hAnsi="Arial" w:cs="Arial"/>
      <w:b/>
      <w:bCs/>
      <w:color w:val="000000"/>
      <w:sz w:val="24"/>
      <w:szCs w:val="24"/>
      <w:u w:val="none"/>
    </w:rPr>
  </w:style>
  <w:style w:type="character" w:customStyle="1" w:styleId="526">
    <w:name w:val="批注主题 Char"/>
    <w:link w:val="53"/>
    <w:qFormat/>
    <w:uiPriority w:val="0"/>
    <w:rPr>
      <w:rFonts w:eastAsia="宋体"/>
      <w:b/>
      <w:bCs/>
    </w:rPr>
  </w:style>
  <w:style w:type="character" w:customStyle="1" w:styleId="527">
    <w:name w:val="批注文字 Char1"/>
    <w:basedOn w:val="58"/>
    <w:link w:val="17"/>
    <w:qFormat/>
    <w:uiPriority w:val="0"/>
    <w:rPr>
      <w:rFonts w:ascii="宋体" w:hAnsi="Times New Roman" w:eastAsia="宋体" w:cs="Times New Roman"/>
      <w:kern w:val="0"/>
      <w:sz w:val="34"/>
      <w:szCs w:val="20"/>
    </w:rPr>
  </w:style>
  <w:style w:type="character" w:customStyle="1" w:styleId="528">
    <w:name w:val="point_normal1"/>
    <w:qFormat/>
    <w:uiPriority w:val="0"/>
    <w:rPr>
      <w:rFonts w:hint="default" w:ascii="Arial" w:hAnsi="Arial" w:cs="Arial"/>
      <w:sz w:val="21"/>
      <w:szCs w:val="21"/>
    </w:rPr>
  </w:style>
  <w:style w:type="character" w:customStyle="1" w:styleId="529">
    <w:name w:val="text_darkgray1"/>
    <w:qFormat/>
    <w:uiPriority w:val="0"/>
    <w:rPr>
      <w:color w:val="000000"/>
      <w:sz w:val="22"/>
      <w:szCs w:val="22"/>
    </w:rPr>
  </w:style>
  <w:style w:type="character" w:customStyle="1" w:styleId="530">
    <w:name w:val="正文（绿盟科技） Char Char"/>
    <w:link w:val="76"/>
    <w:qFormat/>
    <w:uiPriority w:val="0"/>
    <w:rPr>
      <w:szCs w:val="21"/>
      <w:lang w:bidi="ar-SA"/>
    </w:rPr>
  </w:style>
  <w:style w:type="character" w:customStyle="1" w:styleId="531">
    <w:name w:val="ca-71"/>
    <w:qFormat/>
    <w:uiPriority w:val="0"/>
    <w:rPr>
      <w:rFonts w:hint="eastAsia" w:ascii="宋体" w:hAnsi="宋体" w:eastAsia="宋体"/>
      <w:sz w:val="21"/>
      <w:szCs w:val="21"/>
    </w:rPr>
  </w:style>
  <w:style w:type="character" w:customStyle="1" w:styleId="532">
    <w:name w:val="content"/>
    <w:basedOn w:val="58"/>
    <w:qFormat/>
    <w:uiPriority w:val="0"/>
  </w:style>
  <w:style w:type="character" w:customStyle="1" w:styleId="533">
    <w:name w:val="正文首行缩进 2 Char"/>
    <w:link w:val="55"/>
    <w:qFormat/>
    <w:uiPriority w:val="0"/>
    <w:rPr>
      <w:rFonts w:ascii="Arial" w:hAnsi="Arial" w:eastAsia="宋体"/>
      <w:b/>
      <w:bCs/>
      <w:szCs w:val="28"/>
    </w:rPr>
  </w:style>
  <w:style w:type="character" w:customStyle="1" w:styleId="534">
    <w:name w:val="正文文本缩进 Char"/>
    <w:link w:val="22"/>
    <w:qFormat/>
    <w:uiPriority w:val="0"/>
    <w:rPr>
      <w:rFonts w:eastAsia="宋体"/>
    </w:rPr>
  </w:style>
  <w:style w:type="character" w:customStyle="1" w:styleId="535">
    <w:name w:val="f12"/>
    <w:basedOn w:val="58"/>
    <w:qFormat/>
    <w:uiPriority w:val="0"/>
  </w:style>
  <w:style w:type="character" w:customStyle="1" w:styleId="536">
    <w:name w:val="Char Char25"/>
    <w:qFormat/>
    <w:uiPriority w:val="0"/>
    <w:rPr>
      <w:rFonts w:ascii="宋体" w:hAnsi="Courier New" w:eastAsia="宋体"/>
      <w:spacing w:val="-8"/>
      <w:kern w:val="2"/>
      <w:sz w:val="24"/>
      <w:lang w:val="en-US" w:eastAsia="zh-CN" w:bidi="ar-SA"/>
    </w:rPr>
  </w:style>
  <w:style w:type="character" w:customStyle="1" w:styleId="537">
    <w:name w:val="ca-261"/>
    <w:qFormat/>
    <w:uiPriority w:val="0"/>
    <w:rPr>
      <w:rFonts w:hint="default" w:ascii="Times New Roman" w:hAnsi="Times New Roman" w:cs="Times New Roman"/>
      <w:sz w:val="24"/>
      <w:szCs w:val="24"/>
    </w:rPr>
  </w:style>
  <w:style w:type="character" w:customStyle="1" w:styleId="538">
    <w:name w:val="Char Char40"/>
    <w:qFormat/>
    <w:uiPriority w:val="0"/>
    <w:rPr>
      <w:rFonts w:eastAsia="宋体"/>
      <w:kern w:val="2"/>
      <w:sz w:val="21"/>
      <w:lang w:val="en-US" w:eastAsia="zh-CN" w:bidi="ar-SA"/>
    </w:rPr>
  </w:style>
  <w:style w:type="character" w:customStyle="1" w:styleId="539">
    <w:name w:val="Char Char18"/>
    <w:qFormat/>
    <w:uiPriority w:val="0"/>
    <w:rPr>
      <w:b/>
      <w:bCs/>
      <w:kern w:val="2"/>
      <w:sz w:val="28"/>
      <w:szCs w:val="28"/>
    </w:rPr>
  </w:style>
  <w:style w:type="character" w:customStyle="1" w:styleId="540">
    <w:name w:val="文档结构图 Char"/>
    <w:link w:val="16"/>
    <w:qFormat/>
    <w:uiPriority w:val="99"/>
    <w:rPr>
      <w:rFonts w:ascii="宋体"/>
      <w:bCs/>
      <w:sz w:val="18"/>
      <w:szCs w:val="18"/>
    </w:rPr>
  </w:style>
  <w:style w:type="character" w:customStyle="1" w:styleId="541">
    <w:name w:val="ca-131"/>
    <w:qFormat/>
    <w:uiPriority w:val="0"/>
    <w:rPr>
      <w:rFonts w:hint="eastAsia" w:ascii="宋体" w:hAnsi="宋体" w:eastAsia="宋体"/>
      <w:b/>
      <w:bCs/>
      <w:color w:val="000000"/>
      <w:spacing w:val="-20"/>
      <w:sz w:val="24"/>
      <w:szCs w:val="24"/>
    </w:rPr>
  </w:style>
  <w:style w:type="character" w:customStyle="1" w:styleId="542">
    <w:name w:val="Message Header Label"/>
    <w:qFormat/>
    <w:uiPriority w:val="0"/>
    <w:rPr>
      <w:rFonts w:ascii="Arial Black" w:hAnsi="Arial Black" w:eastAsia="宋体"/>
      <w:sz w:val="18"/>
    </w:rPr>
  </w:style>
  <w:style w:type="character" w:customStyle="1" w:styleId="543">
    <w:name w:val="apple-style-span"/>
    <w:basedOn w:val="58"/>
    <w:qFormat/>
    <w:uiPriority w:val="0"/>
  </w:style>
  <w:style w:type="character" w:customStyle="1" w:styleId="544">
    <w:name w:val="Char Char24"/>
    <w:qFormat/>
    <w:uiPriority w:val="0"/>
    <w:rPr>
      <w:rFonts w:ascii="宋体" w:eastAsia="宋体"/>
      <w:sz w:val="18"/>
      <w:lang w:val="en-US" w:eastAsia="zh-CN" w:bidi="ar-SA"/>
    </w:rPr>
  </w:style>
  <w:style w:type="character" w:customStyle="1" w:styleId="545">
    <w:name w:val="3zw1"/>
    <w:qFormat/>
    <w:uiPriority w:val="0"/>
    <w:rPr>
      <w:color w:val="000000"/>
      <w:sz w:val="21"/>
      <w:szCs w:val="21"/>
    </w:rPr>
  </w:style>
  <w:style w:type="character" w:customStyle="1" w:styleId="546">
    <w:name w:val="HTML 预设格式 Char"/>
    <w:link w:val="49"/>
    <w:qFormat/>
    <w:uiPriority w:val="0"/>
    <w:rPr>
      <w:rFonts w:ascii="黑体" w:hAnsi="Courier New" w:eastAsia="黑体"/>
    </w:rPr>
  </w:style>
  <w:style w:type="character" w:customStyle="1" w:styleId="547">
    <w:name w:val="Char Char21"/>
    <w:qFormat/>
    <w:uiPriority w:val="0"/>
    <w:rPr>
      <w:rFonts w:eastAsia="宋体"/>
      <w:b/>
      <w:kern w:val="2"/>
      <w:sz w:val="32"/>
      <w:lang w:val="en-US" w:eastAsia="zh-CN" w:bidi="ar-SA"/>
    </w:rPr>
  </w:style>
  <w:style w:type="character" w:customStyle="1" w:styleId="548">
    <w:name w:val="ca-291"/>
    <w:qFormat/>
    <w:uiPriority w:val="0"/>
    <w:rPr>
      <w:rFonts w:hint="default" w:ascii="Times New Roman" w:hAnsi="Times New Roman" w:cs="Times New Roman"/>
      <w:b/>
      <w:bCs/>
      <w:spacing w:val="-20"/>
      <w:sz w:val="24"/>
      <w:szCs w:val="24"/>
    </w:rPr>
  </w:style>
  <w:style w:type="character" w:customStyle="1" w:styleId="549">
    <w:name w:val="Char Char41"/>
    <w:qFormat/>
    <w:uiPriority w:val="0"/>
    <w:rPr>
      <w:rFonts w:ascii="Arial" w:hAnsi="Arial" w:eastAsia="黑体"/>
      <w:b/>
      <w:kern w:val="2"/>
      <w:sz w:val="28"/>
      <w:lang w:val="en-US" w:eastAsia="zh-CN" w:bidi="ar-SA"/>
    </w:rPr>
  </w:style>
  <w:style w:type="character" w:customStyle="1" w:styleId="550">
    <w:name w:val="bord"/>
    <w:basedOn w:val="58"/>
    <w:qFormat/>
    <w:uiPriority w:val="0"/>
  </w:style>
  <w:style w:type="character" w:customStyle="1" w:styleId="551">
    <w:name w:val="强调1"/>
    <w:qFormat/>
    <w:uiPriority w:val="0"/>
    <w:rPr>
      <w:rFonts w:ascii="Arial Black" w:hAnsi="Arial Black" w:eastAsia="宋体"/>
      <w:sz w:val="18"/>
    </w:rPr>
  </w:style>
  <w:style w:type="character" w:customStyle="1" w:styleId="552">
    <w:name w:val="apple-converted-space"/>
    <w:basedOn w:val="58"/>
    <w:qFormat/>
    <w:uiPriority w:val="0"/>
  </w:style>
  <w:style w:type="character" w:customStyle="1" w:styleId="553">
    <w:name w:val="ca-181"/>
    <w:qFormat/>
    <w:uiPriority w:val="0"/>
    <w:rPr>
      <w:rFonts w:hint="eastAsia" w:ascii="宋体" w:hAnsi="宋体" w:eastAsia="宋体"/>
      <w:b/>
      <w:bCs/>
      <w:spacing w:val="-20"/>
      <w:sz w:val="24"/>
      <w:szCs w:val="24"/>
    </w:rPr>
  </w:style>
  <w:style w:type="character" w:customStyle="1" w:styleId="554">
    <w:name w:val="Char Char20"/>
    <w:qFormat/>
    <w:uiPriority w:val="0"/>
    <w:rPr>
      <w:b/>
      <w:bCs/>
      <w:kern w:val="2"/>
      <w:sz w:val="32"/>
      <w:szCs w:val="32"/>
    </w:rPr>
  </w:style>
  <w:style w:type="character" w:customStyle="1" w:styleId="555">
    <w:name w:val="style1041"/>
    <w:qFormat/>
    <w:uiPriority w:val="0"/>
    <w:rPr>
      <w:color w:val="FFFFFF"/>
    </w:rPr>
  </w:style>
  <w:style w:type="character" w:customStyle="1" w:styleId="556">
    <w:name w:val="金宏发行正文 Char Char Char"/>
    <w:link w:val="77"/>
    <w:qFormat/>
    <w:uiPriority w:val="0"/>
    <w:rPr>
      <w:rFonts w:eastAsia="仿宋_GB2312" w:cs="宋体"/>
      <w:sz w:val="28"/>
    </w:rPr>
  </w:style>
  <w:style w:type="character" w:customStyle="1" w:styleId="557">
    <w:name w:val="Char Char Char Char Char Char Char"/>
    <w:qFormat/>
    <w:uiPriority w:val="0"/>
    <w:rPr>
      <w:rFonts w:eastAsia="宋体"/>
      <w:kern w:val="2"/>
      <w:sz w:val="21"/>
      <w:szCs w:val="24"/>
      <w:lang w:val="en-US" w:eastAsia="zh-CN" w:bidi="ar-SA"/>
    </w:rPr>
  </w:style>
  <w:style w:type="character" w:customStyle="1" w:styleId="558">
    <w:name w:val="普通文字1 Char1"/>
    <w:qFormat/>
    <w:uiPriority w:val="0"/>
    <w:rPr>
      <w:rFonts w:ascii="宋体" w:hAnsi="Courier New" w:eastAsia="宋体"/>
      <w:spacing w:val="-8"/>
      <w:kern w:val="2"/>
      <w:sz w:val="24"/>
      <w:lang w:val="en-US" w:eastAsia="zh-CN" w:bidi="ar-SA"/>
    </w:rPr>
  </w:style>
  <w:style w:type="character" w:customStyle="1" w:styleId="559">
    <w:name w:val="aaaaa Char Char"/>
    <w:link w:val="78"/>
    <w:qFormat/>
    <w:uiPriority w:val="0"/>
    <w:rPr>
      <w:sz w:val="24"/>
      <w:szCs w:val="24"/>
    </w:rPr>
  </w:style>
  <w:style w:type="character" w:customStyle="1" w:styleId="560">
    <w:name w:val="标准文件_一级项目符号 Char Char Char Char"/>
    <w:link w:val="79"/>
    <w:qFormat/>
    <w:uiPriority w:val="0"/>
    <w:rPr>
      <w:rFonts w:ascii="Verdana" w:hAnsi="Verdana" w:eastAsia="Times New Roman"/>
      <w:b/>
      <w:bCs/>
      <w:color w:val="000000"/>
      <w:spacing w:val="2"/>
      <w:sz w:val="24"/>
      <w:szCs w:val="24"/>
      <w:lang w:bidi="ar-SA"/>
    </w:rPr>
  </w:style>
  <w:style w:type="character" w:customStyle="1" w:styleId="561">
    <w:name w:val="正文缩进 Char"/>
    <w:link w:val="14"/>
    <w:qFormat/>
    <w:uiPriority w:val="0"/>
    <w:rPr>
      <w:rFonts w:ascii="宋体" w:eastAsia="宋体"/>
      <w:sz w:val="24"/>
    </w:rPr>
  </w:style>
  <w:style w:type="character" w:customStyle="1" w:styleId="562">
    <w:name w:val="ca-21"/>
    <w:qFormat/>
    <w:uiPriority w:val="0"/>
    <w:rPr>
      <w:rFonts w:hint="eastAsia" w:ascii="宋体" w:hAnsi="宋体" w:eastAsia="宋体"/>
      <w:sz w:val="21"/>
      <w:szCs w:val="21"/>
    </w:rPr>
  </w:style>
  <w:style w:type="character" w:customStyle="1" w:styleId="563">
    <w:name w:val="Numbered list 2.3 Char1"/>
    <w:link w:val="80"/>
    <w:qFormat/>
    <w:uiPriority w:val="0"/>
    <w:rPr>
      <w:rFonts w:ascii="Futura Bk" w:hAnsi="Futura Bk" w:eastAsia="宋体"/>
      <w:b/>
      <w:sz w:val="22"/>
      <w:lang w:eastAsia="en-US"/>
    </w:rPr>
  </w:style>
  <w:style w:type="character" w:customStyle="1" w:styleId="564">
    <w:name w:val="无间隔 Char"/>
    <w:link w:val="81"/>
    <w:qFormat/>
    <w:uiPriority w:val="1"/>
    <w:rPr>
      <w:rFonts w:ascii="Calibri" w:hAnsi="Calibri"/>
      <w:sz w:val="22"/>
      <w:lang w:bidi="ar-SA"/>
    </w:rPr>
  </w:style>
  <w:style w:type="character" w:customStyle="1" w:styleId="565">
    <w:name w:val="H4 Char1"/>
    <w:qFormat/>
    <w:uiPriority w:val="0"/>
    <w:rPr>
      <w:rFonts w:ascii="Arial" w:hAnsi="Arial" w:eastAsia="黑体"/>
      <w:b/>
      <w:kern w:val="2"/>
      <w:sz w:val="28"/>
      <w:lang w:val="en-US" w:eastAsia="zh-CN" w:bidi="ar-SA"/>
    </w:rPr>
  </w:style>
  <w:style w:type="character" w:customStyle="1" w:styleId="566">
    <w:name w:val="font41"/>
    <w:qFormat/>
    <w:uiPriority w:val="0"/>
    <w:rPr>
      <w:rFonts w:hint="default" w:ascii="Times New Roman" w:hAnsi="Times New Roman" w:cs="Times New Roman"/>
      <w:color w:val="000000"/>
      <w:sz w:val="20"/>
      <w:szCs w:val="20"/>
      <w:u w:val="none"/>
    </w:rPr>
  </w:style>
  <w:style w:type="character" w:customStyle="1" w:styleId="567">
    <w:name w:val="blue141"/>
    <w:qFormat/>
    <w:uiPriority w:val="0"/>
    <w:rPr>
      <w:color w:val="0066CC"/>
      <w:sz w:val="21"/>
      <w:szCs w:val="21"/>
    </w:rPr>
  </w:style>
  <w:style w:type="character" w:customStyle="1" w:styleId="568">
    <w:name w:val="页脚 Char1"/>
    <w:link w:val="34"/>
    <w:qFormat/>
    <w:uiPriority w:val="99"/>
    <w:rPr>
      <w:rFonts w:ascii="宋体"/>
      <w:sz w:val="18"/>
    </w:rPr>
  </w:style>
  <w:style w:type="character" w:customStyle="1" w:styleId="569">
    <w:name w:val="标书正文:  0.74 厘米 Char Char"/>
    <w:link w:val="82"/>
    <w:qFormat/>
    <w:uiPriority w:val="0"/>
    <w:rPr>
      <w:sz w:val="24"/>
    </w:rPr>
  </w:style>
  <w:style w:type="character" w:customStyle="1" w:styleId="570">
    <w:name w:val="black1"/>
    <w:qFormat/>
    <w:uiPriority w:val="0"/>
    <w:rPr>
      <w:rFonts w:hint="default" w:ascii="Geneva" w:hAnsi="Geneva"/>
      <w:color w:val="666666"/>
      <w:sz w:val="18"/>
      <w:szCs w:val="18"/>
      <w:u w:val="none"/>
    </w:rPr>
  </w:style>
  <w:style w:type="character" w:customStyle="1" w:styleId="571">
    <w:name w:val="正文111 Char Char"/>
    <w:link w:val="83"/>
    <w:qFormat/>
    <w:uiPriority w:val="0"/>
    <w:rPr>
      <w:rFonts w:eastAsia="宋体"/>
      <w:sz w:val="24"/>
    </w:rPr>
  </w:style>
  <w:style w:type="character" w:customStyle="1" w:styleId="572">
    <w:name w:val="样式 宋体 小四"/>
    <w:qFormat/>
    <w:uiPriority w:val="0"/>
    <w:rPr>
      <w:rFonts w:ascii="宋体" w:hAnsi="宋体"/>
      <w:sz w:val="24"/>
    </w:rPr>
  </w:style>
  <w:style w:type="character" w:customStyle="1" w:styleId="573">
    <w:name w:val="ca-61"/>
    <w:qFormat/>
    <w:uiPriority w:val="0"/>
    <w:rPr>
      <w:rFonts w:hint="default" w:ascii="Times New Roman" w:hAnsi="Times New Roman" w:cs="Times New Roman"/>
      <w:sz w:val="21"/>
      <w:szCs w:val="21"/>
    </w:rPr>
  </w:style>
  <w:style w:type="character" w:customStyle="1" w:styleId="574">
    <w:name w:val="tle_cn"/>
    <w:basedOn w:val="58"/>
    <w:qFormat/>
    <w:uiPriority w:val="0"/>
  </w:style>
  <w:style w:type="character" w:customStyle="1" w:styleId="575">
    <w:name w:val="样式 样式 标书正文 + 首行缩进:  0.01 字符 + 首行缩进:  0.01 字符 Char Char"/>
    <w:link w:val="84"/>
    <w:qFormat/>
    <w:uiPriority w:val="0"/>
    <w:rPr>
      <w:rFonts w:ascii="宋体" w:hAnsi="宋体" w:eastAsia="宋体" w:cs="宋体"/>
      <w:sz w:val="28"/>
    </w:rPr>
  </w:style>
  <w:style w:type="character" w:customStyle="1" w:styleId="576">
    <w:name w:val="fontarial1"/>
    <w:qFormat/>
    <w:uiPriority w:val="0"/>
    <w:rPr>
      <w:rFonts w:hint="default" w:ascii="Arial" w:hAnsi="Arial" w:cs="Arial"/>
    </w:rPr>
  </w:style>
  <w:style w:type="character" w:customStyle="1" w:styleId="577">
    <w:name w:val="Char Char17"/>
    <w:qFormat/>
    <w:uiPriority w:val="0"/>
    <w:rPr>
      <w:rFonts w:ascii="Arial" w:hAnsi="Arial" w:eastAsia="黑体"/>
      <w:b/>
      <w:bCs/>
      <w:kern w:val="2"/>
      <w:sz w:val="24"/>
      <w:szCs w:val="24"/>
      <w:lang w:val="en-US" w:eastAsia="zh-CN" w:bidi="ar-SA"/>
    </w:rPr>
  </w:style>
  <w:style w:type="character" w:customStyle="1" w:styleId="578">
    <w:name w:val="正文段落 Char Char"/>
    <w:link w:val="85"/>
    <w:qFormat/>
    <w:uiPriority w:val="0"/>
    <w:rPr>
      <w:rFonts w:ascii="宋体" w:hAnsi="宋体" w:eastAsia="宋体" w:cs="宋体"/>
      <w:sz w:val="24"/>
      <w:szCs w:val="24"/>
    </w:rPr>
  </w:style>
  <w:style w:type="character" w:customStyle="1" w:styleId="579">
    <w:name w:val="style3"/>
    <w:basedOn w:val="58"/>
    <w:qFormat/>
    <w:uiPriority w:val="0"/>
  </w:style>
  <w:style w:type="character" w:customStyle="1" w:styleId="580">
    <w:name w:val="标题4 Char"/>
    <w:qFormat/>
    <w:uiPriority w:val="0"/>
    <w:rPr>
      <w:rFonts w:ascii="宋体" w:eastAsia="宋体"/>
      <w:kern w:val="24"/>
      <w:sz w:val="24"/>
      <w:lang w:val="en-US" w:eastAsia="zh-CN" w:bidi="ar-SA"/>
    </w:rPr>
  </w:style>
  <w:style w:type="character" w:customStyle="1" w:styleId="581">
    <w:name w:val="标题 3 Char Char"/>
    <w:qFormat/>
    <w:uiPriority w:val="0"/>
    <w:rPr>
      <w:rFonts w:eastAsia="宋体"/>
      <w:kern w:val="2"/>
      <w:sz w:val="24"/>
      <w:szCs w:val="32"/>
    </w:rPr>
  </w:style>
  <w:style w:type="character" w:customStyle="1" w:styleId="582">
    <w:name w:val="正文文本 Char"/>
    <w:link w:val="21"/>
    <w:qFormat/>
    <w:uiPriority w:val="99"/>
  </w:style>
  <w:style w:type="character" w:customStyle="1" w:styleId="583">
    <w:name w:val="font-121"/>
    <w:qFormat/>
    <w:uiPriority w:val="0"/>
    <w:rPr>
      <w:color w:val="666666"/>
      <w:sz w:val="18"/>
      <w:szCs w:val="18"/>
      <w:u w:val="none"/>
    </w:rPr>
  </w:style>
  <w:style w:type="character" w:customStyle="1" w:styleId="584">
    <w:name w:val="纯文本 Char"/>
    <w:link w:val="29"/>
    <w:qFormat/>
    <w:uiPriority w:val="0"/>
    <w:rPr>
      <w:rFonts w:ascii="宋体" w:hAnsi="Courier New" w:eastAsia="宋体"/>
    </w:rPr>
  </w:style>
  <w:style w:type="character" w:customStyle="1" w:styleId="585">
    <w:name w:val="正文（首行缩进） Char1"/>
    <w:link w:val="86"/>
    <w:qFormat/>
    <w:uiPriority w:val="0"/>
    <w:rPr>
      <w:sz w:val="24"/>
    </w:rPr>
  </w:style>
  <w:style w:type="character" w:customStyle="1" w:styleId="586">
    <w:name w:val="Char Char27"/>
    <w:qFormat/>
    <w:uiPriority w:val="0"/>
    <w:rPr>
      <w:rFonts w:eastAsia="宋体"/>
      <w:sz w:val="21"/>
      <w:lang w:val="en-US" w:eastAsia="zh-CN" w:bidi="ar-SA"/>
    </w:rPr>
  </w:style>
  <w:style w:type="character" w:customStyle="1" w:styleId="587">
    <w:name w:val="Char Char42"/>
    <w:qFormat/>
    <w:uiPriority w:val="0"/>
    <w:rPr>
      <w:rFonts w:eastAsia="宋体"/>
      <w:b/>
      <w:kern w:val="44"/>
      <w:sz w:val="44"/>
      <w:lang w:val="en-US" w:eastAsia="zh-CN" w:bidi="ar-SA"/>
    </w:rPr>
  </w:style>
  <w:style w:type="character" w:customStyle="1" w:styleId="588">
    <w:name w:val="Char Char23"/>
    <w:qFormat/>
    <w:uiPriority w:val="0"/>
    <w:rPr>
      <w:rFonts w:ascii="宋体" w:eastAsia="宋体"/>
      <w:sz w:val="21"/>
      <w:lang w:val="en-US" w:eastAsia="zh-CN" w:bidi="ar-SA"/>
    </w:rPr>
  </w:style>
  <w:style w:type="character" w:customStyle="1" w:styleId="589">
    <w:name w:val="lineitems1"/>
    <w:qFormat/>
    <w:uiPriority w:val="0"/>
    <w:rPr>
      <w:sz w:val="19"/>
      <w:szCs w:val="19"/>
    </w:rPr>
  </w:style>
  <w:style w:type="character" w:customStyle="1" w:styleId="590">
    <w:name w:val="tit21"/>
    <w:qFormat/>
    <w:uiPriority w:val="0"/>
    <w:rPr>
      <w:rFonts w:hint="default" w:ascii="����" w:hAnsi="����" w:eastAsia="宋体"/>
      <w:b/>
      <w:bCs/>
      <w:color w:val="073998"/>
      <w:sz w:val="24"/>
      <w:szCs w:val="24"/>
    </w:rPr>
  </w:style>
  <w:style w:type="character" w:customStyle="1" w:styleId="591">
    <w:name w:val="font01"/>
    <w:qFormat/>
    <w:uiPriority w:val="0"/>
    <w:rPr>
      <w:rFonts w:hint="eastAsia" w:ascii="宋体" w:hAnsi="宋体" w:eastAsia="宋体"/>
      <w:color w:val="000000"/>
      <w:sz w:val="20"/>
      <w:szCs w:val="20"/>
      <w:u w:val="none"/>
    </w:rPr>
  </w:style>
  <w:style w:type="character" w:customStyle="1" w:styleId="592">
    <w:name w:val="样式 仿宋_GB2312 四号1"/>
    <w:qFormat/>
    <w:uiPriority w:val="0"/>
    <w:rPr>
      <w:rFonts w:ascii="仿宋_GB2312" w:hAnsi="仿宋_GB2312" w:eastAsia="仿宋_GB2312"/>
      <w:sz w:val="24"/>
    </w:rPr>
  </w:style>
  <w:style w:type="character" w:customStyle="1" w:styleId="593">
    <w:name w:val="H2 Char"/>
    <w:qFormat/>
    <w:uiPriority w:val="0"/>
    <w:rPr>
      <w:rFonts w:eastAsia="宋体"/>
      <w:b/>
      <w:kern w:val="10"/>
      <w:sz w:val="28"/>
      <w:lang w:val="en-US" w:eastAsia="zh-CN" w:bidi="ar-SA"/>
    </w:rPr>
  </w:style>
  <w:style w:type="character" w:customStyle="1" w:styleId="594">
    <w:name w:val="正文(首行缩进) Char Char"/>
    <w:link w:val="88"/>
    <w:qFormat/>
    <w:uiPriority w:val="0"/>
    <w:rPr>
      <w:rFonts w:ascii="宋体" w:hAnsi="宋体" w:eastAsia="Times New Roman"/>
      <w:spacing w:val="20"/>
      <w:kern w:val="24"/>
      <w:szCs w:val="21"/>
      <w:lang w:bidi="ar-SA"/>
    </w:rPr>
  </w:style>
  <w:style w:type="character" w:customStyle="1" w:styleId="595">
    <w:name w:val="Char Char19"/>
    <w:qFormat/>
    <w:uiPriority w:val="0"/>
    <w:rPr>
      <w:rFonts w:ascii="Arial" w:hAnsi="Arial" w:eastAsia="黑体"/>
      <w:b/>
      <w:bCs/>
      <w:kern w:val="2"/>
      <w:sz w:val="28"/>
      <w:szCs w:val="28"/>
    </w:rPr>
  </w:style>
  <w:style w:type="character" w:customStyle="1" w:styleId="596">
    <w:name w:val="Char Char35"/>
    <w:qFormat/>
    <w:uiPriority w:val="0"/>
    <w:rPr>
      <w:rFonts w:eastAsia="宋体"/>
      <w:sz w:val="21"/>
      <w:lang w:val="en-US" w:eastAsia="zh-CN" w:bidi="ar-SA"/>
    </w:rPr>
  </w:style>
  <w:style w:type="character" w:customStyle="1" w:styleId="597">
    <w:name w:val="bold gray"/>
    <w:basedOn w:val="58"/>
    <w:qFormat/>
    <w:uiPriority w:val="0"/>
  </w:style>
  <w:style w:type="character" w:customStyle="1" w:styleId="598">
    <w:name w:val="正文 首行缩进:  2 字符 Char Char Char"/>
    <w:link w:val="89"/>
    <w:qFormat/>
    <w:uiPriority w:val="0"/>
    <w:rPr>
      <w:rFonts w:ascii="Verdana" w:hAnsi="Verdana" w:eastAsia="宋体"/>
      <w:sz w:val="24"/>
    </w:rPr>
  </w:style>
  <w:style w:type="character" w:customStyle="1" w:styleId="599">
    <w:name w:val="content1"/>
    <w:qFormat/>
    <w:uiPriority w:val="0"/>
    <w:rPr>
      <w:sz w:val="18"/>
      <w:szCs w:val="18"/>
    </w:rPr>
  </w:style>
  <w:style w:type="character" w:customStyle="1" w:styleId="600">
    <w:name w:val="tit"/>
    <w:basedOn w:val="58"/>
    <w:qFormat/>
    <w:uiPriority w:val="0"/>
  </w:style>
  <w:style w:type="character" w:customStyle="1" w:styleId="601">
    <w:name w:val="正文 + 首行缩进:  2 字符 Char Char Char"/>
    <w:link w:val="90"/>
    <w:qFormat/>
    <w:uiPriority w:val="0"/>
    <w:rPr>
      <w:rFonts w:ascii="Verdana" w:hAnsi="Verdana" w:eastAsia="宋体"/>
      <w:sz w:val="24"/>
    </w:rPr>
  </w:style>
  <w:style w:type="character" w:customStyle="1" w:styleId="602">
    <w:name w:val="Char Char16"/>
    <w:qFormat/>
    <w:uiPriority w:val="0"/>
    <w:rPr>
      <w:rFonts w:eastAsia="宋体"/>
      <w:b/>
      <w:bCs/>
      <w:kern w:val="2"/>
      <w:sz w:val="24"/>
      <w:szCs w:val="24"/>
      <w:lang w:val="en-US" w:eastAsia="zh-CN" w:bidi="ar-SA"/>
    </w:rPr>
  </w:style>
  <w:style w:type="character" w:customStyle="1" w:styleId="603">
    <w:name w:val="WW8Num4z0"/>
    <w:qFormat/>
    <w:uiPriority w:val="0"/>
    <w:rPr>
      <w:rFonts w:ascii="Wingdings" w:hAnsi="Wingdings"/>
    </w:rPr>
  </w:style>
  <w:style w:type="character" w:customStyle="1" w:styleId="604">
    <w:name w:val="goog_qs-tidbit"/>
    <w:basedOn w:val="58"/>
    <w:qFormat/>
    <w:uiPriority w:val="0"/>
  </w:style>
  <w:style w:type="character" w:customStyle="1" w:styleId="605">
    <w:name w:val="style1091"/>
    <w:qFormat/>
    <w:uiPriority w:val="0"/>
    <w:rPr>
      <w:sz w:val="22"/>
      <w:szCs w:val="22"/>
    </w:rPr>
  </w:style>
  <w:style w:type="character" w:customStyle="1" w:styleId="606">
    <w:name w:val="h1 Char"/>
    <w:qFormat/>
    <w:uiPriority w:val="0"/>
    <w:rPr>
      <w:rFonts w:ascii="宋体" w:eastAsia="宋体"/>
      <w:b/>
      <w:kern w:val="44"/>
      <w:sz w:val="32"/>
      <w:lang w:val="en-US" w:eastAsia="zh-CN" w:bidi="ar-SA"/>
    </w:rPr>
  </w:style>
  <w:style w:type="character" w:customStyle="1" w:styleId="607">
    <w:name w:val="日期 Char"/>
    <w:link w:val="31"/>
    <w:qFormat/>
    <w:uiPriority w:val="0"/>
    <w:rPr>
      <w:rFonts w:eastAsia="楷体"/>
      <w:sz w:val="32"/>
    </w:rPr>
  </w:style>
  <w:style w:type="character" w:customStyle="1" w:styleId="608">
    <w:name w:val="ca-01"/>
    <w:qFormat/>
    <w:uiPriority w:val="0"/>
    <w:rPr>
      <w:rFonts w:hint="default" w:ascii="Times New Roman" w:hAnsi="Times New Roman" w:cs="Times New Roman"/>
      <w:b/>
      <w:bCs/>
      <w:spacing w:val="-20"/>
      <w:sz w:val="21"/>
      <w:szCs w:val="21"/>
    </w:rPr>
  </w:style>
  <w:style w:type="character" w:customStyle="1" w:styleId="609">
    <w:name w:val="Underrubrik1 Char Char"/>
    <w:qFormat/>
    <w:uiPriority w:val="0"/>
    <w:rPr>
      <w:rFonts w:ascii="Arial" w:hAnsi="Arial"/>
      <w:b/>
      <w:bCs/>
      <w:color w:val="000000"/>
      <w:sz w:val="30"/>
    </w:rPr>
  </w:style>
  <w:style w:type="character" w:customStyle="1" w:styleId="610">
    <w:name w:val="titleblack14px1"/>
    <w:qFormat/>
    <w:uiPriority w:val="0"/>
    <w:rPr>
      <w:b/>
      <w:bCs/>
      <w:color w:val="000000"/>
      <w:sz w:val="21"/>
      <w:szCs w:val="21"/>
    </w:rPr>
  </w:style>
  <w:style w:type="character" w:customStyle="1" w:styleId="611">
    <w:name w:val="tytytyty Char Char"/>
    <w:link w:val="91"/>
    <w:qFormat/>
    <w:uiPriority w:val="0"/>
    <w:rPr>
      <w:sz w:val="24"/>
    </w:rPr>
  </w:style>
  <w:style w:type="character" w:customStyle="1" w:styleId="612">
    <w:name w:val="题注xhxia2 Char Char"/>
    <w:link w:val="92"/>
    <w:qFormat/>
    <w:uiPriority w:val="0"/>
    <w:rPr>
      <w:rFonts w:ascii="黑体" w:hAnsi="黑体" w:eastAsia="黑体"/>
      <w:szCs w:val="21"/>
    </w:rPr>
  </w:style>
  <w:style w:type="character" w:customStyle="1" w:styleId="613">
    <w:name w:val="正文 首行缩进:  2 字符 Char Char"/>
    <w:qFormat/>
    <w:uiPriority w:val="0"/>
    <w:rPr>
      <w:rFonts w:ascii="Verdana" w:hAnsi="Verdana" w:eastAsia="宋体"/>
      <w:sz w:val="24"/>
      <w:lang w:val="en-US" w:eastAsia="zh-CN"/>
    </w:rPr>
  </w:style>
  <w:style w:type="character" w:customStyle="1" w:styleId="614">
    <w:name w:val="text1"/>
    <w:qFormat/>
    <w:uiPriority w:val="0"/>
    <w:rPr>
      <w:rFonts w:hint="default" w:ascii="ˎ̥" w:hAnsi="ˎ̥"/>
      <w:color w:val="000000"/>
      <w:sz w:val="18"/>
      <w:szCs w:val="18"/>
    </w:rPr>
  </w:style>
  <w:style w:type="character" w:customStyle="1" w:styleId="615">
    <w:name w:val="ca-110"/>
    <w:qFormat/>
    <w:uiPriority w:val="0"/>
    <w:rPr>
      <w:rFonts w:hint="eastAsia" w:ascii="宋体" w:hAnsi="宋体" w:eastAsia="宋体"/>
      <w:b/>
      <w:bCs/>
      <w:spacing w:val="-20"/>
      <w:sz w:val="21"/>
      <w:szCs w:val="21"/>
    </w:rPr>
  </w:style>
  <w:style w:type="character" w:customStyle="1" w:styleId="616">
    <w:name w:val="font51"/>
    <w:qFormat/>
    <w:uiPriority w:val="0"/>
    <w:rPr>
      <w:rFonts w:hint="default" w:ascii="Arial" w:hAnsi="Arial" w:cs="Arial"/>
      <w:color w:val="000000"/>
      <w:sz w:val="20"/>
      <w:szCs w:val="20"/>
      <w:u w:val="none"/>
    </w:rPr>
  </w:style>
  <w:style w:type="character" w:customStyle="1" w:styleId="617">
    <w:name w:val="linkhead"/>
    <w:basedOn w:val="58"/>
    <w:qFormat/>
    <w:uiPriority w:val="0"/>
  </w:style>
  <w:style w:type="character" w:customStyle="1" w:styleId="618">
    <w:name w:val="Char Char38"/>
    <w:qFormat/>
    <w:uiPriority w:val="0"/>
    <w:rPr>
      <w:rFonts w:eastAsia="宋体"/>
      <w:kern w:val="2"/>
      <w:sz w:val="21"/>
      <w:lang w:val="en-US" w:eastAsia="zh-CN" w:bidi="ar-SA"/>
    </w:rPr>
  </w:style>
  <w:style w:type="character" w:customStyle="1" w:styleId="619">
    <w:name w:val="zjaf12"/>
    <w:basedOn w:val="58"/>
    <w:qFormat/>
    <w:uiPriority w:val="0"/>
  </w:style>
  <w:style w:type="character" w:customStyle="1" w:styleId="620">
    <w:name w:val="Char Char39"/>
    <w:qFormat/>
    <w:uiPriority w:val="0"/>
    <w:rPr>
      <w:rFonts w:ascii="Arial" w:hAnsi="Arial" w:eastAsia="宋体"/>
      <w:kern w:val="2"/>
      <w:sz w:val="21"/>
      <w:lang w:val="en-US" w:eastAsia="zh-CN" w:bidi="ar-SA"/>
    </w:rPr>
  </w:style>
  <w:style w:type="character" w:customStyle="1" w:styleId="621">
    <w:name w:val="批注框文本 Char"/>
    <w:link w:val="33"/>
    <w:qFormat/>
    <w:uiPriority w:val="0"/>
    <w:rPr>
      <w:sz w:val="18"/>
      <w:szCs w:val="18"/>
    </w:rPr>
  </w:style>
  <w:style w:type="character" w:customStyle="1" w:styleId="622">
    <w:name w:val="Char Char34"/>
    <w:qFormat/>
    <w:uiPriority w:val="0"/>
    <w:rPr>
      <w:rFonts w:ascii="宋体" w:eastAsia="宋体"/>
      <w:sz w:val="18"/>
      <w:lang w:val="en-US" w:eastAsia="zh-CN" w:bidi="ar-SA"/>
    </w:rPr>
  </w:style>
  <w:style w:type="character" w:customStyle="1" w:styleId="623">
    <w:name w:val="模板正文 Char Char"/>
    <w:link w:val="93"/>
    <w:qFormat/>
    <w:uiPriority w:val="0"/>
    <w:rPr>
      <w:rFonts w:ascii="Calibri" w:hAnsi="Calibri" w:eastAsia="宋体"/>
      <w:sz w:val="24"/>
      <w:szCs w:val="24"/>
      <w:lang w:bidi="en-US"/>
    </w:rPr>
  </w:style>
  <w:style w:type="character" w:customStyle="1" w:styleId="624">
    <w:name w:val="正文文本缩进 3 Char"/>
    <w:basedOn w:val="58"/>
    <w:link w:val="41"/>
    <w:qFormat/>
    <w:uiPriority w:val="0"/>
    <w:rPr>
      <w:rFonts w:ascii="宋体" w:hAnsi="Times New Roman" w:eastAsia="宋体" w:cs="Times New Roman"/>
      <w:kern w:val="0"/>
      <w:sz w:val="16"/>
      <w:szCs w:val="16"/>
    </w:rPr>
  </w:style>
  <w:style w:type="character" w:customStyle="1" w:styleId="625">
    <w:name w:val="HTML 打字机 New"/>
    <w:qFormat/>
    <w:uiPriority w:val="0"/>
    <w:rPr>
      <w:rFonts w:ascii="宋体" w:hAnsi="宋体" w:eastAsia="宋体" w:cs="宋体"/>
      <w:sz w:val="18"/>
      <w:szCs w:val="18"/>
    </w:rPr>
  </w:style>
  <w:style w:type="character" w:customStyle="1" w:styleId="626">
    <w:name w:val="ca-141"/>
    <w:qFormat/>
    <w:uiPriority w:val="0"/>
    <w:rPr>
      <w:rFonts w:hint="eastAsia" w:ascii="宋体" w:hAnsi="宋体" w:eastAsia="宋体"/>
      <w:sz w:val="24"/>
      <w:szCs w:val="24"/>
    </w:rPr>
  </w:style>
  <w:style w:type="character" w:customStyle="1" w:styleId="627">
    <w:name w:val="列出段落 Char"/>
    <w:link w:val="94"/>
    <w:qFormat/>
    <w:uiPriority w:val="34"/>
    <w:rPr>
      <w:rFonts w:ascii="Calibri" w:hAnsi="Calibri" w:eastAsia="宋体"/>
    </w:rPr>
  </w:style>
  <w:style w:type="character" w:customStyle="1" w:styleId="628">
    <w:name w:val="bei21"/>
    <w:qFormat/>
    <w:uiPriority w:val="0"/>
    <w:rPr>
      <w:color w:val="FFFFFF"/>
    </w:rPr>
  </w:style>
  <w:style w:type="character" w:customStyle="1" w:styleId="629">
    <w:name w:val="注释标题 Char"/>
    <w:link w:val="13"/>
    <w:qFormat/>
    <w:uiPriority w:val="0"/>
    <w:rPr>
      <w:rFonts w:eastAsia="宋体"/>
      <w:szCs w:val="24"/>
    </w:rPr>
  </w:style>
  <w:style w:type="character" w:customStyle="1" w:styleId="630">
    <w:name w:val="Char Char22"/>
    <w:qFormat/>
    <w:uiPriority w:val="0"/>
    <w:rPr>
      <w:b/>
      <w:bCs/>
      <w:color w:val="000000"/>
      <w:kern w:val="44"/>
      <w:sz w:val="44"/>
      <w:szCs w:val="44"/>
      <w:lang w:val="zh-CN"/>
    </w:rPr>
  </w:style>
  <w:style w:type="character" w:customStyle="1" w:styleId="631">
    <w:name w:val="t"/>
    <w:basedOn w:val="58"/>
    <w:qFormat/>
    <w:uiPriority w:val="0"/>
  </w:style>
  <w:style w:type="character" w:customStyle="1" w:styleId="632">
    <w:name w:val="style1031"/>
    <w:qFormat/>
    <w:uiPriority w:val="0"/>
    <w:rPr>
      <w:rFonts w:hint="default" w:ascii="Arial" w:hAnsi="Arial" w:cs="Arial"/>
    </w:rPr>
  </w:style>
  <w:style w:type="character" w:customStyle="1" w:styleId="633">
    <w:name w:val="标准文件_标准正文 Char Char Char Char"/>
    <w:link w:val="95"/>
    <w:qFormat/>
    <w:uiPriority w:val="0"/>
    <w:rPr>
      <w:rFonts w:eastAsia="宋体"/>
      <w:bCs/>
      <w:color w:val="000000"/>
      <w:spacing w:val="2"/>
      <w:sz w:val="24"/>
      <w:szCs w:val="24"/>
    </w:rPr>
  </w:style>
  <w:style w:type="character" w:customStyle="1" w:styleId="634">
    <w:name w:val="Numbered list 2.4 Char Char"/>
    <w:link w:val="96"/>
    <w:qFormat/>
    <w:uiPriority w:val="0"/>
    <w:rPr>
      <w:rFonts w:ascii="Futura Bk" w:hAnsi="Futura Bk" w:eastAsia="宋体"/>
      <w:b/>
      <w:sz w:val="28"/>
      <w:lang w:eastAsia="en-US"/>
    </w:rPr>
  </w:style>
  <w:style w:type="character" w:customStyle="1" w:styleId="635">
    <w:name w:val="bord3"/>
    <w:basedOn w:val="58"/>
    <w:qFormat/>
    <w:uiPriority w:val="0"/>
  </w:style>
  <w:style w:type="character" w:customStyle="1" w:styleId="636">
    <w:name w:val="正文文本缩进 2 Char1"/>
    <w:basedOn w:val="58"/>
    <w:semiHidden/>
    <w:qFormat/>
    <w:uiPriority w:val="99"/>
    <w:rPr>
      <w:rFonts w:ascii="宋体" w:hAnsi="Times New Roman" w:eastAsia="宋体" w:cs="Times New Roman"/>
      <w:kern w:val="0"/>
      <w:sz w:val="34"/>
      <w:szCs w:val="20"/>
    </w:rPr>
  </w:style>
  <w:style w:type="character" w:customStyle="1" w:styleId="637">
    <w:name w:val="信息标题 Char"/>
    <w:basedOn w:val="58"/>
    <w:link w:val="48"/>
    <w:qFormat/>
    <w:uiPriority w:val="0"/>
    <w:rPr>
      <w:rFonts w:ascii="Arial" w:hAnsi="Arial"/>
      <w:spacing w:val="-5"/>
      <w:sz w:val="20"/>
    </w:rPr>
  </w:style>
  <w:style w:type="character" w:customStyle="1" w:styleId="638">
    <w:name w:val="页脚 Char2"/>
    <w:basedOn w:val="58"/>
    <w:semiHidden/>
    <w:qFormat/>
    <w:uiPriority w:val="99"/>
    <w:rPr>
      <w:rFonts w:ascii="宋体" w:hAnsi="Times New Roman" w:eastAsia="宋体" w:cs="Times New Roman"/>
      <w:kern w:val="0"/>
      <w:sz w:val="18"/>
      <w:szCs w:val="18"/>
    </w:rPr>
  </w:style>
  <w:style w:type="character" w:customStyle="1" w:styleId="639">
    <w:name w:val="正文文本缩进 Char1"/>
    <w:basedOn w:val="58"/>
    <w:semiHidden/>
    <w:qFormat/>
    <w:uiPriority w:val="99"/>
    <w:rPr>
      <w:rFonts w:ascii="宋体" w:hAnsi="Times New Roman" w:eastAsia="宋体" w:cs="Times New Roman"/>
      <w:kern w:val="0"/>
      <w:sz w:val="34"/>
      <w:szCs w:val="20"/>
    </w:rPr>
  </w:style>
  <w:style w:type="character" w:customStyle="1" w:styleId="640">
    <w:name w:val="正文文本 3 Char"/>
    <w:basedOn w:val="58"/>
    <w:link w:val="19"/>
    <w:qFormat/>
    <w:uiPriority w:val="0"/>
    <w:rPr>
      <w:rFonts w:ascii="宋体" w:hAnsi="Times New Roman" w:eastAsia="宋体" w:cs="Times New Roman"/>
      <w:iCs/>
      <w:kern w:val="0"/>
      <w:sz w:val="24"/>
      <w:szCs w:val="24"/>
    </w:rPr>
  </w:style>
  <w:style w:type="character" w:customStyle="1" w:styleId="641">
    <w:name w:val="批注框文本 Char1"/>
    <w:basedOn w:val="58"/>
    <w:semiHidden/>
    <w:qFormat/>
    <w:uiPriority w:val="99"/>
    <w:rPr>
      <w:rFonts w:ascii="宋体" w:hAnsi="Times New Roman" w:eastAsia="宋体" w:cs="Times New Roman"/>
      <w:kern w:val="0"/>
      <w:sz w:val="18"/>
      <w:szCs w:val="18"/>
    </w:rPr>
  </w:style>
  <w:style w:type="character" w:customStyle="1" w:styleId="642">
    <w:name w:val="批注主题 Char1"/>
    <w:basedOn w:val="527"/>
    <w:semiHidden/>
    <w:qFormat/>
    <w:uiPriority w:val="99"/>
    <w:rPr>
      <w:rFonts w:ascii="宋体" w:hAnsi="Times New Roman" w:eastAsia="宋体" w:cs="Times New Roman"/>
      <w:b/>
      <w:bCs/>
      <w:kern w:val="0"/>
      <w:sz w:val="34"/>
      <w:szCs w:val="20"/>
    </w:rPr>
  </w:style>
  <w:style w:type="character" w:customStyle="1" w:styleId="643">
    <w:name w:val="正文文本 Char1"/>
    <w:basedOn w:val="58"/>
    <w:semiHidden/>
    <w:qFormat/>
    <w:uiPriority w:val="99"/>
    <w:rPr>
      <w:rFonts w:ascii="宋体" w:hAnsi="Times New Roman" w:eastAsia="宋体" w:cs="Times New Roman"/>
      <w:kern w:val="0"/>
      <w:sz w:val="34"/>
      <w:szCs w:val="20"/>
    </w:rPr>
  </w:style>
  <w:style w:type="character" w:customStyle="1" w:styleId="644">
    <w:name w:val="称呼 Char"/>
    <w:basedOn w:val="58"/>
    <w:link w:val="18"/>
    <w:qFormat/>
    <w:uiPriority w:val="0"/>
    <w:rPr>
      <w:rFonts w:ascii="宋体" w:hAnsi="Times New Roman" w:eastAsia="宋体" w:cs="Times New Roman"/>
      <w:color w:val="000000"/>
      <w:kern w:val="0"/>
      <w:sz w:val="34"/>
      <w:szCs w:val="23"/>
    </w:rPr>
  </w:style>
  <w:style w:type="character" w:customStyle="1" w:styleId="645">
    <w:name w:val="文档结构图 Char1"/>
    <w:basedOn w:val="58"/>
    <w:semiHidden/>
    <w:qFormat/>
    <w:uiPriority w:val="99"/>
    <w:rPr>
      <w:rFonts w:ascii="宋体" w:hAnsi="Times New Roman" w:eastAsia="宋体" w:cs="Times New Roman"/>
      <w:kern w:val="0"/>
      <w:sz w:val="18"/>
      <w:szCs w:val="18"/>
    </w:rPr>
  </w:style>
  <w:style w:type="character" w:customStyle="1" w:styleId="646">
    <w:name w:val="页眉 Char2"/>
    <w:basedOn w:val="58"/>
    <w:semiHidden/>
    <w:qFormat/>
    <w:uiPriority w:val="99"/>
    <w:rPr>
      <w:rFonts w:ascii="宋体" w:hAnsi="Times New Roman" w:eastAsia="宋体" w:cs="Times New Roman"/>
      <w:kern w:val="0"/>
      <w:sz w:val="18"/>
      <w:szCs w:val="18"/>
    </w:rPr>
  </w:style>
  <w:style w:type="character" w:customStyle="1" w:styleId="647">
    <w:name w:val="日期 Char1"/>
    <w:basedOn w:val="58"/>
    <w:semiHidden/>
    <w:qFormat/>
    <w:uiPriority w:val="99"/>
    <w:rPr>
      <w:rFonts w:ascii="宋体" w:hAnsi="Times New Roman" w:eastAsia="宋体" w:cs="Times New Roman"/>
      <w:kern w:val="0"/>
      <w:sz w:val="34"/>
      <w:szCs w:val="20"/>
    </w:rPr>
  </w:style>
  <w:style w:type="character" w:customStyle="1" w:styleId="648">
    <w:name w:val="标题 Char"/>
    <w:basedOn w:val="58"/>
    <w:link w:val="52"/>
    <w:qFormat/>
    <w:uiPriority w:val="0"/>
    <w:rPr>
      <w:rFonts w:ascii="Arial" w:hAnsi="Arial" w:eastAsia="宋体" w:cs="Arial"/>
      <w:b/>
      <w:bCs/>
      <w:kern w:val="0"/>
      <w:sz w:val="32"/>
      <w:szCs w:val="32"/>
    </w:rPr>
  </w:style>
  <w:style w:type="character" w:customStyle="1" w:styleId="649">
    <w:name w:val="普通(网站) Char"/>
    <w:link w:val="50"/>
    <w:qFormat/>
    <w:uiPriority w:val="99"/>
    <w:rPr>
      <w:rFonts w:ascii="宋体" w:hAnsi="宋体" w:eastAsia="宋体" w:cs="Times New Roman"/>
      <w:kern w:val="0"/>
      <w:sz w:val="24"/>
      <w:szCs w:val="24"/>
    </w:rPr>
  </w:style>
  <w:style w:type="character" w:customStyle="1" w:styleId="650">
    <w:name w:val="纯文本 Char1"/>
    <w:basedOn w:val="58"/>
    <w:semiHidden/>
    <w:qFormat/>
    <w:uiPriority w:val="99"/>
    <w:rPr>
      <w:rFonts w:ascii="宋体" w:hAnsi="Courier New" w:eastAsia="宋体" w:cs="Courier New"/>
      <w:kern w:val="0"/>
      <w:szCs w:val="21"/>
    </w:rPr>
  </w:style>
  <w:style w:type="character" w:customStyle="1" w:styleId="651">
    <w:name w:val="正文首行缩进 2 Char1"/>
    <w:basedOn w:val="639"/>
    <w:semiHidden/>
    <w:qFormat/>
    <w:uiPriority w:val="99"/>
    <w:rPr>
      <w:rFonts w:ascii="宋体" w:hAnsi="Times New Roman" w:eastAsia="宋体" w:cs="Times New Roman"/>
      <w:kern w:val="0"/>
      <w:sz w:val="34"/>
      <w:szCs w:val="20"/>
    </w:rPr>
  </w:style>
  <w:style w:type="character" w:customStyle="1" w:styleId="652">
    <w:name w:val="注释标题 Char1"/>
    <w:basedOn w:val="58"/>
    <w:semiHidden/>
    <w:qFormat/>
    <w:uiPriority w:val="99"/>
    <w:rPr>
      <w:rFonts w:ascii="宋体" w:hAnsi="Times New Roman" w:eastAsia="宋体" w:cs="Times New Roman"/>
      <w:kern w:val="0"/>
      <w:sz w:val="34"/>
      <w:szCs w:val="20"/>
    </w:rPr>
  </w:style>
  <w:style w:type="character" w:customStyle="1" w:styleId="653">
    <w:name w:val="HTML 预设格式 Char1"/>
    <w:basedOn w:val="58"/>
    <w:semiHidden/>
    <w:qFormat/>
    <w:uiPriority w:val="99"/>
    <w:rPr>
      <w:rFonts w:ascii="Courier New" w:hAnsi="Courier New" w:eastAsia="宋体" w:cs="Courier New"/>
      <w:kern w:val="0"/>
      <w:sz w:val="20"/>
      <w:szCs w:val="20"/>
    </w:rPr>
  </w:style>
  <w:style w:type="character" w:customStyle="1" w:styleId="654">
    <w:name w:val="正文首行缩进 Char"/>
    <w:basedOn w:val="643"/>
    <w:link w:val="54"/>
    <w:qFormat/>
    <w:uiPriority w:val="0"/>
    <w:rPr>
      <w:rFonts w:ascii="宋体" w:hAnsi="Times New Roman" w:eastAsia="宋体" w:cs="Times New Roman"/>
      <w:kern w:val="0"/>
      <w:sz w:val="24"/>
      <w:szCs w:val="20"/>
    </w:rPr>
  </w:style>
  <w:style w:type="character" w:customStyle="1" w:styleId="655">
    <w:name w:val="正文文本 2 Char"/>
    <w:basedOn w:val="58"/>
    <w:link w:val="45"/>
    <w:qFormat/>
    <w:uiPriority w:val="0"/>
    <w:rPr>
      <w:rFonts w:ascii="宋体" w:hAnsi="Times New Roman" w:eastAsia="宋体" w:cs="Times New Roman"/>
      <w:kern w:val="0"/>
      <w:sz w:val="34"/>
      <w:szCs w:val="20"/>
    </w:rPr>
  </w:style>
  <w:style w:type="character" w:customStyle="1" w:styleId="656">
    <w:name w:val="结束语 Char"/>
    <w:basedOn w:val="58"/>
    <w:link w:val="20"/>
    <w:qFormat/>
    <w:uiPriority w:val="0"/>
    <w:rPr>
      <w:rFonts w:ascii="宋体" w:hAnsi="Times New Roman" w:eastAsia="宋体" w:cs="Times New Roman"/>
      <w:color w:val="000000"/>
      <w:kern w:val="0"/>
      <w:sz w:val="34"/>
      <w:szCs w:val="23"/>
    </w:rPr>
  </w:style>
  <w:style w:type="character" w:customStyle="1" w:styleId="657">
    <w:name w:val="副标题 Char"/>
    <w:basedOn w:val="58"/>
    <w:link w:val="38"/>
    <w:qFormat/>
    <w:uiPriority w:val="0"/>
    <w:rPr>
      <w:rFonts w:ascii="Arial" w:hAnsi="Arial" w:eastAsia="宋体" w:cs="Times New Roman"/>
      <w:b/>
      <w:kern w:val="28"/>
      <w:sz w:val="32"/>
      <w:szCs w:val="20"/>
    </w:rPr>
  </w:style>
  <w:style w:type="character" w:customStyle="1" w:styleId="658">
    <w:name w:val="z-窗体底端 Char"/>
    <w:basedOn w:val="58"/>
    <w:link w:val="274"/>
    <w:qFormat/>
    <w:uiPriority w:val="0"/>
    <w:rPr>
      <w:rFonts w:ascii="Arial" w:hAnsi="Arial" w:eastAsia="宋体" w:cs="Arial"/>
      <w:vanish/>
      <w:kern w:val="0"/>
      <w:sz w:val="16"/>
      <w:szCs w:val="16"/>
    </w:rPr>
  </w:style>
  <w:style w:type="character" w:customStyle="1" w:styleId="659">
    <w:name w:val="z-窗体顶端 Char"/>
    <w:basedOn w:val="58"/>
    <w:link w:val="465"/>
    <w:qFormat/>
    <w:uiPriority w:val="0"/>
    <w:rPr>
      <w:rFonts w:ascii="Arial" w:hAnsi="Arial" w:eastAsia="宋体" w:cs="Arial"/>
      <w:vanish/>
      <w:kern w:val="0"/>
      <w:sz w:val="16"/>
      <w:szCs w:val="16"/>
    </w:rPr>
  </w:style>
  <w:style w:type="character" w:customStyle="1" w:styleId="660">
    <w:name w:val="my正文 Char Char"/>
    <w:link w:val="491"/>
    <w:qFormat/>
    <w:uiPriority w:val="0"/>
    <w:rPr>
      <w:rFonts w:ascii="Times New Roman" w:hAnsi="Times New Roman" w:eastAsia="宋体" w:cs="Times New Roman"/>
      <w:kern w:val="0"/>
      <w:sz w:val="24"/>
      <w:szCs w:val="24"/>
    </w:rPr>
  </w:style>
  <w:style w:type="character" w:customStyle="1" w:styleId="661">
    <w:name w:val="GP正文(无首行缩进) Char Char"/>
    <w:link w:val="492"/>
    <w:qFormat/>
    <w:uiPriority w:val="0"/>
    <w:rPr>
      <w:sz w:val="24"/>
      <w:szCs w:val="21"/>
      <w:lang w:bidi="ar-SA"/>
    </w:rPr>
  </w:style>
  <w:style w:type="paragraph" w:styleId="662">
    <w:name w:val="List Paragraph"/>
    <w:basedOn w:val="1"/>
    <w:unhideWhenUsed/>
    <w:qFormat/>
    <w:uiPriority w:val="34"/>
    <w:pPr>
      <w:ind w:firstLine="420" w:firstLineChars="200"/>
    </w:pPr>
  </w:style>
  <w:style w:type="paragraph" w:customStyle="1" w:styleId="663">
    <w:name w:val="TOC 标题2"/>
    <w:basedOn w:val="2"/>
    <w:next w:val="1"/>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664">
    <w:name w:val="样式2 Char"/>
    <w:basedOn w:val="58"/>
    <w:link w:val="327"/>
    <w:qFormat/>
    <w:locked/>
    <w:uiPriority w:val="99"/>
    <w:rPr>
      <w:rFonts w:ascii="宋体"/>
      <w:sz w:val="28"/>
    </w:rPr>
  </w:style>
  <w:style w:type="character" w:customStyle="1" w:styleId="665">
    <w:name w:val="A4"/>
    <w:qFormat/>
    <w:uiPriority w:val="0"/>
    <w:rPr>
      <w:rFonts w:cs="新宋体"/>
      <w:color w:val="000000"/>
    </w:rPr>
  </w:style>
  <w:style w:type="character" w:customStyle="1" w:styleId="666">
    <w:name w:val="ca-41"/>
    <w:basedOn w:val="58"/>
    <w:qFormat/>
    <w:uiPriority w:val="0"/>
    <w:rPr>
      <w:rFonts w:ascii="宋体" w:hAnsi="宋体" w:eastAsia="宋体" w:cs="Times New Roman"/>
      <w:sz w:val="24"/>
      <w:szCs w:val="24"/>
    </w:rPr>
  </w:style>
  <w:style w:type="character" w:customStyle="1" w:styleId="667">
    <w:name w:val="fontstrikethrough"/>
    <w:basedOn w:val="58"/>
    <w:qFormat/>
    <w:uiPriority w:val="0"/>
    <w:rPr>
      <w:strike/>
    </w:rPr>
  </w:style>
  <w:style w:type="character" w:customStyle="1" w:styleId="668">
    <w:name w:val="fontborder"/>
    <w:basedOn w:val="58"/>
    <w:qFormat/>
    <w:uiPriority w:val="0"/>
    <w:rPr>
      <w:bdr w:val="single" w:color="000000" w:sz="4" w:space="0"/>
    </w:rPr>
  </w:style>
  <w:style w:type="character" w:customStyle="1" w:styleId="669">
    <w:name w:val="keyword-span-wrap"/>
    <w:basedOn w:val="58"/>
    <w:qFormat/>
    <w:uiPriority w:val="0"/>
    <w:rPr>
      <w:color w:val="19A97B"/>
    </w:rPr>
  </w:style>
  <w:style w:type="paragraph" w:customStyle="1" w:styleId="670">
    <w:name w:val="列出段落51"/>
    <w:basedOn w:val="1"/>
    <w:qFormat/>
    <w:uiPriority w:val="34"/>
    <w:pPr>
      <w:ind w:firstLine="420" w:firstLineChars="200"/>
    </w:pPr>
  </w:style>
  <w:style w:type="paragraph" w:customStyle="1" w:styleId="671">
    <w:name w:val="WPSOffice手动目录 1"/>
    <w:qFormat/>
    <w:uiPriority w:val="0"/>
    <w:pPr>
      <w:ind w:leftChars="0"/>
    </w:pPr>
    <w:rPr>
      <w:rFonts w:ascii="Calibri" w:hAnsi="Calibri" w:eastAsia="宋体" w:cs="Times New Roman"/>
      <w:sz w:val="20"/>
      <w:szCs w:val="20"/>
    </w:rPr>
  </w:style>
  <w:style w:type="paragraph" w:customStyle="1" w:styleId="672">
    <w:name w:val="*正文"/>
    <w:basedOn w:val="1"/>
    <w:qFormat/>
    <w:uiPriority w:val="0"/>
    <w:pPr>
      <w:widowControl w:val="0"/>
      <w:kinsoku/>
      <w:overflowPunct w:val="0"/>
      <w:autoSpaceDE/>
      <w:autoSpaceDN/>
      <w:adjustRightInd/>
      <w:spacing w:line="360" w:lineRule="auto"/>
      <w:ind w:firstLine="200" w:firstLineChars="200"/>
      <w:jc w:val="both"/>
      <w:textAlignment w:val="auto"/>
    </w:pPr>
    <w:rPr>
      <w:rFonts w:ascii="仿宋_GB2312" w:hAnsi="Times New Roman" w:eastAsia="宋体" w:cs="Times New Roman"/>
      <w:snapToGrid/>
      <w:color w:val="auto"/>
      <w:sz w:val="24"/>
      <w:szCs w:val="20"/>
    </w:rPr>
  </w:style>
  <w:style w:type="paragraph" w:customStyle="1" w:styleId="673">
    <w:name w:val="正文空2格  1."/>
    <w:basedOn w:val="1"/>
    <w:qFormat/>
    <w:uiPriority w:val="0"/>
    <w:pPr>
      <w:adjustRightInd w:val="0"/>
      <w:ind w:firstLine="480"/>
      <w:textAlignment w:val="baseline"/>
    </w:pPr>
    <w:rPr>
      <w:rFonts w:ascii="宋体" w:hAnsi="Times New Roman" w:cs="宋体"/>
      <w:kern w:val="0"/>
      <w:szCs w:val="20"/>
    </w:rPr>
  </w:style>
  <w:style w:type="paragraph" w:customStyle="1" w:styleId="674">
    <w:name w:val="正文空4格  1）"/>
    <w:basedOn w:val="1"/>
    <w:qFormat/>
    <w:uiPriority w:val="0"/>
    <w:pPr>
      <w:adjustRightInd w:val="0"/>
      <w:ind w:firstLine="1120" w:firstLineChars="400"/>
      <w:textAlignment w:val="baseline"/>
    </w:pPr>
    <w:rPr>
      <w:rFonts w:ascii="宋体" w:hAnsi="Times New Roman" w:cs="宋体"/>
      <w:kern w:val="0"/>
      <w:szCs w:val="20"/>
    </w:rPr>
  </w:style>
  <w:style w:type="paragraph" w:customStyle="1" w:styleId="675">
    <w:name w:val="Body text|1"/>
    <w:basedOn w:val="1"/>
    <w:qFormat/>
    <w:uiPriority w:val="0"/>
    <w:pPr>
      <w:spacing w:after="240" w:line="480" w:lineRule="auto"/>
      <w:ind w:firstLine="400"/>
    </w:pPr>
    <w:rPr>
      <w:rFonts w:hAnsi="宋体" w:cs="宋体"/>
      <w:kern w:val="2"/>
      <w:sz w:val="21"/>
      <w:szCs w:val="24"/>
      <w:lang w:val="zh-TW" w:eastAsia="zh-TW" w:bidi="zh-TW"/>
    </w:rPr>
  </w:style>
  <w:style w:type="character" w:customStyle="1" w:styleId="676">
    <w:name w:val="NormalCharacter"/>
    <w:semiHidden/>
    <w:qFormat/>
    <w:uiPriority w:val="0"/>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0A6A2-5EB9-467D-971B-428D54A978A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86</Pages>
  <Words>57405</Words>
  <Characters>60997</Characters>
  <Lines>172</Lines>
  <Paragraphs>48</Paragraphs>
  <TotalTime>12</TotalTime>
  <ScaleCrop>false</ScaleCrop>
  <LinksUpToDate>false</LinksUpToDate>
  <CharactersWithSpaces>62463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2017-12-27T03:39:00Z</dcterms:created>
  <dc:creator>thinkpad</dc:creator>
  <cp:lastModifiedBy>张益达</cp:lastModifiedBy>
  <cp:lastPrinted>2018-11-12T00:43:00Z</cp:lastPrinted>
  <dcterms:modified xsi:type="dcterms:W3CDTF">2024-05-23T03:42:08Z</dcterms:modified>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DB03265B98774313BF8B9EBECB8C7A05</vt:lpwstr>
  </property>
</Properties>
</file>