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kern w:val="0"/>
          <w:sz w:val="44"/>
          <w:szCs w:val="44"/>
          <w:lang w:eastAsia="zh-CN"/>
        </w:rPr>
      </w:pPr>
      <w:r>
        <w:rPr>
          <w:rFonts w:hint="eastAsia" w:ascii="宋体" w:hAnsi="宋体" w:eastAsia="宋体" w:cs="宋体"/>
          <w:b/>
          <w:color w:val="auto"/>
          <w:kern w:val="0"/>
          <w:sz w:val="44"/>
          <w:szCs w:val="44"/>
          <w:lang w:eastAsia="zh-CN"/>
        </w:rPr>
        <w:t>用户需求</w:t>
      </w:r>
      <w:bookmarkStart w:id="5" w:name="_GoBack"/>
      <w:bookmarkEnd w:id="5"/>
      <w:r>
        <w:rPr>
          <w:rFonts w:hint="eastAsia" w:ascii="宋体" w:hAnsi="宋体" w:eastAsia="宋体" w:cs="宋体"/>
          <w:b/>
          <w:color w:val="auto"/>
          <w:kern w:val="0"/>
          <w:sz w:val="44"/>
          <w:szCs w:val="44"/>
          <w:lang w:eastAsia="zh-CN"/>
        </w:rPr>
        <w:t>书</w:t>
      </w:r>
    </w:p>
    <w:p>
      <w:pPr>
        <w:spacing w:line="360" w:lineRule="auto"/>
        <w:rPr>
          <w:rFonts w:hint="eastAsia" w:ascii="宋体" w:hAnsi="宋体" w:cs="宋体"/>
          <w:b/>
          <w:bCs/>
          <w:color w:val="auto"/>
          <w:sz w:val="24"/>
        </w:rPr>
      </w:pPr>
    </w:p>
    <w:p>
      <w:pPr>
        <w:pStyle w:val="2"/>
        <w:keepNext/>
        <w:keepLines/>
        <w:pageBreakBefore w:val="0"/>
        <w:widowControl w:val="0"/>
        <w:numPr>
          <w:ilvl w:val="0"/>
          <w:numId w:val="1"/>
        </w:numPr>
        <w:kinsoku/>
        <w:wordWrap/>
        <w:overflowPunct/>
        <w:topLinePunct w:val="0"/>
        <w:autoSpaceDE/>
        <w:autoSpaceDN/>
        <w:bidi w:val="0"/>
        <w:adjustRightInd/>
        <w:snapToGrid/>
        <w:spacing w:before="0" w:after="0"/>
        <w:textAlignment w:val="auto"/>
        <w:rPr>
          <w:rFonts w:hint="eastAsia"/>
          <w:color w:val="auto"/>
          <w:lang w:eastAsia="zh-CN"/>
        </w:rPr>
      </w:pPr>
      <w:bookmarkStart w:id="0" w:name="_Toc7171"/>
      <w:bookmarkStart w:id="1" w:name="_Toc16361"/>
      <w:r>
        <w:rPr>
          <w:rFonts w:hint="eastAsia"/>
          <w:color w:val="auto"/>
          <w:lang w:eastAsia="zh-CN"/>
        </w:rPr>
        <w:t>项目名称</w:t>
      </w:r>
      <w:bookmarkEnd w:id="0"/>
    </w:p>
    <w:p>
      <w:pPr>
        <w:bidi w:val="0"/>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海南福彩2024年电脑福利彩票投注设备采购</w:t>
      </w:r>
    </w:p>
    <w:p>
      <w:pPr>
        <w:rPr>
          <w:rFonts w:hint="eastAsia"/>
          <w:color w:val="auto"/>
          <w:lang w:eastAsia="zh-CN"/>
        </w:rPr>
      </w:pPr>
    </w:p>
    <w:p>
      <w:pPr>
        <w:pStyle w:val="2"/>
        <w:keepNext/>
        <w:keepLines/>
        <w:pageBreakBefore w:val="0"/>
        <w:widowControl w:val="0"/>
        <w:numPr>
          <w:ilvl w:val="0"/>
          <w:numId w:val="1"/>
        </w:numPr>
        <w:kinsoku/>
        <w:wordWrap/>
        <w:overflowPunct/>
        <w:topLinePunct w:val="0"/>
        <w:autoSpaceDE/>
        <w:autoSpaceDN/>
        <w:bidi w:val="0"/>
        <w:adjustRightInd/>
        <w:snapToGrid/>
        <w:spacing w:before="0" w:after="0"/>
        <w:textAlignment w:val="auto"/>
        <w:rPr>
          <w:rFonts w:hint="eastAsia"/>
          <w:color w:val="auto"/>
          <w:lang w:eastAsia="zh-CN"/>
        </w:rPr>
      </w:pPr>
      <w:bookmarkStart w:id="2" w:name="_Toc14630"/>
      <w:r>
        <w:rPr>
          <w:rFonts w:hint="eastAsia"/>
          <w:color w:val="auto"/>
          <w:lang w:eastAsia="zh-CN"/>
        </w:rPr>
        <w:t>采购</w:t>
      </w:r>
      <w:r>
        <w:rPr>
          <w:rFonts w:hint="eastAsia"/>
          <w:color w:val="auto"/>
          <w:lang w:val="en-US" w:eastAsia="zh-CN"/>
        </w:rPr>
        <w:t>产品清单</w:t>
      </w:r>
      <w:bookmarkEnd w:id="2"/>
    </w:p>
    <w:tbl>
      <w:tblPr>
        <w:tblStyle w:val="4"/>
        <w:tblW w:w="8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3860"/>
        <w:gridCol w:w="860"/>
        <w:gridCol w:w="82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bidi w:val="0"/>
              <w:spacing w:line="360" w:lineRule="auto"/>
              <w:jc w:val="center"/>
              <w:rPr>
                <w:rFonts w:hint="default" w:ascii="宋体" w:hAnsi="宋体" w:eastAsia="宋体" w:cs="宋体"/>
                <w:b/>
                <w:bCs/>
                <w:color w:val="auto"/>
                <w:sz w:val="28"/>
                <w:szCs w:val="28"/>
                <w:vertAlign w:val="baseline"/>
                <w:lang w:val="en-US" w:eastAsia="zh-CN"/>
              </w:rPr>
            </w:pPr>
            <w:r>
              <w:rPr>
                <w:rFonts w:hint="eastAsia" w:ascii="宋体" w:hAnsi="宋体" w:eastAsia="宋体" w:cs="宋体"/>
                <w:b/>
                <w:bCs/>
                <w:color w:val="auto"/>
                <w:sz w:val="28"/>
                <w:szCs w:val="28"/>
                <w:vertAlign w:val="baseline"/>
                <w:lang w:val="en-US" w:eastAsia="zh-CN"/>
              </w:rPr>
              <w:t>序号</w:t>
            </w:r>
          </w:p>
        </w:tc>
        <w:tc>
          <w:tcPr>
            <w:tcW w:w="3860" w:type="dxa"/>
            <w:noWrap w:val="0"/>
            <w:vAlign w:val="top"/>
          </w:tcPr>
          <w:p>
            <w:pPr>
              <w:bidi w:val="0"/>
              <w:spacing w:line="360" w:lineRule="auto"/>
              <w:jc w:val="center"/>
              <w:rPr>
                <w:rFonts w:hint="default" w:ascii="宋体" w:hAnsi="宋体" w:eastAsia="宋体" w:cs="宋体"/>
                <w:b/>
                <w:bCs/>
                <w:color w:val="auto"/>
                <w:sz w:val="28"/>
                <w:szCs w:val="28"/>
                <w:vertAlign w:val="baseline"/>
                <w:lang w:val="en-US" w:eastAsia="zh-CN"/>
              </w:rPr>
            </w:pPr>
            <w:r>
              <w:rPr>
                <w:rFonts w:hint="eastAsia" w:ascii="宋体" w:hAnsi="宋体" w:eastAsia="宋体" w:cs="宋体"/>
                <w:b/>
                <w:bCs/>
                <w:color w:val="auto"/>
                <w:sz w:val="28"/>
                <w:szCs w:val="28"/>
                <w:vertAlign w:val="baseline"/>
                <w:lang w:val="en-US" w:eastAsia="zh-CN"/>
              </w:rPr>
              <w:t>产品名称</w:t>
            </w:r>
          </w:p>
        </w:tc>
        <w:tc>
          <w:tcPr>
            <w:tcW w:w="860" w:type="dxa"/>
            <w:noWrap w:val="0"/>
            <w:vAlign w:val="top"/>
          </w:tcPr>
          <w:p>
            <w:pPr>
              <w:bidi w:val="0"/>
              <w:spacing w:line="360" w:lineRule="auto"/>
              <w:jc w:val="center"/>
              <w:rPr>
                <w:rFonts w:hint="default" w:ascii="宋体" w:hAnsi="宋体" w:eastAsia="宋体" w:cs="宋体"/>
                <w:b/>
                <w:bCs/>
                <w:color w:val="auto"/>
                <w:sz w:val="28"/>
                <w:szCs w:val="28"/>
                <w:vertAlign w:val="baseline"/>
                <w:lang w:val="en-US" w:eastAsia="zh-CN"/>
              </w:rPr>
            </w:pPr>
            <w:r>
              <w:rPr>
                <w:rFonts w:hint="eastAsia" w:ascii="宋体" w:hAnsi="宋体" w:eastAsia="宋体" w:cs="宋体"/>
                <w:b/>
                <w:bCs/>
                <w:color w:val="auto"/>
                <w:sz w:val="28"/>
                <w:szCs w:val="28"/>
                <w:vertAlign w:val="baseline"/>
                <w:lang w:val="en-US" w:eastAsia="zh-CN"/>
              </w:rPr>
              <w:t>数量</w:t>
            </w:r>
          </w:p>
        </w:tc>
        <w:tc>
          <w:tcPr>
            <w:tcW w:w="820" w:type="dxa"/>
            <w:noWrap w:val="0"/>
            <w:vAlign w:val="top"/>
          </w:tcPr>
          <w:p>
            <w:pPr>
              <w:bidi w:val="0"/>
              <w:spacing w:line="360" w:lineRule="auto"/>
              <w:jc w:val="center"/>
              <w:rPr>
                <w:rFonts w:hint="default" w:ascii="宋体" w:hAnsi="宋体" w:eastAsia="宋体" w:cs="宋体"/>
                <w:b/>
                <w:bCs/>
                <w:color w:val="auto"/>
                <w:sz w:val="28"/>
                <w:szCs w:val="28"/>
                <w:vertAlign w:val="baseline"/>
                <w:lang w:val="en-US" w:eastAsia="zh-CN"/>
              </w:rPr>
            </w:pPr>
            <w:r>
              <w:rPr>
                <w:rFonts w:hint="eastAsia" w:ascii="宋体" w:hAnsi="宋体" w:eastAsia="宋体" w:cs="宋体"/>
                <w:b/>
                <w:bCs/>
                <w:color w:val="auto"/>
                <w:sz w:val="28"/>
                <w:szCs w:val="28"/>
                <w:vertAlign w:val="baseline"/>
                <w:lang w:val="en-US" w:eastAsia="zh-CN"/>
              </w:rPr>
              <w:t>单位</w:t>
            </w:r>
          </w:p>
        </w:tc>
        <w:tc>
          <w:tcPr>
            <w:tcW w:w="1852" w:type="dxa"/>
            <w:noWrap w:val="0"/>
            <w:vAlign w:val="top"/>
          </w:tcPr>
          <w:p>
            <w:pPr>
              <w:bidi w:val="0"/>
              <w:spacing w:line="360" w:lineRule="auto"/>
              <w:jc w:val="center"/>
              <w:rPr>
                <w:rFonts w:hint="default" w:ascii="宋体" w:hAnsi="宋体" w:eastAsia="宋体" w:cs="宋体"/>
                <w:b/>
                <w:bCs/>
                <w:color w:val="auto"/>
                <w:sz w:val="28"/>
                <w:szCs w:val="28"/>
                <w:vertAlign w:val="baseline"/>
                <w:lang w:val="en-US" w:eastAsia="zh-CN"/>
              </w:rPr>
            </w:pPr>
            <w:r>
              <w:rPr>
                <w:rFonts w:hint="eastAsia" w:ascii="宋体" w:hAnsi="宋体" w:eastAsia="宋体" w:cs="宋体"/>
                <w:b/>
                <w:bCs/>
                <w:color w:val="auto"/>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top"/>
          </w:tcPr>
          <w:p>
            <w:pPr>
              <w:bidi w:val="0"/>
              <w:spacing w:line="360" w:lineRule="auto"/>
              <w:jc w:val="center"/>
              <w:rPr>
                <w:rFonts w:hint="default" w:ascii="宋体" w:hAnsi="宋体" w:eastAsia="宋体" w:cs="宋体"/>
                <w:color w:val="auto"/>
                <w:sz w:val="28"/>
                <w:szCs w:val="28"/>
                <w:vertAlign w:val="baseline"/>
                <w:lang w:val="en-US" w:eastAsia="zh-CN"/>
              </w:rPr>
            </w:pPr>
            <w:r>
              <w:rPr>
                <w:rFonts w:hint="eastAsia" w:ascii="宋体" w:hAnsi="宋体" w:eastAsia="宋体" w:cs="宋体"/>
                <w:color w:val="auto"/>
                <w:sz w:val="28"/>
                <w:szCs w:val="28"/>
                <w:vertAlign w:val="baseline"/>
                <w:lang w:val="en-US" w:eastAsia="zh-CN"/>
              </w:rPr>
              <w:t>1</w:t>
            </w:r>
          </w:p>
        </w:tc>
        <w:tc>
          <w:tcPr>
            <w:tcW w:w="3860" w:type="dxa"/>
            <w:noWrap w:val="0"/>
            <w:vAlign w:val="top"/>
          </w:tcPr>
          <w:p>
            <w:pPr>
              <w:bidi w:val="0"/>
              <w:spacing w:line="360" w:lineRule="auto"/>
              <w:jc w:val="center"/>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lang w:val="en-US" w:eastAsia="zh-CN"/>
              </w:rPr>
              <w:t>电脑福利彩票投注设备</w:t>
            </w:r>
          </w:p>
        </w:tc>
        <w:tc>
          <w:tcPr>
            <w:tcW w:w="860" w:type="dxa"/>
            <w:noWrap w:val="0"/>
            <w:vAlign w:val="top"/>
          </w:tcPr>
          <w:p>
            <w:pPr>
              <w:bidi w:val="0"/>
              <w:spacing w:line="360" w:lineRule="auto"/>
              <w:jc w:val="center"/>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lang w:val="en-US" w:eastAsia="zh-CN"/>
              </w:rPr>
              <w:t>250</w:t>
            </w:r>
          </w:p>
        </w:tc>
        <w:tc>
          <w:tcPr>
            <w:tcW w:w="820" w:type="dxa"/>
            <w:noWrap w:val="0"/>
            <w:vAlign w:val="top"/>
          </w:tcPr>
          <w:p>
            <w:pPr>
              <w:bidi w:val="0"/>
              <w:spacing w:line="360" w:lineRule="auto"/>
              <w:jc w:val="center"/>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lang w:val="en-US" w:eastAsia="zh-CN"/>
              </w:rPr>
              <w:t>台</w:t>
            </w:r>
          </w:p>
        </w:tc>
        <w:tc>
          <w:tcPr>
            <w:tcW w:w="1852" w:type="dxa"/>
            <w:noWrap w:val="0"/>
            <w:vAlign w:val="top"/>
          </w:tcPr>
          <w:p>
            <w:pPr>
              <w:bidi w:val="0"/>
              <w:spacing w:line="360" w:lineRule="auto"/>
              <w:rPr>
                <w:rFonts w:hint="eastAsia" w:ascii="宋体" w:hAnsi="宋体" w:eastAsia="宋体" w:cs="宋体"/>
                <w:color w:val="auto"/>
                <w:sz w:val="28"/>
                <w:szCs w:val="28"/>
                <w:vertAlign w:val="baseline"/>
                <w:lang w:val="en-US" w:eastAsia="zh-CN"/>
              </w:rPr>
            </w:pPr>
          </w:p>
        </w:tc>
      </w:tr>
    </w:tbl>
    <w:p>
      <w:pPr>
        <w:bidi w:val="0"/>
        <w:ind w:firstLine="560" w:firstLineChars="200"/>
        <w:rPr>
          <w:rFonts w:hint="eastAsia" w:ascii="宋体" w:hAnsi="宋体" w:eastAsia="宋体" w:cs="宋体"/>
          <w:color w:val="auto"/>
          <w:sz w:val="28"/>
          <w:szCs w:val="28"/>
          <w:lang w:val="en-US" w:eastAsia="zh-CN"/>
        </w:rPr>
      </w:pPr>
    </w:p>
    <w:bookmarkEnd w:id="1"/>
    <w:p>
      <w:pPr>
        <w:pStyle w:val="2"/>
        <w:keepNext/>
        <w:keepLines/>
        <w:pageBreakBefore w:val="0"/>
        <w:widowControl w:val="0"/>
        <w:numPr>
          <w:ilvl w:val="0"/>
          <w:numId w:val="1"/>
        </w:numPr>
        <w:kinsoku/>
        <w:wordWrap/>
        <w:overflowPunct/>
        <w:topLinePunct w:val="0"/>
        <w:autoSpaceDE/>
        <w:autoSpaceDN/>
        <w:bidi w:val="0"/>
        <w:adjustRightInd/>
        <w:snapToGrid/>
        <w:spacing w:before="0" w:after="0"/>
        <w:textAlignment w:val="auto"/>
        <w:rPr>
          <w:rFonts w:hint="eastAsia" w:eastAsia="宋体" w:cs="Times New Roman"/>
          <w:b/>
          <w:bCs/>
          <w:color w:val="auto"/>
          <w:lang w:val="en-US" w:eastAsia="zh-CN"/>
        </w:rPr>
      </w:pPr>
      <w:bookmarkStart w:id="3" w:name="_Toc26362"/>
      <w:r>
        <w:rPr>
          <w:rFonts w:hint="eastAsia" w:eastAsia="宋体" w:cs="Times New Roman"/>
          <w:b/>
          <w:bCs/>
          <w:color w:val="auto"/>
          <w:lang w:val="en-US" w:eastAsia="zh-CN"/>
        </w:rPr>
        <w:t>采购产品清单及技术参数要求</w:t>
      </w:r>
      <w:bookmarkEnd w:id="3"/>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1、技术参数要求 </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电脑福利彩票投注设备是用于热线彩票销售的专用设备。设备应能适应海南省范围内电脑福利彩票销售业务及使用环境的要求;应具有良好的开放性、兼容性、灵活性和可扩展性。具体技术要求如下：</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（1）电脑福利彩票投注设备配置要求</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
        <w:gridCol w:w="1023"/>
        <w:gridCol w:w="1689"/>
        <w:gridCol w:w="4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val="0"/>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电脑福利彩票投注设备</w:t>
            </w:r>
            <w:r>
              <w:rPr>
                <w:rFonts w:hint="eastAsia" w:ascii="宋体" w:hAnsi="宋体" w:eastAsia="宋体" w:cs="宋体"/>
                <w:b/>
                <w:color w:val="auto"/>
                <w:sz w:val="24"/>
                <w:szCs w:val="24"/>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noWrap w:val="0"/>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591" w:type="pct"/>
            <w:gridSpan w:val="2"/>
            <w:noWrap w:val="0"/>
            <w:vAlign w:val="center"/>
          </w:tcPr>
          <w:p>
            <w:pPr>
              <w:spacing w:line="360" w:lineRule="auto"/>
              <w:ind w:firstLine="241" w:firstLineChars="1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投注设备配置</w:t>
            </w:r>
          </w:p>
        </w:tc>
        <w:tc>
          <w:tcPr>
            <w:tcW w:w="2897" w:type="pct"/>
            <w:noWrap w:val="0"/>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00"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主板</w:t>
            </w: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CPU</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4核CPU，主频2.0GHz或以上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内存</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4GB或以上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存储</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64GB或以上固态硬盘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显示</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3路或以上独立显示通道，支持3路或以上独立视频输出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音频</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板载3路或以上独立音频输出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600"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键盘</w:t>
            </w: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类型</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可编程加密键盘，防尘防水设计，按键数≥52键。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使用寿命</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按键次数寿命≥2000万次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600"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阅读器</w:t>
            </w: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类型</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OCR阅读方式，具备自学习功能，支持黑标码识别；支持常用EAN、Code39、Code128、ITF25一维条码识别；支持PDF417和QR二维码识别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读票规范</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宽度：80mm，长度50～300mm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识别率</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图像分辨率</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≥600dpi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读票速度</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最大速度≥500mm/s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填涂方式</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支持铅笔、签字笔和其他蓝/黑色常用笔填涂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标记打印</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支持标记打印功能：打印宽度≥36mm；支持中文、西文、位图打印；打印位置可调、打印内容可编辑；打印速度：≥200mm/s；打印头寿命：≥50km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智能识别</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支持投注单、兑奖票自动识别，支持投注单、兑奖票识别异常自动回退功能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使用寿命</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MCBF ≥200万张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集票功能</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硬件接口</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00"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打印机</w:t>
            </w: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类型</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高速热敏打印机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打印方式</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支持点阵码打印，支持常用一维条码打印，如：UPC-A，UPC-E，EAN8/JAN8，EAN13/JAN13，Code39，ITF25， Code128等；支持PDF417和QR二维码打印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打印速度</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最大速度≥250mm/s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打印纸宽</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支持打印热敏纸宽度80mm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打印纸厚</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56-150</w:t>
            </w:r>
            <w:r>
              <w:rPr>
                <w:rFonts w:hint="eastAsia" w:ascii="宋体" w:hAnsi="宋体" w:eastAsia="宋体" w:cs="宋体"/>
                <w:color w:val="auto"/>
                <w:sz w:val="24"/>
                <w:szCs w:val="24"/>
                <w:shd w:val="clear" w:color="auto" w:fill="FFFFFF"/>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打印纸直径</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支持热敏打印纸直径≥120mm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自动切刀</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有，自动校准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打印头寿命</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切刀寿命</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≥100万次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打印质量</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≥203dpi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检测功能</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具备缺纸自动检测、少纸检测及自检功能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集票功能</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硬件接口</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600"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主显屏</w:t>
            </w: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尺寸</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≥15英寸彩色液晶屏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分辨率</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≥1024×768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亮度</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300cd/</w:t>
            </w:r>
            <w:r>
              <w:rPr>
                <w:rFonts w:hint="eastAsia" w:ascii="宋体" w:hAnsi="宋体" w:eastAsia="宋体" w:cs="宋体"/>
                <w:color w:val="auto"/>
                <w:sz w:val="24"/>
                <w:szCs w:val="24"/>
                <w:shd w:val="clear" w:color="auto" w:fill="FFFFFF"/>
              </w:rPr>
              <w:t>㎡（可调）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对比度</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2500：1（可调）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背光源寿命</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触摸屏</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配有15英寸或以上电容触摸屏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600"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客显屏</w:t>
            </w: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尺寸</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≥10英寸彩色液晶屏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分辨率</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≥1024x600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600"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音频</w:t>
            </w: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扬声器</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喇叭数量≥2个，功率≥3W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600"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网络</w:t>
            </w: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网卡</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板载2个10/100/1000Mbps以太网口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扩展</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支持ADSL、光纤Modem等有线通讯方式；支持3G/4G等无线通讯方式；具备通用的备份通信接口，串口、USB口以及以太网口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600"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电源</w:t>
            </w: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类型</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内置式ATX电源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工作电压</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100-240V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频率</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掉电保护</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支持掉电保护功能，支持在异常断电时投注设备整机正常工作时间大于5分钟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使用寿命</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MTBF≥40000小时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600" w:type="pct"/>
            <w:vMerge w:val="restar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条码枪</w:t>
            </w:r>
          </w:p>
        </w:tc>
        <w:tc>
          <w:tcPr>
            <w:tcW w:w="991" w:type="pct"/>
            <w:noWrap w:val="0"/>
            <w:vAlign w:val="top"/>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类型</w:t>
            </w:r>
          </w:p>
        </w:tc>
        <w:tc>
          <w:tcPr>
            <w:tcW w:w="2897" w:type="pct"/>
            <w:noWrap w:val="0"/>
            <w:vAlign w:val="top"/>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图像传感器：CMOS，分辨率≥640x480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rPr>
                <w:rFonts w:hint="eastAsia" w:ascii="宋体" w:hAnsi="宋体" w:eastAsia="宋体" w:cs="宋体"/>
                <w:color w:val="auto"/>
                <w:sz w:val="24"/>
                <w:szCs w:val="24"/>
              </w:rPr>
            </w:pPr>
          </w:p>
        </w:tc>
        <w:tc>
          <w:tcPr>
            <w:tcW w:w="991" w:type="pct"/>
            <w:noWrap w:val="0"/>
            <w:vAlign w:val="top"/>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识读码制</w:t>
            </w:r>
          </w:p>
        </w:tc>
        <w:tc>
          <w:tcPr>
            <w:tcW w:w="2897" w:type="pct"/>
            <w:noWrap w:val="0"/>
            <w:vAlign w:val="top"/>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可扫描一维和二维条码（PDF417和QR）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rPr>
                <w:rFonts w:hint="eastAsia" w:ascii="宋体" w:hAnsi="宋体" w:eastAsia="宋体" w:cs="宋体"/>
                <w:color w:val="auto"/>
                <w:sz w:val="24"/>
                <w:szCs w:val="24"/>
              </w:rPr>
            </w:pPr>
          </w:p>
        </w:tc>
        <w:tc>
          <w:tcPr>
            <w:tcW w:w="991" w:type="pct"/>
            <w:noWrap w:val="0"/>
            <w:vAlign w:val="top"/>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扫描方式</w:t>
            </w:r>
          </w:p>
        </w:tc>
        <w:tc>
          <w:tcPr>
            <w:tcW w:w="2897" w:type="pct"/>
            <w:noWrap w:val="0"/>
            <w:vAlign w:val="top"/>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自动感应扫描、手动扫描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top"/>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跌落承受能力</w:t>
            </w:r>
          </w:p>
        </w:tc>
        <w:tc>
          <w:tcPr>
            <w:tcW w:w="2897" w:type="pct"/>
            <w:noWrap w:val="0"/>
            <w:vAlign w:val="top"/>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能承受≥1.5米高处跌落至水泥地面的撞击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top"/>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防护等级</w:t>
            </w:r>
          </w:p>
        </w:tc>
        <w:tc>
          <w:tcPr>
            <w:tcW w:w="2897" w:type="pct"/>
            <w:noWrap w:val="0"/>
            <w:vAlign w:val="top"/>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不低于IP42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600" w:type="pct"/>
            <w:vMerge w:val="restar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整机</w:t>
            </w: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工作温度</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贮存温度</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相对湿度</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vMerge w:val="continue"/>
            <w:noWrap w:val="0"/>
            <w:vAlign w:val="center"/>
          </w:tcPr>
          <w:p>
            <w:pPr>
              <w:spacing w:line="360" w:lineRule="auto"/>
              <w:jc w:val="center"/>
              <w:rPr>
                <w:rFonts w:hint="eastAsia" w:ascii="宋体" w:hAnsi="宋体" w:eastAsia="宋体" w:cs="宋体"/>
                <w:color w:val="auto"/>
                <w:sz w:val="24"/>
                <w:szCs w:val="24"/>
              </w:rPr>
            </w:pPr>
          </w:p>
        </w:tc>
        <w:tc>
          <w:tcPr>
            <w:tcW w:w="600" w:type="pct"/>
            <w:vMerge w:val="continue"/>
            <w:noWrap w:val="0"/>
            <w:vAlign w:val="center"/>
          </w:tcPr>
          <w:p>
            <w:pPr>
              <w:spacing w:line="360" w:lineRule="auto"/>
              <w:jc w:val="center"/>
              <w:rPr>
                <w:rFonts w:hint="eastAsia" w:ascii="宋体" w:hAnsi="宋体" w:eastAsia="宋体" w:cs="宋体"/>
                <w:color w:val="auto"/>
                <w:sz w:val="24"/>
                <w:szCs w:val="24"/>
              </w:rPr>
            </w:pP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使用寿命</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MTBF≥20000小时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600"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安全</w:t>
            </w: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设备ID</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支持整机及关键部件（主板、阅读器、打印机、键盘等）的设备ID读取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600"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软件</w:t>
            </w:r>
          </w:p>
        </w:tc>
        <w:tc>
          <w:tcPr>
            <w:tcW w:w="99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操作系统</w:t>
            </w:r>
          </w:p>
        </w:tc>
        <w:tc>
          <w:tcPr>
            <w:tcW w:w="2897"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支持Linux、Window操作系统</w:t>
            </w:r>
          </w:p>
        </w:tc>
      </w:tr>
    </w:tbl>
    <w:p>
      <w:pPr>
        <w:spacing w:line="560" w:lineRule="exact"/>
        <w:rPr>
          <w:rFonts w:ascii="仿宋_GB2312" w:hAnsi="仿宋_GB2312" w:eastAsia="仿宋_GB2312" w:cs="仿宋_GB2312"/>
          <w:color w:val="auto"/>
          <w:sz w:val="32"/>
          <w:szCs w:val="32"/>
        </w:rPr>
      </w:pP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（2）投注机终端软件要求</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①电脑票销售兑奖功能：</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A.支持海南福彩目前在售游戏玩法（双色球、3D、七乐彩、快乐8）的销售、兑奖。</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B.支持投注单投注、机选号码投注、自选号码投注。</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C.支持多期投注。</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D.支持多倍投注，单张彩票不同注注码可设置不同倍数。</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E.支持过往票打印，支持过往票编辑功能。</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F.支持扫描彩票自动兑奖、手动兑奖功能。</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G.支持兑奖并直接打印过往票功能。</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H.支持指定条件彩票打印时自动加印二维码功能，便于采购人开展后续的营销活动。</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②终端兑奖缴税登记功能：</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A.支持中奖彩票是否达到实名制标准判断功能。</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B.支持兑奖登记码扫描功能。</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③通知公告功能：支持中心下发通知/公告的下载、查阅、打印。</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④报表查询功能：以双色球玩法为例，支持派奖、中奖、日报、期报、结算报表、缴款明细、账户信息等报表的查询。</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⑤升级下载功能：在中心控制下实现投注设备软件的版本升级，包括增改功能、维护模块等。投注设备下载支持断点续传，实现投注设备下载速度可根据带宽灵活设置，提供稳定和更快的下载速度。</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⑥参数设置功能：支持通讯方式、主屏和副屏亮度、系统音量等功能通过参数设置进行设定。</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⑦帮助系统：提供投注设备软件操作手册，帮助了解软件使用操作；提供投注设备硬件操作的多媒体培训视频。</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⑧信息显示：投注设备主显示界面上可显示玩法信息、实时帐户信息、通讯状态、系统登录状态、新通知提示信息、动态时间显示。</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（3）投注机操作系统要求</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彩票专用终端设备出厂须预装国产正版操作系统。操作系统具有以下功能：</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①基于64位稳定发行版的linux版本。</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②提供基本开发运行环境和qt5编译运行环境。</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③支持Ext4、XFS、Btrfs、FAT32等多种安全文件系统类型。</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④支持CFS进程调度算法，和cfq、noop、deadline等IO调度算法。</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⑤支持投注设备需要的各类硬件驱动，含主板、CPU、显示、音频、串口通讯、网卡、触摸屏、打印机、 扫描仪等。</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⑥支持视频播放硬件加速。</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⑦支持中文显示，包含常用字库。</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⑧提供32位和64位运行和开发环境，用户可以在开发环境中适配其他终端应用。</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⑨支持EFI启动。</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⑩提供诊断工具，包括但不限于通讯、显示、条码识读、触摸屏、声音播放等功能的诊断。</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⑪禁用与终端软件运行无关的服务和端口，以防止非授权外设连接，保证系统的安全，实现操作系统仅在最小的所需服务集下运行。</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⑫提供系统启动项授权机制，可实现授权应用的开机自启动。</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⑬支持用户口令复杂度设置，系统用户包括超级用户（root）及其他用户的口令必须满足长度不小于10 位且包含数字、字母、特殊字符的要求。</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⑭提供远程工具的安全管控，可实现对telnet、ssh、ftp服务启用权限的控制。</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⑮提供定制化窗口管理器，在多屏接入的情况下可支持开机应用自启动后将窗口定位到指定屏幕，并可配置应用窗口的显示方式，包括但不限于标题栏的显示隐藏、窗口位置的定位及窗口透明度。</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⑯针对终端操作习惯提供人机交互方式优化，包括但不限于可一键配置显示/隐藏鼠标，光标焦点定位及禁用多余快捷键。</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⑰提供USB外设管控工具，可配置指定USB设备的访问权限（非授权设备弹出报警）。</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⑱支持异常断电保护和异常恢复机制，文件系统对异常断电需具备自我保护功能，系统异常发生后启动系统可自动恢复。</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⑲提供定制音频管理工具，支持多路声道输出，应用可绑定声道，可监测应用所需声道并自动转移至对应声道，可配置默认声道及不同声道的音量大小 。</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⑳提供开机全屏动画，支持灵活定制。</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㉑支持多屏管理，可根据接入屏幕的数量自动调整屏幕设置，包括屏幕与应用绑定关系及分辨率等。</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㉒支持操作系统密码体系定制，包括但不限于使用国密算法进行安全增强等。</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㉓支持基于网络的多屏扩展显示框架，支持同一局域网内扩展屏设备的自动发现，可自动为扩展屏分配显示任务，任务类型包括但不限于作为投注本地程序的显示端，视频播放，克隆显示主屏。</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（4）其他要求</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①本项目采购的250台投注设备接入省福彩中心现有电脑票销售系统时，无需对现有中心系统的软硬件进行改动即可接入进行销售、兑奖、银行缴款、查询等操作，保证所有游戏玩法(包括游戏的各种打票方式)、兑奖、数据的完整性、准确性不受影响。</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②实现投注设备销售彩票在海南省范围内通兑。即：本次采购的投注设备须兼容采购人现有投注设备打印纸，打印的彩票票面与我省现有福彩投注设备保持一致；销售的彩票可在现有投注设备扫描识别兑奖，现有投注设备销售的彩票也可在本次采购的投注设备上扫描识别兑奖，以此来实现彩票的全省范围内的通兑。</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③支持触摸屏、键盘双模式输入：触摸屏、键盘双输入设计，无需切换，操作灵活、方便、快捷。</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④投注设备状态智能监控：具备投注设备状态智能监控功能，提供了对投注设备硬件（包括CPU温度、内存容量、磁盘容量和风扇转速等）工作状态的实时监控,从而使得用户能够及时准确地了解投注设备的状态。</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⑤阅读器具有可编程功能，可在阅读彩票上打印“已兑奖”、“已作废”等自定义文字标记，能够识别一、二维条型码；</w:t>
      </w:r>
    </w:p>
    <w:p>
      <w:pPr>
        <w:bidi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⑥注码同步显示：主显示屏上的注码能实时的显示到顾客屏上，方便彩民核对注码。</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textAlignment w:val="auto"/>
        <w:rPr>
          <w:rFonts w:hint="eastAsia" w:eastAsia="宋体" w:cs="Times New Roman"/>
          <w:b/>
          <w:bCs/>
          <w:color w:val="auto"/>
          <w:lang w:val="en-US" w:eastAsia="zh-CN"/>
        </w:rPr>
      </w:pPr>
      <w:bookmarkStart w:id="4" w:name="_Toc3128"/>
      <w:r>
        <w:rPr>
          <w:rFonts w:hint="eastAsia" w:eastAsia="宋体" w:cs="Times New Roman"/>
          <w:b/>
          <w:bCs/>
          <w:color w:val="auto"/>
          <w:lang w:val="en-US" w:eastAsia="zh-CN"/>
        </w:rPr>
        <w:t>项目相关要求</w:t>
      </w:r>
      <w:bookmarkEnd w:id="4"/>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color w:val="auto"/>
          <w:sz w:val="28"/>
          <w:szCs w:val="28"/>
        </w:rPr>
      </w:pPr>
      <w:r>
        <w:rPr>
          <w:rFonts w:hint="eastAsia" w:ascii="宋体" w:hAnsi="宋体" w:eastAsia="宋体" w:cs="宋体"/>
          <w:b/>
          <w:bCs/>
          <w:color w:val="auto"/>
          <w:kern w:val="0"/>
          <w:sz w:val="28"/>
          <w:szCs w:val="28"/>
          <w:lang w:val="en-US" w:eastAsia="zh-CN" w:bidi="ar"/>
        </w:rPr>
        <w:t>1、合同履行期限（交付期/服务期/工期）：合同签订后30天内完成交付。</w:t>
      </w:r>
      <w:r>
        <w:rPr>
          <w:rFonts w:hint="eastAsia" w:ascii="宋体" w:hAnsi="宋体" w:eastAsia="宋体" w:cs="宋体"/>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color w:val="auto"/>
          <w:sz w:val="28"/>
          <w:szCs w:val="28"/>
        </w:rPr>
      </w:pPr>
      <w:r>
        <w:rPr>
          <w:rFonts w:hint="eastAsia" w:ascii="宋体" w:hAnsi="宋体" w:eastAsia="宋体" w:cs="宋体"/>
          <w:b/>
          <w:bCs/>
          <w:color w:val="auto"/>
          <w:kern w:val="0"/>
          <w:sz w:val="28"/>
          <w:szCs w:val="28"/>
          <w:lang w:val="en-US" w:eastAsia="zh-CN" w:bidi="ar"/>
        </w:rPr>
        <w:t xml:space="preserve">2、交付地点：海南省内采购人指定地点。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color w:val="auto"/>
          <w:sz w:val="28"/>
          <w:szCs w:val="28"/>
        </w:rPr>
      </w:pPr>
      <w:r>
        <w:rPr>
          <w:rFonts w:hint="eastAsia" w:ascii="宋体" w:hAnsi="宋体" w:eastAsia="宋体" w:cs="宋体"/>
          <w:b/>
          <w:bCs/>
          <w:color w:val="auto"/>
          <w:kern w:val="0"/>
          <w:sz w:val="28"/>
          <w:szCs w:val="28"/>
          <w:lang w:val="en-US" w:eastAsia="zh-CN" w:bidi="ar"/>
        </w:rPr>
        <w:t xml:space="preserve">3、付款条件：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（1）本合同签订后，甲方凭乙方开具的正式有效发票在5个工作日内，通过转账的方式，向乙方支付合同金额的30%；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（2</w:t>
      </w:r>
      <w:r>
        <w:rPr>
          <w:rFonts w:hint="eastAsia" w:ascii="宋体" w:hAnsi="宋体" w:eastAsia="宋体" w:cs="宋体"/>
          <w:color w:val="auto"/>
          <w:kern w:val="0"/>
          <w:sz w:val="28"/>
          <w:szCs w:val="28"/>
          <w:highlight w:val="none"/>
          <w:lang w:val="en-US" w:eastAsia="zh-CN" w:bidi="ar"/>
        </w:rPr>
        <w:t>）</w:t>
      </w:r>
      <w:r>
        <w:rPr>
          <w:rFonts w:hint="eastAsia" w:ascii="宋体" w:hAnsi="宋体" w:cs="宋体"/>
          <w:color w:val="auto"/>
          <w:kern w:val="0"/>
          <w:sz w:val="28"/>
          <w:szCs w:val="28"/>
          <w:highlight w:val="none"/>
          <w:lang w:val="en-US" w:eastAsia="zh-CN" w:bidi="ar"/>
        </w:rPr>
        <w:t>全部</w:t>
      </w:r>
      <w:r>
        <w:rPr>
          <w:rFonts w:hint="eastAsia" w:ascii="宋体" w:hAnsi="宋体" w:eastAsia="宋体" w:cs="宋体"/>
          <w:color w:val="auto"/>
          <w:kern w:val="0"/>
          <w:sz w:val="28"/>
          <w:szCs w:val="28"/>
          <w:highlight w:val="none"/>
          <w:lang w:val="en-US" w:eastAsia="zh-CN" w:bidi="ar"/>
        </w:rPr>
        <w:t>设备到货并通过验收后，甲方凭乙方开具的正式有效发票在5个工作日内，通过转账的方式，向乙方支付合同金额的</w:t>
      </w:r>
      <w:r>
        <w:rPr>
          <w:rFonts w:hint="eastAsia" w:ascii="宋体" w:hAnsi="宋体" w:cs="宋体"/>
          <w:color w:val="auto"/>
          <w:kern w:val="0"/>
          <w:sz w:val="28"/>
          <w:szCs w:val="28"/>
          <w:highlight w:val="none"/>
          <w:lang w:val="en-US" w:eastAsia="zh-CN" w:bidi="ar"/>
        </w:rPr>
        <w:t>65</w:t>
      </w:r>
      <w:r>
        <w:rPr>
          <w:rFonts w:hint="eastAsia" w:ascii="宋体" w:hAnsi="宋体" w:eastAsia="宋体" w:cs="宋体"/>
          <w:color w:val="auto"/>
          <w:kern w:val="0"/>
          <w:sz w:val="28"/>
          <w:szCs w:val="28"/>
          <w:highlight w:val="none"/>
          <w:lang w:val="en-US" w:eastAsia="zh-CN" w:bidi="ar"/>
        </w:rPr>
        <w:t>%，或在乙方出具5%等额银行质保函后向乙方一次性支付合同金额的70%</w:t>
      </w:r>
      <w:r>
        <w:rPr>
          <w:rFonts w:hint="eastAsia" w:ascii="宋体" w:hAnsi="宋体" w:cs="宋体"/>
          <w:color w:val="auto"/>
          <w:kern w:val="0"/>
          <w:sz w:val="28"/>
          <w:szCs w:val="28"/>
          <w:highlight w:val="none"/>
          <w:lang w:val="en-US" w:eastAsia="zh-CN" w:bidi="ar"/>
        </w:rPr>
        <w:t>。</w:t>
      </w:r>
      <w:r>
        <w:rPr>
          <w:rFonts w:hint="eastAsia" w:ascii="宋体" w:hAnsi="宋体" w:eastAsia="宋体" w:cs="宋体"/>
          <w:color w:val="auto"/>
          <w:kern w:val="0"/>
          <w:sz w:val="28"/>
          <w:szCs w:val="28"/>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auto"/>
          <w:kern w:val="0"/>
          <w:sz w:val="28"/>
          <w:szCs w:val="28"/>
          <w:lang w:val="en-US" w:eastAsia="zh-CN" w:bidi="ar"/>
        </w:rPr>
      </w:pPr>
      <w:r>
        <w:rPr>
          <w:rFonts w:hint="eastAsia" w:ascii="宋体" w:hAnsi="宋体" w:cs="宋体"/>
          <w:color w:val="auto"/>
          <w:kern w:val="0"/>
          <w:sz w:val="28"/>
          <w:szCs w:val="28"/>
          <w:lang w:val="en-US" w:eastAsia="zh-CN" w:bidi="ar"/>
        </w:rPr>
        <w:t>（3）自设备到货验收通过之日起，乙方完成四年的产品免费保修服务，并按照售后服务要求通过验收后，甲方凭乙方开具的正式有效发票在5个工作日内，通过转账的方式，向乙方支付合同剩余款项，或退还银行质保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sz w:val="28"/>
          <w:szCs w:val="28"/>
        </w:rPr>
      </w:pPr>
      <w:r>
        <w:rPr>
          <w:rFonts w:hint="eastAsia" w:ascii="宋体" w:hAnsi="宋体" w:cs="宋体"/>
          <w:color w:val="auto"/>
          <w:kern w:val="0"/>
          <w:sz w:val="28"/>
          <w:szCs w:val="28"/>
          <w:lang w:val="en-US" w:eastAsia="zh-CN" w:bidi="ar"/>
        </w:rPr>
        <w:t>4</w:t>
      </w:r>
      <w:r>
        <w:rPr>
          <w:rFonts w:hint="eastAsia" w:ascii="宋体" w:hAnsi="宋体" w:eastAsia="宋体" w:cs="宋体"/>
          <w:color w:val="auto"/>
          <w:kern w:val="0"/>
          <w:sz w:val="28"/>
          <w:szCs w:val="28"/>
          <w:lang w:val="en-US" w:eastAsia="zh-CN" w:bidi="ar"/>
        </w:rPr>
        <w:t>、</w:t>
      </w:r>
      <w:r>
        <w:rPr>
          <w:rFonts w:hint="eastAsia" w:ascii="宋体" w:hAnsi="宋体" w:cs="宋体"/>
          <w:color w:val="auto"/>
          <w:kern w:val="0"/>
          <w:sz w:val="28"/>
          <w:szCs w:val="28"/>
          <w:lang w:val="en-US" w:eastAsia="zh-CN" w:bidi="ar"/>
        </w:rPr>
        <w:t>售后服务要求</w:t>
      </w:r>
      <w:r>
        <w:rPr>
          <w:rFonts w:hint="eastAsia" w:ascii="宋体" w:hAnsi="宋体" w:eastAsia="宋体" w:cs="宋体"/>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（1）中标后，供应商在海南省内设有服务机构或经授权的服务机构以提供售后服务。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服务机构代表供应商履行工作职责，具体须负责：投注设备硬件维护、硬件技术支持、操作人员的业务培训、配件申请、清点和质量验收；定期巡检；双方工作中问题的协调解决和沟通。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（2）供应商提供投注设备的硬件维护：</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①提供本次采购的投注设备的日常维修，维护和技术咨询服务，以保障投注设备的正常使用，应常驻至少2名运维人员，并进行考勤登记管理。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②设备的售后服务：产品免费保修期4年；提供一站式服务，保证设备故障响应不超过2小时，到达现场时间不超过8小时，保证投注设备故障12小时内排除，若中标人不能在12小时内解决问题，必须向采购人提供备用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③在采购人当地设立配件库，提供充足的维修备件，以满足日常维修需要。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④定期（每年1次，共4次）对本次项目采购的投注设备硬件进行巡检，并向采购人提供巡检维护报告。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color w:val="auto"/>
          <w:sz w:val="28"/>
          <w:szCs w:val="28"/>
        </w:rPr>
      </w:pPr>
      <w:r>
        <w:rPr>
          <w:rFonts w:hint="eastAsia" w:ascii="宋体" w:hAnsi="宋体" w:cs="宋体"/>
          <w:b/>
          <w:bCs/>
          <w:color w:val="auto"/>
          <w:kern w:val="0"/>
          <w:sz w:val="28"/>
          <w:szCs w:val="28"/>
          <w:lang w:val="en-US" w:eastAsia="zh-CN" w:bidi="ar"/>
        </w:rPr>
        <w:t>5</w:t>
      </w:r>
      <w:r>
        <w:rPr>
          <w:rFonts w:hint="eastAsia" w:ascii="宋体" w:hAnsi="宋体" w:eastAsia="宋体" w:cs="宋体"/>
          <w:b/>
          <w:bCs/>
          <w:color w:val="auto"/>
          <w:kern w:val="0"/>
          <w:sz w:val="28"/>
          <w:szCs w:val="28"/>
          <w:lang w:val="en-US" w:eastAsia="zh-CN" w:bidi="ar"/>
        </w:rPr>
        <w:t>、培训要求：</w:t>
      </w:r>
      <w:r>
        <w:rPr>
          <w:rFonts w:hint="eastAsia" w:ascii="宋体" w:hAnsi="宋体" w:eastAsia="宋体" w:cs="宋体"/>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①供应商提供彩票设备操作演示服务，通过网络线路或面对面的工作方式，适时提供新产品、新系统、新功能演示。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②供应商免费为采购人员提供技术培训，包括投注设备维护、操作（为采购人培训出合格的技术管理和操作人员，并随时提供技术咨询和技术支援，以保证采购人即使不是专业人士，同样能正确使用现有投注设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③供应商免费为设备使用人员提供设备操作使用培训。</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验收要求：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 xml:space="preserve">（1）检验和测试在设备使用地进行。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 xml:space="preserve">（2）如果任何被检验或测试的设备不能满足规格的要求，采购人或使用单位可以拒绝接受该设备，中标人应更换被拒绝的设备，或者免费进行必要的修改以满足规格的要求。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 xml:space="preserve">（3）设备抵达现场后，采购人或使用单位对设备的质量、规格、性能、数量和重量等与投标文件、投标时递交的样机进行比对、检验，在设备验收合格证书上签字确认后视为验收合格。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4）如果设备在合同条款规定的保修期内，根据采购人、使用单位或相关国家质量监督检验部门的检验结果，发现设备的质量或规格与合同要求不符，或设备被证实有缺陷，包括潜在缺陷或使用不合适材料，采购人或使用单位有权向中标人提出索赔并要求退货或换货。</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color w:val="auto"/>
          <w:sz w:val="28"/>
          <w:szCs w:val="28"/>
        </w:rPr>
      </w:pPr>
      <w:r>
        <w:rPr>
          <w:rFonts w:hint="eastAsia" w:ascii="宋体" w:hAnsi="宋体" w:eastAsia="宋体" w:cs="宋体"/>
          <w:b/>
          <w:bCs/>
          <w:color w:val="auto"/>
          <w:kern w:val="0"/>
          <w:sz w:val="28"/>
          <w:szCs w:val="28"/>
          <w:lang w:val="en-US" w:eastAsia="zh-CN" w:bidi="ar"/>
        </w:rPr>
        <w:t>9、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r>
        <w:rPr>
          <w:rFonts w:hint="eastAsia" w:ascii="宋体" w:hAnsi="宋体" w:cs="宋体"/>
          <w:b/>
          <w:bCs/>
          <w:color w:val="auto"/>
          <w:kern w:val="0"/>
          <w:sz w:val="28"/>
          <w:szCs w:val="28"/>
          <w:lang w:val="en-US" w:eastAsia="zh-CN" w:bidi="ar"/>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1E4E9D"/>
    <w:multiLevelType w:val="singleLevel"/>
    <w:tmpl w:val="FA1E4E9D"/>
    <w:lvl w:ilvl="0" w:tentative="0">
      <w:start w:val="1"/>
      <w:numFmt w:val="chineseCounting"/>
      <w:suff w:val="nothing"/>
      <w:lvlText w:val="%1、"/>
      <w:lvlJc w:val="left"/>
      <w:rPr>
        <w:rFonts w:hint="eastAsia"/>
      </w:rPr>
    </w:lvl>
  </w:abstractNum>
  <w:abstractNum w:abstractNumId="1">
    <w:nsid w:val="22583C5D"/>
    <w:multiLevelType w:val="singleLevel"/>
    <w:tmpl w:val="22583C5D"/>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kN2NiNGRjOWQzZTNlZGUxYzMxYWZlYjNhY2I4YmIifQ=="/>
  </w:docVars>
  <w:rsids>
    <w:rsidRoot w:val="57367B9D"/>
    <w:rsid w:val="57367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360" w:lineRule="auto"/>
      <w:outlineLvl w:val="1"/>
    </w:pPr>
    <w:rPr>
      <w:rFonts w:ascii="Cambria" w:hAnsi="Cambria"/>
      <w:b/>
      <w:bCs/>
      <w:sz w:val="32"/>
      <w:szCs w:val="32"/>
      <w:lang w:eastAsia="en-US"/>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2024-05-27T10:34:00Z</dcterms:created>
  <dc:creator>...</dc:creator>
  <cp:lastModifiedBy>...</cp:lastModifiedBy>
  <dcterms:modified xsi:type="dcterms:W3CDTF">2024-05-27T10:34:30Z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D0A5C166658D4471B3CF232619AE9FC2_11</vt:lpwstr>
  </property>
</Properties>
</file>