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2"/>
        </w:numPr>
        <w:spacing w:line="360" w:lineRule="auto"/>
        <w:jc w:val="center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 xml:space="preserve"> </w:t>
      </w:r>
      <w:bookmarkStart w:id="0" w:name="_Toc488335961"/>
      <w:bookmarkStart w:id="1" w:name="_Toc13236"/>
      <w:bookmarkStart w:id="2" w:name="_Toc2149930"/>
      <w:bookmarkStart w:id="3" w:name="_Toc528573295"/>
      <w:bookmarkStart w:id="4" w:name="_Toc529442031"/>
      <w:bookmarkStart w:id="5" w:name="_Toc18325"/>
      <w:bookmarkStart w:id="6" w:name="_Toc20948"/>
      <w:bookmarkStart w:id="7" w:name="_Toc16212"/>
      <w:bookmarkStart w:id="8" w:name="_Toc448926139"/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采购需求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一、项目概况 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  <w:t>1、项目名称：采购移动护理车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  <w:t>2、预算金额：人民币￥217万元，人民币大写(贰佰壹拾柒万元)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  <w:t>3、最高限价：20500元/台，数量105台，超过最高限价为无效报价。</w:t>
      </w: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kern w:val="0"/>
          <w:sz w:val="24"/>
          <w:szCs w:val="20"/>
          <w:lang w:val="en-US" w:eastAsia="zh-CN" w:bidi="ar-SA"/>
        </w:rPr>
      </w:pP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二 、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采购内容及技术参数要求</w:t>
      </w:r>
    </w:p>
    <w:p>
      <w:pPr>
        <w:pStyle w:val="9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1.技术参数要求提供技术证明文件的,投标人必须如实响应并提供符合要求的证明文件，</w:t>
      </w:r>
      <w:r>
        <w:rPr>
          <w:rFonts w:hint="eastAsia" w:ascii="仿宋" w:hAnsi="仿宋" w:eastAsia="仿宋" w:cs="仿宋"/>
          <w:color w:val="auto"/>
          <w:sz w:val="24"/>
        </w:rPr>
        <w:t>带★的参数为主要参数，必须满足，否则为无效投标；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否则视为负偏离。标识“▲”的参数作为重点扣分项。</w:t>
      </w:r>
    </w:p>
    <w:p>
      <w:pPr>
        <w:pStyle w:val="9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2.投标人需在递交投标文件同时递交1台样机，并现场演示样机的外观、质量、性能等是否符合参数要求，如发现样机与投标文件参数响应不一致的视为虚假应标，按无效投标处理。</w:t>
      </w:r>
    </w:p>
    <w:tbl>
      <w:tblPr>
        <w:tblStyle w:val="7"/>
        <w:tblW w:w="51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830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序号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子项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一体化设计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整车采用一体化结构设计，主机内嵌集成，电池固定在底座内，不外挂，不外露。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整车材质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整车采用航空铝合金抗菌材料和ABS工程塑料抗菌材质；通过抗菌测试，抗菌率99.9%，抗菌耐腐蚀，持久耐用。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▲台面设计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显示器支架后移或侧移，不得位于台面，不占用台面面积，保证台面实际使用面积最大化，台面使用部分为完整方形。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（提供台面完整方形的整机实物照片和局部细节照片）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扩展台面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扩展台面尺寸≥340mm*270mm，内嵌于台面，采用无把手设计，支持扩展台面，优化台面操作空间。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5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把手材质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采用ABS材质，抗菌抗压、耐腐蚀，与台面压铸一体成型，不可拆卸。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6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把手设计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把手与台面为ABS压铸一体成型，便于消毒，颜色及材质一致，把手两端直接与台面相连为闭环式设计。（提供实体机或高清晰视频和照片）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7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▲把手方向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把手向下弯曲，符合人体工程学设计，抽出键盘操作时，把手位于键盘托下方，不影响操作视线。（提供实体机或高清晰视频和照片）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8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键盘托设计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键盘托完全隐藏嵌入台面内部，使用时可从台面内拉出，不影响操作视线。（提供实体机或高清晰视频和照片）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9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显示器固定支架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显示器支架为铝合金内外管双节升降设计，支持≥20cm升降；支持横竖屏转换，便于床旁阅片，支持左右各旋转≥360度，支持显示器安装扩展摄像头。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10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▲电量显示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键盘托配置电池电量LED显示灯，可实时显示电池状态及电量。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（提供实体机或高清晰视频和照片）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11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立柱结构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配置上宽下窄高强度铝合金升降立柱，预留扩展位置，便于安装抽屉和配件。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12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车体升降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标配多种升降方式，支持台面升降≥35cm。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13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抽屉规格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配置≥2层抽屉，抽屉规格≥2种，小抽屉≤310mm*310mm*100mm，大抽屉≤310mm*310mm*200m。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14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抽屉设计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抽屉内框架采用铝合金支撑，外表面采用抗菌ABS材质覆盖，车体轻便；采用抽拉抽屉，易清洁维护；配置抽屉锁。（提供实体机或高清晰视频和照片）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15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底座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高强度铝合金材料经高压一体成型，底座承重耐压性能强，防止频繁移动过程中的断裂风险，整车移动顺畅，不跑偏。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16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脚轮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4个静音双面轮，其中2个带刹车锁定功能。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17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配件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配备多功能置物盒*1，鼠标盒*1，≥4L垃圾桶*2。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18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显示终端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尺寸≥23.8”，最佳分辨率≥1920×1080，内置音箱；具备人体自动感应识别功能，通过识别人体与终端距离自动调整屏幕亮度，降低功耗，高效节能。（提供真机实物演示照片和现场样机演示）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19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▲设备配置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CPU：I5≥12代及以上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内存：≥16GB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固态硬盘：容量≥256GB  (一线品牌)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接口：≥4个USB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20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▲操作系统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配置正版windows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21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Intel系列网卡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支持2.4G/5G Hz  Wifi6网络，支持802.11 b/g/n/ac/ax以上标准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22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电路保护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配置直流马达转动控制模块，防止过压、过流、欠压、过充、过放，保护电路安全。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（优先提供国家有关部门颁发的马达转动控制硬件结构设计的证书，申请人为整车厂商）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23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电池性能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磷酸铁锂材质，安全稳定，电池容量≥320wh，有效循环寿命≥2000次，续航时间≥8小时。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24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line="50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▲电池安全</w:t>
            </w:r>
          </w:p>
        </w:tc>
        <w:tc>
          <w:tcPr>
            <w:tcW w:w="6905" w:type="dxa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电池组有专门的金属外壳包裹，用于保护电池安全。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（提供电池组带金属外壳的实物图）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25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905" w:type="dxa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电池组防跌落，1.2m高度将电池组不同面跌落，电池不起火、不短路、不爆炸、不漏液。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（需提供第三方检测报告）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26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905" w:type="dxa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电池组防穿刺，使用500 N气动穿刺夹具进行夹持，控制电子万能实验机进行穿刺试验，让穿刺装置渗透锂电池组隔膜样品，电池不短路、不爆炸、不漏液。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（需提供第三方检测报告）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27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905" w:type="dxa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电池外壳防火，防火等级V-2级，在明火作用下不燃烧，火焰接触后自行熄灭，允许有明显燃烧滴落，烟雾密度中等。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clear" w:pos="1680"/>
              </w:tabs>
              <w:spacing w:line="360" w:lineRule="auto"/>
              <w:ind w:left="107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（需提供第三方检测报告）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28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▲电源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配置电源控制模板，确保输出电压、电流可调节，提高电源使用效率，避免能源浪费。（优先考虑提供国家相关部门颁发的电源硬件结构设计的证书，申请人为整车厂商）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29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电源线</w:t>
            </w:r>
          </w:p>
        </w:tc>
        <w:tc>
          <w:tcPr>
            <w:tcW w:w="69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采用螺旋弹簧电源线，方便不同距离充电，固定在车体上，不可任意拔下，防盗失。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30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电量监测提醒</w:t>
            </w:r>
          </w:p>
        </w:tc>
        <w:tc>
          <w:tcPr>
            <w:tcW w:w="69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支持实时监测电池电量，电量低于10%时立刻提醒。（提供真机相关功能实拍照片并在投标现场提供样机演示相关功能）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▲产品认证</w:t>
            </w:r>
          </w:p>
        </w:tc>
        <w:tc>
          <w:tcPr>
            <w:tcW w:w="69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投标产品具有CCC认证证书（需提供证书复印件并加盖公章其委托单位必须为投标产品原厂商，并且证书型号与投标型号必须一致）。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电池信息监控</w:t>
            </w:r>
          </w:p>
        </w:tc>
        <w:tc>
          <w:tcPr>
            <w:tcW w:w="69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支持监控设备电池当前电量值、充电时长、充放电次数。（提供真机相关功能实拍照片并在投标现场提供样机演示相关功能）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5" w:hRule="atLeast"/>
          <w:jc w:val="center"/>
        </w:trPr>
        <w:tc>
          <w:tcPr>
            <w:tcW w:w="767" w:type="dxa"/>
            <w:noWrap w:val="0"/>
            <w:vAlign w:val="top"/>
          </w:tcPr>
          <w:p>
            <w:pPr>
              <w:pStyle w:val="3"/>
              <w:spacing w:line="360" w:lineRule="auto"/>
              <w:outlineLvl w:val="0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推车维护管理模块</w:t>
            </w:r>
          </w:p>
        </w:tc>
        <w:tc>
          <w:tcPr>
            <w:tcW w:w="6905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智能报修:设备具有专属二维码识别标签，扫码可查看设备相关维保信息，支持用户通过扫码对该设备进行线上一键快速自动报修，提升售后服务及时性（提供设备粘贴二维码标签实物图和一键自动报修软件功能截图）.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维护热线:来电弹屏、电话录音、来电记录；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值班工作台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来电信息自动识别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历史报修提醒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知识库引用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交接班管理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排班管理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派单管理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工单看板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知识库管理：知识库搜索、知识库评价、知识库发布、维修过程转知识库；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智能提醒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:手机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消息提醒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电脑端声音提醒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、手机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端消息提醒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统计报表：工单统计、知识库统计、合同统计、巡检统计、资产统计；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移动端功能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微信报修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关键进度提醒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工单全过程处理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满意度评价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满意度调查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设备巡检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设备档案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电话本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监控中心：通过大屏实时显示当天的来电信息和工单处理等信息；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文档管理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文档管理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巡检管理:巡检标准设置、现场巡检、巡检记录、巡检设备管理；</w:t>
            </w:r>
          </w:p>
          <w:p>
            <w:pPr>
              <w:pStyle w:val="5"/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(11)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来电智能一体机及接口开发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来电智能一体机及接口开发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(12)运维服务调查:自定义运维服务调查表，可在手机上填写调查问卷；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(13)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系统设置:组织，人员管理、组织分工、权限管理、模板设置、巡检周期管理、设备类别管理、厂商品牌管理、消息管理；</w:t>
            </w:r>
          </w:p>
        </w:tc>
      </w:tr>
    </w:tbl>
    <w:p>
      <w:pPr>
        <w:rPr>
          <w:rFonts w:hint="eastAsia"/>
          <w:color w:val="auto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numPr>
          <w:ilvl w:val="0"/>
          <w:numId w:val="4"/>
        </w:num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商务要求</w:t>
      </w:r>
    </w:p>
    <w:p>
      <w:pPr>
        <w:pStyle w:val="5"/>
        <w:rPr>
          <w:rFonts w:hint="eastAsia"/>
          <w:color w:val="auto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1、项目实施地点：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由采购人指定地点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2、交付期：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自合同签字之日起 60 天内交货并安装调试完成。</w:t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3、伴随服务要求：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3.1、供应商必须提供详细的保修期内技术支持和服务方案,技术支持和服务方案包括(但不限于)：包括环评与需求设计、基础设计、组网规划设计、安全设计、集成对接设计和专业支持服务（如技术咨询、技术评审等）； 包括硬件安装、系统配置（含软件安装、基础配置和业务配置）、集成调测与验收、业务对接&amp;支持（包含版本升级支持、二次开发技术支持、原厂专家支持、对接第三方平台、对接第三方前端等）；包含设备安装所需所有辅材和线材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(1)整体项目提供三年以上的质保期，自项目竣工验收通过之日起计算，质保期内免费提供使用指导、技术咨询。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(2) 自通过终验之日起计算，要求设备厂商提供三年以上软件的免费原厂上门全保服务。软件产品提供三年以上上门保修服务；提供 7×8 小时技术支持和服务，1小时内作出实质性响应，对重大问题提供现场技术支持，3 小时内到达指定现场。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(3)硬件产品提供三年以上原厂上门全保修服务，免费更换全部配件；提供 7×8 小时技术支持和服务，如在报修后7×24 小时内无法修复，则提供（相同或更高规格档次的备用设备）冗余服务,直至故障设备修复,确保设备在7×24小时内恢复正常运行。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(4)提供3%成交数量作为备机，便以甲方应急使用。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3.2.技术培训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为保证系统正常工作，保证采购人管理维护的有效性，投标人提供三年不少于每年一次的用户培训，使维护工作人员能够完全熟悉并掌握软硬件管理和维护技能，具备及时排除一般故障的能力。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4、付款方式：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 xml:space="preserve"> 全部硬件到货验并项目验收付95%，维保期满5%。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5、验收方式：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以国家和现行规程规范标准及磋商文件采购需求要求进行验收。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</w:rPr>
        <w:t>6、维保服务期：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三年以上</w:t>
      </w:r>
    </w:p>
    <w:p>
      <w:pPr>
        <w:numPr>
          <w:ilvl w:val="0"/>
          <w:numId w:val="4"/>
        </w:num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其他</w:t>
      </w:r>
    </w:p>
    <w:p>
      <w:pPr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1、投标人不能低于成本价恶意报价，如中标人的报价过低（低于预算金额的 50%），明显不符合市场价格，则采购人有权要求中标人提供预算金额的 10%作为履约保证金，同时预付款比例调整为 0%。如中标人在实施过程中偷工减料、不按工期完成项目，则采购人有权终止合同，没收履约保证金，并报主管部门严肃处理。</w:t>
      </w:r>
    </w:p>
    <w:p>
      <w:pPr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2. 如项目实施过程中出现中标人不按投标文件或合同内容要求执行，无法满足于项目实施标准要求、偷工减料、降低质量标准、等行为，采购人有权无条件终止合同，没收履约保证金，并报政府采购管理部门严肃处理。</w:t>
      </w:r>
    </w:p>
    <w:p>
      <w:pPr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</w:rPr>
        <w:t>3. 投标人必须根据所投产品的技术参数、资质资料编写投标文件。在中标结果公示期间，采购人有权对中标候选人所投货物的技术指标、资质证书资料等进行任何形式的核查，如发现与其投标文件中的描述不一或所提供的材料为虚假材料，采购人有权将此情况报政府采购主管部门，取消中标资格，并由其对此情况进行严肃处理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4"/>
        <w:ind w:firstLine="56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4"/>
        <w:ind w:firstLine="56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4"/>
        <w:ind w:firstLine="56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5BB993"/>
    <w:multiLevelType w:val="singleLevel"/>
    <w:tmpl w:val="A05BB9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3CF3FF"/>
    <w:multiLevelType w:val="singleLevel"/>
    <w:tmpl w:val="BC3CF3FF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00000000"/>
    <w:multiLevelType w:val="singleLevel"/>
    <w:tmpl w:val="00000000"/>
    <w:lvl w:ilvl="0" w:tentative="0">
      <w:start w:val="3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</w:lvl>
  </w:abstractNum>
  <w:abstractNum w:abstractNumId="3">
    <w:nsid w:val="00000014"/>
    <w:multiLevelType w:val="singleLevel"/>
    <w:tmpl w:val="00000014"/>
    <w:lvl w:ilvl="0" w:tentative="0">
      <w:start w:val="5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U2MmQ2N2YyNGIwOTRkNWVjZTQ5M2FkYTRlMWIifQ=="/>
  </w:docVars>
  <w:rsids>
    <w:rsidRoot w:val="2E5513E2"/>
    <w:rsid w:val="2E5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ascii="Verdana" w:hAnsi="Verdana"/>
    </w:r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ascii="Verdana" w:hAnsi="Verdana"/>
      <w:lang w:eastAsia="en-US"/>
    </w:rPr>
  </w:style>
  <w:style w:type="paragraph" w:styleId="6">
    <w:name w:val="footer"/>
    <w:basedOn w:val="1"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sz w:val="18"/>
    </w:rPr>
  </w:style>
  <w:style w:type="paragraph" w:styleId="9">
    <w:name w:val="List Paragraph"/>
    <w:basedOn w:val="1"/>
    <w:autoRedefine/>
    <w:qFormat/>
    <w:uiPriority w:val="34"/>
    <w:pPr>
      <w:ind w:firstLine="200" w:firstLineChars="200"/>
    </w:pPr>
    <w:rPr>
      <w:sz w:val="18"/>
      <w:szCs w:val="18"/>
    </w:rPr>
  </w:style>
  <w:style w:type="paragraph" w:customStyle="1" w:styleId="10">
    <w:name w:val="Table Text"/>
    <w:basedOn w:val="1"/>
    <w:autoRedefine/>
    <w:qFormat/>
    <w:uiPriority w:val="0"/>
    <w:pPr>
      <w:widowControl/>
      <w:numPr>
        <w:ilvl w:val="3"/>
        <w:numId w:val="1"/>
      </w:numPr>
      <w:tabs>
        <w:tab w:val="left" w:pos="0"/>
        <w:tab w:val="left" w:pos="1680"/>
      </w:tabs>
      <w:spacing w:before="60" w:after="60"/>
      <w:ind w:left="0" w:firstLine="0"/>
    </w:pPr>
    <w:rPr>
      <w:rFonts w:ascii="Arial" w:hAnsi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2024-05-11T09:15:00Z</dcterms:created>
  <dc:creator>猕猴桃</dc:creator>
  <cp:lastModifiedBy>猕猴桃</cp:lastModifiedBy>
  <dcterms:modified xsi:type="dcterms:W3CDTF">2024-05-11T09:15:48Z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C622B91CE2724487992D7280E85A396E_11</vt:lpwstr>
  </property>
</Properties>
</file>