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after="159" w:line="360" w:lineRule="auto"/>
        <w:jc w:val="center"/>
        <w:outlineLvl w:val="0"/>
        <w:rPr>
          <w:rFonts w:hint="eastAsia" w:ascii="宋体" w:hAnsi="宋体" w:eastAsia="宋体" w:cs="宋体"/>
          <w:b/>
          <w:color w:val="auto"/>
          <w:sz w:val="44"/>
          <w:szCs w:val="44"/>
          <w:highlight w:val="none"/>
        </w:rPr>
      </w:pPr>
      <w:bookmarkStart w:id="0" w:name="_Toc5859"/>
      <w:bookmarkStart w:id="1" w:name="_Toc9277"/>
      <w:r>
        <w:rPr>
          <w:rFonts w:hint="eastAsia" w:ascii="宋体" w:hAnsi="宋体" w:eastAsia="宋体" w:cs="宋体"/>
          <w:b/>
          <w:color w:val="auto"/>
          <w:sz w:val="44"/>
          <w:szCs w:val="44"/>
          <w:highlight w:val="none"/>
        </w:rPr>
        <w:t>第三部分</w:t>
      </w:r>
      <w:r>
        <w:rPr>
          <w:rFonts w:hint="eastAsia" w:ascii="宋体" w:hAnsi="宋体" w:eastAsia="宋体" w:cs="宋体"/>
          <w:color w:val="auto"/>
          <w:highlight w:val="none"/>
        </w:rPr>
        <w:t xml:space="preserve"> </w:t>
      </w:r>
      <w:r>
        <w:rPr>
          <w:rFonts w:hint="eastAsia" w:ascii="宋体" w:hAnsi="宋体" w:eastAsia="宋体" w:cs="宋体"/>
          <w:b/>
          <w:color w:val="auto"/>
          <w:sz w:val="44"/>
          <w:szCs w:val="44"/>
          <w:highlight w:val="none"/>
        </w:rPr>
        <w:t>采购需求</w:t>
      </w:r>
      <w:bookmarkEnd w:id="0"/>
      <w:bookmarkEnd w:id="1"/>
    </w:p>
    <w:p>
      <w:pPr>
        <w:widowControl/>
        <w:spacing w:line="460" w:lineRule="exact"/>
        <w:jc w:val="left"/>
        <w:rPr>
          <w:rFonts w:hint="eastAsia" w:ascii="宋体" w:hAnsi="宋体" w:eastAsia="宋体" w:cs="宋体"/>
          <w:b/>
          <w:color w:val="auto"/>
          <w:sz w:val="24"/>
          <w:highlight w:val="none"/>
        </w:rPr>
      </w:pPr>
      <w:bookmarkStart w:id="2" w:name="_Toc494597755"/>
      <w:bookmarkStart w:id="3" w:name="_Toc506611784"/>
      <w:bookmarkStart w:id="4" w:name="_Toc46738150"/>
      <w:bookmarkStart w:id="5" w:name="_Toc494875381"/>
      <w:bookmarkStart w:id="6" w:name="_Toc12118334"/>
      <w:bookmarkStart w:id="7" w:name="_Toc156186691"/>
      <w:bookmarkStart w:id="8" w:name="_Toc506611576"/>
      <w:bookmarkStart w:id="9" w:name="_Toc493385943"/>
      <w:bookmarkStart w:id="10" w:name="_Toc506628527"/>
      <w:bookmarkStart w:id="11" w:name="_Toc46738284"/>
      <w:bookmarkStart w:id="12" w:name="_Toc152129549"/>
      <w:bookmarkStart w:id="13" w:name="_Toc517502606"/>
      <w:bookmarkStart w:id="14" w:name="_Toc46738411"/>
      <w:r>
        <w:rPr>
          <w:rFonts w:hint="eastAsia" w:ascii="宋体" w:hAnsi="宋体" w:eastAsia="宋体" w:cs="宋体"/>
          <w:b/>
          <w:color w:val="auto"/>
          <w:kern w:val="0"/>
          <w:sz w:val="24"/>
          <w:highlight w:val="none"/>
          <w:lang w:bidi="ar"/>
        </w:rPr>
        <w:t>一、项目概况</w:t>
      </w:r>
    </w:p>
    <w:p>
      <w:pPr>
        <w:widowControl/>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项目名称：万宁市兴隆华侨旅游经济区村庄规划(2023-2035)及地形图测量项目编制服务</w:t>
      </w:r>
    </w:p>
    <w:p>
      <w:pPr>
        <w:widowControl/>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项目单位：万宁市兴隆华侨旅游经济区管委会</w:t>
      </w:r>
    </w:p>
    <w:p>
      <w:pPr>
        <w:widowControl/>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预算：3750000.00元</w:t>
      </w:r>
    </w:p>
    <w:p>
      <w:pPr>
        <w:widowControl/>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合同履行期限（服务期）：自合同签订之日起180个工作日内完成</w:t>
      </w:r>
    </w:p>
    <w:p>
      <w:pPr>
        <w:widowControl/>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服务地点：采购人指定地点</w:t>
      </w:r>
    </w:p>
    <w:p>
      <w:pPr>
        <w:widowControl/>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付款方式：按合同约定方式付款</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验收方式：由采购人组织有关部门按照国家有关标准和竞争性磋商文件的规定进行验收，中标（成交）人须派技术人员按采购人指定地点现场共同验收。</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w:t>
      </w:r>
      <w:r>
        <w:rPr>
          <w:rFonts w:hint="eastAsia" w:ascii="宋体" w:hAnsi="宋体" w:eastAsia="宋体" w:cs="宋体"/>
          <w:color w:val="auto"/>
          <w:kern w:val="0"/>
          <w:sz w:val="24"/>
          <w:highlight w:val="none"/>
          <w:lang w:eastAsia="zh-CN" w:bidi="ar"/>
        </w:rPr>
        <w:t>、</w:t>
      </w:r>
      <w:r>
        <w:rPr>
          <w:rFonts w:hint="eastAsia" w:ascii="宋体" w:hAnsi="宋体" w:eastAsia="宋体" w:cs="宋体"/>
          <w:color w:val="auto"/>
          <w:kern w:val="0"/>
          <w:sz w:val="24"/>
          <w:highlight w:val="none"/>
          <w:lang w:bidi="ar"/>
        </w:rPr>
        <w:t>质量要求：达到国家、海南省城乡规划编制规范的内容和深度要求。</w:t>
      </w:r>
    </w:p>
    <w:bookmarkEnd w:id="2"/>
    <w:bookmarkEnd w:id="3"/>
    <w:bookmarkEnd w:id="4"/>
    <w:bookmarkEnd w:id="5"/>
    <w:bookmarkEnd w:id="6"/>
    <w:bookmarkEnd w:id="7"/>
    <w:bookmarkEnd w:id="8"/>
    <w:bookmarkEnd w:id="9"/>
    <w:bookmarkEnd w:id="10"/>
    <w:bookmarkEnd w:id="11"/>
    <w:bookmarkEnd w:id="12"/>
    <w:bookmarkEnd w:id="13"/>
    <w:bookmarkEnd w:id="14"/>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二、规划设计范围</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以第三次国土调查坐落单位为基础依据，根据万宁市“三区三线”划定成果，编制万宁市兴隆华侨旅游经济区一分公司（2315.48公顷）、二分公司（1893.47公顷）、三分公司（1363.32公顷）、四分公司（1016.48公顷）、五分公司（1679.50公顷）、六分公司（826.22公顷）等六个分公司村庄规划，每个分公司对照一个行政村要求，形成六个村庄规划成果。本次编制不包括已划入城镇开发边界内的村庄。</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2、地形测绘范围为六个分公司现状连队居民点为基础以及拟建设区共计约7500亩的范围。</w:t>
      </w: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三、设计任务目标</w:t>
      </w:r>
      <w:bookmarkStart w:id="15" w:name="_GoBack"/>
      <w:bookmarkEnd w:id="15"/>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依据《中华人民共和国城乡规划法》、《海南省城乡规划条例》、《海南省村庄规划管理条例》、《海南省村庄规划编制技术导则（试行）》进行规划编制。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本次规划以第三次国土调查为基础性依据，开展村庄详细调查工作，充分听取村民意见和建议。全面掌握当地社会经济、自然环境、土地利用、历史文化、基础设施和公共服务设施建设、产业发展、村庄安全、建设需求和相关政策规划等资料，摸清家底、找准问题、把握诉求、研究对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严守万宁市总规确定的生态保护红线、永久基本农田控制线等划定任务，以及乡村历史文化保护线、灾害影响与安全防护范围线等重要刚性控制线（区），严格落实上位规划确定的生态公益林保护面积、耕地保有量、林地保有量、湿地面积、建设用地规模等约束性指标。细化落实各项空间管制要求，明确基础设施和公共服务设施的配置原则和建设标准，制定农房建设管理要求。</w:t>
      </w: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四、设计深度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1、村庄规划编制深度应达到《海南省城乡规划条例》、《海南省村庄规划管理条例》、《海南省村庄规划编制技术导则（试行）》等相关规定的深度要求。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2、地形测绘成果为1：1000 比例尺地形图成果数据（DWG 格式）。</w:t>
      </w: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五、设计内容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（一）村域规划</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村庄发展定位与目标。落实上位规划要求，结合村庄类型，充分考虑人口资源环境条件和经济社会发展、人居环境整治等要求，合理预测人口用地规模，明确村庄发展定位，研究制定村庄发展、国土空间开发保护、人居环境整治目标，明确各项约束性和预期性指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村域国土空间总体布局规划。划定管控边界。落实和传导上位国土空间总体规划的基本分区和相应的分区用途管制要求。结合村庄实际，确定全域主要用地的规模和比例，细化与功能结构相匹配的用途结构优化方向，制定国土空间用途结构调整表。按照上位规划用途管制规则、现行法律法规及相关政策，结合村庄未来发展需求和村民意愿，根据各村实际情况制定村庄规划管制规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3、生态保护修复。落实生态保护红线划定成果，明确森林、河湖等生态空间，落实林地保有量等，尽可能多的保留乡村原有的地貌、自然形态等，系统保护好乡村自然风光和田园景观。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4、耕地和永久基本农田保护。落实耕地保护范围和永久基本农田控制线，进一步明确保护要求和管控措施，落实已划定的永久基本农田储备区。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历史文化保护及乡村特色风貌塑造。深入挖掘乡村历史文化资源，划定乡村历史文化保护线。切实保护好村庄的传统选址、格局以及自然田园景观等整体空间形态与环境，提出村庄总体风貌管控要求，推动乡村山水林田路房整体改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6、基础设施和公共服务设施布局。合理配套村级公共服务设施，确定道路交通、供水工程、排水工程、电力和通信工程、通信设施、燃气工程、环卫设施等内容。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7、产业发展空间布局。提出主导产业方向和特色产业，制定村庄产业发展引导策略。优化产业用地布局，合理保障农村新产业新业态发展用地。</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8、村庄安全和防灾减灾。划定灾害影响范围和安全防护范围线，提出综合防灾减灾目标、农村建房安全管理要求以及预防和应对各类灾害危害的具体措施，确定防灾减灾工程、设施和应急避难场所的空间分布与建设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9、人居环境整治。明确包括清理农村生活垃圾、清理农村生活污水、清理畜禽粪污及农业生产废弃物、改造农村厕所、改造村庄道路等在内的农村人居环境整治目标，明确整治要求、措施和具体建设内容。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10、近期行动计划。围绕村庄近期发展需要和村民的迫切诉求，提出近期急需推进的全域土地综合整治、产业发展、基础设施和公共服务设施建设、人居环境整治、防灾减灾工程、历史文化保护等项目，明确资金规模、筹措方式、建设主体和方式等，制定近期实施项目计划。</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（二）村庄建设规划</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1、村庄开发边界划定。根据具体情况，结合连队实际需求，充分考虑当地连队自然形态和居民生活习惯，综合各方面因素，合理划定村庄开发边界。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2、村庄建设布局规划。合理确定连队居民点宅基地规模，划定宅基地用地规模和范围，确定村庄公共管理与公共服务设施用地、村庄产业用地、村庄基础设施用地等各类建设用地的规模和用地布局。</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3、农房建设管理要求。严格落实“一户一宅”政策，每户宅基地面积不得超过175平方米，明确宅基地建设范围和选址要求。细化连队住房管控要求，加强建筑设计引导，营造乡村建筑特色风貌。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村庄配套设施建设。对连队建设规划范围内的供水、排水、供电、信息、广播电视、消防、防洪、污水和垃圾处理等基础设施和公共服务设施的规模位置进行具体安排，按照各专业标准规定确定其主要工程管线的走向、管径与布置，并进行综合协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（三）地形测量内容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1、对六个分公司连队居民点建设区进行平面、高程控制测量；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2、根据《大比例尺地形图机助制图规范》进行测区1:1000全野外地形测绘、成图；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3、按照相应技术规范，采用全野外数据采集方法，图上应表示测量坐标网、 测量标志点位、内容需完整涵盖村庄内全要素信息，例如：地形线、道路、房子 （标明房子结构及层数，如：砼、瓦、砖、破、厕等）、电线杆及走向、变压器、 水井、坟地、周边的植被、古树、污水处理设施（如果有）、给水设施（如果有）、养殖设施（如果有）、水塘、球场、庙宇、垃圾收集点等；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 4、测量成果为2000国家大地坐标系。</w:t>
      </w: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六、村庄规划设计成果内容及提交方式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村庄规划最终成果提交形式按海南省自然资源和规划厅的规定要求执行。设计成果包括“管理版”报批备案成果和“村民版”公示成果两部分。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（一）“管理版” 报批备案 成果：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对于基础整治类村庄或其他近期不进行开发建设、只进行简单的人居环境整治的村庄，可编制简明规划成果。规划成果采用“前图后则”（即规划图表+管制规则）的表达形式，基本成果应包括“四图、两表、一库、一规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（1）四图。包括村域国土空间综合现状图、村域国土空间综合规划图、连队居民点现状分析图、连队居民点规划总平面图。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（2）两表。包括规划主要控制指标表、近期实施项目计划表。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（3）一库。即数据库。</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（4）一规则。即规划管制规则。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（5）附件。包括村民意见征集材料、村民大会或村民代表大会审议情况、会议纪要、还可包括现状调查表、规划说明、基础资料汇编等内容。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2、对于重点发展或需要进行较多开发建设、修复整治的集聚提升类、特色保护类和城郊融合类村庄，规划成果主要包括文本、图件、数据库、附件等。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（1）文本。主要内容包括规划总则、村域规划、村庄建设规划、规划实施保障、附录等。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图件。图纸主要包括：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连队居民点现状分析图、连队居民点用地规划图、连队居民点规划总平面图、连队居民点配套设施建设规划图，及其它表达规划意图的图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（3）数据库。</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（4）附件。包括村民意见征集材料、村民大会或村民代表大会审议情况、会议纪要等相关材料，还可包括现状调查表、规划说明、基础资料汇编等内容。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（二）“村民版” 公示成果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“村民版”成果是以有效指导连队规划实施为出发点，以表达清晰简洁为特色，以简明易懂、便于指导实施为原则，对“管理版”成果进行简化、提炼，方便村民宣传和使用。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（三）电子文件要求：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全部成果均应制作成计算机文件，文本文件采用Microsoft word 的doc格式文件，图形文件采用AutoCAD 的dwg、photoshop的jpg、和Gis的shp格式文件。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成果图纸、文本文件做到清晰、完整、准确，同类图纸规格应尽量统一。提供以上图纸缩印本6套，规格为A3，图纸缩印本可与文本文件统一编排装订。相应的电子文件刻录光盘2套。</w:t>
      </w: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七、地形图测量成果标准及要求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（一）引用标准与作业依据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（1）CJJ/T 8-2011《城市测量规范》；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（2）CJJ/T 73-2010《卫星定位城市测量技术规范》；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（3）CH/T 2009-2010《全球定位系统实时动态测量（RTK）技术规范》；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（4）GB/T 14912-2005《1:500、1:1000、1:2000 外业数字测图技术规程》；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（5）GB/T 20257.1-2017《国家基本比例尺地图图式第1部分：1：500 1：1000 1：2000地形图图式》；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（6）GB/T 15967-2008《1:500 1:1000 1:2000 地形图航空摄影测量数 字化测图规范》；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（7）CH/T 1020《1:500 1:1000 1:2000 地形图质量检验技术规程》；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（8）GB/T 24356-2009《测绘成果质量检查与验收》；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（9）GB/T 18316-2008《数字测绘成果质量检查与验收规定和质量评定》；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（10）GB/T 13989-2012《国家基本比例尺地形图分幅和编号》；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（11）CH/T 1001-2005《测绘技术总结编写规定》；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（12）CH/Z 1001-2007《测绘成果质量检验报告编写基本规定》；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（13）CH/T 1004-2005《测绘技术设计规定》。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（二）主要技术指标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（1）平面坐标系统：2000国家大地坐标系；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（2）高程基准：1985国家高程基准；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（3）比例尺为1:1000；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（4）等高距为1米；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（5）数据格式为Autocad 2004下的*.dwg；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（6）成图规格:按50cm×50cm正方形分幅或按照自然村为单位整村成图；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（7）图幅编号：直接取自然村名称作为图名，无需图号；当一个自然村涉及多幅图时，以村名后加流水号1、2、3……表示。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（三）精度要求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（1）地形图平面精度要求地物点相对于邻近图根点的点位中误差与邻近地物点中误差，应满足二类界址点测定精度要求。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（2）地形图高程精度要求地形图高程精度以等高线插求点的高程中误差来衡量，等高线插求点相对于邻近图根点的高程中误差，应符合等高线插求点的高程中误差表的规定。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（3）图上高程点取位：0.1米。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（四）测绘工作方式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本次测绘工作采用摄影测量的作业方式开展，外业采用无人机进行航飞，内业在摄影测量数据上进行地形要素数据采集形成地形图，以生产的地形图作为底图，进行外业数据的调绘及修补测，重新编辑形成最终的地形图成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（五）成果要素表达要求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（1）要特别注意表示庙宇、祠堂（祖厝）、土地庙等，有名称的应注记名称；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bidi="ar"/>
        </w:rPr>
        <w:t xml:space="preserve">（2）村委会、学校、卫生院（所）、药店、超市的位置要准确注记； </w:t>
      </w:r>
    </w:p>
    <w:p>
      <w:pPr>
        <w:spacing w:line="360" w:lineRule="auto"/>
        <w:ind w:firstLine="480" w:firstLineChars="200"/>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 xml:space="preserve">（3）农村古树名木、风水林要表示； </w:t>
      </w:r>
    </w:p>
    <w:p>
      <w:pPr>
        <w:spacing w:line="360" w:lineRule="auto"/>
        <w:ind w:firstLine="480" w:firstLineChars="200"/>
      </w:pPr>
      <w:r>
        <w:rPr>
          <w:rFonts w:hint="eastAsia" w:ascii="宋体" w:hAnsi="宋体" w:eastAsia="宋体" w:cs="宋体"/>
          <w:color w:val="auto"/>
          <w:kern w:val="0"/>
          <w:sz w:val="24"/>
          <w:highlight w:val="none"/>
          <w:lang w:bidi="ar"/>
        </w:rPr>
        <w:t>（4）房屋建筑结构分类按标准执行。</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YTJhNzEzMGU5ZDY2ZTYwOGNiOWQ2ZmQzOWYxODcifQ=="/>
  </w:docVars>
  <w:rsids>
    <w:rsidRoot w:val="2AF9545B"/>
    <w:rsid w:val="2AF9545B"/>
    <w:rsid w:val="68AD167E"/>
    <w:rsid w:val="7C80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autoRedefine/>
    <w:qFormat/>
    <w:uiPriority w:val="0"/>
    <w:pPr>
      <w:keepNext/>
      <w:keepLines/>
      <w:spacing w:before="340" w:after="330" w:line="578" w:lineRule="auto"/>
      <w:jc w:val="center"/>
      <w:outlineLvl w:val="0"/>
    </w:pPr>
    <w:rPr>
      <w:rFonts w:ascii="Times New Roman" w:hAnsi="Times New Roman" w:eastAsia="仿宋"/>
      <w:b/>
      <w:bCs/>
      <w:kern w:val="44"/>
      <w:sz w:val="48"/>
      <w:szCs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autoRedefine/>
    <w:qFormat/>
    <w:uiPriority w:val="0"/>
    <w:rPr>
      <w:rFonts w:ascii="Times New Roman" w:hAnsi="Times New Roman" w:eastAsia="仿宋"/>
      <w:b/>
      <w:bCs/>
      <w:kern w:val="44"/>
      <w:sz w:val="4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2024-04-22T09:26:00Z</dcterms:created>
  <dc:creator>A11唐诗敏</dc:creator>
  <cp:lastModifiedBy>A11唐诗敏</cp:lastModifiedBy>
  <dcterms:modified xsi:type="dcterms:W3CDTF">2024-04-22T09:26:36Z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8E84EE47B95C47658E8222B39BADC877_11</vt:lpwstr>
  </property>
</Properties>
</file>